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COST-SCHEDULE CLIOMETRICS OF THE MARS CAMPAIGN: DOES PROGRAMMATIC SEQUENCING OF CAPABILITY ACQUISITION DETERMINE COST AND SCHEDULE OUTCOMES?</w:t>
      </w:r>
    </w:p>
    <w:p>
      <w:pPr>
        <w:jc w:val="center"/>
      </w:pPr>
    </w:p>
    <w:p>
      <w:pPr>
        <w:jc w:val="center"/>
      </w:pPr>
      <w:r>
        <w:rPr>
          <w:rFonts w:ascii="Times New Roman" w:hAnsi="Times New Roman"/>
          <w:sz w:val="24"/>
        </w:rPr>
        <w:t>by</w:t>
      </w:r>
    </w:p>
    <w:p>
      <w:pPr>
        <w:jc w:val="center"/>
      </w:pPr>
      <w:r>
        <w:rPr>
          <w:rFonts w:ascii="Times New Roman" w:hAnsi="Times New Roman"/>
          <w:b/>
          <w:sz w:val="28"/>
        </w:rPr>
        <w:t>Stefan Lindqvist</w:t>
      </w:r>
    </w:p>
    <w:p>
      <w:pPr>
        <w:jc w:val="center"/>
      </w:pPr>
      <w:r>
        <w:rPr>
          <w:rFonts w:ascii="Times New Roman" w:hAnsi="Times New Roman"/>
          <w:sz w:val="24"/>
        </w:rPr>
        <w:t>1B-MAR-041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exploration of Mars has never been a single procurement. It has been a campaign. A deliberately ordered portfolio of flight elements in which orbiters precede landers, landers precede rovers, and a prospective sample-return chain is conceived not as a lone mission but as an interdependent set of segments developed against one another</w:t>
      </w:r>
      <w:r>
        <w:t xml:space="preserve"> </w:t>
      </w:r>
      <w:hyperlink w:anchor="ref-1">
        <w:r>
          <w:rPr>
            <w:rStyle w:val="Hyperlink"/>
          </w:rPr>
          <w:t xml:space="preserve">[1]</w:t>
        </w:r>
      </w:hyperlink>
      <w:r>
        <w:t xml:space="preserve">. Each committed element inherits interfaces, heritage hardware, and a risk posture from the elements committed before it, and each is in turn relied upon to retire risk and lay interface groundwork for the elements committed after it. The Mars surface line makes the logic concrete: the entry, descent, and landing approach demonstrated by an early element is inherited by its immediate successor, and sampling and mobility heritage propagate forward through the line</w:t>
      </w:r>
      <w:r>
        <w:t xml:space="preserve"> </w:t>
      </w:r>
      <w:hyperlink w:anchor="ref-1">
        <w:r>
          <w:rPr>
            <w:rStyle w:val="Hyperlink"/>
          </w:rPr>
          <w:t xml:space="preserve">[1]</w:t>
        </w:r>
      </w:hyperlink>
      <w:r>
        <w:t xml:space="preserve">. When elements are coupled in this way, the cost and schedule performance of any one element cannot be read solely off its own technical content. It is conditioned by where that element sits in the programmatic sequence, by what was promised to be inherited from upstream, and by what downstream elements were counting on it to deliver.</w:t>
      </w:r>
    </w:p>
    <w:p>
      <w:pPr>
        <w:pStyle w:val="BodyText"/>
        <w:spacing w:line="480" w:lineRule="auto"/>
        <w:ind w:firstLine="720"/>
      </w:pPr>
      <w:r>
        <w:t xml:space="preserve">This dissertation takes that conditioning seriously and subjects it to measurement. The governing question is whether the programmatic sequencing of capability acquisition, the order and phasing in which campaign elements are committed, exerts a measurable and falsifiable influence on the cost and schedule outcomes of individual Mars campaign elements, distinct from the intrinsic technical difficulty of those elements. Sequencing is, in the language of program management, a decision variable. Planners choose to commit capability A before capability B, or to commit them in parallel, and they do so on the strength of engineering judgment and heritage arguments. They do not attach a price to that choice. The premise of this work is that if sequencing carries a cost-schedule signature, then the order of acquisition is a controllable programmatic lever with an estimable value, and that value belongs in the architecture trade space alongside the mass, propulsion, and trajectory choices that are already modeled parametrically</w:t>
      </w:r>
      <w:r>
        <w:t xml:space="preserve"> </w:t>
      </w:r>
      <w:hyperlink w:anchor="ref-2">
        <w:r>
          <w:rPr>
            <w:rStyle w:val="Hyperlink"/>
          </w:rPr>
          <w:t xml:space="preserve">[2]</w:t>
        </w:r>
      </w:hyperlink>
      <w:r>
        <w:t xml:space="preserve">.</w:t>
      </w:r>
    </w:p>
    <w:p>
      <w:pPr>
        <w:pStyle w:val="BodyText"/>
        <w:spacing w:line="480" w:lineRule="auto"/>
        <w:ind w:firstLine="720"/>
      </w:pPr>
      <w:r>
        <w:t xml:space="preserve">The inquiry is cliometric in the strict sense. It asks a narrow question. It asks whether a structural feature of how a program was organized over time, the sequence of its commitments, left a quantitative trace in the historical and projected record of that program’s elements, and it insists that the answer be estimated, signed, and bounded rather than asserted. The discipline of the question is its empirical posture. A sequencing effect that cannot be separated from technical difficulty is not a finding; it is a restatement of the obvious claim that hard things cost more. This dissertation lives entirely in the separation.</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strategic stakes are not abstract. Flagship planetary campaigns overrun. They carry a documented record of cost growth and schedule slippage, and the literature warns that previously unforeseen program interdependencies can propagate into schedule changes and subsequent hikes in cost and budget</w:t>
      </w:r>
      <w:r>
        <w:t xml:space="preserve"> </w:t>
      </w:r>
      <w:hyperlink w:anchor="ref-3">
        <w:r>
          <w:rPr>
            <w:rStyle w:val="Hyperlink"/>
          </w:rPr>
          <w:t xml:space="preserve">[3]</w:t>
        </w:r>
      </w:hyperlink>
      <w:r>
        <w:t xml:space="preserve"> </w:t>
      </w:r>
      <w:hyperlink w:anchor="ref-4">
        <w:r>
          <w:rPr>
            <w:rStyle w:val="Hyperlink"/>
          </w:rPr>
          <w:t xml:space="preserve">[4]</w:t>
        </w:r>
      </w:hyperlink>
      <w:r>
        <w:t xml:space="preserve">. A decision-maker who sequences a Mars campaign is therefore making, implicitly, a cost-schedule bet across an interdependent chain. The wager is that committing one capability before another will produce a lower total outturn than the reverse ordering, or than a parallel commitment. At present that wager is placed on qualitative grounds. No estimated quantity tells the planner whether the chosen ordering is cheap or expensive relative to the alternatives, and so the sequencing decision, which is among the earliest and most consequential a campaign makes, is the one decision in the architecture trade space made without a number attached.</w:t>
      </w:r>
    </w:p>
    <w:p>
      <w:pPr>
        <w:pStyle w:val="BodyText"/>
        <w:spacing w:line="480" w:lineRule="auto"/>
        <w:ind w:firstLine="720"/>
      </w:pPr>
      <w:r>
        <w:t xml:space="preserve">For NASA the stakes are programmatic and budgetary. The agency’s flagship Mars effort, Mars Sample Return, has been studied explicitly as a jointly developed multi-element architecture with orbiter, lander, ascent, and return segments conceived as an interdependent chain</w:t>
      </w:r>
      <w:r>
        <w:t xml:space="preserve"> </w:t>
      </w:r>
      <w:hyperlink w:anchor="ref-1">
        <w:r>
          <w:rPr>
            <w:rStyle w:val="Hyperlink"/>
          </w:rPr>
          <w:t xml:space="preserve">[1]</w:t>
        </w:r>
      </w:hyperlink>
      <w:r>
        <w:t xml:space="preserve">, and the segment most likely to carry an interdependency signature is precisely the one whose cost and schedule have been most contested. If the ordering of that chain has a price, the agency is paying it whether or not it has measured it. For the Jet Propulsion Laboratory, which has carried the Mars surface line across successive generations of inherited capability, the stakes are institutional. JPL’s comparative advantage rests on heritage propagation, the very mechanism by which sequencing is supposed to compress cost and schedule downstream. Whether that mechanism delivers a measurable discount, or whether escalating ambition along the same line quietly cancels it, is a question that bears directly on how the Laboratory should argue the value of its campaign architectures to a sponsor that increasingly demands estimated, audited justification for major-project commitments.</w:t>
      </w:r>
    </w:p>
    <w:p>
      <w:pPr>
        <w:pStyle w:val="BodyText"/>
        <w:spacing w:line="480" w:lineRule="auto"/>
        <w:ind w:firstLine="720"/>
      </w:pPr>
      <w:r>
        <w:t xml:space="preserve">There is a further stake in the negative result. A companion survival analysis within this dissertation, estimating a Cox proportional-hazards model of development-to-launch duration across thirty NASA planetary and deep-space elements, finds a hazard ratio on sequencing position of 0.893 that is statistically indistinguishable from one, with the new-technology count emerging as the covariate that most nearly reaches significance. That disciplined null is itself useful to campaign planners: it suggests that the schedule consequences attributed to sequencing in engineering judgment may be better explained by what each element is asked to do than by where it sits in line. Establishing whether the same null holds for the magnitude of cost and schedule growth, under an identification strategy strong enough to defend a causal reading, is the work this dissertation undertakes. A bounded null and a bounded positive are equally informative to a planner; what is not informative is the current state of affairs, in which the effect is neither named nor measured.</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question sits in the seam between two bodies of work that have never been joined, and the gap is precise rather than vague. On one side stands the Mars architecture and domain literature; on the other stands the econometric and parametric cost-estimation method literature. Each is mature within its own terms. Neither, on its own, can answer whether sequencing matters, and the two have not been brought into a single identification strategy.</w:t>
      </w:r>
    </w:p>
    <w:p>
      <w:pPr>
        <w:pStyle w:val="BodyText"/>
        <w:spacing w:line="480" w:lineRule="auto"/>
        <w:ind w:firstLine="720"/>
      </w:pPr>
      <w:r>
        <w:t xml:space="preserve">The domain literature specifies campaign elements and their interdependencies in rich engineering detail. Mars Sample Return concept studies describe the joint, multi-element architecture and its segment-to-segment dependencies</w:t>
      </w:r>
      <w:r>
        <w:t xml:space="preserve"> </w:t>
      </w:r>
      <w:hyperlink w:anchor="ref-1">
        <w:r>
          <w:rPr>
            <w:rStyle w:val="Hyperlink"/>
          </w:rPr>
          <w:t xml:space="preserve">[1]</w:t>
        </w:r>
      </w:hyperlink>
      <w:r>
        <w:t xml:space="preserve">, and parametric economic modeling has been applied to alternative space architectures using differing propellant and design choices to evaluate competing concepts</w:t>
      </w:r>
      <w:r>
        <w:t xml:space="preserve"> </w:t>
      </w:r>
      <w:hyperlink w:anchor="ref-2">
        <w:r>
          <w:rPr>
            <w:rStyle w:val="Hyperlink"/>
          </w:rPr>
          <w:t xml:space="preserve">[2]</w:t>
        </w:r>
      </w:hyperlink>
      <w:r>
        <w:t xml:space="preserve">. This literature treats architecture as a design object to be optimized at a point in time. It names interdependency, it traces hand-offs, and it documents the overrun record of flagship programs</w:t>
      </w:r>
      <w:r>
        <w:t xml:space="preserve"> </w:t>
      </w:r>
      <w:hyperlink w:anchor="ref-3">
        <w:r>
          <w:rPr>
            <w:rStyle w:val="Hyperlink"/>
          </w:rPr>
          <w:t xml:space="preserve">[3]</w:t>
        </w:r>
      </w:hyperlink>
      <w:r>
        <w:t xml:space="preserve"> </w:t>
      </w:r>
      <w:hyperlink w:anchor="ref-4">
        <w:r>
          <w:rPr>
            <w:rStyle w:val="Hyperlink"/>
          </w:rPr>
          <w:t xml:space="preserve">[4]</w:t>
        </w:r>
      </w:hyperlink>
      <w:r>
        <w:t xml:space="preserve">. What it does not do is treat the temporal sequence of commitments as an independent variable whose effect on outturn can be estimated. The sequence is, in this literature, a given of the design narrative rather than a quantity whose marginal effect on cost and schedule is recovered. The mechanism is named; its magnitude is not measured.</w:t>
      </w:r>
    </w:p>
    <w:p>
      <w:pPr>
        <w:pStyle w:val="BodyText"/>
        <w:spacing w:line="480" w:lineRule="auto"/>
        <w:ind w:firstLine="720"/>
      </w:pPr>
      <w:r>
        <w:t xml:space="preserve">The method literature supplies exactly the missing instrument and points it in the wrong direction. Independent validation work on parametric cost-estimation tools for NASA space missions establishes that element cost can be modeled from technical scope with characterized uncertainty</w:t>
      </w:r>
      <w:r>
        <w:t xml:space="preserve"> </w:t>
      </w:r>
      <w:hyperlink w:anchor="ref-5">
        <w:r>
          <w:rPr>
            <w:rStyle w:val="Hyperlink"/>
          </w:rPr>
          <w:t xml:space="preserve">[5]</w:t>
        </w:r>
      </w:hyperlink>
      <w:r>
        <w:t xml:space="preserve">, and parametric cost-estimating relationships are an established means of relating conceptual design and technology-development effort to cost</w:t>
      </w:r>
      <w:r>
        <w:t xml:space="preserve"> </w:t>
      </w:r>
      <w:hyperlink w:anchor="ref-6">
        <w:r>
          <w:rPr>
            <w:rStyle w:val="Hyperlink"/>
          </w:rPr>
          <w:t xml:space="preserve">[6]</w:t>
        </w:r>
      </w:hyperlink>
      <w:r>
        <w:t xml:space="preserve">. The readiness literature reinforces that technology not yet mature for its intended mission is a direct driver of development risk and schedule</w:t>
      </w:r>
      <w:r>
        <w:t xml:space="preserve"> </w:t>
      </w:r>
      <w:hyperlink w:anchor="ref-7">
        <w:r>
          <w:rPr>
            <w:rStyle w:val="Hyperlink"/>
          </w:rPr>
          <w:t xml:space="preserve">[7]</w:t>
        </w:r>
      </w:hyperlink>
      <w:r>
        <w:t xml:space="preserve">, so the scope-to-effort and readiness-to-risk channels are both well formalized. These tools generate a scope-based expectation against which actual outturn can be compared. But they are built to forecast a single element from its own attributes. By construction they carry no term for an element’s position in a sequence, and so, however precisely they predict cost from scope, they cannot speak to whether the order of acquisition adds or subtracts anything once scope is known. The instrument exists. It has no sequencing covariate.</w:t>
      </w:r>
    </w:p>
    <w:p>
      <w:pPr>
        <w:pStyle w:val="BodyText"/>
        <w:spacing w:line="480" w:lineRule="auto"/>
        <w:ind w:firstLine="720"/>
      </w:pPr>
      <w:r>
        <w:t xml:space="preserve">The gap is therefore the unfilled intersection. No work estimates a signed, falsifiable coefficient on acquisition-sequencing position in a model of Mars campaign-element cost and schedule growth, with technical scope and element-level technology readiness held constant. The parametric baseline exists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architecture interdependency claim exists</w:t>
      </w:r>
      <w:r>
        <w:t xml:space="preserve"> </w:t>
      </w:r>
      <w:hyperlink w:anchor="ref-1">
        <w:r>
          <w:rPr>
            <w:rStyle w:val="Hyperlink"/>
          </w:rPr>
          <w:t xml:space="preserve">[1]</w:t>
        </w:r>
      </w:hyperlink>
      <w:r>
        <w:t xml:space="preserve"> </w:t>
      </w:r>
      <w:hyperlink w:anchor="ref-4">
        <w:r>
          <w:rPr>
            <w:rStyle w:val="Hyperlink"/>
          </w:rPr>
          <w:t xml:space="preserve">[4]</w:t>
        </w:r>
      </w:hyperlink>
      <w:r>
        <w:t xml:space="preserve">, and the historical overrun record exists</w:t>
      </w:r>
      <w:r>
        <w:t xml:space="preserve"> </w:t>
      </w:r>
      <w:hyperlink w:anchor="ref-3">
        <w:r>
          <w:rPr>
            <w:rStyle w:val="Hyperlink"/>
          </w:rPr>
          <w:t xml:space="preserve">[3]</w:t>
        </w:r>
      </w:hyperlink>
      <w:r>
        <w:t xml:space="preserve">, but they have never been joined into an identification strategy that isolates sequencing from difficulty. Closing that intersection is the methodological act of this dissertation: it takes the parametric scope baseline from the method literature, the sequencing construct from the domain literature, and the overrun record from the program-economics literature, and binds them into a single specification in which the sequencing coefficient is estimated off variation orthogonal to measured difficulty.</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makes one falsifiable contribution, stated here with the precision its falsifiability demands. The contribution is an estimate of the partial effect of programmatic sequencing position on the cost and schedule growth of Mars campaign elements, net of technical scope and element-level technology readiness.</w:t>
      </w:r>
    </w:p>
    <w:p>
      <w:pPr>
        <w:pStyle w:val="BodyText"/>
        <w:spacing w:line="480" w:lineRule="auto"/>
        <w:ind w:firstLine="720"/>
      </w:pPr>
      <w:r>
        <w:t xml:space="preserve">Let cost growth and schedule growth for campaign element</w:t>
      </w:r>
      <w:r>
        <w:t xml:space="preserve"> </w:t>
      </w:r>
      <w:r>
        <w:rPr>
          <w:i/>
          <w:iCs/>
        </w:rPr>
        <w:t xml:space="preserve">i</w:t>
      </w:r>
      <w:r>
        <w:t xml:space="preserve"> </w:t>
      </w:r>
      <w:r>
        <w:t xml:space="preserve">be measured as the ratio of outturn to the cost and schedule committed at the element’s baseline commitment milestone. Let</w:t>
      </w:r>
      <w:r>
        <w:t xml:space="preserve"> </w:t>
      </w:r>
      <w:r>
        <w:rPr>
          <w:i/>
          <w:iCs/>
        </w:rPr>
        <w:t xml:space="preserve">SeqPos_i</w:t>
      </w:r>
      <w:r>
        <w:t xml:space="preserve"> </w:t>
      </w:r>
      <w:r>
        <w:t xml:space="preserve">denote the element’s ordinal position in the committed acquisition sequence of its campaign, and let a parametric scope index and a technology-readiness measure enter the specification as controls. The contribution is the coefficient on</w:t>
      </w:r>
      <w:r>
        <w:t xml:space="preserve"> </w:t>
      </w:r>
      <w:r>
        <w:rPr>
          <w:i/>
          <w:iCs/>
        </w:rPr>
        <w:t xml:space="preserve">SeqPos_i</w:t>
      </w:r>
      <w:r>
        <w:t xml:space="preserve"> </w:t>
      </w:r>
      <w:r>
        <w:t xml:space="preserve">in a fixed-effects model of element-level cost growth, and separately of schedule growth, that carries campaign and epoch fixed effects to absorb agency-wide and era-wide shocks.</w:t>
      </w:r>
    </w:p>
    <w:p>
      <w:pPr>
        <w:pStyle w:val="BodyText"/>
        <w:spacing w:line="480" w:lineRule="auto"/>
        <w:ind w:firstLine="720"/>
      </w:pPr>
      <w:r>
        <w:rPr>
          <w:b/>
          <w:bCs/>
        </w:rPr>
        <w:t xml:space="preserve">The null hypothesis, H0,</w:t>
      </w:r>
      <w:r>
        <w:t xml:space="preserve"> </w:t>
      </w:r>
      <w:r>
        <w:t xml:space="preserve">is that the coefficient on</w:t>
      </w:r>
      <w:r>
        <w:t xml:space="preserve"> </w:t>
      </w:r>
      <w:r>
        <w:rPr>
          <w:i/>
          <w:iCs/>
        </w:rPr>
        <w:t xml:space="preserve">SeqPos_i</w:t>
      </w:r>
      <w:r>
        <w:t xml:space="preserve"> </w:t>
      </w:r>
      <w:r>
        <w:t xml:space="preserve">is zero. Once technical scope and the element’s own technology readiness are controlled, the order in which a Mars campaign element is acquired has no measurable association with its cost growth or its schedule growth. Sequencing, on this hypothesis, is programmatically free.</w:t>
      </w:r>
    </w:p>
    <w:p>
      <w:pPr>
        <w:pStyle w:val="BodyText"/>
        <w:spacing w:line="480" w:lineRule="auto"/>
        <w:ind w:firstLine="720"/>
      </w:pPr>
      <w:r>
        <w:rPr>
          <w:b/>
          <w:bCs/>
        </w:rPr>
        <w:t xml:space="preserve">The alternative hypothesis, H1,</w:t>
      </w:r>
      <w:r>
        <w:t xml:space="preserve"> </w:t>
      </w:r>
      <w:r>
        <w:t xml:space="preserve">is that the coefficient on</w:t>
      </w:r>
      <w:r>
        <w:t xml:space="preserve"> </w:t>
      </w:r>
      <w:r>
        <w:rPr>
          <w:i/>
          <w:iCs/>
        </w:rPr>
        <w:t xml:space="preserve">SeqPos_i</w:t>
      </w:r>
      <w:r>
        <w:t xml:space="preserve"> </w:t>
      </w:r>
      <w:r>
        <w:t xml:space="preserve">is non-zero and stable in sign across specifications. Conditional on scope and readiness, an element’s sequencing position is systematically associated with its cost growth and schedule growth, so that the order of acquisition carries an estimable cost-schedule premium or discount, and the sign of the coefficient adjudicates between an inheritance reading, under which later elements benefit from propagated heritage, and an escalating-ambition reading, under which later elements are burdened by the larger scope their predecessors made it possible to attempt.</w:t>
      </w:r>
    </w:p>
    <w:p>
      <w:pPr>
        <w:pStyle w:val="BodyText"/>
        <w:spacing w:line="480" w:lineRule="auto"/>
        <w:ind w:firstLine="720"/>
      </w:pPr>
      <w:r>
        <w:t xml:space="preserve">The contribution is falsified if the sequencing coefficient is statistically indistinguishable from zero and bounded within a managerially negligible interval across both the panel specification and a case-reconstruction cross-check. The standard is deliberately stringent. A significant raw correlation between sequence position and outturn does not earn the claim, because such a correlation is exactly what the rival hypothesis of escalating ambition predicts. The claim survives only if the effect persists after the parametric scope baseline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r>
        <w:t xml:space="preserve">has absorbed technical difficulty and the readiness control</w:t>
      </w:r>
      <w:r>
        <w:t xml:space="preserve"> </w:t>
      </w:r>
      <w:hyperlink w:anchor="ref-7">
        <w:r>
          <w:rPr>
            <w:rStyle w:val="Hyperlink"/>
          </w:rPr>
          <w:t xml:space="preserve">[7]</w:t>
        </w:r>
      </w:hyperlink>
      <w:r>
        <w:t xml:space="preserve"> </w:t>
      </w:r>
      <w:r>
        <w:t xml:space="preserve">has absorbed maturity risk. Equally, the claim is credited as a sequencing effect rather than a latent-difficulty artifact only where the case record shows an inheritance or hand-off dependency consistent with the estimated sign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single number this dissertation must produce, defend, and bound is that conditional coefficient. Everything else in the design exists to make that number interpretable.</w:t>
      </w:r>
    </w:p>
    <w:bookmarkEnd w:id="64"/>
    <w:bookmarkStart w:id="65" w:name="identification-in-brief"/>
    <w:p>
      <w:pPr>
        <w:pStyle w:val="Heading2"/>
        <w:spacing w:line="480" w:lineRule="auto"/>
      </w:pPr>
      <w:r>
        <w:t xml:space="preserve">1.5 Identification in Brief</w:t>
      </w:r>
    </w:p>
    <w:p>
      <w:pPr>
        <w:pStyle w:val="FirstParagraph"/>
        <w:spacing w:line="480" w:lineRule="auto"/>
      </w:pPr>
      <w:r>
        <w:t xml:space="preserve">Because a panel of campaign elements cannot, on its own, distinguish a genuine sequencing effect from the deliberate ordering of the hardest elements last, the contribution is defended by a mixed design whose two components are mutually constraining. The quantitative core estimates the fixed-effects panel and delivers the signed coefficient; its identifying assumption is that, conditional on scope, readiness, and the campaign and epoch fixed effects, an element’s ordinal position is not driven by unobserved element-specific cost-schedule shocks. The central threat to that assumption, that planners sequence the technically hardest elements last so that</w:t>
      </w:r>
      <w:r>
        <w:t xml:space="preserve"> </w:t>
      </w:r>
      <w:r>
        <w:rPr>
          <w:i/>
          <w:iCs/>
        </w:rPr>
        <w:t xml:space="preserve">SeqPos</w:t>
      </w:r>
      <w:r>
        <w:t xml:space="preserve"> </w:t>
      </w:r>
      <w:r>
        <w:t xml:space="preserve">proxies for unobserved hardness, is met head-on by the parametric scope baseline and readiness control, by scope-interaction specifications that detect residual confounding, and by a qualitative cross-check. The cross-check reconstructs the architecture commitment history for a small set of elements spanning early, middle, and late sequence positions from primary concept-study and architecture documentation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verifying that the modeled ordering reflects genuine capability hand-offs and tracing whether the interdependency mechanism</w:t>
      </w:r>
      <w:r>
        <w:t xml:space="preserve"> </w:t>
      </w:r>
      <w:hyperlink w:anchor="ref-4">
        <w:r>
          <w:rPr>
            <w:rStyle w:val="Hyperlink"/>
          </w:rPr>
          <w:t xml:space="preserve">[4]</w:t>
        </w:r>
      </w:hyperlink>
      <w:r>
        <w:t xml:space="preserve"> </w:t>
      </w:r>
      <w:r>
        <w:t xml:space="preserve">is the channel through which any sequencing effect operates. The panel cannot generalize from cases alone, and the cases cannot, by themselves, separate sequencing from latent difficulty; together they yield a coefficient with a defended causal reading.</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w:t>
      </w:r>
    </w:p>
    <w:p>
      <w:pPr>
        <w:pStyle w:val="BodyText"/>
        <w:spacing w:line="480" w:lineRule="auto"/>
        <w:ind w:firstLine="720"/>
      </w:pPr>
      <w:r>
        <w:rPr>
          <w:b/>
          <w:bCs/>
        </w:rPr>
        <w:t xml:space="preserve">Chapter 2</w:t>
      </w:r>
      <w:r>
        <w:t xml:space="preserve"> </w:t>
      </w:r>
      <w:r>
        <w:t xml:space="preserve">reviews the three literatures that bound the question and demonstrates the precise location of the gap. It treats the Mars architecture and campaign literature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parametric cost-estimation and readiness method literature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and the program-economics literature on interdependency and flagship overrun</w:t>
      </w:r>
      <w:r>
        <w:t xml:space="preserve"> </w:t>
      </w:r>
      <w:hyperlink w:anchor="ref-3">
        <w:r>
          <w:rPr>
            <w:rStyle w:val="Hyperlink"/>
          </w:rPr>
          <w:t xml:space="preserve">[3]</w:t>
        </w:r>
      </w:hyperlink>
      <w:r>
        <w:t xml:space="preserve"> </w:t>
      </w:r>
      <w:hyperlink w:anchor="ref-4">
        <w:r>
          <w:rPr>
            <w:rStyle w:val="Hyperlink"/>
          </w:rPr>
          <w:t xml:space="preserve">[4]</w:t>
        </w:r>
      </w:hyperlink>
      <w:r>
        <w:t xml:space="preserve">, and it shows that no existing work joins the parametric scope baseline to the sequencing construct in a single estimable specification.</w:t>
      </w:r>
    </w:p>
    <w:p>
      <w:pPr>
        <w:pStyle w:val="BodyText"/>
        <w:spacing w:line="480" w:lineRule="auto"/>
        <w:ind w:firstLine="720"/>
      </w:pPr>
      <w:r>
        <w:rPr>
          <w:b/>
          <w:bCs/>
        </w:rPr>
        <w:t xml:space="preserve">Chapter 3</w:t>
      </w:r>
      <w:r>
        <w:t xml:space="preserve"> </w:t>
      </w:r>
      <w:r>
        <w:t xml:space="preserve">develops the theoretical framework, formalizing the three competing mechanisms, inheritance, escalating ambition, and interdependency, that predict opposing signs for the sequencing coefficient, and deriving from them the falsifiable hypotheses H0 and H1 in both their panel and survival expressions.</w:t>
      </w:r>
    </w:p>
    <w:p>
      <w:pPr>
        <w:pStyle w:val="BodyText"/>
        <w:spacing w:line="480" w:lineRule="auto"/>
        <w:ind w:firstLine="720"/>
      </w:pPr>
      <w:r>
        <w:rPr>
          <w:b/>
          <w:bCs/>
        </w:rPr>
        <w:t xml:space="preserve">Chapter 4</w:t>
      </w:r>
      <w:r>
        <w:t xml:space="preserve"> </w:t>
      </w:r>
      <w:r>
        <w:t xml:space="preserve">specifies the data and its provenance. It documents the construction of the panel from the GAO Annual Assessment of NASA Major Projects, NASA Cost Estimating Handbook reference materials, and primary architecture studies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coding of the sequencing variable, the calibration of the parametric scope index against validated cost-estimating-relationship logic</w:t>
      </w:r>
      <w:r>
        <w:t xml:space="preserve"> </w:t>
      </w:r>
      <w:hyperlink w:anchor="ref-5">
        <w:r>
          <w:rPr>
            <w:rStyle w:val="Hyperlink"/>
          </w:rPr>
          <w:t xml:space="preserve">[5]</w:t>
        </w:r>
      </w:hyperlink>
      <w:r>
        <w:t xml:space="preserve"> </w:t>
      </w:r>
      <w:hyperlink w:anchor="ref-6">
        <w:r>
          <w:rPr>
            <w:rStyle w:val="Hyperlink"/>
          </w:rPr>
          <w:t xml:space="preserve">[6]</w:t>
        </w:r>
      </w:hyperlink>
      <w:r>
        <w:t xml:space="preserve">, and the auditable lineage from each raw source to each modeled variable.</w:t>
      </w:r>
    </w:p>
    <w:p>
      <w:pPr>
        <w:pStyle w:val="BodyText"/>
        <w:spacing w:line="480" w:lineRule="auto"/>
        <w:ind w:firstLine="720"/>
      </w:pPr>
      <w:r>
        <w:rPr>
          <w:b/>
          <w:bCs/>
        </w:rPr>
        <w:t xml:space="preserve">Chapter 5</w:t>
      </w:r>
      <w:r>
        <w:t xml:space="preserve"> </w:t>
      </w:r>
      <w:r>
        <w:t xml:space="preserve">presents the panel-econometric estimation of cost and schedule growth, reporting the conditional sequencing coefficient, its sign, its confidence interval, and its behavior under scope-interaction and rebaselining specifications.</w:t>
      </w:r>
    </w:p>
    <w:p>
      <w:pPr>
        <w:pStyle w:val="BodyText"/>
        <w:spacing w:line="480" w:lineRule="auto"/>
        <w:ind w:firstLine="720"/>
      </w:pPr>
      <w:r>
        <w:rPr>
          <w:b/>
          <w:bCs/>
        </w:rPr>
        <w:t xml:space="preserve">Chapter 6</w:t>
      </w:r>
      <w:r>
        <w:t xml:space="preserve"> </w:t>
      </w:r>
      <w:r>
        <w:t xml:space="preserve">presents the survival analysis of development-to-launch duration as a complementary test on a different outcome and estimator, reporting the hazard ratio on sequencing position and situating its disciplined null alongside the panel result.</w:t>
      </w:r>
    </w:p>
    <w:p>
      <w:pPr>
        <w:pStyle w:val="BodyText"/>
        <w:spacing w:line="480" w:lineRule="auto"/>
        <w:ind w:firstLine="720"/>
      </w:pPr>
      <w:r>
        <w:rPr>
          <w:b/>
          <w:bCs/>
        </w:rPr>
        <w:t xml:space="preserve">Chapter 7</w:t>
      </w:r>
      <w:r>
        <w:t xml:space="preserve"> </w:t>
      </w:r>
      <w:r>
        <w:t xml:space="preserve">conducts the qualitative architecture-reconstruction cross-check, adjudicating whether any estimated effect runs along the acquisition sequence as a hand-off mechanism or cuts across it as a confounder.</w:t>
      </w:r>
    </w:p>
    <w:p>
      <w:pPr>
        <w:pStyle w:val="BodyText"/>
        <w:spacing w:line="480" w:lineRule="auto"/>
        <w:ind w:firstLine="720"/>
      </w:pPr>
      <w:r>
        <w:rPr>
          <w:b/>
          <w:bCs/>
        </w:rPr>
        <w:t xml:space="preserve">Chapter 8</w:t>
      </w:r>
      <w:r>
        <w:t xml:space="preserve"> </w:t>
      </w:r>
      <w:r>
        <w:t xml:space="preserve">addresses threats to validity, including endogenous sequencing, the small-sample degrees-of-freedom problem, baseline definition and rebaselining, and external validity to future architectures, and bounds the portability of the estimate using the parametric architecture-comparison logic</w:t>
      </w:r>
      <w:r>
        <w:t xml:space="preserve"> </w:t>
      </w:r>
      <w:hyperlink w:anchor="ref-2">
        <w:r>
          <w:rPr>
            <w:rStyle w:val="Hyperlink"/>
          </w:rPr>
          <w:t xml:space="preserve">[2]</w:t>
        </w:r>
      </w:hyperlink>
      <w:r>
        <w:t xml:space="preserve">.</w:t>
      </w:r>
    </w:p>
    <w:p>
      <w:pPr>
        <w:pStyle w:val="BodyText"/>
        <w:spacing w:line="480" w:lineRule="auto"/>
        <w:ind w:firstLine="720"/>
      </w:pPr>
      <w:r>
        <w:rPr>
          <w:b/>
          <w:bCs/>
        </w:rPr>
        <w:t xml:space="preserve">Chapter 9</w:t>
      </w:r>
      <w:r>
        <w:t xml:space="preserve"> </w:t>
      </w:r>
      <w:r>
        <w:t xml:space="preserve">concludes by stating the signed, bounded coefficient, returning it to the campaign planner as a quantity for the architecture trade space, and identifying the future Mars Sample Return observations whose resolution would most sharpen the estimate.</w:t>
      </w:r>
    </w:p>
    <w:bookmarkEnd w:id="66"/>
    <w:bookmarkEnd w:id="67"/>
    <w:bookmarkStart w:id="91" w:name="chapter-2.-literature-review"/>
    <w:p>
      <w:pPr>
        <w:pStyle w:val="Heading1"/>
        <w:spacing w:line="480" w:lineRule="auto"/>
      </w:pPr>
      <w:r>
        <w:t xml:space="preserve">Chapter 2. Literature Review</w:t>
      </w:r>
    </w:p>
    <w:bookmarkStart w:id="68" w:name="introduction-and-organizing-logic"/>
    <w:p>
      <w:pPr>
        <w:pStyle w:val="Heading2"/>
        <w:spacing w:line="480" w:lineRule="auto"/>
      </w:pPr>
      <w:r>
        <w:t xml:space="preserve">2.1 Introduction and Organizing Logic</w:t>
      </w:r>
    </w:p>
    <w:p>
      <w:pPr>
        <w:pStyle w:val="FirstParagraph"/>
        <w:spacing w:line="480" w:lineRule="auto"/>
      </w:pPr>
      <w:r>
        <w:t xml:space="preserve">The question this dissertation poses, whether the programmatic sequencing of capability acquisition exerts a measurable and falsifiable influence on the cost and schedule outcomes of Mars campaign elements net of their intrinsic technical difficulty, sits in the seam between two mature but separate scholarly traditions. The first is the domain technical literature on planetary mission architecture, which describes with great fidelity how Mars campaigns and their constituent elements are conceived, coupled, and committed, and how the resulting interdependencies shape programmatic outcomes. The second is the cliometric and parametric cost-estimation tradition, which supplies the econometric machinery for converting technical descriptors into estimated cost and for testing whether a structural feature of a program has left a quantitative trace in the historical record. Each literature is internally rigorous. Neither answers the question. Neither, on its own, can resolve it, because each holds fixed precisely the variable the other treats as central. The architecture literature treats sequence as a given design fact and asks how to optimize within it; the parametric literature treats cost as a function of an element’s own scope and reads the sequence out of the model by construction. The contribution of this chapter is to review both bodies of work on their own terms, to demonstrate that they have never been joined, and to specify with precision the gap that the joining would close.</w:t>
      </w:r>
    </w:p>
    <w:p>
      <w:pPr>
        <w:pStyle w:val="BodyText"/>
        <w:spacing w:line="480" w:lineRule="auto"/>
        <w:ind w:firstLine="720"/>
      </w:pPr>
      <w:r>
        <w:t xml:space="preserve">The review proceeds in five movements. Section 2.2 surveys the Mars and planetary campaign architecture literature, establishing that the campaign is the canonical unit of analysis and that its elements are jointly developed and sequentially committed. Section 2.3 reviews the parametric cost-estimation literature, establishing that element cost can be modeled from technical scope with characterized uncertainty and that this modeling tradition is, by design, blind to an element’s position in a sequence. Section 2.4 examines the program-architecture and space-economics literature that names interdependency and overrun as mechanisms without measuring their sequencing component. Section 2.5 reviews adjacent scheduling, readiness, and survival-analytic literatures that supply complementary tools and cautionary evidence. Section 2.6 synthesizes the three primary literatures, locates the unfilled gap, and states the identification logic that the remainder of the dissertation operationalizes.</w:t>
      </w:r>
    </w:p>
    <w:bookmarkEnd w:id="68"/>
    <w:bookmarkStart w:id="72" w:name="X181dd548e1f669643297079b770616e1d47d1e6"/>
    <w:p>
      <w:pPr>
        <w:pStyle w:val="Heading2"/>
        <w:spacing w:line="480" w:lineRule="auto"/>
      </w:pPr>
      <w:r>
        <w:t xml:space="preserve">2.2 The Mars and Planetary Campaign Architecture Literature</w:t>
      </w:r>
    </w:p>
    <w:bookmarkStart w:id="69" w:name="the-campaign-as-the-unit-of-analysis"/>
    <w:p>
      <w:pPr>
        <w:pStyle w:val="Heading3"/>
        <w:spacing w:line="480" w:lineRule="auto"/>
      </w:pPr>
      <w:r>
        <w:t xml:space="preserve">2.2.1 The Campaign as the Unit of Analysis</w:t>
      </w:r>
    </w:p>
    <w:p>
      <w:pPr>
        <w:pStyle w:val="FirstParagraph"/>
        <w:spacing w:line="480" w:lineRule="auto"/>
      </w:pPr>
      <w:r>
        <w:t xml:space="preserve">The defining feature of Mars exploration, and the feature that makes it the canonical instance of a planetary campaign, is that it has never been organized as a single procurement. It has been organized as a multi-decade portfolio in which orbiters, landers, rovers, and the prospective sample-return chain are committed in sequence, each element inheriting capabilities, interfaces, and risk posture from those that preceded it. The most consequential contemporary expression of this logic is Mars Sample Return, and the concept-of-record literature is unambiguous that the architecture is to be understood as a jointly developed, multi-element system rather than as a collection of independent missions</w:t>
      </w:r>
      <w:r>
        <w:t xml:space="preserve"> </w:t>
      </w:r>
      <w:hyperlink w:anchor="ref-1">
        <w:r>
          <w:rPr>
            <w:rStyle w:val="Hyperlink"/>
          </w:rPr>
          <w:t xml:space="preserve">[1]</w:t>
        </w:r>
      </w:hyperlink>
      <w:r>
        <w:t xml:space="preserve">. Muirhead and colleagues describe orbiter, lander, ascent, and return segments as an interdependent chain in which each segment’s specification is conditioned on what upstream segments are promised to deliver and on what downstream segments are counting on to receive</w:t>
      </w:r>
      <w:r>
        <w:t xml:space="preserve"> </w:t>
      </w:r>
      <w:hyperlink w:anchor="ref-1">
        <w:r>
          <w:rPr>
            <w:rStyle w:val="Hyperlink"/>
          </w:rPr>
          <w:t xml:space="preserve">[1]</w:t>
        </w:r>
      </w:hyperlink>
      <w:r>
        <w:t xml:space="preserve">. This is the architectural fact on which the entire dissertation rests: when elements are coupled in this manner, the cost and schedule performance of any one element cannot be read solely off its own technical content, because that content is itself negotiated against a programmatic context.</w:t>
      </w:r>
    </w:p>
    <w:p>
      <w:pPr>
        <w:pStyle w:val="BodyText"/>
        <w:spacing w:line="480" w:lineRule="auto"/>
        <w:ind w:firstLine="720"/>
      </w:pPr>
      <w:r>
        <w:t xml:space="preserve">The architecture literature is rich in its specification of these dependencies. The Mars surface line is the textbook demonstration of capability inheritance: an entry-descent-and-landing approach demonstrated by an early element is adopted by its immediate successor, and sampling and mobility heritage propagate forward through the line</w:t>
      </w:r>
      <w:r>
        <w:t xml:space="preserve"> </w:t>
      </w:r>
      <w:hyperlink w:anchor="ref-1">
        <w:r>
          <w:rPr>
            <w:rStyle w:val="Hyperlink"/>
          </w:rPr>
          <w:t xml:space="preserve">[1]</w:t>
        </w:r>
      </w:hyperlink>
      <w:r>
        <w:t xml:space="preserve">. The companion survival study in this dissertation reconstructs precisely this propagation, noting that the airbag landing demonstrated by an early surface element is inherited by its successor and that sky-crane and sampling heritage cascade through subsequent commitments</w:t>
      </w:r>
      <w:r>
        <w:t xml:space="preserve"> </w:t>
      </w:r>
      <w:hyperlink w:anchor="ref-1">
        <w:r>
          <w:rPr>
            <w:rStyle w:val="Hyperlink"/>
          </w:rPr>
          <w:t xml:space="preserve">[1]</w:t>
        </w:r>
      </w:hyperlink>
      <w:r>
        <w:t xml:space="preserve">. The architecture literature thus furnishes the dissertation with its independent variable in qualitative form. It establishes, in engineering detail, that there is a committed ordering of capability commitments and that this ordering carries inheritance and hand-off dependencies. What it does not do, and does not set out to do, is treat that ordering as a variable whose effect on outturn can be estimated.</w:t>
      </w:r>
    </w:p>
    <w:bookmarkEnd w:id="69"/>
    <w:bookmarkStart w:id="70" w:name="X56fa4e5faef0c5e4c09d708ff7464782f5301a7"/>
    <w:p>
      <w:pPr>
        <w:pStyle w:val="Heading3"/>
        <w:spacing w:line="480" w:lineRule="auto"/>
      </w:pPr>
      <w:r>
        <w:t xml:space="preserve">2.2.2 Architecture as a Point-in-Time Design Object</w:t>
      </w:r>
    </w:p>
    <w:p>
      <w:pPr>
        <w:pStyle w:val="FirstParagraph"/>
        <w:spacing w:line="480" w:lineRule="auto"/>
      </w:pPr>
      <w:r>
        <w:t xml:space="preserve">The methodological posture of the architecture literature is to treat the campaign architecture as a design object to be optimized at a moment in time. This is visible across the planetary mission-design corpus. Trajectory and transfer-optimization work, for instance, treats the architecture as fixed and searches for the optimal path within it: primer-vector formulations optimize relative quasi-satellite transfer trajectories for the Martian Moons eXploration mission as a closed design problem</w:t>
      </w:r>
      <w:r>
        <w:t xml:space="preserve"> </w:t>
      </w:r>
      <w:hyperlink w:anchor="ref-20">
        <w:r>
          <w:rPr>
            <w:rStyle w:val="Hyperlink"/>
          </w:rPr>
          <w:t xml:space="preserve">[20]</w:t>
        </w:r>
      </w:hyperlink>
      <w:r>
        <w:t xml:space="preserve">, and relay-network topology assessments evaluate alternative communications architectures to improve Earth-Mars links as a design trade conducted at a single decision point</w:t>
      </w:r>
      <w:r>
        <w:t xml:space="preserve"> </w:t>
      </w:r>
      <w:hyperlink w:anchor="ref-24">
        <w:r>
          <w:rPr>
            <w:rStyle w:val="Hyperlink"/>
          </w:rPr>
          <w:t xml:space="preserve">[24]</w:t>
        </w:r>
      </w:hyperlink>
      <w:r>
        <w:t xml:space="preserve">. These studies are exemplary of the literature’s strength and of its boundary. They optimize within a sequence. They do not interrogate it. The architecture is the stage on which the optimization is performed, not an object of estimation in its own right.</w:t>
      </w:r>
    </w:p>
    <w:p>
      <w:pPr>
        <w:pStyle w:val="BodyText"/>
        <w:spacing w:line="480" w:lineRule="auto"/>
        <w:ind w:firstLine="720"/>
      </w:pPr>
      <w:r>
        <w:t xml:space="preserve">The same posture characterizes the broader deep-space concept literature. Mission-concept studies such as the Interstellar Probe formulation specify an element’s destination, payload, and propulsion as a coherent design and defend that design against alternatives</w:t>
      </w:r>
      <w:r>
        <w:t xml:space="preserve"> </w:t>
      </w:r>
      <w:hyperlink w:anchor="ref-17">
        <w:r>
          <w:rPr>
            <w:rStyle w:val="Hyperlink"/>
          </w:rPr>
          <w:t xml:space="preserve">[17]</w:t>
        </w:r>
      </w:hyperlink>
      <w:r>
        <w:t xml:space="preserve">, and flight-experiment programs such as the CALLISTO and ReFEx reusable-launch demonstrators frame their contribution as a wholistic design approach to a specific technical objective</w:t>
      </w:r>
      <w:r>
        <w:t xml:space="preserve"> </w:t>
      </w:r>
      <w:hyperlink w:anchor="ref-19">
        <w:r>
          <w:rPr>
            <w:rStyle w:val="Hyperlink"/>
          </w:rPr>
          <w:t xml:space="preserve">[19]</w:t>
        </w:r>
      </w:hyperlink>
      <w:r>
        <w:t xml:space="preserve">. These are point-in-time design defenses. They establish what an element is and why its design is sound. They do not ask how the element’s position in a longer programmatic queue conditions its cost or schedule, because that question is outside the frame of architecture optimization as the discipline practices it.</w:t>
      </w:r>
    </w:p>
    <w:bookmarkEnd w:id="70"/>
    <w:bookmarkStart w:id="71" w:name="parametric-architecture-comparison"/>
    <w:p>
      <w:pPr>
        <w:pStyle w:val="Heading3"/>
        <w:spacing w:line="480" w:lineRule="auto"/>
      </w:pPr>
      <w:r>
        <w:t xml:space="preserve">2.2.3 Parametric Architecture Comparison</w:t>
      </w:r>
    </w:p>
    <w:p>
      <w:pPr>
        <w:pStyle w:val="FirstParagraph"/>
        <w:spacing w:line="480" w:lineRule="auto"/>
      </w:pPr>
      <w:r>
        <w:t xml:space="preserve">A more recent strand within the architecture literature begins to bridge toward economics by attaching parametric cost models to competing architectures. Dorrington and Olsen develop parametric economic modeling of alternative mining architectures, evaluating competing designs that differ in propellant choice and other technical descriptors against an economic objective</w:t>
      </w:r>
      <w:r>
        <w:t xml:space="preserve"> </w:t>
      </w:r>
      <w:hyperlink w:anchor="ref-2">
        <w:r>
          <w:rPr>
            <w:rStyle w:val="Hyperlink"/>
          </w:rPr>
          <w:t xml:space="preserve">[2]</w:t>
        </w:r>
      </w:hyperlink>
      <w:r>
        <w:t xml:space="preserve">. This work is methodologically important for the dissertation because it demonstrates that an architecture can be rendered economically commensurable: alternative designs can be placed on a common cost axis and compared. The dissertation borrows this logic directly, using the parametric architecture-comparison approach to indicate where a sequencing estimate is and is not portable across designs</w:t>
      </w:r>
      <w:r>
        <w:t xml:space="preserve"> </w:t>
      </w:r>
      <w:hyperlink w:anchor="ref-2">
        <w:r>
          <w:rPr>
            <w:rStyle w:val="Hyperlink"/>
          </w:rPr>
          <w:t xml:space="preserve">[2]</w:t>
        </w:r>
      </w:hyperlink>
      <w:r>
        <w:t xml:space="preserve">. Yet even here the temporal sequence is not the object of estimation. The comparison is across architectural variants at a point of decision, not across positions in a committed acquisition sequence. The literature has the economic machinery to compare architectures; it has not turned that machinery on the order in which architectural commitments are made.</w:t>
      </w:r>
    </w:p>
    <w:p>
      <w:pPr>
        <w:pStyle w:val="BodyText"/>
        <w:spacing w:line="480" w:lineRule="auto"/>
        <w:ind w:firstLine="720"/>
      </w:pPr>
      <w:r>
        <w:t xml:space="preserve">The cumulative verdict on the architecture literature is therefore precise. It establishes the campaign as the unit of analysis, documents the inheritance and interdependency structure in engineering detail</w:t>
      </w:r>
      <w:r>
        <w:t xml:space="preserve"> </w:t>
      </w:r>
      <w:hyperlink w:anchor="ref-1">
        <w:r>
          <w:rPr>
            <w:rStyle w:val="Hyperlink"/>
          </w:rPr>
          <w:t xml:space="preserve">[1]</w:t>
        </w:r>
      </w:hyperlink>
      <w:r>
        <w:t xml:space="preserve">, and has begun to render architectures economically comparable</w:t>
      </w:r>
      <w:r>
        <w:t xml:space="preserve"> </w:t>
      </w:r>
      <w:hyperlink w:anchor="ref-2">
        <w:r>
          <w:rPr>
            <w:rStyle w:val="Hyperlink"/>
          </w:rPr>
          <w:t xml:space="preserve">[2]</w:t>
        </w:r>
      </w:hyperlink>
      <w:r>
        <w:t xml:space="preserve">. It treats sequence as an exogenous design fact rather than as an endogenous variable with an estimable cost-schedule signature. It supplies the dissertation’s independent variable but not the means to estimate its effect.</w:t>
      </w:r>
    </w:p>
    <w:bookmarkEnd w:id="71"/>
    <w:bookmarkEnd w:id="72"/>
    <w:bookmarkStart w:id="76" w:name="X95552aa9ac15660e9212f09a0165357046ae72c"/>
    <w:p>
      <w:pPr>
        <w:pStyle w:val="Heading2"/>
        <w:spacing w:line="480" w:lineRule="auto"/>
      </w:pPr>
      <w:r>
        <w:t xml:space="preserve">2.3 The Parametric Cost-Estimation Literature</w:t>
      </w:r>
    </w:p>
    <w:bookmarkStart w:id="73" w:name="cost-as-a-function-of-scope"/>
    <w:p>
      <w:pPr>
        <w:pStyle w:val="Heading3"/>
        <w:spacing w:line="480" w:lineRule="auto"/>
      </w:pPr>
      <w:r>
        <w:t xml:space="preserve">2.3.1 Cost as a Function of Scope</w:t>
      </w:r>
    </w:p>
    <w:p>
      <w:pPr>
        <w:pStyle w:val="FirstParagraph"/>
        <w:spacing w:line="480" w:lineRule="auto"/>
      </w:pPr>
      <w:r>
        <w:t xml:space="preserve">The second literature the dissertation draws on is the parametric cost-estimation tradition, which provides the tools to predict element-level cost from technical descriptors with characterized uncertainty. The foundational claim of this tradition is that an element’s cost is a stable function of its scope: given a sufficient set of technical descriptors, mass, power, complexity, instrument count, and the like, a calibrated cost-estimating relationship will return an expected cost with quantifiable error. Friz, Hosder, Leser, and Towle provide the most directly relevant validation, a blind validation study of the SEER-H parametric cost-estimation tool against NASA space missions</w:t>
      </w:r>
      <w:r>
        <w:t xml:space="preserve"> </w:t>
      </w:r>
      <w:hyperlink w:anchor="ref-5">
        <w:r>
          <w:rPr>
            <w:rStyle w:val="Hyperlink"/>
          </w:rPr>
          <w:t xml:space="preserve">[5]</w:t>
        </w:r>
      </w:hyperlink>
      <w:r>
        <w:t xml:space="preserve">. Their result is consequential for the dissertation in two ways. First, it establishes that element cost can be modeled from scope with characterized uncertainty, which means that a scope-based expectation can be constructed against which actual outturn is compared. Second, by validating the tool blind, against missions whose costs were not used in calibration, it demonstrates that the scope-to-cost mapping generalizes beyond its training set, which is the property that licenses using a parametric baseline as a control in an outturn model.</w:t>
      </w:r>
    </w:p>
    <w:p>
      <w:pPr>
        <w:pStyle w:val="BodyText"/>
        <w:spacing w:line="480" w:lineRule="auto"/>
        <w:ind w:firstLine="720"/>
      </w:pPr>
      <w:r>
        <w:t xml:space="preserve">The parametric tradition is broad and methodologically deep. Viola, Fusaro, Ferretto, and Vercella develop a research, development, and production cost-prediction parametric model for future civil hypersonic aircraft, formalizing the same scope-to-effort logic for conceptual design and technology development</w:t>
      </w:r>
      <w:r>
        <w:t xml:space="preserve"> </w:t>
      </w:r>
      <w:hyperlink w:anchor="ref-6">
        <w:r>
          <w:rPr>
            <w:rStyle w:val="Hyperlink"/>
          </w:rPr>
          <w:t xml:space="preserve">[6]</w:t>
        </w:r>
      </w:hyperlink>
      <w:r>
        <w:t xml:space="preserve">. While the application domain differs, the methodological contribution transfers directly: it shows how cost-estimating relationships can be built to relate conceptual design parameters and technology-development effort to predicted cost, including for systems whose technology is not yet mature. This is precisely the logic the dissertation requires to construct a parametric scope index that absorbs technical difficulty, so that any residual sequencing signal is estimated off variation orthogonal to measured scope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companion survival study leans on the same pairing, invoking the SEER-H validation and the parametric cost-estimating-relationship formalism to justify a readiness-risk proxy that ties scope to development effort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3"/>
    <w:bookmarkStart w:id="74" w:name="X26a77e5f5d928b3ce32c8bb3931b8466635b9fb"/>
    <w:p>
      <w:pPr>
        <w:pStyle w:val="Heading3"/>
        <w:spacing w:line="480" w:lineRule="auto"/>
      </w:pPr>
      <w:r>
        <w:t xml:space="preserve">2.3.2 The Structural Blindness of the Parametric Model to Sequence</w:t>
      </w:r>
    </w:p>
    <w:p>
      <w:pPr>
        <w:pStyle w:val="FirstParagraph"/>
        <w:spacing w:line="480" w:lineRule="auto"/>
      </w:pPr>
      <w:r>
        <w:t xml:space="preserve">The decisive feature of the parametric literature, for the purposes of this dissertation, is what it omits by construction. Parametric cost-estimating relationships are built to forecast a single element from its own attributes. They take an element’s technical descriptors as inputs and return a cost; they do not, and cannot within their own formalism, carry a term for the element’s position in a sequence. The SEER-H validation estimates cost from mission scope</w:t>
      </w:r>
      <w:r>
        <w:t xml:space="preserve"> </w:t>
      </w:r>
      <w:hyperlink w:anchor="ref-5">
        <w:r>
          <w:rPr>
            <w:rStyle w:val="Hyperlink"/>
          </w:rPr>
          <w:t xml:space="preserve">[5]</w:t>
        </w:r>
      </w:hyperlink>
      <w:r>
        <w:t xml:space="preserve">; the hypersonic cost model estimates cost from design and technology-development parameters</w:t>
      </w:r>
      <w:r>
        <w:t xml:space="preserve"> </w:t>
      </w:r>
      <w:hyperlink w:anchor="ref-6">
        <w:r>
          <w:rPr>
            <w:rStyle w:val="Hyperlink"/>
          </w:rPr>
          <w:t xml:space="preserve">[6]</w:t>
        </w:r>
      </w:hyperlink>
      <w:r>
        <w:t xml:space="preserve">. Neither carries an argument for whether the element is the first, third, or fifth commitment in a campaign line. This is not an oversight in the literature; it is a definitional property of the parametric approach. The model’s predictand is the element, and its predictors are the element’s attributes. Sequence is not an attribute of the element in isolation; it is a relational property of the element within a portfolio, and the parametric formalism has no slot for relational properties.</w:t>
      </w:r>
    </w:p>
    <w:p>
      <w:pPr>
        <w:pStyle w:val="BodyText"/>
        <w:spacing w:line="480" w:lineRule="auto"/>
        <w:ind w:firstLine="720"/>
      </w:pPr>
      <w:r>
        <w:t xml:space="preserve">The consequence is that the parametric literature, by its own logic, cannot answer whether sequencing matters. It can tell us what an element should cost given its scope, and it can therefore tell us how much an element overran relative to its scope-based expectation. But the residual between expectation and outturn is, in the parametric frame, undifferentiated. It is attributed to estimation error, to unmodeled complexity, or to programmatic noise, but never to a structural feature such as sequencing position, because the model has no term in which such a feature could appear. The parametric baseline is thus simultaneously the dissertation’s most valuable tool and the clearest demonstration of the gap: it provides the scope control that makes a clean sequencing test possible, yet it is itself silent on sequencing.</w:t>
      </w:r>
    </w:p>
    <w:bookmarkEnd w:id="74"/>
    <w:bookmarkStart w:id="75" w:name="X4a5713330250b3f9aa8cca5b216f72f003a3852"/>
    <w:p>
      <w:pPr>
        <w:pStyle w:val="Heading3"/>
        <w:spacing w:line="480" w:lineRule="auto"/>
      </w:pPr>
      <w:r>
        <w:t xml:space="preserve">2.3.3 Cliometric Method and the Demand for Estimation</w:t>
      </w:r>
    </w:p>
    <w:p>
      <w:pPr>
        <w:pStyle w:val="FirstParagraph"/>
        <w:spacing w:line="480" w:lineRule="auto"/>
      </w:pPr>
      <w:r>
        <w:t xml:space="preserve">The dissertation’s framing as a cliometric inquiry imposes a specific evidentiary standard that the parametric literature partly satisfies and partly leaves open. Cliometrics, in the strict sense, asks whether a structural feature of how a program was organized over time left a quantitative trace in the historical and projected record, and insists that the answer be estimated, signed, and bounded rather than asserted. The parametric literature satisfies the estimation standard for the element-from-scope relationship: the SEER-H validation reports quantified error and the hypersonic model reports a calibrated predictive relationship</w:t>
      </w:r>
      <w:r>
        <w:t xml:space="preserve"> </w:t>
      </w:r>
      <w:hyperlink w:anchor="ref-5">
        <w:r>
          <w:rPr>
            <w:rStyle w:val="Hyperlink"/>
          </w:rPr>
          <w:t xml:space="preserve">[5]</w:t>
        </w:r>
      </w:hyperlink>
      <w:r>
        <w:t xml:space="preserve"> </w:t>
      </w:r>
      <w:hyperlink w:anchor="ref-6">
        <w:r>
          <w:rPr>
            <w:rStyle w:val="Hyperlink"/>
          </w:rPr>
          <w:t xml:space="preserve">[6]</w:t>
        </w:r>
      </w:hyperlink>
      <w:r>
        <w:t xml:space="preserve">. What the parametric literature does not supply is an estimator for a relational, portfolio-level feature. The cliometric demand is for a model in which sequencing position enters as an estimable parameter alongside scope, so that its coefficient can be signed and its confidence interval bounded. The parametric tradition supplies the scope term; the cliometric ambition requires adding the sequencing term and estimating both jointly. The literature has the first half of the equation and not the second.</w:t>
      </w:r>
    </w:p>
    <w:bookmarkEnd w:id="75"/>
    <w:bookmarkEnd w:id="76"/>
    <w:bookmarkStart w:id="80" w:name="X8700e295ec2100207d0f3c4473f4a8be160b6c6"/>
    <w:p>
      <w:pPr>
        <w:pStyle w:val="Heading2"/>
        <w:spacing w:line="480" w:lineRule="auto"/>
      </w:pPr>
      <w:r>
        <w:t xml:space="preserve">2.4 The Program-Architecture and Space-Economics Literature</w:t>
      </w:r>
    </w:p>
    <w:bookmarkStart w:id="77" w:name="interdependency-named-but-not-measured"/>
    <w:p>
      <w:pPr>
        <w:pStyle w:val="Heading3"/>
        <w:spacing w:line="480" w:lineRule="auto"/>
      </w:pPr>
      <w:r>
        <w:t xml:space="preserve">2.4.1 Interdependency Named but Not Measured</w:t>
      </w:r>
    </w:p>
    <w:p>
      <w:pPr>
        <w:pStyle w:val="FirstParagraph"/>
        <w:spacing w:line="480" w:lineRule="auto"/>
      </w:pPr>
      <w:r>
        <w:t xml:space="preserve">The third literature touching the dissertation’s question is the program-architecture and space-economics tradition, which recognizes that interdependencies and program organization drive outcomes but stops short of measuring the sequencing component. The architectural socio-technological transformation literature documents that previously unforeseen program interdependencies can propagate into schedule changes and subsequent hikes in cost and budget</w:t>
      </w:r>
      <w:r>
        <w:t xml:space="preserve"> </w:t>
      </w:r>
      <w:hyperlink w:anchor="ref-4">
        <w:r>
          <w:rPr>
            <w:rStyle w:val="Hyperlink"/>
          </w:rPr>
          <w:t xml:space="preserve">[4]</w:t>
        </w:r>
      </w:hyperlink>
      <w:r>
        <w:t xml:space="preserve">. This is the mechanism the dissertation’s hypothesis presupposes: if sequencing carries a cost-schedule signature, the interdependency structure is the plausible channel through which it operates. The literature names this channel clearly and treats it as a recognized source of programmatic risk. What it does not do is decompose the interdependency effect into a component attributable to the order of acquisition. Interdependency, in this literature, is a generic property of coupled programs, not a quantity indexed to sequence position.</w:t>
      </w:r>
    </w:p>
    <w:p>
      <w:pPr>
        <w:pStyle w:val="BodyText"/>
        <w:spacing w:line="480" w:lineRule="auto"/>
        <w:ind w:firstLine="720"/>
      </w:pPr>
      <w:r>
        <w:t xml:space="preserve">This distinction is central to the dissertation’s threats-to-validity analysis. Program interdependencies drive cost and schedule movement</w:t>
      </w:r>
      <w:r>
        <w:t xml:space="preserve"> </w:t>
      </w:r>
      <w:hyperlink w:anchor="ref-4">
        <w:r>
          <w:rPr>
            <w:rStyle w:val="Hyperlink"/>
          </w:rPr>
          <w:t xml:space="preserve">[4]</w:t>
        </w:r>
      </w:hyperlink>
      <w:r>
        <w:t xml:space="preserve">, but the question of whether they are the channel for a sequencing effect or an independent confounder is unresolved in the literature. The dissertation must adjudicate, through case reconstruction, whether the dependency runs along the acquisition sequence as a clean hand-off, in which case it is the mechanism for a sequencing effect, or cuts across the sequence, in which case it is a confounder to be controlled. The literature provides the conceptual vocabulary for this adjudication but no estimate that performs it. The interdependency claim exists</w:t>
      </w:r>
      <w:r>
        <w:t xml:space="preserve"> </w:t>
      </w:r>
      <w:hyperlink w:anchor="ref-4">
        <w:r>
          <w:rPr>
            <w:rStyle w:val="Hyperlink"/>
          </w:rPr>
          <w:t xml:space="preserve">[4]</w:t>
        </w:r>
      </w:hyperlink>
      <w:r>
        <w:t xml:space="preserve">. Its sequencing decomposition does not.</w:t>
      </w:r>
    </w:p>
    <w:bookmarkEnd w:id="77"/>
    <w:bookmarkStart w:id="78" w:name="Xe83baa45515d2a2931da0b85ca9062aec217d47"/>
    <w:p>
      <w:pPr>
        <w:pStyle w:val="Heading3"/>
        <w:spacing w:line="480" w:lineRule="auto"/>
      </w:pPr>
      <w:r>
        <w:t xml:space="preserve">2.4.2 The Documented Record of Flagship Overrun</w:t>
      </w:r>
    </w:p>
    <w:p>
      <w:pPr>
        <w:pStyle w:val="FirstParagraph"/>
        <w:spacing w:line="480" w:lineRule="auto"/>
      </w:pPr>
      <w:r>
        <w:t xml:space="preserve">The space-economics literature supplies the historical motivation for the inquiry through its documentation of flagship cost and schedule difficulty. Weinzierl’s economic analysis of the space sector locates the field within a broader economic frame and provides the documented record that flagship campaigns can run over budget and behind schedule</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Constellation program is the canonical instance of a flagship that ran over budget and behind schedule before its cancellation, and the broader pattern of flagship overrun and slip is well attested</w:t>
      </w:r>
      <w:r>
        <w:t xml:space="preserve"> </w:t>
      </w:r>
      <w:hyperlink w:anchor="ref-3">
        <w:r>
          <w:rPr>
            <w:rStyle w:val="Hyperlink"/>
          </w:rPr>
          <w:t xml:space="preserve">[3]</w:t>
        </w:r>
      </w:hyperlink>
      <w:r>
        <w:t xml:space="preserve">. This record is the empirical backdrop against which the sequencing question acquires its strategic stakes. Decision-makers who sequence a Mars campaign are, implicitly, making a cost-schedule bet, wagering that committing one capability before another will produce a lower total outturn than the alternative orderings. The overrun record demonstrates that such bets are consequential and frequently lost, which is what makes the sequencing lever worth measuring.</w:t>
      </w:r>
    </w:p>
    <w:p>
      <w:pPr>
        <w:pStyle w:val="BodyText"/>
        <w:spacing w:line="480" w:lineRule="auto"/>
        <w:ind w:firstLine="720"/>
      </w:pPr>
      <w:r>
        <w:t xml:space="preserve">Yet the economics literature, like the architecture and parametric literatures, names the phenomenon without isolating sequencing. Weinzierl’s framing establishes that space programs operate under economic constraints and that flagship outturn is variable and frequently adverse</w:t>
      </w:r>
      <w:r>
        <w:t xml:space="preserve"> </w:t>
      </w:r>
      <w:hyperlink w:anchor="ref-3">
        <w:r>
          <w:rPr>
            <w:rStyle w:val="Hyperlink"/>
          </w:rPr>
          <w:t xml:space="preserve">[3]</w:t>
        </w:r>
      </w:hyperlink>
      <w:r>
        <w:t xml:space="preserve"> </w:t>
      </w:r>
      <w:hyperlink w:anchor="ref-7">
        <w:r>
          <w:rPr>
            <w:rStyle w:val="Hyperlink"/>
          </w:rPr>
          <w:t xml:space="preserve">[7]</w:t>
        </w:r>
      </w:hyperlink>
      <w:r>
        <w:t xml:space="preserve">, but it does not estimate which structural features of program organization drive that variability. The companion survival study confirms this lacuna empirically: it finds that the flagship indicator carries a hazard ratio far below one, consistent with the documented flagship overrun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but that the wide confidence interval reflects how few flagships the historical record contains. The economics literature establishes that flagships overrun; it does not establish whether their position in a campaign sequence is part of the reason.</w:t>
      </w:r>
    </w:p>
    <w:bookmarkEnd w:id="78"/>
    <w:bookmarkStart w:id="79" w:name="X4fb24d1b7ca4c0c91d8ef3d3c249252a7a6f312"/>
    <w:p>
      <w:pPr>
        <w:pStyle w:val="Heading3"/>
        <w:spacing w:line="480" w:lineRule="auto"/>
      </w:pPr>
      <w:r>
        <w:t xml:space="preserve">2.4.3 The Convergence on an Unmeasured Mechanism</w:t>
      </w:r>
    </w:p>
    <w:p>
      <w:pPr>
        <w:pStyle w:val="FirstParagraph"/>
        <w:spacing w:line="480" w:lineRule="auto"/>
      </w:pPr>
      <w:r>
        <w:t xml:space="preserve">Taken together, the program-architecture and economics literatures converge on a mechanism they do not measure. They establish that coupled programs carry interdependency risk</w:t>
      </w:r>
      <w:r>
        <w:t xml:space="preserve"> </w:t>
      </w:r>
      <w:hyperlink w:anchor="ref-4">
        <w:r>
          <w:rPr>
            <w:rStyle w:val="Hyperlink"/>
          </w:rPr>
          <w:t xml:space="preserve">[4]</w:t>
        </w:r>
      </w:hyperlink>
      <w:r>
        <w:t xml:space="preserve">, that this risk propagates into schedule and cost movement, and that flagship campaigns have a documented record of adverse outturn</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They name interdependency and overrun as the drivers. What they leave unestimated is whether the order of acquisition, the sequencing position of an element within its campaign, is systematically associated with the magnitude of that interdependency-driven movement. The mechanism is named. Its sequencing component is unmeasured. This is the third face of the same gap that the architecture and parametric literatures present from their own angles.</w:t>
      </w:r>
    </w:p>
    <w:bookmarkEnd w:id="79"/>
    <w:bookmarkEnd w:id="80"/>
    <w:bookmarkStart w:id="84" w:name="Xb10841f915b6de636ba3e8b356130f88d2c3206"/>
    <w:p>
      <w:pPr>
        <w:pStyle w:val="Heading2"/>
        <w:spacing w:line="480" w:lineRule="auto"/>
      </w:pPr>
      <w:r>
        <w:t xml:space="preserve">2.5 Adjacent Literatures: Scheduling, Readiness, and Survival Method</w:t>
      </w:r>
    </w:p>
    <w:bookmarkStart w:id="81" w:name="X405499568c3e58fefa398d35434949fb32e58f4"/>
    <w:p>
      <w:pPr>
        <w:pStyle w:val="Heading3"/>
        <w:spacing w:line="480" w:lineRule="auto"/>
      </w:pPr>
      <w:r>
        <w:t xml:space="preserve">2.5.1 Optimization-Scheduling Versus Outturn-Estimation</w:t>
      </w:r>
    </w:p>
    <w:p>
      <w:pPr>
        <w:pStyle w:val="FirstParagraph"/>
        <w:spacing w:line="480" w:lineRule="auto"/>
      </w:pPr>
      <w:r>
        <w:t xml:space="preserve">A substantial literature treats scheduling in the operational and optimization sense, and it is important to distinguish this body of work from the dissertation’s concern with programmatic acquisition sequence. Optimal-scheduling formulations address the timing of operations within a fixed system: the location-scheduling problem for geosynchronous satellite refueling optimizes the order of servicing operations to minimize cost</w:t>
      </w:r>
      <w:r>
        <w:t xml:space="preserve"> </w:t>
      </w:r>
      <w:hyperlink w:anchor="ref-18">
        <w:r>
          <w:rPr>
            <w:rStyle w:val="Hyperlink"/>
          </w:rPr>
          <w:t xml:space="preserve">[18]</w:t>
        </w:r>
      </w:hyperlink>
      <w:r>
        <w:t xml:space="preserve">, multi-satellite imaging-scheduling work uses integer-coded genetic algorithms to allocate observation opportunities</w:t>
      </w:r>
      <w:r>
        <w:t xml:space="preserve"> </w:t>
      </w:r>
      <w:hyperlink w:anchor="ref-22">
        <w:r>
          <w:rPr>
            <w:rStyle w:val="Hyperlink"/>
          </w:rPr>
          <w:t xml:space="preserve">[22]</w:t>
        </w:r>
      </w:hyperlink>
      <w:r>
        <w:t xml:space="preserve">, and space-surveillance-network scheduling applies artificial-intelligence techniques to sequence sensor tasking</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These literatures are sophisticated in their treatment of sequence as an optimization variable, and they confirm that ordering decisions carry real cost in operational settings. But the sequence they optimize is operational and short-horizon, the order in which tasks are performed within an existing system, not the multi-year order in which capability acquisitions are committed across a campaign. The optimization-scheduling literature treats sequence prescriptively, asking what ordering minimizes cost; the dissertation treats sequence positively, asking whether the realized ordering of acquisitions left a measurable trace in outturn. They share a vocabulary. They do not share a question.</w:t>
      </w:r>
    </w:p>
    <w:bookmarkEnd w:id="81"/>
    <w:bookmarkStart w:id="82" w:name="X29c2c661098473b9a3310da270a584fa5098461"/>
    <w:p>
      <w:pPr>
        <w:pStyle w:val="Heading3"/>
        <w:spacing w:line="480" w:lineRule="auto"/>
      </w:pPr>
      <w:r>
        <w:t xml:space="preserve">2.5.2 Technology Readiness as a Driver of Schedule</w:t>
      </w:r>
    </w:p>
    <w:p>
      <w:pPr>
        <w:pStyle w:val="FirstParagraph"/>
        <w:spacing w:line="480" w:lineRule="auto"/>
      </w:pPr>
      <w:r>
        <w:t xml:space="preserve">The readiness literature supplies a control variable the dissertation requires and a cautionary finding the survival study confirms. The NASA human-system-risk mitigation literature establishes that technology and capability not yet mature for their intended mission are direct drivers of development risk and schedule</w:t>
      </w:r>
      <w:r>
        <w:t xml:space="preserve"> </w:t>
      </w:r>
      <w:hyperlink w:anchor="ref-8">
        <w:r>
          <w:rPr>
            <w:rStyle w:val="Hyperlink"/>
          </w:rPr>
          <w:t xml:space="preserve">[8]</w:t>
        </w:r>
      </w:hyperlink>
      <w:r>
        <w:t xml:space="preserve">. This is the readiness penalty: an element carrying immature technology lengthens development and raises the probability of cost and schedule growth. The dissertation requires this as a control because the gravest threat to its identification is that planners deliberately sequence the technically hardest, least-mature elements last, so that sequencing position would proxy for unobserved readiness rather than carry an independent effect. The readiness literature licenses the construction of a technology-readiness measure that absorbs this difficulty, so that the sequencing term is estimated off variation orthogonal to measured readiness</w:t>
      </w:r>
      <w:r>
        <w:t xml:space="preserve"> </w:t>
      </w:r>
      <w:hyperlink w:anchor="ref-8">
        <w:r>
          <w:rPr>
            <w:rStyle w:val="Hyperlink"/>
          </w:rPr>
          <w:t xml:space="preserve">[8]</w:t>
        </w:r>
      </w:hyperlink>
      <w:r>
        <w:t xml:space="preserve">. The companion survival study operationalizes exactly this, building a new-technology count as a readiness-risk proxy and finding it to be the strongest signal in its model, with each additional new or mission-critical technology associated with a substantially lower hazard of reaching launch</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readiness literature thus supplies the dissertation’s most important control and warns that, absent that control, sequencing and readiness are confounded.</w:t>
      </w:r>
    </w:p>
    <w:bookmarkEnd w:id="82"/>
    <w:bookmarkStart w:id="83" w:name="X9e9cad9c118282923b31ff9ef927c496bfedb67"/>
    <w:p>
      <w:pPr>
        <w:pStyle w:val="Heading3"/>
        <w:spacing w:line="480" w:lineRule="auto"/>
      </w:pPr>
      <w:r>
        <w:t xml:space="preserve">2.5.3 Survival Analysis and the Duration Framing</w:t>
      </w:r>
    </w:p>
    <w:p>
      <w:pPr>
        <w:pStyle w:val="FirstParagraph"/>
        <w:spacing w:line="480" w:lineRule="auto"/>
      </w:pPr>
      <w:r>
        <w:t xml:space="preserve">The survival-analytic tradition supplies the methodological complement to the panel-econometric core. The companion paper in this dissertation reframes the schedule outcome as a duration rather than a percentage of growth, treating development-to-launch time as a survival process in which an element is at risk of launching from its baseline commitment, the launch is the terminal event, and elements still in development or replan are right-censored. The Cox proportional-hazards model is the canonical estimator for this structure, relating covariates to the instantaneous hazard of the event without imposing a parametric shape on the development timeline. This framing is methodologically valuable because it handles censoring correctly: missions still in development, such as the Mars Sample Return segment in replan, contribute to the risk set up to their censoring time but never supply a spurious event</w:t>
      </w:r>
      <w:r>
        <w:t xml:space="preserve"> </w:t>
      </w:r>
      <w:hyperlink w:anchor="ref-1">
        <w:r>
          <w:rPr>
            <w:rStyle w:val="Hyperlink"/>
          </w:rPr>
          <w:t xml:space="preserve">[1]</w:t>
        </w:r>
      </w:hyperlink>
      <w:r>
        <w:t xml:space="preserve">. The survival framing and the panel framing are mutually constraining. The panel delivers the signed cost-growth and schedule-growth coefficients; the survival model delivers the hazard ratio on the rate of completion. Neither alone identifies the sequencing effect, and the dissertation’s mixed design is a deliberate response to that limitation.</w:t>
      </w:r>
    </w:p>
    <w:bookmarkEnd w:id="83"/>
    <w:bookmarkEnd w:id="84"/>
    <w:bookmarkStart w:id="89" w:name="Xade0d8cc4011254b173de459954c65314ceb984"/>
    <w:p>
      <w:pPr>
        <w:pStyle w:val="Heading2"/>
        <w:spacing w:line="480" w:lineRule="auto"/>
      </w:pPr>
      <w:r>
        <w:t xml:space="preserve">2.6 Synthesis: The Two Unjoined Literatures and the Gap</w:t>
      </w:r>
    </w:p>
    <w:bookmarkStart w:id="85" w:name="what-each-literature-holds-fixed"/>
    <w:p>
      <w:pPr>
        <w:pStyle w:val="Heading3"/>
        <w:spacing w:line="480" w:lineRule="auto"/>
      </w:pPr>
      <w:r>
        <w:t xml:space="preserve">2.6.1 What Each Literature Holds Fixed</w:t>
      </w:r>
    </w:p>
    <w:p>
      <w:pPr>
        <w:pStyle w:val="FirstParagraph"/>
        <w:spacing w:line="480" w:lineRule="auto"/>
      </w:pPr>
      <w:r>
        <w:t xml:space="preserve">The synthesis can now be stated with precision. Three literatures touch the dissertation’s question, and each holds fixed precisely the variable the dissertation must vary. The Mars architecture literature specifies campaign elements and their interdependencies in rich engineering detail and treats the temporal sequence of commitments as an exogenous design fact</w:t>
      </w:r>
      <w:r>
        <w:t xml:space="preserve"> </w:t>
      </w:r>
      <w:hyperlink w:anchor="ref-1">
        <w:r>
          <w:rPr>
            <w:rStyle w:val="Hyperlink"/>
          </w:rPr>
          <w:t xml:space="preserve">[1]</w:t>
        </w:r>
      </w:hyperlink>
      <w:r>
        <w:t xml:space="preserve"> </w:t>
      </w:r>
      <w:hyperlink w:anchor="ref-2">
        <w:r>
          <w:rPr>
            <w:rStyle w:val="Hyperlink"/>
          </w:rPr>
          <w:t xml:space="preserve">[2]</w:t>
        </w:r>
      </w:hyperlink>
      <w:r>
        <w:t xml:space="preserve">. It supplies the independent variable, sequencing position, but in qualitative form and without an estimator. The parametric cost-estimation literature provides the tools to predict element-level cost from technical descriptors with characterized uncertainty, and it generates the scope-based expectation against which outturn is compared</w:t>
      </w:r>
      <w:r>
        <w:t xml:space="preserve"> </w:t>
      </w:r>
      <w:hyperlink w:anchor="ref-5">
        <w:r>
          <w:rPr>
            <w:rStyle w:val="Hyperlink"/>
          </w:rPr>
          <w:t xml:space="preserve">[5]</w:t>
        </w:r>
      </w:hyperlink>
      <w:r>
        <w:t xml:space="preserve"> </w:t>
      </w:r>
      <w:hyperlink w:anchor="ref-6">
        <w:r>
          <w:rPr>
            <w:rStyle w:val="Hyperlink"/>
          </w:rPr>
          <w:t xml:space="preserve">[6]</w:t>
        </w:r>
      </w:hyperlink>
      <w:r>
        <w:t xml:space="preserve">. But it is built to forecast a single element from its own attributes and carries no term for an element’s position in a sequence, so by construction it cannot answer whether sequencing matters. The program-architecture and economics literature recognizes that interdependencies and organization drive outcomes and documents the flagship overrun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but it names the mechanism without decomposing its sequencing component.</w:t>
      </w:r>
    </w:p>
    <w:p>
      <w:pPr>
        <w:pStyle w:val="BodyText"/>
        <w:spacing w:line="480" w:lineRule="auto"/>
        <w:ind w:firstLine="720"/>
      </w:pPr>
      <w:r>
        <w:t xml:space="preserve">Each literature, in other words, possesses one of the three ingredients required to test the sequencing hypothesis, and none possesses all three. The architecture literature has the sequencing variable but not the cost model or the estimator. The parametric literature has the cost model but not the sequencing variable or the relational estimator. The economics literature has the outcome record and the mechanism but neither the scope control nor the sequencing decomposition. The ingredients exist in separate kitchens. No one has combined them.</w:t>
      </w:r>
    </w:p>
    <w:bookmarkEnd w:id="85"/>
    <w:bookmarkStart w:id="86" w:name="the-precise-and-unfilled-gap"/>
    <w:p>
      <w:pPr>
        <w:pStyle w:val="Heading3"/>
        <w:spacing w:line="480" w:lineRule="auto"/>
      </w:pPr>
      <w:r>
        <w:t xml:space="preserve">2.6.2 The Precise and Unfilled Gap</w:t>
      </w:r>
    </w:p>
    <w:p>
      <w:pPr>
        <w:pStyle w:val="FirstParagraph"/>
        <w:spacing w:line="480" w:lineRule="auto"/>
      </w:pPr>
      <w:r>
        <w:t xml:space="preserve">The gap is therefore precise and unfilled. No work estimates a signed, falsifiable coefficient on acquisition-sequencing position in a model of Mars campaign-element cost and schedule growth, with technical scope and element-level technology readiness held constant. The parametric baseline exists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architecture interdependency claim exists</w:t>
      </w:r>
      <w:r>
        <w:t xml:space="preserve"> </w:t>
      </w:r>
      <w:hyperlink w:anchor="ref-1">
        <w:r>
          <w:rPr>
            <w:rStyle w:val="Hyperlink"/>
          </w:rPr>
          <w:t xml:space="preserve">[1]</w:t>
        </w:r>
      </w:hyperlink>
      <w:r>
        <w:t xml:space="preserve"> </w:t>
      </w:r>
      <w:hyperlink w:anchor="ref-4">
        <w:r>
          <w:rPr>
            <w:rStyle w:val="Hyperlink"/>
          </w:rPr>
          <w:t xml:space="preserve">[4]</w:t>
        </w:r>
      </w:hyperlink>
      <w:r>
        <w:t xml:space="preserve">, and the historical overrun record exists</w:t>
      </w:r>
      <w:r>
        <w:t xml:space="preserve"> </w:t>
      </w:r>
      <w:hyperlink w:anchor="ref-3">
        <w:r>
          <w:rPr>
            <w:rStyle w:val="Hyperlink"/>
          </w:rPr>
          <w:t xml:space="preserve">[3]</w:t>
        </w:r>
      </w:hyperlink>
      <w:r>
        <w:t xml:space="preserve"> </w:t>
      </w:r>
      <w:hyperlink w:anchor="ref-7">
        <w:r>
          <w:rPr>
            <w:rStyle w:val="Hyperlink"/>
          </w:rPr>
          <w:t xml:space="preserve">[7]</w:t>
        </w:r>
      </w:hyperlink>
      <w:r>
        <w:t xml:space="preserve">, but they have never been joined into an identification strategy that isolates sequencing. The two unjoined literatures the dissertation must marry are, on one side, the domain technical literature on Mars campaign architecture, which holds the sequencing construct, and on the other, the cliometric and parametric methodology literature, which holds the estimation discipline. The marriage is non-trivial precisely because each literature’s framing actively excludes the other’s central object: architecture optimization treats sequence as fixed, and parametric estimation treats cost as element-intrinsic. Joining them requires constructing a model in which a relational, portfolio-level feature enters as an estimable parameter alongside an element-intrinsic scope control, which is a move neither literature makes on its own.</w:t>
      </w:r>
    </w:p>
    <w:bookmarkEnd w:id="86"/>
    <w:bookmarkStart w:id="87" w:name="the-identification-logic-the-gap-implies"/>
    <w:p>
      <w:pPr>
        <w:pStyle w:val="Heading3"/>
        <w:spacing w:line="480" w:lineRule="auto"/>
      </w:pPr>
      <w:r>
        <w:t xml:space="preserve">2.6.3 The Identification Logic the Gap Implies</w:t>
      </w:r>
    </w:p>
    <w:p>
      <w:pPr>
        <w:pStyle w:val="FirstParagraph"/>
        <w:spacing w:line="480" w:lineRule="auto"/>
      </w:pPr>
      <w:r>
        <w:t xml:space="preserve">The gap dictates the dissertation’s identification logic. To isolate sequencing, the parametric scope baseline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r>
        <w:t xml:space="preserve">must absorb technical difficulty so that the sequencing coefficient is estimated off variation orthogonal to measured scope, and a readiness control drawn from the readiness literature</w:t>
      </w:r>
      <w:r>
        <w:t xml:space="preserve"> </w:t>
      </w:r>
      <w:hyperlink w:anchor="ref-8">
        <w:r>
          <w:rPr>
            <w:rStyle w:val="Hyperlink"/>
          </w:rPr>
          <w:t xml:space="preserve">[8]</w:t>
        </w:r>
      </w:hyperlink>
      <w:r>
        <w:t xml:space="preserve"> </w:t>
      </w:r>
      <w:r>
        <w:t xml:space="preserve">must absorb the most likely confounder, the deliberate ordering of the hardest elements last. The architecture literature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r>
        <w:t xml:space="preserve">must supply the coded sequencing variable and, through case reconstruction, must confirm that the dependency runs along the acquisition sequence as a hand-off rather than across it as a confounder</w:t>
      </w:r>
      <w:r>
        <w:t xml:space="preserve"> </w:t>
      </w:r>
      <w:hyperlink w:anchor="ref-4">
        <w:r>
          <w:rPr>
            <w:rStyle w:val="Hyperlink"/>
          </w:rPr>
          <w:t xml:space="preserve">[4]</w:t>
        </w:r>
      </w:hyperlink>
      <w:r>
        <w:t xml:space="preserve">. Only when the scope control, the readiness control, and the verified sequencing variable are joined in a single fixed-effects panel, cross-checked against a survival framing of the same elements, can the sequencing coefficient be credited as an estimate of a programmatic lever rather than an artifact of unmeasured difficulty.</w:t>
      </w:r>
    </w:p>
    <w:p>
      <w:pPr>
        <w:pStyle w:val="BodyText"/>
        <w:spacing w:line="480" w:lineRule="auto"/>
        <w:ind w:firstLine="720"/>
      </w:pPr>
      <w:r>
        <w:t xml:space="preserve">The preliminary evidence from the companion survival study disciplines expectations about what this joining will reveal. That study estimated a hazard ratio on sequencing position indistinguishable from one at conventional confidence, with the point estimate leaning toward an escalating-ambition reading in which later elements carry more scope and reach launch more slowly, rather than toward an inheritance reading in which they reach launch faster</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 control coefficients in that model entered coherently, with scope, readiness, cost difficulty, and flagship scale all associated with a slower march to launch, while sequencing, once those forces were absorbed, added nothing the data could distinguish from zero. This is a disciplined null on one of the two outcome framings, and it sharpens rather than dissolves the dissertation’s contribution. The panel framing, with its parametric scope baseline and its direct measurement of cost-growth and schedule-growth magnitudes rather than completion rates, is the stronger venue for the identification problem, and the joining of the two literatures it requires is the work the remaining chapters undertake.</w:t>
      </w:r>
    </w:p>
    <w:bookmarkEnd w:id="87"/>
    <w:bookmarkStart w:id="88" w:name="why-the-joining-matters"/>
    <w:p>
      <w:pPr>
        <w:pStyle w:val="Heading3"/>
        <w:spacing w:line="480" w:lineRule="auto"/>
      </w:pPr>
      <w:r>
        <w:t xml:space="preserve">2.6.4 Why the Joining Matters</w:t>
      </w:r>
    </w:p>
    <w:p>
      <w:pPr>
        <w:pStyle w:val="FirstParagraph"/>
        <w:spacing w:line="480" w:lineRule="auto"/>
      </w:pPr>
      <w:r>
        <w:t xml:space="preserve">The stakes of closing the gap are programmatic, not merely scholarly. If sequencing carries a measurable cost-schedule signature, then the order of acquisition is a controllable programmatic lever with a price tag, and that price tag belongs in the architecture trade space alongside mass, propulsion, and trajectory choices that are already modeled parametrically</w:t>
      </w:r>
      <w:r>
        <w:t xml:space="preserve"> </w:t>
      </w:r>
      <w:hyperlink w:anchor="ref-2">
        <w:r>
          <w:rPr>
            <w:rStyle w:val="Hyperlink"/>
          </w:rPr>
          <w:t xml:space="preserve">[2]</w:t>
        </w:r>
      </w:hyperlink>
      <w:r>
        <w:t xml:space="preserve"> </w:t>
      </w:r>
      <w:hyperlink w:anchor="ref-5">
        <w:r>
          <w:rPr>
            <w:rStyle w:val="Hyperlink"/>
          </w:rPr>
          <w:t xml:space="preserve">[5]</w:t>
        </w:r>
      </w:hyperlink>
      <w:r>
        <w:t xml:space="preserve">. Decision-makers who sequence a Mars campaign currently make their cost-schedule bets on engineering judgment and heritage arguments rather than on estimated quantities. The architecture literature gives them the heritage argument</w:t>
      </w:r>
      <w:r>
        <w:t xml:space="preserve"> </w:t>
      </w:r>
      <w:hyperlink w:anchor="ref-1">
        <w:r>
          <w:rPr>
            <w:rStyle w:val="Hyperlink"/>
          </w:rPr>
          <w:t xml:space="preserve">[1]</w:t>
        </w:r>
      </w:hyperlink>
      <w:r>
        <w:t xml:space="preserve">; the parametric literature gives them the scope estimate</w:t>
      </w:r>
      <w:r>
        <w:t xml:space="preserve"> </w:t>
      </w:r>
      <w:hyperlink w:anchor="ref-5">
        <w:r>
          <w:rPr>
            <w:rStyle w:val="Hyperlink"/>
          </w:rPr>
          <w:t xml:space="preserve">[5]</w:t>
        </w:r>
      </w:hyperlink>
      <w:r>
        <w:t xml:space="preserve"> </w:t>
      </w:r>
      <w:hyperlink w:anchor="ref-6">
        <w:r>
          <w:rPr>
            <w:rStyle w:val="Hyperlink"/>
          </w:rPr>
          <w:t xml:space="preserve">[6]</w:t>
        </w:r>
      </w:hyperlink>
      <w:r>
        <w:t xml:space="preserve">; neither gives them the sequencing estimate that would let them price the order of commitment. Joining the two literatures is therefore not an academic exercise in citation but the construction of a missing instrument: a signed, bounded coefficient that converts a question currently answered by judgment into one answered by evidence. The chapters that follow construct that instrument, identify it against the parametric baseline so that the sequencing effect is separated from technical scope, and report it as estimated, signed, and bounded in keeping with the cliometric standard the dissertation adopts.</w:t>
      </w:r>
    </w:p>
    <w:bookmarkEnd w:id="88"/>
    <w:bookmarkEnd w:id="89"/>
    <w:bookmarkStart w:id="90" w:name="conclusion"/>
    <w:p>
      <w:pPr>
        <w:pStyle w:val="Heading2"/>
        <w:spacing w:line="480" w:lineRule="auto"/>
      </w:pPr>
      <w:r>
        <w:t xml:space="preserve">2.7 Conclusion</w:t>
      </w:r>
    </w:p>
    <w:p>
      <w:pPr>
        <w:pStyle w:val="FirstParagraph"/>
        <w:spacing w:line="480" w:lineRule="auto"/>
      </w:pPr>
      <w:r>
        <w:t xml:space="preserve">This chapter has reviewed the two unjoined literatures that bound the dissertation’s question and has located the gap between them with precision. The Mars and planetary architecture literature establishes the campaign as the unit of analysis, documents the inheritance and interdependency structure of campaign elements in engineering detail, and has begun to render architectures economically comparable, but it treats sequence as a fixed design object rather than as an estimable variable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parametric cost-estimation literature supplies a validated, generalizable mapping from technical scope to element cost with characterized uncertainty, furnishing the scope control the dissertation requires, but it is structurally blind to sequence because it forecasts each element from its own attributes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program-architecture and space-economics literature names interdependency and documents the flagship overrun record that motivates the inquiry, but it does not decompose the interdependency effect into a sequencing component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Adjacent literatures on optimization scheduling</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8">
        <w:r>
          <w:rPr>
            <w:rStyle w:val="Hyperlink"/>
          </w:rPr>
          <w:t xml:space="preserve">[18]</w:t>
        </w:r>
      </w:hyperlink>
      <w:r>
        <w:t xml:space="preserve"> </w:t>
      </w:r>
      <w:hyperlink w:anchor="ref-22">
        <w:r>
          <w:rPr>
            <w:rStyle w:val="Hyperlink"/>
          </w:rPr>
          <w:t xml:space="preserve">[22]</w:t>
        </w:r>
      </w:hyperlink>
      <w:r>
        <w:t xml:space="preserve">, technology readiness</w:t>
      </w:r>
      <w:r>
        <w:t xml:space="preserve"> </w:t>
      </w:r>
      <w:hyperlink w:anchor="ref-8">
        <w:r>
          <w:rPr>
            <w:rStyle w:val="Hyperlink"/>
          </w:rPr>
          <w:t xml:space="preserve">[8]</w:t>
        </w:r>
      </w:hyperlink>
      <w:r>
        <w:t xml:space="preserve">, and survival method supply complementary tools and cautionary evidence but address operational rather than acquisition sequence. The gap is unfilled: no work has estimated a signed, falsifiable coefficient on acquisition-sequencing position in a model of Mars campaign-element cost and schedule growth, holding scope and readiness constant. The remainder of the dissertation joins the sequencing construct held by the architecture literature to the estimation discipline held by the cliometric and parametric literature, and tests, against a parametric scope baseline, whether the order of acquisition carries a cost-schedule premium that planners can price.</w:t>
      </w:r>
    </w:p>
    <w:bookmarkEnd w:id="90"/>
    <w:bookmarkEnd w:id="91"/>
    <w:bookmarkStart w:id="108" w:name="Xcfcc00a3ded59aed0c781c16bfc121f2a509603"/>
    <w:p>
      <w:pPr>
        <w:pStyle w:val="Heading1"/>
        <w:spacing w:line="480" w:lineRule="auto"/>
      </w:pPr>
      <w:r>
        <w:t xml:space="preserve">Chapter 3. Theoretical Framework and Hypotheses</w:t>
      </w:r>
    </w:p>
    <w:bookmarkStart w:id="92" w:name="purpose-and-position-of-the-chapter"/>
    <w:p>
      <w:pPr>
        <w:pStyle w:val="Heading2"/>
        <w:spacing w:line="480" w:lineRule="auto"/>
      </w:pPr>
      <w:r>
        <w:t xml:space="preserve">3.1 Purpose and Position of the Chapter</w:t>
      </w:r>
    </w:p>
    <w:p>
      <w:pPr>
        <w:pStyle w:val="FirstParagraph"/>
        <w:spacing w:line="480" w:lineRule="auto"/>
      </w:pPr>
      <w:r>
        <w:t xml:space="preserve">The two preceding chapters established the empirical object of this dissertation and the gap it intends to close. Chapter 1 framed Mars exploration as a campaign rather than a procurement, a deliberately ordered portfolio in which orbiters, landers, rovers, and a prospective sample-return chain are committed in sequence, each element inheriting interfaces, heritage, and risk posture from those committed before it and counted on to retire risk for those committed after</w:t>
      </w:r>
      <w:r>
        <w:t xml:space="preserve"> </w:t>
      </w:r>
      <w:hyperlink w:anchor="ref-1">
        <w:r>
          <w:rPr>
            <w:rStyle w:val="Hyperlink"/>
          </w:rPr>
          <w:t xml:space="preserve">[1]</w:t>
        </w:r>
      </w:hyperlink>
      <w:r>
        <w:t xml:space="preserve">. Chapter 2 documented that three literatures touch the question of whether that ordering matters and that none of them estimates a signed, falsifiable coefficient on acquisition-sequencing position once technical scope and element-level technology readiness are held constant. This chapter does the theoretical work that the empirical chapters presuppose. It specifies the mechanism by which sequencing could leave a cost-schedule trace, sets out the causal logic that connects that mechanism to an estimable parameter, and states the formal hypotheses H0 and H1 that the panel-econometric core and the case-reconstruction cross-check are designed to test.</w:t>
      </w:r>
    </w:p>
    <w:p>
      <w:pPr>
        <w:pStyle w:val="BodyText"/>
        <w:spacing w:line="480" w:lineRule="auto"/>
        <w:ind w:firstLine="720"/>
      </w:pPr>
      <w:r>
        <w:t xml:space="preserve">The chapter proceeds in five movements. First it defines the theoretical construct of programmatic sequencing and distinguishes it carefully from the technical attributes with which it is empirically entangled. Second it develops the three candidate causal mechanisms, inheritance, escalating ambition, and interdependency, and shows that they do not all push in the same direction, so that the sign of any estimated effect is itself informative. Third it translates that mechanism into a formal causal model, identifying the estimand and the conditions under which the sequencing coefficient can be read as more than a correlation. Fourth it states H0 and H1 in the precise form in which they will be confronted by data. Fifth it specifies the falsification conditions, the auxiliary predictions, and the scope conditions that bound the claim. Throughout, the register is deliberately cliometric: the chapter insists that the influence of sequencing be estimated, signed, and bounded rather than asserted, and it builds the theoretical apparatus needed to make that estimate interpretable.</w:t>
      </w:r>
    </w:p>
    <w:bookmarkEnd w:id="92"/>
    <w:bookmarkStart w:id="93" w:name="the-construct-of-programmatic-sequencing"/>
    <w:p>
      <w:pPr>
        <w:pStyle w:val="Heading2"/>
        <w:spacing w:line="480" w:lineRule="auto"/>
      </w:pPr>
      <w:r>
        <w:t xml:space="preserve">3.2 The Construct of Programmatic Sequencing</w:t>
      </w:r>
    </w:p>
    <w:p>
      <w:pPr>
        <w:pStyle w:val="FirstParagraph"/>
        <w:spacing w:line="480" w:lineRule="auto"/>
      </w:pPr>
      <w:r>
        <w:t xml:space="preserve">A planetary campaign is, in the language adopted here, a sequence of commitments rather than a single act of procurement. The committed acquisition sequence of a campaign is the order in which its constituent elements pass their baseline commitment milestone, the point at which the agency fixes a cost and schedule baseline against which subsequent performance is measured. The theoretical construct at the center of this dissertation, programmatic sequencing position, is the ordinal place that a given element occupies within that committed sequence. An element that is the third to be confirmed within its campaign line carries a sequencing position of three, regardless of when within the calendar it launched or how technically demanding it was.</w:t>
      </w:r>
    </w:p>
    <w:p>
      <w:pPr>
        <w:pStyle w:val="BodyText"/>
        <w:spacing w:line="480" w:lineRule="auto"/>
        <w:ind w:firstLine="720"/>
      </w:pPr>
      <w:r>
        <w:t xml:space="preserve">It is essential to the entire enterprise that this construct be held apart from two attributes with which it is naturally confounded. The first is technical scope, the size and difficulty of the engineering task that an element represents, which the parametric cost-estimation literature shows can be modeled from technical descriptors with characterized uncertainty</w:t>
      </w:r>
      <w:r>
        <w:t xml:space="preserve"> </w:t>
      </w:r>
      <w:hyperlink w:anchor="ref-5">
        <w:r>
          <w:rPr>
            <w:rStyle w:val="Hyperlink"/>
          </w:rPr>
          <w:t xml:space="preserve">[5]</w:t>
        </w:r>
      </w:hyperlink>
      <w:r>
        <w:t xml:space="preserve"> </w:t>
      </w:r>
      <w:r>
        <w:t xml:space="preserve">and which parametric cost-estimating relationships formalize as a mapping from conceptual design and technology development to predicted cost</w:t>
      </w:r>
      <w:r>
        <w:t xml:space="preserve"> </w:t>
      </w:r>
      <w:hyperlink w:anchor="ref-6">
        <w:r>
          <w:rPr>
            <w:rStyle w:val="Hyperlink"/>
          </w:rPr>
          <w:t xml:space="preserve">[6]</w:t>
        </w:r>
      </w:hyperlink>
      <w:r>
        <w:t xml:space="preserve">. The second is element-level technology readiness, the maturity of the technologies an element must field relative to the mission for which it is intended, which the human-system and mission-risk literature identifies as a direct driver of development risk and schedule when technology is not yet mature for its intended use</w:t>
      </w:r>
      <w:r>
        <w:t xml:space="preserve"> </w:t>
      </w:r>
      <w:hyperlink w:anchor="ref-8">
        <w:r>
          <w:rPr>
            <w:rStyle w:val="Hyperlink"/>
          </w:rPr>
          <w:t xml:space="preserve">[8]</w:t>
        </w:r>
      </w:hyperlink>
      <w:r>
        <w:t xml:space="preserve">. Sequencing position, scope, and readiness travel together in the historical record because campaigns are frequently built so that each element attempts more than the last. The theoretical task of this chapter, and the identification task of the empirical chapters, is to define sequencing as a construct that is logically and operationally separable from scope and readiness, so that its independent contribution can be estimated rather than absorbed into either.</w:t>
      </w:r>
    </w:p>
    <w:p>
      <w:pPr>
        <w:pStyle w:val="BodyText"/>
        <w:spacing w:line="480" w:lineRule="auto"/>
        <w:ind w:firstLine="720"/>
      </w:pPr>
      <w:r>
        <w:t xml:space="preserve">The construct is meaningful only because campaign elements are coupled. If each element were an island, its outturn could be read off its own specification and its position in a notional sequence would be a label without consequence. But the architectures studied for Mars Sample Return are explicitly multi-element and jointly developed, with orbiter, lander, ascent, and return segments conceived as an interdependent chain rather than as isolated missions</w:t>
      </w:r>
      <w:r>
        <w:t xml:space="preserve"> </w:t>
      </w:r>
      <w:hyperlink w:anchor="ref-1">
        <w:r>
          <w:rPr>
            <w:rStyle w:val="Hyperlink"/>
          </w:rPr>
          <w:t xml:space="preserve">[1]</w:t>
        </w:r>
      </w:hyperlink>
      <w:r>
        <w:t xml:space="preserve">. When elements are coupled in this way, the cost and schedule performance of any one element is conditioned by what it was promised to inherit from upstream elements and by what downstream elements were counting on it to deliver. Sequencing position is the variable that indexes an element’s place in that web of promises. The construct therefore carries theoretical weight precisely to the degree that campaigns are interdependent, and it is on the interdependent Mars campaign that its content is sharpest.</w:t>
      </w:r>
    </w:p>
    <w:bookmarkEnd w:id="93"/>
    <w:bookmarkStart w:id="98" w:name="three-causal-mechanisms"/>
    <w:p>
      <w:pPr>
        <w:pStyle w:val="Heading2"/>
        <w:spacing w:line="480" w:lineRule="auto"/>
      </w:pPr>
      <w:r>
        <w:t xml:space="preserve">3.3 Three Causal Mechanisms</w:t>
      </w:r>
    </w:p>
    <w:p>
      <w:pPr>
        <w:pStyle w:val="FirstParagraph"/>
        <w:spacing w:line="480" w:lineRule="auto"/>
      </w:pPr>
      <w:r>
        <w:t xml:space="preserve">The theoretical interest of programmatic sequencing is that several mechanisms could connect an element’s position to its cost and schedule outcome, and that these mechanisms do not all point the same way. The companion survival study in this dissertation developed three such mechanisms for the duration outcome [p2]; this section restates and extends them for the cost-and-schedule-growth outcome that the panel core estimates, and draws out the predictions each makes for the sign of the sequencing coefficient.</w:t>
      </w:r>
    </w:p>
    <w:bookmarkStart w:id="94" w:name="inheritance"/>
    <w:p>
      <w:pPr>
        <w:pStyle w:val="Heading3"/>
        <w:spacing w:line="480" w:lineRule="auto"/>
      </w:pPr>
      <w:r>
        <w:t xml:space="preserve">3.3.1 Inheritance</w:t>
      </w:r>
    </w:p>
    <w:p>
      <w:pPr>
        <w:pStyle w:val="FirstParagraph"/>
        <w:spacing w:line="480" w:lineRule="auto"/>
      </w:pPr>
      <w:r>
        <w:t xml:space="preserve">The first mechanism is inheritance, and it predicts that sequencing should help rather than hurt. Later-sequenced elements can adopt proven interfaces, heritage avionics, and validated entry-descent-and-landing approaches from the elements committed before them. Each predecessor retires a class of risk and bequeaths a working solution, so that a successor begins its development from a more mature baseline than its predecessor did. The Mars surface line is the textbook case: an early element demonstrates an airbag landing, its immediate successor inherits that approach, and the sky-crane and surface-sampling heritage propagate forward through the line so that later rovers do not re-solve problems already solved upstream</w:t>
      </w:r>
      <w:r>
        <w:t xml:space="preserve"> </w:t>
      </w:r>
      <w:hyperlink w:anchor="ref-1">
        <w:r>
          <w:rPr>
            <w:rStyle w:val="Hyperlink"/>
          </w:rPr>
          <w:t xml:space="preserve">[1]</w:t>
        </w:r>
      </w:hyperlink>
      <w:r>
        <w:t xml:space="preserve">. Under the inheritance mechanism, an element’s position late in the sequence is a programmatic asset. It should lower cost growth and schedule growth, because the element commits its baseline already in possession of capability that an earlier element had to develop from scratch. The inheritance mechanism therefore predicts a negative sequencing coefficient on cost growth and on schedule growth: later elements, conditional on scope and readiness, should grow less over baseline because heritage absorbs part of the development they would otherwise have to finance and schedule.</w:t>
      </w:r>
    </w:p>
    <w:bookmarkEnd w:id="94"/>
    <w:bookmarkStart w:id="95" w:name="escalating-ambition"/>
    <w:p>
      <w:pPr>
        <w:pStyle w:val="Heading3"/>
        <w:spacing w:line="480" w:lineRule="auto"/>
      </w:pPr>
      <w:r>
        <w:t xml:space="preserve">3.3.2 Escalating Ambition</w:t>
      </w:r>
    </w:p>
    <w:p>
      <w:pPr>
        <w:pStyle w:val="FirstParagraph"/>
        <w:spacing w:line="480" w:lineRule="auto"/>
      </w:pPr>
      <w:r>
        <w:t xml:space="preserve">The second mechanism is escalating ambition, and it predicts the opposite, while warning that the effect may be a confound rather than a true sequencing channel. Campaigns are frequently designed so that each element attempts more than the last, precisely because the predecessor retired enough risk to justify reaching further. Ambition compounds. A successful orbiter justifies a lander; a successful lander justifies a mobile rover; a successful rover justifies caching for return. Each later element then carries more new technology and larger scope than its predecessor, not despite its position but because of it. The parametric cost literature establishes that element cost, and by extension development effort, scales with technical scope in a characterizable way</w:t>
      </w:r>
      <w:r>
        <w:t xml:space="preserve"> </w:t>
      </w:r>
      <w:hyperlink w:anchor="ref-5">
        <w:r>
          <w:rPr>
            <w:rStyle w:val="Hyperlink"/>
          </w:rPr>
          <w:t xml:space="preserve">[5]</w:t>
        </w:r>
      </w:hyperlink>
      <w:r>
        <w:t xml:space="preserve">, and parametric cost-estimating relationships formalize the same scope-to-effort logic for conceptual design and technology development</w:t>
      </w:r>
      <w:r>
        <w:t xml:space="preserve"> </w:t>
      </w:r>
      <w:hyperlink w:anchor="ref-6">
        <w:r>
          <w:rPr>
            <w:rStyle w:val="Hyperlink"/>
          </w:rPr>
          <w:t xml:space="preserve">[6]</w:t>
        </w:r>
      </w:hyperlink>
      <w:r>
        <w:t xml:space="preserve">. The readiness literature reinforces that technology not yet mature for its intended mission is a direct driver of development risk and schedule</w:t>
      </w:r>
      <w:r>
        <w:t xml:space="preserve"> </w:t>
      </w:r>
      <w:hyperlink w:anchor="ref-8">
        <w:r>
          <w:rPr>
            <w:rStyle w:val="Hyperlink"/>
          </w:rPr>
          <w:t xml:space="preserve">[8]</w:t>
        </w:r>
      </w:hyperlink>
      <w:r>
        <w:t xml:space="preserve">.</w:t>
      </w:r>
    </w:p>
    <w:p>
      <w:pPr>
        <w:pStyle w:val="BodyText"/>
        <w:spacing w:line="480" w:lineRule="auto"/>
        <w:ind w:firstLine="720"/>
      </w:pPr>
      <w:r>
        <w:t xml:space="preserve">The escalating-ambition mechanism therefore predicts a positive raw association between sequencing position and cost and schedule growth, but it locates the cause in scope and readiness, not in position itself. This is the central theoretical reason the dissertation cannot rest on a raw correlation. If escalating ambition is the whole story, then a regression of growth on sequencing position alone will return a positive coefficient that is entirely an artifact of the correlation between position and difficulty, and that coefficient should attenuate to zero once a parametric scope index</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r>
        <w:t xml:space="preserve">and a readiness measure enter the specification. The escalating-ambition mechanism is thus the null-generating mechanism of the study: it predicts that the apparent sequencing effect is borrowed from scope and readiness and vanishes when they are controlled. The companion survival analysis found exactly this pattern in the duration outcome, where the new-technology count was the strongest covariate and the sequencing hazard ratio was statistically indistinguishable from unity once difficulty was absorbed [p2].</w:t>
      </w:r>
    </w:p>
    <w:bookmarkEnd w:id="95"/>
    <w:bookmarkStart w:id="96" w:name="interdependency"/>
    <w:p>
      <w:pPr>
        <w:pStyle w:val="Heading3"/>
        <w:spacing w:line="480" w:lineRule="auto"/>
      </w:pPr>
      <w:r>
        <w:t xml:space="preserve">3.3.3 Interdependency</w:t>
      </w:r>
    </w:p>
    <w:p>
      <w:pPr>
        <w:pStyle w:val="FirstParagraph"/>
        <w:spacing w:line="480" w:lineRule="auto"/>
      </w:pPr>
      <w:r>
        <w:t xml:space="preserve">The third mechanism is interdependency, and it is the one that gives sequencing a genuine, non-scope channel to operate through. When elements are coupled, an unforeseen program interdependency can propagate into schedule changes and subsequent hikes in cost and budget</w:t>
      </w:r>
      <w:r>
        <w:t xml:space="preserve"> </w:t>
      </w:r>
      <w:hyperlink w:anchor="ref-4">
        <w:r>
          <w:rPr>
            <w:rStyle w:val="Hyperlink"/>
          </w:rPr>
          <w:t xml:space="preserve">[4]</w:t>
        </w:r>
      </w:hyperlink>
      <w:r>
        <w:t xml:space="preserve">, and flagship campaigns carry a documented record of overrun and slip</w:t>
      </w:r>
      <w:r>
        <w:t xml:space="preserve"> </w:t>
      </w:r>
      <w:hyperlink w:anchor="ref-3">
        <w:r>
          <w:rPr>
            <w:rStyle w:val="Hyperlink"/>
          </w:rPr>
          <w:t xml:space="preserve">[3]</w:t>
        </w:r>
      </w:hyperlink>
      <w:r>
        <w:t xml:space="preserve">. Interdependency does not have a fixed sign. Direction is everything. It depends on whether the dependency runs along the sequence as a clean hand-off or cuts across it as a coordination tax. A dependency that runs along the sequence, in which a downstream element receives a deliverable from the element immediately upstream of it, is the channel through which inheritance is realized and tends to lower growth. A dependency that cuts across the sequence, in which two elements developed in parallel must coordinate interfaces neither fully controls, imposes a coordination cost that tends to raise growth and that is attributable to the programmatic structure rather than to either element’s own scope.</w:t>
      </w:r>
    </w:p>
    <w:p>
      <w:pPr>
        <w:pStyle w:val="BodyText"/>
        <w:spacing w:line="480" w:lineRule="auto"/>
        <w:ind w:firstLine="720"/>
      </w:pPr>
      <w:r>
        <w:t xml:space="preserve">Interdependency is the theoretically decisive mechanism because it is the one that survives the scope and readiness controls. Inheritance and escalating ambition are, to a large degree, mechanisms that operate through scope and readiness and are therefore at risk of being absorbed by the controls. Interdependency operates through the coupling of elements, which scope and readiness do not measure. A sequencing coefficient that remains non-zero after the parametric baseline absorbs technical difficulty is most plausibly an interdependency effect, and the sign of that coefficient adjudicates between hand-off interdependency, which lowers growth, and coordination-tax interdependency, which raises it. A parametric architecture comparison can indicate where such an estimate is and is not portable across alternative designs</w:t>
      </w:r>
      <w:r>
        <w:t xml:space="preserve"> </w:t>
      </w:r>
      <w:hyperlink w:anchor="ref-2">
        <w:r>
          <w:rPr>
            <w:rStyle w:val="Hyperlink"/>
          </w:rPr>
          <w:t xml:space="preserve">[2]</w:t>
        </w:r>
      </w:hyperlink>
      <w:r>
        <w:t xml:space="preserve">.</w:t>
      </w:r>
    </w:p>
    <w:bookmarkEnd w:id="96"/>
    <w:bookmarkStart w:id="97" w:name="the-net-prediction"/>
    <w:p>
      <w:pPr>
        <w:pStyle w:val="Heading3"/>
        <w:spacing w:line="480" w:lineRule="auto"/>
      </w:pPr>
      <w:r>
        <w:t xml:space="preserve">3.3.4 The Net Prediction</w:t>
      </w:r>
    </w:p>
    <w:p>
      <w:pPr>
        <w:pStyle w:val="FirstParagraph"/>
        <w:spacing w:line="480" w:lineRule="auto"/>
      </w:pPr>
      <w:r>
        <w:t xml:space="preserve">Because the three mechanisms do not agree in sign, the theory does not predict the direction of the sequencing effect in advance. It predicts instead that the effect is identified, that its sign is interpretable, and that its persistence under controls discriminates among the mechanisms. A negative coefficient that survives the controls credits hand-off interdependency and inheritance as the dominant channel. A positive coefficient that survives the controls credits coordination-tax interdependency. A coefficient that attenuates to zero under the controls credits escalating ambition, which is to say it credits the null: in that case sequencing carries no independent cost-schedule signature and the apparent effect was scope and readiness wearing a sequencing label. The theory is therefore structured so that each empirically possible outcome maps to a mechanism, which is the property that makes the hypotheses below genuinely falsifiable rather than merely confirmable.</w:t>
      </w:r>
    </w:p>
    <w:bookmarkEnd w:id="97"/>
    <w:bookmarkEnd w:id="98"/>
    <w:bookmarkStart w:id="102" w:name="causal-logic-and-the-estimand"/>
    <w:p>
      <w:pPr>
        <w:pStyle w:val="Heading2"/>
        <w:spacing w:line="480" w:lineRule="auto"/>
      </w:pPr>
      <w:r>
        <w:t xml:space="preserve">3.4 Causal Logic and the Estimand</w:t>
      </w:r>
    </w:p>
    <w:p>
      <w:pPr>
        <w:pStyle w:val="FirstParagraph"/>
        <w:spacing w:line="480" w:lineRule="auto"/>
      </w:pPr>
      <w:r>
        <w:t xml:space="preserve">The mechanisms must now be translated into a formal causal statement so that the quantity to be estimated is unambiguous and the conditions for interpreting it causally are explicit.</w:t>
      </w:r>
    </w:p>
    <w:bookmarkStart w:id="99" w:name="the-outcome-and-the-treatment"/>
    <w:p>
      <w:pPr>
        <w:pStyle w:val="Heading3"/>
        <w:spacing w:line="480" w:lineRule="auto"/>
      </w:pPr>
      <w:r>
        <w:t xml:space="preserve">3.4.1 The Outcome and the Treatment</w:t>
      </w:r>
    </w:p>
    <w:p>
      <w:pPr>
        <w:pStyle w:val="FirstParagraph"/>
        <w:spacing w:line="480" w:lineRule="auto"/>
      </w:pPr>
      <w:r>
        <w:t xml:space="preserve">Let cost growth for campaign element</w:t>
      </w:r>
      <w:r>
        <w:t xml:space="preserve"> </w:t>
      </w:r>
      <w:r>
        <w:rPr>
          <w:i/>
          <w:iCs/>
        </w:rPr>
        <w:t xml:space="preserve">i</w:t>
      </w:r>
      <w:r>
        <w:t xml:space="preserve">, denoted</w:t>
      </w:r>
      <w:r>
        <w:t xml:space="preserve"> </w:t>
      </w:r>
      <w:r>
        <w:rPr>
          <w:i/>
          <w:iCs/>
        </w:rPr>
        <w:t xml:space="preserve">CostGrowth_i</w:t>
      </w:r>
      <w:r>
        <w:t xml:space="preserve">, be the ratio of cost outturn to the cost committed at the element’s baseline commitment milestone, and let schedule growth,</w:t>
      </w:r>
      <w:r>
        <w:t xml:space="preserve"> </w:t>
      </w:r>
      <w:r>
        <w:rPr>
          <w:i/>
          <w:iCs/>
        </w:rPr>
        <w:t xml:space="preserve">SchedGrowth_i</w:t>
      </w:r>
      <w:r>
        <w:t xml:space="preserve">, be defined analogously against the committed schedule. These are the audited cost-growth and schedule-growth quantities reported per major project in the public assessment record on which the panel is built. Let</w:t>
      </w:r>
      <w:r>
        <w:t xml:space="preserve"> </w:t>
      </w:r>
      <w:r>
        <w:rPr>
          <w:i/>
          <w:iCs/>
        </w:rPr>
        <w:t xml:space="preserve">SeqPos_i</w:t>
      </w:r>
      <w:r>
        <w:t xml:space="preserve"> </w:t>
      </w:r>
      <w:r>
        <w:t xml:space="preserve">denote the element’s ordinal position in the committed acquisition sequence of its campaign, the treatment variable of interest. Let</w:t>
      </w:r>
      <w:r>
        <w:t xml:space="preserve"> </w:t>
      </w:r>
      <w:r>
        <w:rPr>
          <w:i/>
          <w:iCs/>
        </w:rPr>
        <w:t xml:space="preserve">Scope_i</w:t>
      </w:r>
      <w:r>
        <w:t xml:space="preserve"> </w:t>
      </w:r>
      <w:r>
        <w:t xml:space="preserve">be a parametric scope index calibrated against the cost-estimating-relationship logic validated for NASA space missions</w:t>
      </w:r>
      <w:r>
        <w:t xml:space="preserve"> </w:t>
      </w:r>
      <w:hyperlink w:anchor="ref-5">
        <w:r>
          <w:rPr>
            <w:rStyle w:val="Hyperlink"/>
          </w:rPr>
          <w:t xml:space="preserve">[5]</w:t>
        </w:r>
      </w:hyperlink>
      <w:r>
        <w:t xml:space="preserve"> </w:t>
      </w:r>
      <w:hyperlink w:anchor="ref-6">
        <w:r>
          <w:rPr>
            <w:rStyle w:val="Hyperlink"/>
          </w:rPr>
          <w:t xml:space="preserve">[6]</w:t>
        </w:r>
      </w:hyperlink>
      <w:r>
        <w:t xml:space="preserve">, and let</w:t>
      </w:r>
      <w:r>
        <w:t xml:space="preserve"> </w:t>
      </w:r>
      <w:r>
        <w:rPr>
          <w:i/>
          <w:iCs/>
        </w:rPr>
        <w:t xml:space="preserve">TRL_i</w:t>
      </w:r>
      <w:r>
        <w:t xml:space="preserve"> </w:t>
      </w:r>
      <w:r>
        <w:t xml:space="preserve">be an element-level technology-readiness measure capturing the maturity of the technologies the element must field</w:t>
      </w:r>
      <w:r>
        <w:t xml:space="preserve"> </w:t>
      </w:r>
      <w:hyperlink w:anchor="ref-8">
        <w:r>
          <w:rPr>
            <w:rStyle w:val="Hyperlink"/>
          </w:rPr>
          <w:t xml:space="preserve">[8]</w:t>
        </w:r>
      </w:hyperlink>
      <w:r>
        <w:t xml:space="preserve">. Let campaign fixed effects absorb time-invariant features of a given campaign line and epoch fixed effects absorb era-wide shocks such as the budget environment of a given decade.</w:t>
      </w:r>
    </w:p>
    <w:bookmarkEnd w:id="99"/>
    <w:bookmarkStart w:id="100" w:name="the-estimand"/>
    <w:p>
      <w:pPr>
        <w:pStyle w:val="Heading3"/>
        <w:spacing w:line="480" w:lineRule="auto"/>
      </w:pPr>
      <w:r>
        <w:t xml:space="preserve">3.4.2 The Estimand</w:t>
      </w:r>
    </w:p>
    <w:p>
      <w:pPr>
        <w:pStyle w:val="FirstParagraph"/>
        <w:spacing w:line="480" w:lineRule="auto"/>
      </w:pPr>
      <w:r>
        <w:t xml:space="preserve">The estimand is the partial effect of sequencing position on cost growth, and separately on schedule growth, holding scope, readiness, and the fixed effects constant. Formally, it is the coefficient on</w:t>
      </w:r>
      <w:r>
        <w:t xml:space="preserve"> </w:t>
      </w:r>
      <w:r>
        <w:rPr>
          <w:i/>
          <w:iCs/>
        </w:rPr>
        <w:t xml:space="preserve">SeqPos_i</w:t>
      </w:r>
      <w:r>
        <w:t xml:space="preserve"> </w:t>
      </w:r>
      <w:r>
        <w:t xml:space="preserve">in a fixed-effects panel model in which</w:t>
      </w:r>
      <w:r>
        <w:t xml:space="preserve"> </w:t>
      </w:r>
      <w:r>
        <w:rPr>
          <w:i/>
          <w:iCs/>
        </w:rPr>
        <w:t xml:space="preserve">CostGrowth_i</w:t>
      </w:r>
      <w:r>
        <w:t xml:space="preserve"> </w:t>
      </w:r>
      <w:r>
        <w:t xml:space="preserve">(and, in a parallel specification,</w:t>
      </w:r>
      <w:r>
        <w:t xml:space="preserve"> </w:t>
      </w:r>
      <w:r>
        <w:rPr>
          <w:i/>
          <w:iCs/>
        </w:rPr>
        <w:t xml:space="preserve">SchedGrowth_i</w:t>
      </w:r>
      <w:r>
        <w:t xml:space="preserve">) is regressed on</w:t>
      </w:r>
      <w:r>
        <w:t xml:space="preserve"> </w:t>
      </w:r>
      <w:r>
        <w:rPr>
          <w:i/>
          <w:iCs/>
        </w:rPr>
        <w:t xml:space="preserve">SeqPos_i</w:t>
      </w:r>
      <w:r>
        <w:t xml:space="preserve">,</w:t>
      </w:r>
      <w:r>
        <w:t xml:space="preserve"> </w:t>
      </w:r>
      <w:r>
        <w:rPr>
          <w:i/>
          <w:iCs/>
        </w:rPr>
        <w:t xml:space="preserve">Scope_i</w:t>
      </w:r>
      <w:r>
        <w:t xml:space="preserve">,</w:t>
      </w:r>
      <w:r>
        <w:t xml:space="preserve"> </w:t>
      </w:r>
      <w:r>
        <w:rPr>
          <w:i/>
          <w:iCs/>
        </w:rPr>
        <w:t xml:space="preserve">TRL_i</w:t>
      </w:r>
      <w:r>
        <w:t xml:space="preserve">, campaign fixed effects, and epoch fixed effects. This coefficient is the cost-schedule premium or discount associated with each step later in a campaign’s acquisition sequence, net of measured difficulty. It is the single quantity that the dissertation exists to sign and bound.</w:t>
      </w:r>
    </w:p>
    <w:bookmarkEnd w:id="100"/>
    <w:bookmarkStart w:id="101" w:name="the-identifying-assumption"/>
    <w:p>
      <w:pPr>
        <w:pStyle w:val="Heading3"/>
        <w:spacing w:line="480" w:lineRule="auto"/>
      </w:pPr>
      <w:r>
        <w:t xml:space="preserve">3.4.3 The Identifying Assumption</w:t>
      </w:r>
    </w:p>
    <w:p>
      <w:pPr>
        <w:pStyle w:val="FirstParagraph"/>
        <w:spacing w:line="480" w:lineRule="auto"/>
      </w:pPr>
      <w:r>
        <w:t xml:space="preserve">The coefficient is a causal sequencing effect, and not merely a correlation, under one identifying assumption: that, conditional on scope, readiness, and the fixed effects, an element’s ordinal position in the acquisition sequence is not driven by unobserved element-specific cost-schedule shocks. The assumption can fail through a single dominant channel, which the theory has already named. Planners may deliberately sequence the technically hardest elements last, so that</w:t>
      </w:r>
      <w:r>
        <w:t xml:space="preserve"> </w:t>
      </w:r>
      <w:r>
        <w:rPr>
          <w:i/>
          <w:iCs/>
        </w:rPr>
        <w:t xml:space="preserve">SeqPos_i</w:t>
      </w:r>
      <w:r>
        <w:t xml:space="preserve"> </w:t>
      </w:r>
      <w:r>
        <w:t xml:space="preserve">proxies for an unobserved component of hardness that</w:t>
      </w:r>
      <w:r>
        <w:t xml:space="preserve"> </w:t>
      </w:r>
      <w:r>
        <w:rPr>
          <w:i/>
          <w:iCs/>
        </w:rPr>
        <w:t xml:space="preserve">Scope_i</w:t>
      </w:r>
      <w:r>
        <w:t xml:space="preserve"> </w:t>
      </w:r>
      <w:r>
        <w:t xml:space="preserve">and</w:t>
      </w:r>
      <w:r>
        <w:t xml:space="preserve"> </w:t>
      </w:r>
      <w:r>
        <w:rPr>
          <w:i/>
          <w:iCs/>
        </w:rPr>
        <w:t xml:space="preserve">TRL_i</w:t>
      </w:r>
      <w:r>
        <w:t xml:space="preserve"> </w:t>
      </w:r>
      <w:r>
        <w:t xml:space="preserve">do not fully capture. This is the escalating-ambition mechanism reappearing as an identification threat: if difficulty is only partially measured, the sequencing coefficient will inherit the residual difficulty that the controls miss.</w:t>
      </w:r>
    </w:p>
    <w:p>
      <w:pPr>
        <w:pStyle w:val="BodyText"/>
        <w:spacing w:line="480" w:lineRule="auto"/>
        <w:ind w:firstLine="720"/>
      </w:pPr>
      <w:r>
        <w:t xml:space="preserve">The theory disciplines this threat in three ways, each of which the empirical design operationalizes. First, the parametric scope baseline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r>
        <w:t xml:space="preserve">is built precisely to absorb measured difficulty, so that the sequencing term is estimated off variation orthogonal to scope. Second, specifications that interact</w:t>
      </w:r>
      <w:r>
        <w:t xml:space="preserve"> </w:t>
      </w:r>
      <w:r>
        <w:rPr>
          <w:i/>
          <w:iCs/>
        </w:rPr>
        <w:t xml:space="preserve">SeqPos_i</w:t>
      </w:r>
      <w:r>
        <w:t xml:space="preserve"> </w:t>
      </w:r>
      <w:r>
        <w:t xml:space="preserve">with</w:t>
      </w:r>
      <w:r>
        <w:t xml:space="preserve"> </w:t>
      </w:r>
      <w:r>
        <w:rPr>
          <w:i/>
          <w:iCs/>
        </w:rPr>
        <w:t xml:space="preserve">Scope_i</w:t>
      </w:r>
      <w:r>
        <w:t xml:space="preserve"> </w:t>
      </w:r>
      <w:r>
        <w:t xml:space="preserve">detect residual confounding: if the sequencing effect is merely unmeasured difficulty, it should concentrate where scope is largest and the interaction should carry the signal. Third, and decisively, the case-reconstruction cross-check traces whether the modeled ordering reflects genuine capability hand-offs along the sequence, which is the interdependency mechanism, or difficulty triage, which is the confound. A non-zero coefficient is credited as a sequencing effect only where the case record shows an inheritance or hand-off dependency consistent with that sign. The causal reading of the estimand is thus not asserted from the regression alone; it is constructed jointly from the panel coefficient and the architecture reconstructions, which are mutually constraining because the panel cannot distinguish sequencing from latent difficulty on its own and the cases cannot generalize on their own.</w:t>
      </w:r>
    </w:p>
    <w:bookmarkEnd w:id="101"/>
    <w:bookmarkEnd w:id="102"/>
    <w:bookmarkStart w:id="103" w:name="the-formal-hypotheses"/>
    <w:p>
      <w:pPr>
        <w:pStyle w:val="Heading2"/>
        <w:spacing w:line="480" w:lineRule="auto"/>
      </w:pPr>
      <w:r>
        <w:t xml:space="preserve">3.5 The Formal Hypotheses</w:t>
      </w:r>
    </w:p>
    <w:p>
      <w:pPr>
        <w:pStyle w:val="FirstParagraph"/>
        <w:spacing w:line="480" w:lineRule="auto"/>
      </w:pPr>
      <w:r>
        <w:t xml:space="preserve">The theory and causal logic above resolve into a single pair of formal hypotheses, stated here in the form in which the empirical chapters confront them. The hypotheses concern the coefficient on</w:t>
      </w:r>
      <w:r>
        <w:t xml:space="preserve"> </w:t>
      </w:r>
      <w:r>
        <w:rPr>
          <w:i/>
          <w:iCs/>
        </w:rPr>
        <w:t xml:space="preserve">SeqPos_i</w:t>
      </w:r>
      <w:r>
        <w:t xml:space="preserve"> </w:t>
      </w:r>
      <w:r>
        <w:t xml:space="preserve">in the fixed-effects panel model of cost growth and, in parallel, of schedule growth, with</w:t>
      </w:r>
      <w:r>
        <w:t xml:space="preserve"> </w:t>
      </w:r>
      <w:r>
        <w:rPr>
          <w:i/>
          <w:iCs/>
        </w:rPr>
        <w:t xml:space="preserve">Scope_i</w:t>
      </w:r>
      <w:r>
        <w:t xml:space="preserve">,</w:t>
      </w:r>
      <w:r>
        <w:t xml:space="preserve"> </w:t>
      </w:r>
      <w:r>
        <w:rPr>
          <w:i/>
          <w:iCs/>
        </w:rPr>
        <w:t xml:space="preserve">TRL_i</w:t>
      </w:r>
      <w:r>
        <w:t xml:space="preserve">, and campaign and epoch fixed effects included.</w:t>
      </w:r>
    </w:p>
    <w:p>
      <w:pPr>
        <w:pStyle w:val="BodyText"/>
        <w:spacing w:line="480" w:lineRule="auto"/>
        <w:ind w:firstLine="720"/>
      </w:pPr>
      <w:r>
        <w:rPr>
          <w:b/>
          <w:bCs/>
        </w:rPr>
        <w:t xml:space="preserve">H0 (null).</w:t>
      </w:r>
      <w:r>
        <w:t xml:space="preserve"> </w:t>
      </w:r>
      <w:r>
        <w:t xml:space="preserve">The coefficient on</w:t>
      </w:r>
      <w:r>
        <w:t xml:space="preserve"> </w:t>
      </w:r>
      <w:r>
        <w:rPr>
          <w:i/>
          <w:iCs/>
        </w:rPr>
        <w:t xml:space="preserve">SeqPos_i</w:t>
      </w:r>
      <w:r>
        <w:t xml:space="preserve"> </w:t>
      </w:r>
      <w:r>
        <w:t xml:space="preserve">is zero. Once technical scope and the element’s own technology readiness are controlled, the order in which a Mars campaign element is acquired has no measurable association with its cost growth or its schedule growth. Sequencing is programmatically free: the cost-schedule outturn of an element is fully accounted for by what it is asked to do and how mature its technology is, and not at all by where it sits in the committed acquisition sequence. Under H0 the escalating-ambition mechanism is the whole story, and any raw association between position and growth is an artifact of the correlation between position and difficulty that dissolves once difficulty is held constant.</w:t>
      </w:r>
    </w:p>
    <w:p>
      <w:pPr>
        <w:pStyle w:val="BodyText"/>
        <w:spacing w:line="480" w:lineRule="auto"/>
        <w:ind w:firstLine="720"/>
      </w:pPr>
      <w:r>
        <w:rPr>
          <w:b/>
          <w:bCs/>
        </w:rPr>
        <w:t xml:space="preserve">H1 (alternative).</w:t>
      </w:r>
      <w:r>
        <w:t xml:space="preserve"> </w:t>
      </w:r>
      <w:r>
        <w:t xml:space="preserve">The coefficient on</w:t>
      </w:r>
      <w:r>
        <w:t xml:space="preserve"> </w:t>
      </w:r>
      <w:r>
        <w:rPr>
          <w:i/>
          <w:iCs/>
        </w:rPr>
        <w:t xml:space="preserve">SeqPos_i</w:t>
      </w:r>
      <w:r>
        <w:t xml:space="preserve"> </w:t>
      </w:r>
      <w:r>
        <w:t xml:space="preserve">is non-zero and stable in sign across specifications. Conditional on scope and technology readiness, an element’s sequencing position is systematically associated with its cost growth and schedule growth, so that the order of acquisition carries an estimable cost-schedule premium or discount. Under H1 an interdependency channel survives the controls, and the sign of the surviving coefficient adjudicates between hand-off interdependency and inheritance on the one hand, which predict a negative coefficient and a sequencing discount, and coordination-tax interdependency on the other, which predicts a positive coefficient and a sequencing premium.</w:t>
      </w:r>
    </w:p>
    <w:p>
      <w:pPr>
        <w:pStyle w:val="BodyText"/>
        <w:spacing w:line="480" w:lineRule="auto"/>
        <w:ind w:firstLine="720"/>
      </w:pPr>
      <w:r>
        <w:t xml:space="preserve">The two hypotheses are exhaustive over the space of outcomes the theory anticipates, and the alternative is deliberately demanding. H1 requires not merely that the coefficient differ from zero in a single specification but that it be stable in sign across specifications, because a sign that flips as controls and fixed effects are added is the signature of a confound rather than a mechanism. The stability requirement is what converts a statistical association into a defensible causal claim about programmatic structure.</w:t>
      </w:r>
    </w:p>
    <w:bookmarkEnd w:id="103"/>
    <w:bookmarkStart w:id="107" w:name="Xa5b7f29514ecfee11279a2ba7d79c48b946cac7"/>
    <w:p>
      <w:pPr>
        <w:pStyle w:val="Heading2"/>
        <w:spacing w:line="480" w:lineRule="auto"/>
      </w:pPr>
      <w:r>
        <w:t xml:space="preserve">3.6 Falsification, Auxiliary Predictions, and Scope</w:t>
      </w:r>
    </w:p>
    <w:bookmarkStart w:id="104" w:name="the-falsification-condition"/>
    <w:p>
      <w:pPr>
        <w:pStyle w:val="Heading3"/>
        <w:spacing w:line="480" w:lineRule="auto"/>
      </w:pPr>
      <w:r>
        <w:t xml:space="preserve">3.6.1 The Falsification Condition</w:t>
      </w:r>
    </w:p>
    <w:p>
      <w:pPr>
        <w:pStyle w:val="FirstParagraph"/>
        <w:spacing w:line="480" w:lineRule="auto"/>
      </w:pPr>
      <w:r>
        <w:t xml:space="preserve">The single falsifiable contribution of the dissertation is the estimate of the sequencing coefficient, and the conditions under which the contribution is falsified must be stated as sharply as the hypotheses themselves. The contribution is falsified if the sequencing coefficient is statistically indistinguishable from zero and bounded within a managerially negligible interval across both the panel specification and the case-reconstruction cross-check. It is not enough to find a significant raw correlation; the claim survives only if the effect persists after the parametric scope baseline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r>
        <w:t xml:space="preserve">absorbs technical difficulty. Equally, a coefficient that is statistically significant in one specification but unstable in sign across specifications does not vindicate H1, because the theory requires sign stability as the marker of a genuine mechanism. The asymmetry is deliberate and cliometric in spirit: a disciplined null is a substantive finding, because it would tell campaign planners that the schedule and cost consequences attributed to sequencing in engineering judgment are better explained by what each element is asked to do than by where it sits in line. The companion survival study reached exactly such a disciplined null on the duration outcome, where the hazard ratio on sequencing position was indistinguishable from unity and the new-technology count carried the strongest signal [p2], and the panel core is designed so that its own null, should it arrive, would be equally informative.</w:t>
      </w:r>
    </w:p>
    <w:bookmarkEnd w:id="104"/>
    <w:bookmarkStart w:id="105" w:name="auxiliary-predictions"/>
    <w:p>
      <w:pPr>
        <w:pStyle w:val="Heading3"/>
        <w:spacing w:line="480" w:lineRule="auto"/>
      </w:pPr>
      <w:r>
        <w:t xml:space="preserve">3.6.2 Auxiliary Predictions</w:t>
      </w:r>
    </w:p>
    <w:p>
      <w:pPr>
        <w:pStyle w:val="FirstParagraph"/>
        <w:spacing w:line="480" w:lineRule="auto"/>
      </w:pPr>
      <w:r>
        <w:t xml:space="preserve">Beyond the central coefficient, the theory yields auxiliary predictions that the empirical chapters use to corroborate or undercut whichever hypothesis the data favor. First, if H1 holds through an interdependency channel, the surviving sequencing effect should be concentrated among elements whose case records show a dependency running along the sequence, and should weaken when cross-sequence-dependent elements are dropped; this is the robustness check that distinguishes interdependency as mechanism from interdependency as confounder</w:t>
      </w:r>
      <w:r>
        <w:t xml:space="preserve"> </w:t>
      </w:r>
      <w:hyperlink w:anchor="ref-4">
        <w:r>
          <w:rPr>
            <w:rStyle w:val="Hyperlink"/>
          </w:rPr>
          <w:t xml:space="preserve">[4]</w:t>
        </w:r>
      </w:hyperlink>
      <w:r>
        <w:t xml:space="preserve">. Second, if H0 holds because escalating ambition is the whole story, the parametric scope index and the readiness measure should carry the explanatory burden that the raw sequencing term appears to carry before controls enter, mirroring the survival finding in which difficulty, not position, tracked the outcome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Third, the</w:t>
      </w:r>
      <w:r>
        <w:t xml:space="preserve"> </w:t>
      </w:r>
      <w:r>
        <w:rPr>
          <w:i/>
          <w:iCs/>
        </w:rPr>
        <w:t xml:space="preserve">SeqPos</w:t>
      </w:r>
      <w:r>
        <w:t xml:space="preserve">-by-</w:t>
      </w:r>
      <w:r>
        <w:rPr>
          <w:i/>
          <w:iCs/>
        </w:rPr>
        <w:t xml:space="preserve">Scope</w:t>
      </w:r>
      <w:r>
        <w:t xml:space="preserve"> </w:t>
      </w:r>
      <w:r>
        <w:t xml:space="preserve">interaction should be null under a true sequencing effect and non-null under residual-difficulty confounding, giving a direct test of the identifying assumption rather than a defense of it by assertion.</w:t>
      </w:r>
    </w:p>
    <w:bookmarkEnd w:id="105"/>
    <w:bookmarkStart w:id="106" w:name="scope-conditions"/>
    <w:p>
      <w:pPr>
        <w:pStyle w:val="Heading3"/>
        <w:spacing w:line="480" w:lineRule="auto"/>
      </w:pPr>
      <w:r>
        <w:t xml:space="preserve">3.6.3 Scope Conditions</w:t>
      </w:r>
    </w:p>
    <w:p>
      <w:pPr>
        <w:pStyle w:val="FirstParagraph"/>
        <w:spacing w:line="480" w:lineRule="auto"/>
      </w:pPr>
      <w:r>
        <w:t xml:space="preserve">The theory is conditional, and its scope must be bounded so that the estimate is not over-claimed. The construct of sequencing carries theoretical content only where campaign elements are coupled, so the hypotheses are sharpest on the interdependent Mars campaign and on comparable planetary campaign lines where the sequencing construct transfers, and they are correspondingly weaker where elements are effectively independent. The estimate is conditional on the historical campaign structure from which it is drawn and may not transfer without qualification to a future Mars Sample Return execution; the parametric architecture-comparison logic indicates where the estimate is and is not portable across alternative designs</w:t>
      </w:r>
      <w:r>
        <w:t xml:space="preserve"> </w:t>
      </w:r>
      <w:hyperlink w:anchor="ref-2">
        <w:r>
          <w:rPr>
            <w:rStyle w:val="Hyperlink"/>
          </w:rPr>
          <w:t xml:space="preserve">[2]</w:t>
        </w:r>
      </w:hyperlink>
      <w:r>
        <w:t xml:space="preserve">. The population of Mars campaign elements with audited baselines is small, which the theory acknowledges by treating sign stability across specifications, rather than significance in any single one, as the decisive criterion, and by anchoring inference on the audited baseline definition so that rebaselining events are observable covariates rather than hidden sources of growth. Within these bounds the framework delivers what the cliometric program demands: a signed, bounded, and falsifiable parameter that locates the cost-schedule price of acquisition ordering in the architecture trade space alongside the mass, propulsion, and trajectory choices that are already modeled parametrically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6"/>
    <w:bookmarkEnd w:id="107"/>
    <w:bookmarkEnd w:id="108"/>
    <w:bookmarkStart w:id="120" w:name="chapter-4.-data-and-measurement"/>
    <w:p>
      <w:pPr>
        <w:pStyle w:val="Heading1"/>
        <w:spacing w:line="480" w:lineRule="auto"/>
      </w:pPr>
      <w:r>
        <w:t xml:space="preserve">Chapter 4. Data and Measurement</w:t>
      </w:r>
    </w:p>
    <w:bookmarkStart w:id="109"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dissertation’s single falsifiable contribution rests. The two studies that constitute the analytical core, the panel-econometric examination of cost and schedule growth and the Cox survival examination of development-to-launch duration, both draw their observations from the same family of authoritative public records and code their variables from the same primary documentation. The purpose here is to make that foundation auditable. I describe the datasets actually used, name their authoritative sources, fix the unit of analysis, and trace each variable from a raw primary record to the modeled quantity that enters estimation. The governing commitment is that every number on the analytical page must lineate back to a government document in the public record or to a peer-reviewed architecture study, with no internal or non-citable working material admitted into the dataset.</w:t>
      </w:r>
    </w:p>
    <w:p>
      <w:pPr>
        <w:pStyle w:val="BodyText"/>
        <w:spacing w:line="480" w:lineRule="auto"/>
        <w:ind w:firstLine="720"/>
      </w:pPr>
      <w:r>
        <w:t xml:space="preserve">The chapter is organized to follow the construction process rather than the order of estimation. Section 4.2 establishes the unit of analysis and the campaign-line frame that gives the sequencing construct its meaning. Section 4.3 enumerates the authoritative sources and explains the division of evidentiary labor among them. Section 4.4 presents the realized cross-sectional dataset of thirty NASA planetary and deep-space flight elements that underlies the survival study. Sections 4.5 through 4.9 construct each variable in turn, the duration and event outcome, the sequencing position, cost growth, the new-technology readiness proxy, and the flagship indicator. Section 4.10 describes the cross-source join and keying discipline that holds the lineage together, and Section 4.11 states the measurement limitations that propagate into the inferential chapters that follow.</w:t>
      </w:r>
    </w:p>
    <w:bookmarkEnd w:id="109"/>
    <w:bookmarkStart w:id="110" w:name="Xb6f74a4927f8c150c0a7ac07b6ac814f635ebfb"/>
    <w:p>
      <w:pPr>
        <w:pStyle w:val="Heading2"/>
        <w:spacing w:line="480" w:lineRule="auto"/>
      </w:pPr>
      <w:r>
        <w:t xml:space="preserve">4.2 The Unit of Analysis and the Campaign-Line Frame</w:t>
      </w:r>
    </w:p>
    <w:p>
      <w:pPr>
        <w:pStyle w:val="FirstParagraph"/>
        <w:spacing w:line="480" w:lineRule="auto"/>
      </w:pPr>
      <w:r>
        <w:t xml:space="preserve">The unit of analysis is the campaign element: a single NASA planetary or deep-space flight project, committed at an agency baseline milestone, that occupies an identifiable position within an ordered line of capability commitments. This unit is chosen deliberately and is not interchangeable with the mission, the spacecraft, or the instrument. A campaign element is the smallest object to which both an outturn record and a sequencing position can be jointly and unambiguously assigned. The motivating premise of the dissertation, that an element’s performance is conditioned by where it sits in a programmatic sequence rather than by its own specification alone, requires precisely this unit, because the sequencing construct has no referent below the level of the committed project</w:t>
      </w:r>
      <w:r>
        <w:t xml:space="preserve"> </w:t>
      </w:r>
      <w:hyperlink w:anchor="ref-1">
        <w:r>
          <w:rPr>
            <w:rStyle w:val="Hyperlink"/>
          </w:rPr>
          <w:t xml:space="preserve">[1]</w:t>
        </w:r>
      </w:hyperlink>
      <w:r>
        <w:t xml:space="preserve">.</w:t>
      </w:r>
    </w:p>
    <w:p>
      <w:pPr>
        <w:pStyle w:val="BodyText"/>
        <w:spacing w:line="480" w:lineRule="auto"/>
        <w:ind w:firstLine="720"/>
      </w:pPr>
      <w:r>
        <w:t xml:space="preserve">The element acquires its sequencing meaning only inside a campaign line. A campaign line is a deliberately ordered portfolio of elements that share a capability lineage, so that each committed element inherits interfaces, heritage, and risk posture from those committed before it and retires risk for those committed after</w:t>
      </w:r>
      <w:r>
        <w:t xml:space="preserve"> </w:t>
      </w:r>
      <w:hyperlink w:anchor="ref-1">
        <w:r>
          <w:rPr>
            <w:rStyle w:val="Hyperlink"/>
          </w:rPr>
          <w:t xml:space="preserve">[1]</w:t>
        </w:r>
      </w:hyperlink>
      <w:r>
        <w:t xml:space="preserve">. The realized dataset partitions the thirty elements into six such lines: Mars orbiters, Mars surface elements, small-body missions, outer-planet missions, lunar elements, and the prospective Mars sample-return chain. The Mars surface line is the cleanest instance of the lineage logic, with the airbag entry-descent-and-landing approach demonstrated by an early element inherited by its immediate successor and the sky-crane and sampling heritage propagating forward through the line</w:t>
      </w:r>
      <w:r>
        <w:t xml:space="preserve"> </w:t>
      </w:r>
      <w:hyperlink w:anchor="ref-1">
        <w:r>
          <w:rPr>
            <w:rStyle w:val="Hyperlink"/>
          </w:rPr>
          <w:t xml:space="preserve">[1]</w:t>
        </w:r>
      </w:hyperlink>
      <w:r>
        <w:t xml:space="preserve">. The campaign-line partition is therefore not a convenience of tabulation; it is the analytical structure that converts an undifferentiated list of missions into an ordered set within which an ordinal position can be coded and interpreted.</w:t>
      </w:r>
    </w:p>
    <w:p>
      <w:pPr>
        <w:pStyle w:val="BodyText"/>
        <w:spacing w:line="480" w:lineRule="auto"/>
        <w:ind w:firstLine="720"/>
      </w:pPr>
      <w:r>
        <w:t xml:space="preserve">Because the sequencing position is defined within a line, the campaign line also functions as the grouping over which the panel study applies its fixed effects, absorbing line-specific and era-specific shocks such as the budget environment of a given decade. The unit of analysis and the grouping structure are thus established jointly at the outset, before any variable is constructed, so that the identification strategy and the measurement strategy share a common spine.</w:t>
      </w:r>
    </w:p>
    <w:bookmarkEnd w:id="110"/>
    <w:bookmarkStart w:id="111" w:name="X9476811e8bf772bb5d78ab44ac5882aaec8af72"/>
    <w:p>
      <w:pPr>
        <w:pStyle w:val="Heading2"/>
        <w:spacing w:line="480" w:lineRule="auto"/>
      </w:pPr>
      <w:r>
        <w:t xml:space="preserve">4.3 Authoritative Sources and the Division of Evidentiary Labor</w:t>
      </w:r>
    </w:p>
    <w:p>
      <w:pPr>
        <w:pStyle w:val="FirstParagraph"/>
        <w:spacing w:line="480" w:lineRule="auto"/>
      </w:pPr>
      <w:r>
        <w:t xml:space="preserve">The dataset is assembled from a small number of authoritative, external, and citable sources, each carrying a distinct evidentiary burden. No single source supplies all variables, and the credibility of the design rests on assigning each variable to the source with the strongest claim to authority over it.</w:t>
      </w:r>
    </w:p>
    <w:p>
      <w:pPr>
        <w:pStyle w:val="BodyText"/>
        <w:spacing w:line="480" w:lineRule="auto"/>
        <w:ind w:firstLine="720"/>
      </w:pPr>
      <w:r>
        <w:t xml:space="preserve">The spine of the outcome variables is the Government Accountability Office Annual Assessment of NASA Major Projects. This series is published yearly, is fully public, and reports, per major project, baseline and current cost and schedule, development cost growth, and launch-date slippage at a consistent and audited definition. It is the source of record for the cost-growth and schedule outcomes precisely because its definitions are stable across projects and over time, which is the property the panel and the survival models require of their dependent variables. Specific assessments are cited at the element level where they govern an observation, including the documentation of the Mars Science Laboratory confirmation and slip, the InSight instrument-driven slip, the Mars 2020 confirmation, the Dawn record, and the restructured VIPER lunar rover.</w:t>
      </w:r>
    </w:p>
    <w:p>
      <w:pPr>
        <w:pStyle w:val="BodyText"/>
        <w:spacing w:line="480" w:lineRule="auto"/>
        <w:ind w:firstLine="720"/>
      </w:pPr>
      <w:r>
        <w:t xml:space="preserve">The baseline and technical-descriptor evidence is drawn from NASA Cost Estimating Handbook reference materials and from the project-level mission documentation those assessments cite. NASA and Jet Propulsion Laboratory mission press kits, together with mission confirmation and launch records, supply the project confirmation milestone, the launch date, and the technology descriptions from which the readiness proxy is built. The press-kit record is authoritative for the technical content of an element because it is the agency’s own pre-launch description of what the mission was required to accomplish and which capabilities it had to mature.</w:t>
      </w:r>
    </w:p>
    <w:p>
      <w:pPr>
        <w:pStyle w:val="BodyText"/>
        <w:spacing w:line="480" w:lineRule="auto"/>
        <w:ind w:firstLine="720"/>
      </w:pPr>
      <w:r>
        <w:t xml:space="preserve">The sequencing variable is coded from the primary Mars campaign and Mars Sample Return architecture studies, which establish the committed ordering of campaign elements and, for the sample-return chain specifically, the joint multi-element concept of record</w:t>
      </w:r>
      <w:r>
        <w:t xml:space="preserve"> </w:t>
      </w:r>
      <w:hyperlink w:anchor="ref-1">
        <w:r>
          <w:rPr>
            <w:rStyle w:val="Hyperlink"/>
          </w:rPr>
          <w:t xml:space="preserve">[1]</w:t>
        </w:r>
      </w:hyperlink>
      <w:r>
        <w:t xml:space="preserve">. The parametric scope logic against which the readiness and difficulty controls are calibrated is taken from the independent validation of parametric cost-estimation tools for NASA space missions</w:t>
      </w:r>
      <w:r>
        <w:t xml:space="preserve"> </w:t>
      </w:r>
      <w:hyperlink w:anchor="ref-5">
        <w:r>
          <w:rPr>
            <w:rStyle w:val="Hyperlink"/>
          </w:rPr>
          <w:t xml:space="preserve">[5]</w:t>
        </w:r>
      </w:hyperlink>
      <w:r>
        <w:t xml:space="preserve"> </w:t>
      </w:r>
      <w:r>
        <w:t xml:space="preserve">and from the parametric cost-estimating-relationship literature that formalizes the scope-to-effort mapping</w:t>
      </w:r>
      <w:r>
        <w:t xml:space="preserve"> </w:t>
      </w:r>
      <w:hyperlink w:anchor="ref-6">
        <w:r>
          <w:rPr>
            <w:rStyle w:val="Hyperlink"/>
          </w:rPr>
          <w:t xml:space="preserve">[6]</w:t>
        </w:r>
      </w:hyperlink>
      <w:r>
        <w:t xml:space="preserve">. Two element-specific cost records, the Planetary Society Europa Clipper cost record and the Jet Propulsion Laboratory Psyche independent-review-board report, supplement the GAO series where a project’s cost history is documented more completely outside the annual assessment.</w:t>
      </w:r>
    </w:p>
    <w:p>
      <w:pPr>
        <w:pStyle w:val="BodyText"/>
        <w:spacing w:line="480" w:lineRule="auto"/>
        <w:ind w:firstLine="720"/>
      </w:pPr>
      <w:r>
        <w:t xml:space="preserve">This division of labor is strict. Outcomes come from the audited GAO series; technical descriptors and milestones come from the agency’s own mission documentation; sequencing comes from the peer-reviewed architecture record</w:t>
      </w:r>
      <w:r>
        <w:t xml:space="preserve"> </w:t>
      </w:r>
      <w:hyperlink w:anchor="ref-1">
        <w:r>
          <w:rPr>
            <w:rStyle w:val="Hyperlink"/>
          </w:rPr>
          <w:t xml:space="preserve">[1]</w:t>
        </w:r>
      </w:hyperlink>
      <w:r>
        <w:t xml:space="preserve">; and the difficulty controls are disciplined by the parametric literature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provenance is fully external and citable, and the dataset admits no internal working material.</w:t>
      </w:r>
    </w:p>
    <w:bookmarkEnd w:id="111"/>
    <w:bookmarkStart w:id="112" w:name="the-realized-cross-sectional-dataset"/>
    <w:p>
      <w:pPr>
        <w:pStyle w:val="Heading2"/>
        <w:spacing w:line="480" w:lineRule="auto"/>
      </w:pPr>
      <w:r>
        <w:t xml:space="preserve">4.4 The Realized Cross-Sectional Dataset</w:t>
      </w:r>
    </w:p>
    <w:p>
      <w:pPr>
        <w:pStyle w:val="FirstParagraph"/>
        <w:spacing w:line="480" w:lineRule="auto"/>
      </w:pPr>
      <w:r>
        <w:t xml:space="preserve">The survival study is estimated on a realized cross-section of thirty NASA planetary and deep-space flight elements, each row of which carries its source in a dedicated final field so that every observation is self-documenting. The thirty elements span the six campaign lines defined in Section 4.2. The Mars orbiter line comprises Mars Global Surveyor, Mars Odyssey, Mars Reconnaissance Orbiter, and MAVEN. The Mars surface line comprises Mars Pathfinder, the Mars Exploration Rover, Phoenix, the Mars Science Laboratory, InSight, and Mars 2020 Perseverance. The small-body line comprises NEAR Shoemaker, Stardust, Genesis, Deep Impact, Dawn, OSIRIS-REx, Lucy, Psyche, and DART. The outer-planet line comprises Juno, New Horizons, Cassini, Galileo, Europa Clipper, and the Europa Lander concept. The lunar line comprises GRAIL, Lunar Reconnaissance Orbiter, LADEE, and VIPER. The Mars sample-return chain is represented by a single segment observation drawn from the joint concept of record</w:t>
      </w:r>
      <w:r>
        <w:t xml:space="preserve"> </w:t>
      </w:r>
      <w:hyperlink w:anchor="ref-1">
        <w:r>
          <w:rPr>
            <w:rStyle w:val="Hyperlink"/>
          </w:rPr>
          <w:t xml:space="preserve">[1]</w:t>
        </w:r>
      </w:hyperlink>
      <w:r>
        <w:t xml:space="preserve">.</w:t>
      </w:r>
    </w:p>
    <w:p>
      <w:pPr>
        <w:pStyle w:val="BodyText"/>
        <w:spacing w:line="480" w:lineRule="auto"/>
        <w:ind w:firstLine="720"/>
      </w:pPr>
      <w:r>
        <w:t xml:space="preserve">Each row records the project name, the campaign line, the ordinal sequencing position within that line, the development duration in months, the development cost growth in percent, the new-technology count, the flagship indicator, the launch event indicator, and the source string. The dataset therefore carries, for every element, both the modeled covariates and a human-readable provenance note that names the governing document and, where relevant, the launch date and the programmatic context. For example, the Mars Science Laboratory row records the GAO assessment that documents its confirmation in 2006, its slip from a 2009 to a 2011 launch, and its development-cost growth from roughly 1.6 billion to roughly 2.5 billion dollars; the Psyche row records the independent-review-board report that documents the software and staffing slip from a 2022 to a 2023 launch.</w:t>
      </w:r>
    </w:p>
    <w:p>
      <w:pPr>
        <w:pStyle w:val="BodyText"/>
        <w:spacing w:line="480" w:lineRule="auto"/>
        <w:ind w:firstLine="720"/>
      </w:pPr>
      <w:r>
        <w:t xml:space="preserve">Of the thirty elements, twenty-seven launched and three are right-censored as of mid-2026. The three censored elements are the Mars Sample Return segment in replan, the Europa Lander pre-Phase-A concept, and the restructured VIPER lunar rover documented in the most recent GAO assessment. These three are not missing observations; they are elements at risk of launching that had not experienced the terminal event by the observation cutoff, and they are treated as right-censored in the survival framing, contributing to the risk set up to their censoring time without supplying an event. Where a development-duration value for an unlaunched element could not be observed directly, it is recorded as a documented projection and is explicitly marked illustrative in the source field, so that an unobserved projection can never be mistaken for an observed launch. Such illustrative values are a small minority of the rows and never substitute for an observed development-to-launch time.</w:t>
      </w:r>
    </w:p>
    <w:bookmarkEnd w:id="112"/>
    <w:bookmarkStart w:id="113" w:name="X498a5fee5b4df6872af8db122583ef0b33452bc"/>
    <w:p>
      <w:pPr>
        <w:pStyle w:val="Heading2"/>
        <w:spacing w:line="480" w:lineRule="auto"/>
      </w:pPr>
      <w:r>
        <w:t xml:space="preserve">4.5 Constructing the Duration and Event Outcomes</w:t>
      </w:r>
    </w:p>
    <w:p>
      <w:pPr>
        <w:pStyle w:val="FirstParagraph"/>
        <w:spacing w:line="480" w:lineRule="auto"/>
      </w:pPr>
      <w:r>
        <w:t xml:space="preserve">The survival study reframes the schedule outcome as a duration rather than as a percentage of growth, and this reframing dictates the construction of two linked variables. The duration variable, development-to-launch time in months, is the survival time to the terminal event. It is measured as the number of months from project confirmation, the agency baseline commitment milestone at key decision point C, to the actual or current target launch. Confirmation is taken as the origin because it is the moment at which the element’s baseline is formally committed and the project enters its development phase, which is the point from which the element becomes at risk of launching. Both the confirmation milestone and the launch date are drawn from the GAO Annual Assessments, the NASA and Jet Propulsion Laboratory mission press kits, and the mission confirmation and launch records, and the elapsed-month count is computed as the difference between them.</w:t>
      </w:r>
    </w:p>
    <w:p>
      <w:pPr>
        <w:pStyle w:val="BodyText"/>
        <w:spacing w:line="480" w:lineRule="auto"/>
        <w:ind w:firstLine="720"/>
      </w:pPr>
      <w:r>
        <w:t xml:space="preserve">The event indicator records whether the terminal event was observed. It takes the value one for an element that completed development and launched and zero for an element still in development, in replan, or cancelled before delivery as of the mid-2026 cutoff. This coding implements the right-censoring discipline that the survival structure requires: an element that has not launched is not assigned a missing or imputed launch but is instead recorded as censored, with its observed development time entering the risk set as the period over which it was known to be at risk without launching. The VIPER element illustrates the necessity of this treatment, because it was restructured and cancelled before delivery and so must contribute the information that it survived its observed development window without launching rather than being dropped or treated as a launch.</w:t>
      </w:r>
    </w:p>
    <w:p>
      <w:pPr>
        <w:pStyle w:val="BodyText"/>
        <w:spacing w:line="480" w:lineRule="auto"/>
        <w:ind w:firstLine="720"/>
      </w:pPr>
      <w:r>
        <w:t xml:space="preserve">The duration-event pair is the appropriate representation because development-to-launch time is genuinely a survival process: there is a well-defined origin at confirmation, a well-defined terminal event at launch, and a category of elements for which the event has not yet occurred. Constructing the outcome as growth alone would discard the censored elements, and those elements, including the very sample-return architecture whose interdependency is most likely to carry a sequencing signature, are among the most informative future observations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3"/>
    <w:bookmarkStart w:id="114" w:name="constructing-the-sequencing-position"/>
    <w:p>
      <w:pPr>
        <w:pStyle w:val="Heading2"/>
        <w:spacing w:line="480" w:lineRule="auto"/>
      </w:pPr>
      <w:r>
        <w:t xml:space="preserve">4.6 Constructing the Sequencing Position</w:t>
      </w:r>
    </w:p>
    <w:p>
      <w:pPr>
        <w:pStyle w:val="FirstParagraph"/>
        <w:spacing w:line="480" w:lineRule="auto"/>
      </w:pPr>
      <w:r>
        <w:t xml:space="preserve">The sequencing position is the dissertation’s variable of interest and the one whose construction most directly determines whether the central hypothesis can be tested. It is defined as the ordinal place of an element within the committed acquisition sequence of its campaign line. The variable is integer-valued and begins at one for the earliest committed element in each line, incrementing by one for each successively committed element. Within the Mars surface line, for instance, Mars Pathfinder occupies position one, the Mars Exploration Rover position two, Phoenix position three, the Mars Science Laboratory position four, InSight position five, and Mars 2020 Perseverance position six, mirroring the order in which their capabilities were committed and inherited along the line.</w:t>
      </w:r>
    </w:p>
    <w:p>
      <w:pPr>
        <w:pStyle w:val="BodyText"/>
        <w:spacing w:line="480" w:lineRule="auto"/>
        <w:ind w:firstLine="720"/>
      </w:pPr>
      <w:r>
        <w:t xml:space="preserve">The ordering is coded from campaign architecture history rather than from launch date, and this distinction is consequential. Two elements can launch in close succession, or even out of their commitment order, yet occupy clearly distinct positions in the capability sequence; the sequencing variable must reflect the order of capability commitment, not the accident of launch timing. For the Mars sample-return chain, the ordering is taken directly from the joint multi-element concept of record, which specifies the orbiter, lander, ascent, and return segments as an interdependent chain and thereby fixes their committed order</w:t>
      </w:r>
      <w:r>
        <w:t xml:space="preserve"> </w:t>
      </w:r>
      <w:hyperlink w:anchor="ref-1">
        <w:r>
          <w:rPr>
            <w:rStyle w:val="Hyperlink"/>
          </w:rPr>
          <w:t xml:space="preserve">[1]</w:t>
        </w:r>
      </w:hyperlink>
      <w:r>
        <w:t xml:space="preserve">. For the established lines, the ordering is reconstructed from the architecture history that documents which element demonstrated a capability and which subsequent element inherited it.</w:t>
      </w:r>
    </w:p>
    <w:p>
      <w:pPr>
        <w:pStyle w:val="BodyText"/>
        <w:spacing w:line="480" w:lineRule="auto"/>
        <w:ind w:firstLine="720"/>
      </w:pPr>
      <w:r>
        <w:t xml:space="preserve">Coding sequencing from commitment order rather than outcome is also a guard against a specific endogeneity. If the variable were coded from realized schedule, it would mechanically correlate with the duration outcome it is meant to explain. By anchoring the position in the documented architecture commitment record, the variable is constructed independently of the outcome, so that any estimated association between position and duration reflects the programmatic ordering rather than an artifact of measurement. The qualitative cross-check described in the dissertation’s method reconstructs the architecture commitment history for elements spanning early, middle, and late positions, verifying that the coded position corresponds to a genuine programmatic ordering of capability commitments rather than to an arbitrary numbering</w:t>
      </w:r>
      <w:r>
        <w:t xml:space="preserve"> </w:t>
      </w:r>
      <w:hyperlink w:anchor="ref-1">
        <w:r>
          <w:rPr>
            <w:rStyle w:val="Hyperlink"/>
          </w:rPr>
          <w:t xml:space="preserve">[1]</w:t>
        </w:r>
      </w:hyperlink>
      <w:r>
        <w:t xml:space="preserve">.</w:t>
      </w:r>
    </w:p>
    <w:bookmarkEnd w:id="114"/>
    <w:bookmarkStart w:id="115" w:name="constructing-cost-growth"/>
    <w:p>
      <w:pPr>
        <w:pStyle w:val="Heading2"/>
        <w:spacing w:line="480" w:lineRule="auto"/>
      </w:pPr>
      <w:r>
        <w:t xml:space="preserve">4.7 Constructing Cost Growth</w:t>
      </w:r>
    </w:p>
    <w:p>
      <w:pPr>
        <w:pStyle w:val="FirstParagraph"/>
        <w:spacing w:line="480" w:lineRule="auto"/>
      </w:pPr>
      <w:r>
        <w:t xml:space="preserve">Cost growth enters the survival model as a covariate and is the dependent variable of the companion panel study, so its construction is shared across both analytical strands. It is defined as development cost growth over the element baseline, expressed in percent. The numerator is the difference between the element’s outturn or current development cost and the cost committed at its baseline commitment milestone, and the denominator is that baseline cost, so that the variable is a ratio of cost overrun to committed cost rendered as a percentage.</w:t>
      </w:r>
    </w:p>
    <w:p>
      <w:pPr>
        <w:pStyle w:val="BodyText"/>
        <w:spacing w:line="480" w:lineRule="auto"/>
        <w:ind w:firstLine="720"/>
      </w:pPr>
      <w:r>
        <w:t xml:space="preserve">The primary source is the GAO Annual Assessment series, which reports development cost growth at an audited and consistent definition across the major-project population. Anchoring on the GAO definition matters because cost growth depends entirely on which baseline serves as the denominator, and rebaselined programs can otherwise mask growth by resetting the reference point. The construction anchors on the first audited baseline reported in the assessments, treating the original commitment baseline as the reference against which growth is measured. Two elements draw on supplementary records where the GAO series is less complete: the Europa Clipper cost record is taken from the Planetary Society cost documentation, which records the approved-baseline-cost movement from roughly 4.25 billion to roughly 5 billion dollars, and the Psyche cost growth is taken from the Jet Propulsion Laboratory independent-review-board report.</w:t>
      </w:r>
    </w:p>
    <w:p>
      <w:pPr>
        <w:pStyle w:val="BodyText"/>
        <w:spacing w:line="480" w:lineRule="auto"/>
        <w:ind w:firstLine="720"/>
      </w:pPr>
      <w:r>
        <w:t xml:space="preserve">The resulting distribution of cost growth in the realized dataset ranges from elements committed and delivered at or near baseline, recorded as zero growth, to elements with substantial overruns, the largest being the Mars Science Laboratory at the upper end of the range. Elements recorded at zero growth are not absences of data but documented on-baseline deliveries, such as MAVEN and OSIRIS-REx, and they carry real information that the model uses. The variable is therefore a fully observed, source-anchored measure of the magnitude of cost difficulty each element experienced relative to its own commitment, constructed identically wherever it appears so that the panel and survival analyses rest on a common cost-growth definition.</w:t>
      </w:r>
    </w:p>
    <w:bookmarkEnd w:id="115"/>
    <w:bookmarkStart w:id="116" w:name="Xba689bd66d7c18866decb4f21c2fdcc8999c629"/>
    <w:p>
      <w:pPr>
        <w:pStyle w:val="Heading2"/>
        <w:spacing w:line="480" w:lineRule="auto"/>
      </w:pPr>
      <w:r>
        <w:t xml:space="preserve">4.8 Constructing the New-Technology Readiness Proxy</w:t>
      </w:r>
    </w:p>
    <w:p>
      <w:pPr>
        <w:pStyle w:val="FirstParagraph"/>
        <w:spacing w:line="480" w:lineRule="auto"/>
      </w:pPr>
      <w:r>
        <w:t xml:space="preserve">Technology readiness risk is operationalized as a count of the new or mission-critical technologies that an element had to mature in the course of its development. This count is a readiness-risk proxy rather than a direct readiness-level reading, and it is built from the mission technology descriptions in the NASA and Jet Propulsion Laboratory press kits and from the agency’s own characterization of which capabilities each element introduced. An element that adopted proven, heritage hardware throughout receives a low count, while an element that introduced several novel and mission-critical capabilities receives a high one.</w:t>
      </w:r>
    </w:p>
    <w:p>
      <w:pPr>
        <w:pStyle w:val="BodyText"/>
        <w:spacing w:line="480" w:lineRule="auto"/>
        <w:ind w:firstLine="720"/>
      </w:pPr>
      <w:r>
        <w:t xml:space="preserve">The construction is disciplined by the parametric literature that ties technical scope to development effort. Independent validation of parametric cost-estimation tools for NASA missions establishes that element cost, and by extension development effort, scales with technical scope in a characterizable way</w:t>
      </w:r>
      <w:r>
        <w:t xml:space="preserve"> </w:t>
      </w:r>
      <w:hyperlink w:anchor="ref-5">
        <w:r>
          <w:rPr>
            <w:rStyle w:val="Hyperlink"/>
          </w:rPr>
          <w:t xml:space="preserve">[5]</w:t>
        </w:r>
      </w:hyperlink>
      <w:r>
        <w:t xml:space="preserve">, and the parametric cost-estimating-relationship literature formalizes the same scope-to-effort logic for conceptual design and technology development</w:t>
      </w:r>
      <w:r>
        <w:t xml:space="preserve"> </w:t>
      </w:r>
      <w:hyperlink w:anchor="ref-6">
        <w:r>
          <w:rPr>
            <w:rStyle w:val="Hyperlink"/>
          </w:rPr>
          <w:t xml:space="preserve">[6]</w:t>
        </w:r>
      </w:hyperlink>
      <w:r>
        <w:t xml:space="preserve">. The new-technology count is intended as an observable, document-grounded surrogate for that scope-and-readiness burden: it captures the quantity of capability that had to be matured rather than merely inherited, which is the dimension of difficulty the parametric logic identifies as a driver of effort and schedule. The readiness literature reinforces that technology not yet mature for its intended mission is a direct driver of development risk and schedule</w:t>
      </w:r>
      <w:r>
        <w:t xml:space="preserve"> </w:t>
      </w:r>
      <w:hyperlink w:anchor="ref-8">
        <w:r>
          <w:rPr>
            <w:rStyle w:val="Hyperlink"/>
          </w:rPr>
          <w:t xml:space="preserve">[8]</w:t>
        </w:r>
      </w:hyperlink>
      <w:r>
        <w:t xml:space="preserve">.</w:t>
      </w:r>
    </w:p>
    <w:p>
      <w:pPr>
        <w:pStyle w:val="BodyText"/>
        <w:spacing w:line="480" w:lineRule="auto"/>
        <w:ind w:firstLine="720"/>
      </w:pPr>
      <w:r>
        <w:t xml:space="preserve">The realized counts range across the dataset from elements with a small number of new technologies, such as several of the orbiters, to elements with a large maturation burden, such as the Mars Science Laboratory and the prospective sample-return segment. The count is constructed from the same press-kit and mission-description record for every element so that the proxy is comparable across the population, and it is held constant as a control in the survival model precisely so that the sequencing coefficient is estimated off variation orthogonal to measured difficulty. This is the central measurement device by which the design separates the effect of where an element sits in line from the effect of how much new capability it was asked to mature.</w:t>
      </w:r>
    </w:p>
    <w:bookmarkEnd w:id="116"/>
    <w:bookmarkStart w:id="117" w:name="constructing-the-flagship-indicator"/>
    <w:p>
      <w:pPr>
        <w:pStyle w:val="Heading2"/>
        <w:spacing w:line="480" w:lineRule="auto"/>
      </w:pPr>
      <w:r>
        <w:t xml:space="preserve">4.9 Constructing the Flagship Indicator</w:t>
      </w:r>
    </w:p>
    <w:p>
      <w:pPr>
        <w:pStyle w:val="FirstParagraph"/>
        <w:spacing w:line="480" w:lineRule="auto"/>
      </w:pPr>
      <w:r>
        <w:t xml:space="preserve">The flagship indicator is a binary variable taking the value one for elements in the largest cost tier and zero otherwise. It is coded from the NASA mission-class designation and from the GAO major-project cost tiering, both of which classify projects by cost scale. In the realized dataset the flagship elements are the Mars Science Laboratory, Mars 2020 Perseverance, the Mars Sample Return segment, Cassini, Galileo, Europa Clipper, and the Europa Lander concept, each of which sits in the flagship cost tier of its era.</w:t>
      </w:r>
    </w:p>
    <w:p>
      <w:pPr>
        <w:pStyle w:val="BodyText"/>
        <w:spacing w:line="480" w:lineRule="auto"/>
        <w:ind w:firstLine="720"/>
      </w:pPr>
      <w:r>
        <w:t xml:space="preserve">The indicator is included because flagship-class missions carry a documented record of overrun and schedule slip distinct from smaller mission classes</w:t>
      </w:r>
      <w:r>
        <w:t xml:space="preserve"> </w:t>
      </w:r>
      <w:hyperlink w:anchor="ref-3">
        <w:r>
          <w:rPr>
            <w:rStyle w:val="Hyperlink"/>
          </w:rPr>
          <w:t xml:space="preserve">[3]</w:t>
        </w:r>
      </w:hyperlink>
      <w:r>
        <w:t xml:space="preserve"> </w:t>
      </w:r>
      <w:hyperlink w:anchor="ref-4">
        <w:r>
          <w:rPr>
            <w:rStyle w:val="Hyperlink"/>
          </w:rPr>
          <w:t xml:space="preserve">[4]</w:t>
        </w:r>
      </w:hyperlink>
      <w:r>
        <w:t xml:space="preserve">. By marking flagship status explicitly, the model can absorb the portion of cost and schedule difficulty that attaches to flagship scale as a class characteristic, so that the sequencing and readiness terms are not left to proxy for it. The dataset contains relatively few flagship elements, which is an intrinsic feature of the population rather than a defect of collection, since the agency commits few flagship missions in any era. The sparsity of the flagship cell is acknowledged here as a measurement fact that will propagate into wide confidence intervals on the flagship coefficient in the inferential chapters, and it is recorded rather than concealed.</w:t>
      </w:r>
    </w:p>
    <w:bookmarkEnd w:id="117"/>
    <w:bookmarkStart w:id="118" w:name="cross-source-joins-and-keying-discipline"/>
    <w:p>
      <w:pPr>
        <w:pStyle w:val="Heading2"/>
        <w:spacing w:line="480" w:lineRule="auto"/>
      </w:pPr>
      <w:r>
        <w:t xml:space="preserve">4.10 Cross-Source Joins and Keying Discipline</w:t>
      </w:r>
    </w:p>
    <w:p>
      <w:pPr>
        <w:pStyle w:val="FirstParagraph"/>
        <w:spacing w:line="480" w:lineRule="auto"/>
      </w:pPr>
      <w:r>
        <w:t xml:space="preserve">The dataset is assembled by joining records from the GAO series, the agency mission documentation, the architecture studies, and the supplementary cost records, and the integrity of that assembly depends on a strict keying discipline. Cross-source joins are keyed on project identity and baseline milestone date, so that each element appears exactly once per observation with an auditable lineage from raw source to modeled variable. The project identity key prevents a single element from being double-counted when it appears in multiple sources, and the baseline-milestone key fixes the confirmation point that anchors both the duration origin and the cost-growth denominator, ensuring that the outcome and the cost variable are measured against the same committed baseline.</w:t>
      </w:r>
    </w:p>
    <w:p>
      <w:pPr>
        <w:pStyle w:val="BodyText"/>
        <w:spacing w:line="480" w:lineRule="auto"/>
        <w:ind w:firstLine="720"/>
      </w:pPr>
      <w:r>
        <w:t xml:space="preserve">The keying discipline also resolves the alignment of supplementary sources with the GAO spine. When the Europa Clipper cost record is taken from the Planetary Society documentation or the Psyche cost growth from the independent-review-board report, the supplementary value is bound to the same project identity and baseline milestone as the GAO observation for that element, so that the supplementary record refines rather than duplicates the spine. Each row’s source field then records the governing document or documents, completing the lineage so that any modeled quantity can be traced back to the primary record from which it was constructed. This discipline is what permits the embedded analytical workbook to reproduce the variable definitions with their sources alongside the estimator output, so that every number on the analytical page traces to its origin.</w:t>
      </w:r>
    </w:p>
    <w:bookmarkEnd w:id="118"/>
    <w:bookmarkStart w:id="119" w:name="measurement-limitations"/>
    <w:p>
      <w:pPr>
        <w:pStyle w:val="Heading2"/>
        <w:spacing w:line="480" w:lineRule="auto"/>
      </w:pPr>
      <w:r>
        <w:t xml:space="preserve">4.11 Measurement Limitations</w:t>
      </w:r>
    </w:p>
    <w:p>
      <w:pPr>
        <w:pStyle w:val="FirstParagraph"/>
        <w:spacing w:line="480" w:lineRule="auto"/>
      </w:pPr>
      <w:r>
        <w:t xml:space="preserve">Four measurement limitations bound the dataset and are stated here so that they may be carried forward into the inferential chapters rather than discovered there. The first is the small population. The set of NASA planetary and deep-space elements with documented baselines is genuinely small, thirty elements in the realized cross-section with twenty-seven launch events, and the flagship and censored cells are sparser still. This is a property of the phenomenon rather than of the collection effort, but it limits the power of any estimate built on the data and inflates the standard errors, most visibly on the flagship coefficient.</w:t>
      </w:r>
    </w:p>
    <w:p>
      <w:pPr>
        <w:pStyle w:val="BodyText"/>
        <w:spacing w:line="480" w:lineRule="auto"/>
        <w:ind w:firstLine="720"/>
      </w:pPr>
      <w:r>
        <w:t xml:space="preserve">The second is baseline definition and rebaselining. Cost and schedule growth depend on which baseline serves as the denominator, and programs that are rebaselined can mask growth by resetting the reference. The construction anchors on the first audited baseline reported in the GAO assessments and treats rebaselining events as observable rather than ignoring them, but the residual sensitivity of the outcome to baseline choice remains a measurement limitation that the inferential design must address by reporting against both original and most-recent baselines.</w:t>
      </w:r>
    </w:p>
    <w:p>
      <w:pPr>
        <w:pStyle w:val="BodyText"/>
        <w:spacing w:line="480" w:lineRule="auto"/>
        <w:ind w:firstLine="720"/>
      </w:pPr>
      <w:r>
        <w:t xml:space="preserve">The third is the illustrative status of projected durations for unlaunched elements. The censored elements include cases for which a development-to-launch duration could only be projected rather than observed, and although these values are explicitly marked illustrative in the source field and never substitute for an observed launch, their presence means that a small number of duration values are documented projections rather than realized measurements. The survival framing mitigates this by treating the unlaunched elements as censored, but the projection status is a limitation of those specific cells.</w:t>
      </w:r>
    </w:p>
    <w:p>
      <w:pPr>
        <w:pStyle w:val="BodyText"/>
        <w:spacing w:line="480" w:lineRule="auto"/>
        <w:ind w:firstLine="720"/>
      </w:pPr>
      <w:r>
        <w:t xml:space="preserve">The fourth is the proxy nature of the readiness measure. The new-technology count is a document-grounded surrogate for technology readiness, calibrated against the parametric scope-to-effort logic</w:t>
      </w:r>
      <w:r>
        <w:t xml:space="preserve"> </w:t>
      </w:r>
      <w:hyperlink w:anchor="ref-5">
        <w:r>
          <w:rPr>
            <w:rStyle w:val="Hyperlink"/>
          </w:rPr>
          <w:t xml:space="preserve">[5]</w:t>
        </w:r>
      </w:hyperlink>
      <w:r>
        <w:t xml:space="preserve"> </w:t>
      </w:r>
      <w:hyperlink w:anchor="ref-6">
        <w:r>
          <w:rPr>
            <w:rStyle w:val="Hyperlink"/>
          </w:rPr>
          <w:t xml:space="preserve">[6]</w:t>
        </w:r>
      </w:hyperlink>
      <w:r>
        <w:t xml:space="preserve">, but it is a count of capabilities rather than a direct readiness-level reading, and it inherits whatever coarseness attaches to the agency’s own characterization of which technologies were new or mission-critical. The proxy is constructed identically across the population to preserve comparability, but its surrogate character bounds the precision with which the design can separate sequencing from difficulty. These four limitations are the measurement preconditions under which the estimated coefficients of the following chapters must be read.</w:t>
      </w:r>
    </w:p>
    <w:bookmarkEnd w:id="119"/>
    <w:bookmarkEnd w:id="120"/>
    <w:bookmarkStart w:id="137" w:name="chapter-5.-methods-and-identification"/>
    <w:p>
      <w:pPr>
        <w:pStyle w:val="Heading1"/>
        <w:spacing w:line="480" w:lineRule="auto"/>
      </w:pPr>
      <w:r>
        <w:t xml:space="preserve">Chapter 5. Methods and Identification</w:t>
      </w:r>
    </w:p>
    <w:bookmarkStart w:id="121" w:name="purpose-and-logic-of-the-chapter"/>
    <w:p>
      <w:pPr>
        <w:pStyle w:val="Heading2"/>
        <w:spacing w:line="480" w:lineRule="auto"/>
      </w:pPr>
      <w:r>
        <w:t xml:space="preserve">5.1 Purpose and Logic of the Chapter</w:t>
      </w:r>
    </w:p>
    <w:p>
      <w:pPr>
        <w:pStyle w:val="FirstParagraph"/>
        <w:spacing w:line="480" w:lineRule="auto"/>
      </w:pPr>
      <w:r>
        <w:t xml:space="preserve">This chapter specifies how the dissertation’s single falsifiable contribution is estimated and how its causal interpretation is defended. The measurement foundation laid in Chapter 4 fixes the unit of analysis as the campaign element, the sequencing position as the ordinal place of an element within the committed acquisition sequence of its campaign line, and the family of audited public sources from which the outcome and covariate values are drawn. The task now is to convert that foundation into estimated quantities and to state, before any number is reported, the conditions under which those quantities may be read as evidence about sequencing rather than as evidence about something else.</w:t>
      </w:r>
    </w:p>
    <w:p>
      <w:pPr>
        <w:pStyle w:val="BodyText"/>
        <w:spacing w:line="480" w:lineRule="auto"/>
        <w:ind w:firstLine="720"/>
      </w:pPr>
      <w:r>
        <w:t xml:space="preserve">The design is mixed by necessity rather than by preference. The quantitative core delivers the signed coefficient on sequencing position that the hypotheses require; the qualitative cross-check defends the interpretation of that coefficient as a sequencing effect rather than a residue of unmeasured difficulty. Neither component is sufficient alone. The panel and survival estimators cannot, on their own, distinguish sequencing from latent hardness, because the same planners who order the elements also choose how hard each element will be; the case reconstructions cannot, on their own, generalize beyond the handful of lines they can trace. Together they yield a coefficient that is at once estimated, signed, bounded, and interpretable.</w:t>
      </w:r>
    </w:p>
    <w:p>
      <w:pPr>
        <w:pStyle w:val="BodyText"/>
        <w:spacing w:line="480" w:lineRule="auto"/>
        <w:ind w:firstLine="720"/>
      </w:pPr>
      <w:r>
        <w:t xml:space="preserve">The chapter proceeds from estimators to identification to threats. Section 5.2 states the estimands and the two complementary estimators, the fixed-effects panel model of cost and schedule growth and the Cox proportional-hazards model of development-to-launch duration. Section 5.3 specifies each estimator in turn, including the functional form, the covariate set, and the inference procedure appropriate to a small population. Section 5.4 sets out the identification strategy, naming the identifying assumption explicitly and describing the qualitative cross-check that disciplines the econometric coefficient. Section 5.5 enumerates the threats to validity and states, for each, the specific device by which the threat is bounded. The governing commitment of the chapter is that the contribution survives only if the sequencing effect persists after the parametric scope baseline has absorbed technical difficulty, and that the absence of such persistence is itself a reportable finding rather than a failure.</w:t>
      </w:r>
    </w:p>
    <w:bookmarkEnd w:id="121"/>
    <w:bookmarkStart w:id="122" w:name="X8ec277c980554a95f88acfbbc659a4a8ad71413"/>
    <w:p>
      <w:pPr>
        <w:pStyle w:val="Heading2"/>
        <w:spacing w:line="480" w:lineRule="auto"/>
      </w:pPr>
      <w:r>
        <w:t xml:space="preserve">5.2 Estimands and the Choice of Two Estimators</w:t>
      </w:r>
    </w:p>
    <w:p>
      <w:pPr>
        <w:pStyle w:val="FirstParagraph"/>
        <w:spacing w:line="480" w:lineRule="auto"/>
      </w:pPr>
      <w:r>
        <w:t xml:space="preserve">The dissertation poses one question, whether the order of acquisition leaves a measurable trace on cost and schedule outcomes net of technical difficulty, and answers it with two estimators that view the same question through different outcome representations. The estimand common to both is the partial effect of sequencing position on a campaign element’s programmatic outturn, holding technical scope and element-level technology readiness constant. The two estimators differ in how they render the schedule dimension of that outturn, and the difference is deliberate.</w:t>
      </w:r>
    </w:p>
    <w:p>
      <w:pPr>
        <w:pStyle w:val="BodyText"/>
        <w:spacing w:line="480" w:lineRule="auto"/>
        <w:ind w:firstLine="720"/>
      </w:pPr>
      <w:r>
        <w:t xml:space="preserve">The first estimand is the magnitude of cost and schedule growth, defined as the ratio of outturn to the cost and schedule committed at the element’s baseline commitment milestone</w:t>
      </w:r>
      <w:r>
        <w:t xml:space="preserve"> </w:t>
      </w:r>
      <w:hyperlink w:anchor="ref-5">
        <w:r>
          <w:rPr>
            <w:rStyle w:val="Hyperlink"/>
          </w:rPr>
          <w:t xml:space="preserve">[5]</w:t>
        </w:r>
      </w:hyperlink>
      <w:r>
        <w:t xml:space="preserve">. This is the natural object for a panel model, because growth over baseline is a continuous outcome that can be regressed on sequencing position alongside controls and absorbed fixed effects. The second estimand is the rate at which an element reaches launch, expressed as the instantaneous hazard of the terminal launch event given that the element has survived in development to a given time. This is the natural object for a survival model, because development-to-launch time is a duration with a well-defined origin at confirmation, a well-defined terminal event at launch, and a category of elements still at risk for which the event has not occurred.</w:t>
      </w:r>
    </w:p>
    <w:p>
      <w:pPr>
        <w:pStyle w:val="BodyText"/>
        <w:spacing w:line="480" w:lineRule="auto"/>
        <w:ind w:firstLine="720"/>
      </w:pPr>
      <w:r>
        <w:t xml:space="preserve">The decision to estimate both, rather than to collapse the schedule outcome into a single growth percentage, is methodologically load-bearing. Reframing the schedule outcome as a duration recovers information that a growth percentage discards, because elements still in development, in replan, or cancelled before delivery are right-censored rather than missing, and these censored elements include the very sample-return architecture whose interdependency is most likely to carry a sequencing signature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A model built on growth alone would either drop those elements or impute their outcomes, and either choice would discard the most informative future observations. The survival estimator retains them as censored, contributing to the risk set up to their censoring time without supplying an event. The two estimators are therefore not redundant. The panel measures how large the overrun is; the survival model measures how slow the march to flight is; and a sequencing effect that fails to appear in one representation but appears in the other is itself diagnostic of the channel through which sequencing operates.</w:t>
      </w:r>
    </w:p>
    <w:bookmarkEnd w:id="122"/>
    <w:bookmarkStart w:id="126" w:name="estimator-specification"/>
    <w:p>
      <w:pPr>
        <w:pStyle w:val="Heading2"/>
        <w:spacing w:line="480" w:lineRule="auto"/>
      </w:pPr>
      <w:r>
        <w:t xml:space="preserve">5.3 Estimator Specification</w:t>
      </w:r>
    </w:p>
    <w:bookmarkStart w:id="123" w:name="the-fixed-effects-panel-estimator"/>
    <w:p>
      <w:pPr>
        <w:pStyle w:val="Heading3"/>
        <w:spacing w:line="480" w:lineRule="auto"/>
      </w:pPr>
      <w:r>
        <w:t xml:space="preserve">5.3.1 The fixed-effects panel estimator</w:t>
      </w:r>
    </w:p>
    <w:p>
      <w:pPr>
        <w:pStyle w:val="FirstParagraph"/>
        <w:spacing w:line="480" w:lineRule="auto"/>
      </w:pPr>
      <w:r>
        <w:t xml:space="preserve">The quantitative core for the cost-and-schedule-growth estimand is a fixed-effects panel model. For campaign element i in campaign line c and commitment epoch t, the outcome, cost growth in one specification and schedule growth in a separate specification, is modeled as a linear function of the sequencing position, a parametric scope index, and a technology-readiness measure, with campaign-line and epoch fixed effects entering additively. The line fixed effect absorbs everything that is constant within a capability lineage, including the heritage posture and interface conventions shared along the Mars surface line or the outer-planet line, and the epoch fixed effect absorbs era-wide shocks such as the budget environment of a given decade that move all elements committed in that period together. The campaign-line partition established in Chapter 4 is what makes these fixed effects estimable, because the sequencing position is defined within a line and the grouping over which the model differences is the same grouping within which the ordinal position has meaning.</w:t>
      </w:r>
    </w:p>
    <w:p>
      <w:pPr>
        <w:pStyle w:val="BodyText"/>
        <w:spacing w:line="480" w:lineRule="auto"/>
        <w:ind w:firstLine="720"/>
      </w:pPr>
      <w:r>
        <w:t xml:space="preserve">The coefficient of interest is the partial effect of sequencing position on growth, and it is identified off within-line, within-epoch variation that remains after the parametric scope index and the readiness measure have entered. The scope index is calibrated against the cost-estimating-relationship logic validated for NASA space missions</w:t>
      </w:r>
      <w:r>
        <w:t xml:space="preserve"> </w:t>
      </w:r>
      <w:hyperlink w:anchor="ref-5">
        <w:r>
          <w:rPr>
            <w:rStyle w:val="Hyperlink"/>
          </w:rPr>
          <w:t xml:space="preserve">[5]</w:t>
        </w:r>
      </w:hyperlink>
      <w:r>
        <w:t xml:space="preserve"> </w:t>
      </w:r>
      <w:r>
        <w:t xml:space="preserve">and formalized for conceptual design and technology development in the parametric cost-estimating literature</w:t>
      </w:r>
      <w:r>
        <w:t xml:space="preserve"> </w:t>
      </w:r>
      <w:hyperlink w:anchor="ref-6">
        <w:r>
          <w:rPr>
            <w:rStyle w:val="Hyperlink"/>
          </w:rPr>
          <w:t xml:space="preserve">[6]</w:t>
        </w:r>
      </w:hyperlink>
      <w:r>
        <w:t xml:space="preserve">, so that the difficulty of an element is represented by a quantity grounded in an external and independently validated mapping from technical scope to expected cost rather than by an ad hoc control. Because the population is small, the fixed effects are used sparingly, and the model reports specifications that interact sequencing position with the scope index to detect any residual confounding between the order of acquisition and measured difficulty.</w:t>
      </w:r>
    </w:p>
    <w:bookmarkEnd w:id="123"/>
    <w:bookmarkStart w:id="124" w:name="the-cox-proportional-hazards-estimator"/>
    <w:p>
      <w:pPr>
        <w:pStyle w:val="Heading3"/>
        <w:spacing w:line="480" w:lineRule="auto"/>
      </w:pPr>
      <w:r>
        <w:t xml:space="preserve">5.3.2 The Cox proportional-hazards estimator</w:t>
      </w:r>
    </w:p>
    <w:p>
      <w:pPr>
        <w:pStyle w:val="FirstParagraph"/>
        <w:spacing w:line="480" w:lineRule="auto"/>
      </w:pPr>
      <w:r>
        <w:t xml:space="preserve">The estimator for the duration estimand is a Cox proportional-hazards model. The hazard of launch for element i is modeled as the product of an unspecified baseline hazard and an exponential function of the sequencing position, cost growth, a count of new or mission-critical technologies, and a flagship indicator. The Cox model is the canonical estimator for this structure because it relates the covariates to the instantaneous hazard of the event without imposing a parametric shape on the underlying development timeline, which is appropriate because the dissertation has no theoretical warrant for assuming any particular distributional form for development-to-launch time. Estimation is by partial likelihood, and coefficients are reported both as log-hazard effects and as hazard ratios, with standard errors, z-statistics, p-values, and ninety-five-percent confidence intervals.</w:t>
      </w:r>
    </w:p>
    <w:p>
      <w:pPr>
        <w:pStyle w:val="BodyText"/>
        <w:spacing w:line="480" w:lineRule="auto"/>
        <w:ind w:firstLine="720"/>
      </w:pPr>
      <w:r>
        <w:t xml:space="preserve">The coefficient of interest is the hazard ratio on sequencing position. A hazard ratio above one means that later-sequenced elements reach launch faster, consistent with an inheritance mechanism in which proven interfaces and validated entry-descent-and-landing approaches propagate forward along the line and compress development. A hazard ratio below one means that later-sequenced elements reach launch more slowly, consistent with an escalating-ambition mechanism in which each element attempts more than the last because its predecessor retired enough risk to justify reaching further</w:t>
      </w:r>
      <w:r>
        <w:t xml:space="preserve"> </w:t>
      </w:r>
      <w:hyperlink w:anchor="ref-5">
        <w:r>
          <w:rPr>
            <w:rStyle w:val="Hyperlink"/>
          </w:rPr>
          <w:t xml:space="preserve">[5]</w:t>
        </w:r>
      </w:hyperlink>
      <w:r>
        <w:t xml:space="preserve"> </w:t>
      </w:r>
      <w:hyperlink w:anchor="ref-6">
        <w:r>
          <w:rPr>
            <w:rStyle w:val="Hyperlink"/>
          </w:rPr>
          <w:t xml:space="preserve">[6]</w:t>
        </w:r>
      </w:hyperlink>
      <w:r>
        <w:t xml:space="preserve">. A ratio indistinguishable from one means that sequencing leaves no measurable trace on the rate of completion once the controls are held constant. The sign of the estimated ratio therefore adjudicates between the two competing mechanisms, while its confidence interval determines whether either mechanism can be credited. Right-censored elements contribute to the risk set up to their censoring time but never supply an event, which is the appropriate treatment for missions still in development and is the device that retains the sample-return segment, the Europa Lander concept, and the restructured lunar rover in the estimation rather than discarding them</w:t>
      </w:r>
      <w:r>
        <w:t xml:space="preserve"> </w:t>
      </w:r>
      <w:hyperlink w:anchor="ref-1">
        <w:r>
          <w:rPr>
            <w:rStyle w:val="Hyperlink"/>
          </w:rPr>
          <w:t xml:space="preserve">[1]</w:t>
        </w:r>
      </w:hyperlink>
      <w:r>
        <w:t xml:space="preserve">.</w:t>
      </w:r>
    </w:p>
    <w:bookmarkEnd w:id="124"/>
    <w:bookmarkStart w:id="125" w:name="inference-under-a-small-population"/>
    <w:p>
      <w:pPr>
        <w:pStyle w:val="Heading3"/>
        <w:spacing w:line="480" w:lineRule="auto"/>
      </w:pPr>
      <w:r>
        <w:t xml:space="preserve">5.3.3 Inference under a small population</w:t>
      </w:r>
    </w:p>
    <w:p>
      <w:pPr>
        <w:pStyle w:val="FirstParagraph"/>
        <w:spacing w:line="480" w:lineRule="auto"/>
      </w:pPr>
      <w:r>
        <w:t xml:space="preserve">Both estimators operate on a small population, thirty elements with twenty-seven launch events in the realized cross-section, and the inference procedure is chosen to respect that constraint rather than to paper over it. The design does not rely on large-sample approximations that the degrees of freedom cannot support. For the panel model, the fixed effects are kept deliberately sparse so that they do not exhaust the variation, and the model reports exact and bootstrapped inference alongside the conventional standard errors so that the reader can see how much of the apparent precision survives a procedure that does not assume asymptotic normality. For the survival model, the confidence intervals are reported in full and are read literally, including the wide intervals that attach to sparse cells such as the flagship indicator, because a wide interval is itself information about how much the data can and cannot resolve. The estimator output, the variable definitions with their sources, and the figures are reproduced in the embedded analytical workbook so that every reported number traces to its source and the estimation is reproducible end to end.</w:t>
      </w:r>
    </w:p>
    <w:bookmarkEnd w:id="125"/>
    <w:bookmarkEnd w:id="126"/>
    <w:bookmarkStart w:id="129" w:name="identification-strategy"/>
    <w:p>
      <w:pPr>
        <w:pStyle w:val="Heading2"/>
        <w:spacing w:line="480" w:lineRule="auto"/>
      </w:pPr>
      <w:r>
        <w:t xml:space="preserve">5.4 Identification Strategy</w:t>
      </w:r>
    </w:p>
    <w:bookmarkStart w:id="127" w:name="the-identifying-assumption-1"/>
    <w:p>
      <w:pPr>
        <w:pStyle w:val="Heading3"/>
        <w:spacing w:line="480" w:lineRule="auto"/>
      </w:pPr>
      <w:r>
        <w:t xml:space="preserve">5.4.1 The identifying assumption</w:t>
      </w:r>
    </w:p>
    <w:p>
      <w:pPr>
        <w:pStyle w:val="FirstParagraph"/>
        <w:spacing w:line="480" w:lineRule="auto"/>
      </w:pPr>
      <w:r>
        <w:t xml:space="preserve">The identification problem is stated plainly. The coefficient on sequencing position can be read as the effect of acquisition order only if the order in which a campaign element is committed is not itself driven by unobserved element-specific cost-schedule shocks. The identifying assumption is therefore that, conditional on the parametric scope index, the technology-readiness measure, and the campaign-line and epoch fixed effects, an element’s ordinal position in the acquisition sequence is orthogonal to the residual determinants of its cost and schedule growth. Under this assumption the sequencing term is estimated off variation in position that is unrelated to measured difficulty, and its coefficient carries a causal reading.</w:t>
      </w:r>
    </w:p>
    <w:p>
      <w:pPr>
        <w:pStyle w:val="BodyText"/>
        <w:spacing w:line="480" w:lineRule="auto"/>
        <w:ind w:firstLine="720"/>
      </w:pPr>
      <w:r>
        <w:t xml:space="preserve">The assumption is not asserted to be self-evidently true. It is made credible by construction. The sequencing variable is coded from the documented architecture commitment record rather than from realized schedule, so that it cannot mechanically correlate with the outcome it is meant to explain</w:t>
      </w:r>
      <w:r>
        <w:t xml:space="preserve"> </w:t>
      </w:r>
      <w:hyperlink w:anchor="ref-1">
        <w:r>
          <w:rPr>
            <w:rStyle w:val="Hyperlink"/>
          </w:rPr>
          <w:t xml:space="preserve">[1]</w:t>
        </w:r>
      </w:hyperlink>
      <w:r>
        <w:t xml:space="preserve">. The parametric scope baseline and the readiness control are included precisely so that the term most likely to confound sequencing, the deliberate concentration of technical difficulty in particular positions, is absorbed before the sequencing coefficient is read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fixed effects remove line-specific heritage posture and era-specific budget shocks that would otherwise load onto position. What remains for the sequencing term to explain is the variation in outturn associated with where an element sits in line after difficulty, lineage, and era have been accounted for, which is the quantity the hypotheses concern.</w:t>
      </w:r>
    </w:p>
    <w:bookmarkEnd w:id="127"/>
    <w:bookmarkStart w:id="128" w:name="X4437830d206a5cf7d85bd47239f00e911a3f13b"/>
    <w:p>
      <w:pPr>
        <w:pStyle w:val="Heading3"/>
        <w:spacing w:line="480" w:lineRule="auto"/>
      </w:pPr>
      <w:r>
        <w:t xml:space="preserve">5.4.2 The qualitative cross-check as identification, not illustration</w:t>
      </w:r>
    </w:p>
    <w:p>
      <w:pPr>
        <w:pStyle w:val="FirstParagraph"/>
        <w:spacing w:line="480" w:lineRule="auto"/>
      </w:pPr>
      <w:r>
        <w:t xml:space="preserve">The case reconstructions are not decorative. They are part of the identification strategy, because the econometric coefficient alone cannot certify that an estimated association reflects a sequencing mechanism rather than a latent-difficulty artifact. For a small set of campaign elements spanning early, middle, and late sequence positions, the architecture commitment history is reconstructed from the primary concept-study and architecture documentation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r>
        <w:t xml:space="preserve">to verify two things. The first is that the modeled sequencing position corresponds to a genuine programmatic ordering of capability commitments and not to an arbitrary numbering, so that the variable measures what it claims to measure. The second is whether the interdependency mechanism is in fact the channel through which any sequencing effect operates, by tracing whether an inheritance or hand-off dependency runs from the earlier element to the later one in a manner consistent with the sign of the estimated coefficient</w:t>
      </w:r>
      <w:r>
        <w:t xml:space="preserve"> </w:t>
      </w:r>
      <w:hyperlink w:anchor="ref-4">
        <w:r>
          <w:rPr>
            <w:rStyle w:val="Hyperlink"/>
          </w:rPr>
          <w:t xml:space="preserve">[4]</w:t>
        </w:r>
      </w:hyperlink>
      <w:r>
        <w:t xml:space="preserve">.</w:t>
      </w:r>
    </w:p>
    <w:p>
      <w:pPr>
        <w:pStyle w:val="BodyText"/>
        <w:spacing w:line="480" w:lineRule="auto"/>
        <w:ind w:firstLine="720"/>
      </w:pPr>
      <w:r>
        <w:t xml:space="preserve">This cross-check disciplines the coefficient in a specific and falsifiable way. A non-zero sequencing coefficient is credited as a sequencing effect only where the case record shows an inheritance or hand-off dependency consistent with that sign. A coefficient that is statistically present but that the case record cannot tie to any documented dependency is treated as suspect rather than as confirmation, because it more plausibly reflects residual confounding than a genuine sequencing channel. The two components are mutually constraining. The panel and survival models supply the magnitude and sign that the cases cannot generalize; the cases supply the mechanism and the confirmation of construct validity that the models cannot establish. The defended causal reading is the product of both, and the dissertation does not claim a sequencing effect on the strength of either alone.</w:t>
      </w:r>
    </w:p>
    <w:bookmarkEnd w:id="128"/>
    <w:bookmarkEnd w:id="129"/>
    <w:bookmarkStart w:id="135" w:name="threats-to-validity-and-their-bounds"/>
    <w:p>
      <w:pPr>
        <w:pStyle w:val="Heading2"/>
        <w:spacing w:line="480" w:lineRule="auto"/>
      </w:pPr>
      <w:r>
        <w:t xml:space="preserve">5.5 Threats to Validity and Their Bounds</w:t>
      </w:r>
    </w:p>
    <w:p>
      <w:pPr>
        <w:pStyle w:val="FirstParagraph"/>
        <w:spacing w:line="480" w:lineRule="auto"/>
      </w:pPr>
      <w:r>
        <w:t xml:space="preserve">The credibility of the design rests on naming the threats to validity in advance and stating, for each, the device by which it is bounded. Five threats are material, and none is left to the reader to discover in the results.</w:t>
      </w:r>
    </w:p>
    <w:bookmarkStart w:id="130" w:name="endogenous-sequencing"/>
    <w:p>
      <w:pPr>
        <w:pStyle w:val="Heading3"/>
        <w:spacing w:line="480" w:lineRule="auto"/>
      </w:pPr>
      <w:r>
        <w:t xml:space="preserve">5.5.1 Endogenous sequencing</w:t>
      </w:r>
    </w:p>
    <w:p>
      <w:pPr>
        <w:pStyle w:val="FirstParagraph"/>
        <w:spacing w:line="480" w:lineRule="auto"/>
      </w:pPr>
      <w:r>
        <w:t xml:space="preserve">The gravest threat is that planners order elements by anticipated difficulty, deliberately committing the technically hardest elements last, so that the sequencing position proxies for unobserved hardness and the coefficient that appears to measure sequencing in fact measures difficulty. Three layered defenses bound it. The first is the parametric scope baseline, which represents measured difficulty by a quantity grounded in an independently validated cost-estimating relationship, so that the sequencing term is estimated off variation orthogonal to scope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second is the technology-readiness control, which absorbs the maturation burden that difficulty triage would otherwise smuggle into the position term. The third is the set of scope-interaction specifications, which let the data reveal any residual dependence of the sequencing effect on difficulty, and the case reconstructions, which confirm directly whether the observed ordering reflects capability hand-offs rather than difficulty triage</w:t>
      </w:r>
      <w:r>
        <w:t xml:space="preserve"> </w:t>
      </w:r>
      <w:hyperlink w:anchor="ref-1">
        <w:r>
          <w:rPr>
            <w:rStyle w:val="Hyperlink"/>
          </w:rPr>
          <w:t xml:space="preserve">[1]</w:t>
        </w:r>
      </w:hyperlink>
      <w:r>
        <w:t xml:space="preserve">. Endogenous sequencing is not assumed away; it is the threat the entire control structure is built to neutralize, and the cross-check is the audit that confirms the neutralization.</w:t>
      </w:r>
    </w:p>
    <w:bookmarkEnd w:id="130"/>
    <w:bookmarkStart w:id="131" w:name="Xef5c3ed55b9bde6d629db8e530bdd6d40971ec4"/>
    <w:p>
      <w:pPr>
        <w:pStyle w:val="Heading3"/>
        <w:spacing w:line="480" w:lineRule="auto"/>
      </w:pPr>
      <w:r>
        <w:t xml:space="preserve">5.5.2 Small N and the degrees-of-freedom problem</w:t>
      </w:r>
    </w:p>
    <w:p>
      <w:pPr>
        <w:pStyle w:val="FirstParagraph"/>
        <w:spacing w:line="480" w:lineRule="auto"/>
      </w:pPr>
      <w:r>
        <w:t xml:space="preserve">The population of Mars and planetary campaign elements with audited baselines is small, and the flagship and censored cells are sparser still. This limits the power of any estimate built on the data and inflates the standard errors, a fact already visible in the companion survival result, where the flagship hazard ratio carries an interval wide enough to admit both a large slowing effect and none at all. The threat is bounded rather than eliminated. The design pools across comparable planetary campaign lines where the sequencing construct transfers, so that the estimation draws on six lines rather than one; it uses campaign and epoch fixed effects sparingly so that the grouping structure does not exhaust the variation; and it reports exact and bootstrapped inference rather than relying on large-sample approximations the data cannot support. A null in this setting is interpreted as an absence of detectable effect under limited power, not as a proof of no effect, and the dissertation states that interpretation explicitly wherever a null is reported.</w:t>
      </w:r>
    </w:p>
    <w:bookmarkEnd w:id="131"/>
    <w:bookmarkStart w:id="132" w:name="baseline-definition-and-rebaselining"/>
    <w:p>
      <w:pPr>
        <w:pStyle w:val="Heading3"/>
        <w:spacing w:line="480" w:lineRule="auto"/>
      </w:pPr>
      <w:r>
        <w:t xml:space="preserve">5.5.3 Baseline definition and rebaselining</w:t>
      </w:r>
    </w:p>
    <w:p>
      <w:pPr>
        <w:pStyle w:val="FirstParagraph"/>
        <w:spacing w:line="480" w:lineRule="auto"/>
      </w:pPr>
      <w:r>
        <w:t xml:space="preserve">Cost and schedule growth depend entirely on which baseline serves as the denominator, and programs that are rebaselined can mask growth by resetting the reference point, so that an element with substantial true overrun can appear well-behaved against a reset baseline. This threat is bounded by anchoring on the first audited baseline reported in the GAO Annual Assessments, treating the original commitment baseline as the reference against which growth is measured, and by treating rebaselining events as observable covariates rather than ignoring them. The outcomes are reported against both the original and the most-recent baselines, so that the sensitivity of the estimate to baseline choice is exposed rather than concealed. The keying discipline that binds each supplementary cost record to the same project identity and baseline milestone as its GAO observation ensures that the denominator is consistent across sources, so that a refinement from a supplementary record cannot silently shift the reference point.</w:t>
      </w:r>
    </w:p>
    <w:bookmarkEnd w:id="132"/>
    <w:bookmarkStart w:id="133" w:name="Xbeeddafa4cb1790a4c68fad7a01bde8ca5958be"/>
    <w:p>
      <w:pPr>
        <w:pStyle w:val="Heading3"/>
        <w:spacing w:line="480" w:lineRule="auto"/>
      </w:pPr>
      <w:r>
        <w:t xml:space="preserve">5.5.4 Interdependency as confounder versus mechanism</w:t>
      </w:r>
    </w:p>
    <w:p>
      <w:pPr>
        <w:pStyle w:val="FirstParagraph"/>
        <w:spacing w:line="480" w:lineRule="auto"/>
      </w:pPr>
      <w:r>
        <w:t xml:space="preserve">Program interdependencies are known to drive cost and schedule movement, and an unforeseen interdependency can propagate into schedule changes and subsequent cost hikes</w:t>
      </w:r>
      <w:r>
        <w:t xml:space="preserve"> </w:t>
      </w:r>
      <w:hyperlink w:anchor="ref-4">
        <w:r>
          <w:rPr>
            <w:rStyle w:val="Hyperlink"/>
          </w:rPr>
          <w:t xml:space="preserve">[4]</w:t>
        </w:r>
      </w:hyperlink>
      <w:r>
        <w:t xml:space="preserve">. The question for identification is whether interdependency is the channel through which sequencing operates, in which case it is the mechanism the dissertation seeks to estimate, or whether it is an independent confounder that moves outcomes without regard to acquisition order. The case reconstructions adjudicate this directly by tracing whether the dependency runs along the acquisition sequence, as a clean hand-off from an earlier element to a later one, or cuts across it, as a coordination tax unrelated to position. Where the dependency runs along the sequence it is the mechanism; where it cuts across it is a confounder. The model bounds the confounding case by reporting robustness to dropping cross-sequence-dependent elements, so that the sequencing coefficient can be examined on the subset for which interdependency, if it operates at all, operates along the sequence rather than against it.</w:t>
      </w:r>
    </w:p>
    <w:bookmarkEnd w:id="133"/>
    <w:bookmarkStart w:id="134" w:name="Xcc1e68acc760d4c465ed30bd3269873b7647ea7"/>
    <w:p>
      <w:pPr>
        <w:pStyle w:val="Heading3"/>
        <w:spacing w:line="480" w:lineRule="auto"/>
      </w:pPr>
      <w:r>
        <w:t xml:space="preserve">5.5.5 External validity to future architectures</w:t>
      </w:r>
    </w:p>
    <w:p>
      <w:pPr>
        <w:pStyle w:val="FirstParagraph"/>
        <w:spacing w:line="480" w:lineRule="auto"/>
      </w:pPr>
      <w:r>
        <w:t xml:space="preserve">Estimates drawn from past and current elements may not transfer to a future Mars Sample Return execution, whose scale and interdependency exceed those of any element in the realized record</w:t>
      </w:r>
      <w:r>
        <w:t xml:space="preserve"> </w:t>
      </w:r>
      <w:hyperlink w:anchor="ref-1">
        <w:r>
          <w:rPr>
            <w:rStyle w:val="Hyperlink"/>
          </w:rPr>
          <w:t xml:space="preserve">[1]</w:t>
        </w:r>
      </w:hyperlink>
      <w:r>
        <w:t xml:space="preserve">. This threat is bounded by refusing to overclaim. The coefficient is presented as conditional on the historical campaign structure from which it is estimated, and the parametric architecture-comparison logic is used to indicate where the estimate is and is not portable across designs, since a parametric comparison can show which features of an architecture an estimate depends upon</w:t>
      </w:r>
      <w:r>
        <w:t xml:space="preserve"> </w:t>
      </w:r>
      <w:hyperlink w:anchor="ref-2">
        <w:r>
          <w:rPr>
            <w:rStyle w:val="Hyperlink"/>
          </w:rPr>
          <w:t xml:space="preserve">[2]</w:t>
        </w:r>
      </w:hyperlink>
      <w:r>
        <w:t xml:space="preserve">. The right-censored elements, including the sample-return segment itself, are retained in the survival estimation so that the model can be refit as those elements resolve and the sequencing coefficient re-estimated on observations that have actually occurred. The dissertation thus treats external validity as a bounded and revisable claim rather than a settled one, stating where the present estimate applies and naming the future observations that would extend or overturn it.</w:t>
      </w:r>
    </w:p>
    <w:bookmarkEnd w:id="134"/>
    <w:bookmarkEnd w:id="135"/>
    <w:bookmarkStart w:id="136" w:name="synthesis"/>
    <w:p>
      <w:pPr>
        <w:pStyle w:val="Heading2"/>
        <w:spacing w:line="480" w:lineRule="auto"/>
      </w:pPr>
      <w:r>
        <w:t xml:space="preserve">5.6 Synthesis</w:t>
      </w:r>
    </w:p>
    <w:p>
      <w:pPr>
        <w:pStyle w:val="FirstParagraph"/>
        <w:spacing w:line="480" w:lineRule="auto"/>
      </w:pPr>
      <w:r>
        <w:t xml:space="preserve">The methods of this dissertation are arranged so that the single falsifiable contribution can be stated as a signed, bounded coefficient on sequencing position with a defended causal reading, or else honestly reported as absent. The fixed-effects panel estimator delivers the magnitude of cost and schedule growth associated with acquisition order net of difficulty; the Cox survival estimator delivers the rate at which elements reach launch and adjudicates the inheritance and escalating-ambition mechanisms through the sign of the hazard ratio. The identifying assumption is made credible by coding sequencing from the documented commitment record, by absorbing measured difficulty with a parametrically grounded scope baseline and a readiness control, and by removing line and epoch shocks with sparse fixed effects. The qualitative cross-check converts the econometric coefficient from a correlation into a mechanism by certifying that any credited effect runs along a documented capability hand-off. Each of the five material threats to validity is bounded by a named device rather than dismissed, and the small-population caveat is carried explicitly into the reading of every null. The contribution is falsified if the sequencing coefficient is statistically indistinguishable from zero and confined within a managerially negligible interval across the panel specification and the case-reconstruction cross-check, and that falsification, should it obtain, is reported as a disciplined negative rather than suppressed. The chapters that follow apply these estimators to the data constructed in Chapter 4 and report the coefficients they yield.</w:t>
      </w:r>
    </w:p>
    <w:bookmarkEnd w:id="136"/>
    <w:bookmarkEnd w:id="137"/>
    <w:bookmarkStart w:id="145" w:name="chapter-6.-results"/>
    <w:p>
      <w:pPr>
        <w:pStyle w:val="Heading1"/>
        <w:spacing w:line="480" w:lineRule="auto"/>
      </w:pPr>
      <w:r>
        <w:t xml:space="preserve">Chapter 6. Results</w:t>
      </w:r>
    </w:p>
    <w:bookmarkStart w:id="138" w:name="purpose-and-organization-of-the-chapter"/>
    <w:p>
      <w:pPr>
        <w:pStyle w:val="Heading2"/>
        <w:spacing w:line="480" w:lineRule="auto"/>
      </w:pPr>
      <w:r>
        <w:t xml:space="preserve">6.1 Purpose and Organization of the Chapter</w:t>
      </w:r>
    </w:p>
    <w:p>
      <w:pPr>
        <w:pStyle w:val="FirstParagraph"/>
        <w:spacing w:line="480" w:lineRule="auto"/>
      </w:pPr>
      <w:r>
        <w:t xml:space="preserve">This chapter presents and interprets the estimated findings of the dissertation’s empirical core. The single falsifiable contribution announced in Chapter 3 is an estimate of the partial effect of programmatic sequencing position on the cost and schedule performance of NASA planetary campaign elements, signed and bounded, net of technical scope and element-level technology readiness. Two analytical strands carry that contribution. The companion panel study reframes the schedule outcome as a magnitude of cost and schedule growth and absorbs campaign-line and epoch shocks through fixed effects. The survival study reframes the schedule outcome as a development-to-launch duration and estimates the hazard of reaching launch with a Cox proportional-hazards model. This chapter reports the survival estimates in full numerical detail, interprets each coefficient against the mechanisms set out in Chapter 3, and reads the two strands together to adjudicate the central hypothesis.</w:t>
      </w:r>
    </w:p>
    <w:p>
      <w:pPr>
        <w:pStyle w:val="BodyText"/>
        <w:spacing w:line="480" w:lineRule="auto"/>
        <w:ind w:firstLine="720"/>
      </w:pPr>
      <w:r>
        <w:t xml:space="preserve">The governing discipline of the chapter is that no quantity is asserted that does not trace to estimator output. The tables, the model formula, the variable definitions with sources, and the figure that accompany these estimates are reproduced in Appendix A and in the embedded analytical workbook rather than pasted into the running text, so that the prose here is free to interpret while every number remains auditable to its source. The chapter proceeds from the estimated model specification in Section 6.2, to the focal sequencing estimate in Section 6.3, to the control coefficients in Section 6.4, to the joint reading of the model in Section 6.5, to the relationship between the survival evidence and the panel companion in Section 6.6, and closes in Section 6.7 with a statement of what the results do and do not license.</w:t>
      </w:r>
    </w:p>
    <w:bookmarkEnd w:id="138"/>
    <w:bookmarkStart w:id="139" w:name="the-estimated-survival-specification"/>
    <w:p>
      <w:pPr>
        <w:pStyle w:val="Heading2"/>
        <w:spacing w:line="480" w:lineRule="auto"/>
      </w:pPr>
      <w:r>
        <w:t xml:space="preserve">6.2 The Estimated Survival Specification</w:t>
      </w:r>
    </w:p>
    <w:p>
      <w:pPr>
        <w:pStyle w:val="FirstParagraph"/>
        <w:spacing w:line="480" w:lineRule="auto"/>
      </w:pPr>
      <w:r>
        <w:t xml:space="preserve">The survival study is estimated on the realized cross-section of thirty NASA planetary and deep-space flight elements described in Chapter 4. The estimator is a Cox proportional-hazards regression fitted by partial likelihood, in which the hazard of launch for an element is the product of an unspecified baseline hazard and an exponential function of four covariates: the element’s ordinal sequencing position within its campaign line, its development cost growth in percent, a count of new or mission-critical technologies serving as a readiness-risk proxy, and a binary flagship indicator marking the largest cost-tier elements. The model imposes no parametric shape on the underlying development timeline, which is the property that recommends it for a process whose hazard is unlikely to be constant or monotone across the development phase.</w:t>
      </w:r>
    </w:p>
    <w:p>
      <w:pPr>
        <w:pStyle w:val="BodyText"/>
        <w:spacing w:line="480" w:lineRule="auto"/>
        <w:ind w:firstLine="720"/>
      </w:pPr>
      <w:r>
        <w:t xml:space="preserve">The fitted model uses all thirty elements and twenty-seven launch events. The discrepancy between the thirty elements and the twenty-seven events is not a deficiency of the data but the explicit accommodation of right-censoring that the survival framing requires. Three elements, namely the Mars Sample Return segment in replan, the Europa Lander pre-Phase-A concept, and the restructured VIPER lunar rover, had not experienced the terminal launch event as of the mid-2026 observation cutoff. They are not dropped and not imputed; they enter the risk set up to their censoring time and contribute the information that they survived their observed development window without launching, while supplying no event. The estimation therefore rests on twenty-seven observed development-to-launch transitions disciplined by three censored survivors, and every coefficient reported below is conditioned on that structure.</w:t>
      </w:r>
    </w:p>
    <w:p>
      <w:pPr>
        <w:pStyle w:val="BodyText"/>
        <w:spacing w:line="480" w:lineRule="auto"/>
        <w:ind w:firstLine="720"/>
      </w:pPr>
      <w:r>
        <w:t xml:space="preserve">Because the Cox model is semiparametric, its coefficients are interpreted on two scales. The log-hazard coefficient is the additive effect of a one-unit increase in a covariate on the log of the instantaneous hazard of launch, and its exponential is the hazard ratio, the multiplicative effect on the hazard itself. A hazard ratio above one means that higher values of the covariate accelerate the arrival of launch and shorten development; a ratio below one means that higher values slow the march to launch and lengthen development; a ratio indistinguishable from one means the covariate leaves no measurable trace on the rate of completion. The sign of the log-hazard coefficient and the position of the hazard ratio relative to one therefore carry the substantive reading, and the standard error, the z-statistic, the p-value, and the ninety-five-percent confidence interval carry the inferential weight.</w:t>
      </w:r>
    </w:p>
    <w:bookmarkEnd w:id="139"/>
    <w:bookmarkStart w:id="140" w:name="the-focal-estimate-sequencing-position"/>
    <w:p>
      <w:pPr>
        <w:pStyle w:val="Heading2"/>
        <w:spacing w:line="480" w:lineRule="auto"/>
      </w:pPr>
      <w:r>
        <w:t xml:space="preserve">6.3 The Focal Estimate: Sequencing Position</w:t>
      </w:r>
    </w:p>
    <w:p>
      <w:pPr>
        <w:pStyle w:val="FirstParagraph"/>
        <w:spacing w:line="480" w:lineRule="auto"/>
      </w:pPr>
      <w:r>
        <w:t xml:space="preserve">The coefficient of interest is the effect of sequencing position on the hazard of reaching launch, because it is the quantity that tests the dissertation’s central claim. The estimated log-hazard coefficient on sequencing position is minus 0.1132, with a standard error of 0.0984. The implied hazard ratio is 0.893. The z-statistic is minus 1.150 and the associated p-value is 0.2501. The ninety-five-percent confidence interval on the log-hazard coefficient runs from minus 0.306 to plus 0.080, and the interval comfortably contains zero.</w:t>
      </w:r>
    </w:p>
    <w:p>
      <w:pPr>
        <w:pStyle w:val="BodyText"/>
        <w:spacing w:line="480" w:lineRule="auto"/>
        <w:ind w:firstLine="720"/>
      </w:pPr>
      <w:r>
        <w:t xml:space="preserve">Read literally on the point estimate, each step later in a campaign’s acquisition sequence is associated with roughly an eleven-percent lower hazard of reaching launch. The complement of the hazard ratio, one minus 0.893, expresses this as an approximate eleven-percent reduction in the instantaneous rate of completion per ordinal position. An element committed fifth in a line would, on the point estimate alone and holding cost growth, readiness risk, and flagship class constant, face a markedly lower rate of arriving at launch than an element committed first in that line, because the multiplicative penalty compounds across positions. The direction of the point estimate is therefore that later-sequenced elements march more slowly to flight rather than faster, a sign that leans toward the escalating-ambition mechanism of Chapter 3, under which later elements attempt more than their predecessors and so lengthen development, and against the inheritance mechanism, under which later elements adopt proven interfaces and heritage and so compress development.</w:t>
      </w:r>
    </w:p>
    <w:p>
      <w:pPr>
        <w:pStyle w:val="BodyText"/>
        <w:spacing w:line="480" w:lineRule="auto"/>
        <w:ind w:firstLine="720"/>
      </w:pPr>
      <w:r>
        <w:t xml:space="preserve">The inferential reading governs over the directional reading, and it is decisive. The standard error of 0.0984 is large relative to the point estimate of minus 0.1132, so the z-statistic of minus 1.150 falls well short of the conventional critical value, and the p-value of 0.2501 is far from any threshold at which the null would be rejected. The ninety-five-percent confidence interval from minus 0.306 to plus 0.080 admits both a meaningful slowing and a modest acceleration of the launch hazard with sequencing position, and it admits the value of zero squarely in its interior. The null hypothesis of Chapter 3, that the coefficient on sequencing position is zero once scope, readiness, and class are controlled, therefore cannot be rejected on this dataset. On the survival evidence, sequencing position does not exert a statistically distinguishable effect on the rate at which a planetary element reaches launch. The lean toward escalating ambition is real in the point estimate but the evidence is too weak to credit it, because the interval that bounds the estimate is wide enough to be consistent with no effect at all.</w:t>
      </w:r>
    </w:p>
    <w:p>
      <w:pPr>
        <w:pStyle w:val="BodyText"/>
        <w:spacing w:line="480" w:lineRule="auto"/>
        <w:ind w:firstLine="720"/>
      </w:pPr>
      <w:r>
        <w:t xml:space="preserve">This is the disciplined null that the survival strand was designed to be capable of returning. The construction of the sequencing variable from documented commitment order rather than from realized schedule, described in Chapter 4, ensures that the absence of a significant association is not an artifact of mechanical correlation between the regressor and the outcome it is meant to explain. The variable was built to be able to detect a sequencing effect if one were present and orthogonal to measured difficulty; its coefficient, estimated off that orthogonal variation, is indistinguishable from zero. The contribution of this strand is therefore a signed point estimate of minus 0.1132 in log-hazard, a hazard ratio of 0.893, and a confidence interval that bounds the effect within an interval containing zero, which is precisely the bounded and falsifiable form the prospectus required of the finding.</w:t>
      </w:r>
    </w:p>
    <w:bookmarkEnd w:id="140"/>
    <w:bookmarkStart w:id="141" w:name="the-control-coefficients"/>
    <w:p>
      <w:pPr>
        <w:pStyle w:val="Heading2"/>
        <w:spacing w:line="480" w:lineRule="auto"/>
      </w:pPr>
      <w:r>
        <w:t xml:space="preserve">6.4 The Control Coefficients</w:t>
      </w:r>
    </w:p>
    <w:p>
      <w:pPr>
        <w:pStyle w:val="FirstParagraph"/>
        <w:spacing w:line="480" w:lineRule="auto"/>
      </w:pPr>
      <w:r>
        <w:t xml:space="preserve">The three control covariates are interpreted not as nuisance parameters to be partialled away and forgotten but as substantive estimates in their own right, because their pattern is what gives the focal null its meaning. Each control enters with a hazard ratio below one, and each is, on its own, short of conventional significance, but their direction is coherent and their joint pattern is the empirical signature of the escalating-ambition reading.</w:t>
      </w:r>
    </w:p>
    <w:p>
      <w:pPr>
        <w:pStyle w:val="BodyText"/>
        <w:spacing w:line="480" w:lineRule="auto"/>
        <w:ind w:firstLine="720"/>
      </w:pPr>
      <w:r>
        <w:t xml:space="preserve">The new-technology count is the strongest signal in the model and the control that most directly bears on the dissertation’s identification problem. Its estimated log-hazard coefficient is minus 0.4382, with a standard error of 0.2589, a hazard ratio of 0.645, and a p-value of 0.0905. The ninety-five-percent confidence interval on the coefficient runs from minus 0.946 to plus 0.069, and it only barely crosses zero. Each additional new or mission-critical technology that an element must mature is associated with roughly a thirty-five-percent lower hazard of reaching launch, the complement of the hazard ratio of 0.645. This is the readiness penalty that the literature anticipates. Technology not yet matured for its intended mission is a direct driver of development risk and schedule, and the parametric cost-estimation literature establishes that element effort scales with technical scope in a characterizable way</w:t>
      </w:r>
      <w:r>
        <w:t xml:space="preserve"> </w:t>
      </w:r>
      <w:hyperlink w:anchor="ref-5">
        <w:r>
          <w:rPr>
            <w:rStyle w:val="Hyperlink"/>
          </w:rPr>
          <w:t xml:space="preserve">[5]</w:t>
        </w:r>
      </w:hyperlink>
      <w:r>
        <w:t xml:space="preserve"> </w:t>
      </w:r>
      <w:hyperlink w:anchor="ref-6">
        <w:r>
          <w:rPr>
            <w:rStyle w:val="Hyperlink"/>
          </w:rPr>
          <w:t xml:space="preserve">[6]</w:t>
        </w:r>
      </w:hyperlink>
      <w:r>
        <w:t xml:space="preserve">, while the human-system risk literature reinforces that immature mission-critical capability lengthens development</w:t>
      </w:r>
      <w:r>
        <w:t xml:space="preserve"> </w:t>
      </w:r>
      <w:hyperlink w:anchor="ref-7">
        <w:r>
          <w:rPr>
            <w:rStyle w:val="Hyperlink"/>
          </w:rPr>
          <w:t xml:space="preserve">[7]</w:t>
        </w:r>
      </w:hyperlink>
      <w:r>
        <w:t xml:space="preserve">. The new-technology count approaches significance where sequencing position does not, and this contrast is the central interpretive fact of the chapter: the measured difficulty of an element, not its ordinal position, is what the data associate with a slower march to launch.</w:t>
      </w:r>
    </w:p>
    <w:p>
      <w:pPr>
        <w:pStyle w:val="BodyText"/>
        <w:spacing w:line="480" w:lineRule="auto"/>
        <w:ind w:firstLine="720"/>
      </w:pPr>
      <w:r>
        <w:t xml:space="preserve">Cost growth enters with an estimated log-hazard coefficient of minus 0.0333, a standard error of 0.0228, a hazard ratio of 0.967, and a p-value of 0.1442. Each additional percentage point of development cost growth over baseline is associated with a small reduction in the hazard of launch, roughly three-tenths of one percent per point of growth on the hazard-ratio scale. The estimate is modest in magnitude and short of significance, but its sign is sensible and expected. Cost difficulty and schedule difficulty co-move, so an element accumulating cost growth is, on average, an element whose development is also lengthening, and the negative coefficient records that joint movement rather than a causal claim that overrun by itself retards launch. The smallness of the coefficient is itself informative, indicating that once readiness and class are in the model, cost growth adds only a weak additional signal about the rate of completion.</w:t>
      </w:r>
    </w:p>
    <w:p>
      <w:pPr>
        <w:pStyle w:val="BodyText"/>
        <w:spacing w:line="480" w:lineRule="auto"/>
        <w:ind w:firstLine="720"/>
      </w:pPr>
      <w:r>
        <w:t xml:space="preserve">The flagship indicator carries the largest point estimate and the widest uncertainty. Its estimated log-hazard coefficient is minus 1.7842, with a standard error of 1.3763, a hazard ratio of 0.168, and a p-value of 0.1948. The ninety-five-percent confidence interval on the coefficient runs from minus 4.482 to plus 0.913. The point estimate says that flagship-class elements reach launch far more slowly than non-flagship elements, with a hazard of completion less than one-fifth that of comparable smaller elements, a direction that matches the documented record of flagship overrun and slip</w:t>
      </w:r>
      <w:r>
        <w:t xml:space="preserve"> </w:t>
      </w:r>
      <w:hyperlink w:anchor="ref-3">
        <w:r>
          <w:rPr>
            <w:rStyle w:val="Hyperlink"/>
          </w:rPr>
          <w:t xml:space="preserve">[3]</w:t>
        </w:r>
      </w:hyperlink>
      <w:r>
        <w:t xml:space="preserve"> </w:t>
      </w:r>
      <w:r>
        <w:t xml:space="preserve">and the propagation of unforeseen program interdependencies into schedule and cost movement</w:t>
      </w:r>
      <w:r>
        <w:t xml:space="preserve"> </w:t>
      </w:r>
      <w:hyperlink w:anchor="ref-4">
        <w:r>
          <w:rPr>
            <w:rStyle w:val="Hyperlink"/>
          </w:rPr>
          <w:t xml:space="preserve">[4]</w:t>
        </w:r>
      </w:hyperlink>
      <w:r>
        <w:t xml:space="preserve">. The inferential weight, however, is slight, because the standard error of 1.3763 is enormous relative to even this large coefficient, and the confidence interval is correspondingly wide, spanning from a severe flagship penalty to a modest flagship advantage. This is the clearest symptom in the model of the small-sample and sparse-cell limitation that Chapter 4 anticipated: the realized panel contains too few flagship elements to estimate their hazard precisely, so the flagship effect is large in expectation and unestimated in practice.</w:t>
      </w:r>
    </w:p>
    <w:bookmarkEnd w:id="141"/>
    <w:bookmarkStart w:id="142" w:name="the-model-read-as-a-whole"/>
    <w:p>
      <w:pPr>
        <w:pStyle w:val="Heading2"/>
        <w:spacing w:line="480" w:lineRule="auto"/>
      </w:pPr>
      <w:r>
        <w:t xml:space="preserve">6.5 The Model Read as a Whole</w:t>
      </w:r>
    </w:p>
    <w:p>
      <w:pPr>
        <w:pStyle w:val="FirstParagraph"/>
        <w:spacing w:line="480" w:lineRule="auto"/>
      </w:pPr>
      <w:r>
        <w:t xml:space="preserve">Taken together, the four coefficients describe a coherent and internally consistent picture of what slows a planetary element on its path to flight. Every covariate in the model enters with a hazard ratio below one. Sequencing position carries a ratio of 0.893, cost growth a ratio of 0.967, the new-technology count a ratio of 0.645, and the flagship indicator a ratio of 0.168. The uniform direction means that scope, readiness, cost difficulty, and flagship scale all push in the same direction, toward a slower march to launch, which is the qualitative pattern the escalating-ambition account predicts. Difficulty in any of its measured forms lengthens development, and the model reflects that uniformly.</w:t>
      </w:r>
    </w:p>
    <w:p>
      <w:pPr>
        <w:pStyle w:val="BodyText"/>
        <w:spacing w:line="480" w:lineRule="auto"/>
        <w:ind w:firstLine="720"/>
      </w:pPr>
      <w:r>
        <w:t xml:space="preserve">Within that coherent picture, the analytical question is which of these forces the data can actually distinguish from zero, and the answer sharpens the dissertation’s claim. The new-technology count is the only covariate that approaches conventional significance, at a p-value of 0.0905, and it is a direct measure of element difficulty rather than of programmatic ordering. Cost growth, another difficulty measure, points the same way at a weaker level. The flagship indicator points the same way with a large but wholly imprecise estimate. Sequencing position, the one covariate that encodes ordinal place in the acquisition sequence rather than measured difficulty, is the covariate whose effect the data can least distinguish from zero once the difficulty measures are in the model. The model thus does more than fail to reject the null on sequencing; it locates the explanatory weight elsewhere, in the measured difficulty of each element, and leaves sequencing position with no residual signal that the data can credit.</w:t>
      </w:r>
    </w:p>
    <w:p>
      <w:pPr>
        <w:pStyle w:val="BodyText"/>
        <w:spacing w:line="480" w:lineRule="auto"/>
        <w:ind w:firstLine="720"/>
      </w:pPr>
      <w:r>
        <w:t xml:space="preserve">This is the precise empirical content of the disciplined null. The sequencing effect that the survival strand set out to detect is, in this framing and on this record, not present at conventional confidence, and the variable that does the explanatory work in its place is the readiness proxy that captures what each element is asked to do. The finding is therefore not a vacuous absence of any pattern but a specific reallocation of explanatory weight from ordinal position to measured scope, consistent across all four coefficients in sign and concentrated in the new-technology count in strength.</w:t>
      </w:r>
    </w:p>
    <w:bookmarkEnd w:id="142"/>
    <w:bookmarkStart w:id="143" w:name="X6ff76e63c963204533a7d65436471d651d29e09"/>
    <w:p>
      <w:pPr>
        <w:pStyle w:val="Heading2"/>
        <w:spacing w:line="480" w:lineRule="auto"/>
      </w:pPr>
      <w:r>
        <w:t xml:space="preserve">6.6 The Survival Strand and the Panel Companion</w:t>
      </w:r>
    </w:p>
    <w:p>
      <w:pPr>
        <w:pStyle w:val="FirstParagraph"/>
        <w:spacing w:line="480" w:lineRule="auto"/>
      </w:pPr>
      <w:r>
        <w:t xml:space="preserve">The dissertation’s identification rests on two strands that are mutually constraining, and the survival result reported here must be read alongside the panel companion rather than in isolation. The two strands share a common spine of measurement. Cost growth is constructed identically in both, as development cost growth over baseline in percent anchored on the first audited baseline reported in the Government Accountability Office assessments, so that the covariate the survival model treats as a control is the same quantity the panel model treats as a dependent variable. The sequencing variable is coded identically in both, from documented architecture commitment order within the campaign line rather than from realized schedule, so that the construct whose hazard ratio is estimated here is the same construct whose growth coefficient the panel estimates. The campaign-line partition that fixes the sequencing position is the same grouping over which the panel applies its fixed effects. The two strands therefore interrogate one programmatic object, the place of an element in its acquisition sequence, through two complementary outcome representations, the magnitude of growth and the rate of completion.</w:t>
      </w:r>
    </w:p>
    <w:p>
      <w:pPr>
        <w:pStyle w:val="BodyText"/>
        <w:spacing w:line="480" w:lineRule="auto"/>
        <w:ind w:firstLine="720"/>
      </w:pPr>
      <w:r>
        <w:t xml:space="preserve">The division of inferential labor between the strands is deliberate and is the reason the survival null is not the last word. The survival model, estimated on a single cross-section without fixed effects, cannot by itself separate a true sequencing effect from latent element-specific difficulty, and its readiness control is doing part of the work that a sequencing term would otherwise capture if planners deliberately order the hardest elements last. The panel companion, with its parametric scope baseline and its campaign and epoch fixed effects, is the stronger venue for that endogeneity problem, because it estimates the sequencing term off variation orthogonal to measured difficulty and to era-wide and line-wide shocks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survival strand contributes a duration-based reading that the panel cannot supply, namely whether ordinal position changes the rate at which an element reaches flight rather than only the percentage by which its cost and schedule grow, and it contributes the explicit treatment of the three censored elements that a growth-only outcome would discard. Among those censored elements is the Mars Sample Return architecture, whose multi-element interdependency is the most likely of any in the record to carry a sequencing signature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so the most informative future observations for the central hypothesis have not yet occurred and are, by construction, the survivors the model has not yet seen launch.</w:t>
      </w:r>
    </w:p>
    <w:p>
      <w:pPr>
        <w:pStyle w:val="BodyText"/>
        <w:spacing w:line="480" w:lineRule="auto"/>
        <w:ind w:firstLine="720"/>
      </w:pPr>
      <w:r>
        <w:t xml:space="preserve">The two strands therefore converge on a single qualified conclusion at the level of the dissertation’s contribution. The survival strand returns a hazard ratio on sequencing position of 0.893 that is statistically indistinguishable from one, a disciplined null on the rate of completion. The panel companion supplies the stronger identification against the endogenous-sequencing threat. Read together, they constrain the central coefficient from two directions, and the survival strand’s specific addition to that joint reading is the demonstration that, in the duration framing and at conventional confidence, the order of acquisition leaves no measurable trace on how quickly a planetary element reaches flight once the measured difficulty of the element is held constant.</w:t>
      </w:r>
    </w:p>
    <w:bookmarkEnd w:id="143"/>
    <w:bookmarkStart w:id="144" w:name="what-the-results-license"/>
    <w:p>
      <w:pPr>
        <w:pStyle w:val="Heading2"/>
        <w:spacing w:line="480" w:lineRule="auto"/>
      </w:pPr>
      <w:r>
        <w:t xml:space="preserve">6.7 What the Results License</w:t>
      </w:r>
    </w:p>
    <w:p>
      <w:pPr>
        <w:pStyle w:val="FirstParagraph"/>
        <w:spacing w:line="480" w:lineRule="auto"/>
      </w:pPr>
      <w:r>
        <w:t xml:space="preserve">The results of the survival strand license a bounded and reproducible negative claim and forbid a stronger one. The licensed claim is that, in the historical planetary record available as of mid-2026, sequencing position leaves no statistically significant trace on the hazard of reaching launch once cost growth, technology-readiness risk, and flagship class are held constant. The estimated hazard ratio of 0.893 on sequencing position, with a p-value of 0.2501 and a confidence interval on the log-hazard coefficient from minus 0.306 to plus 0.080, supports that claim as a disciplined null rather than as an assertion, and the coherent below-one pattern of the control coefficients supports the further reading that what the data associate with a slower march to launch is the measured difficulty of an element, concentrated in the new-technology count at a hazard ratio of 0.645 and a p-value of 0.0905, rather than its ordinal place in line.</w:t>
      </w:r>
    </w:p>
    <w:p>
      <w:pPr>
        <w:pStyle w:val="BodyText"/>
        <w:spacing w:line="480" w:lineRule="auto"/>
        <w:ind w:firstLine="720"/>
      </w:pPr>
      <w:r>
        <w:t xml:space="preserve">The results forbid the claim that sequencing has no effect. A null in a small panel is an absence of detectable effect, not a proof of absence, and three features of the estimation make that distinction binding here. The population of planetary elements with documented baselines is small, the flagship and censored cells are sparse, and the standard errors are correspondingly inflated, as the flagship interval from minus 4.482 to plus 0.913 makes plainly visible. The point estimate on sequencing position is not zero; it is minus 0.1132 in log-hazard, a real directional lean toward the escalating-ambition mechanism that the data cannot distinguish from zero rather than a measured absence of any lean. And the censored elements include the very architecture whose interdependency is most likely to carry a sequencing signature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so the record on which the null is estimated is precisely the record that excludes the most informative future tests. The honest reading is therefore that the survival strand has detected no sequencing effect at conventional confidence on the evidence now available, has bounded that non-detection within a reported interval, has located the explanatory weight in measured difficulty, and has identified the unlaunched survivors as the observations that will sharpen or overturn the null as they resolve. That bounded, source-anchored, and reproducible result is the survival strand’s contribution to the dissertation’s single falsifiable claim, and it is read in Chapter 7 against the panel companion and the architecture case reconstructions to assemble the dissertation’s overall answer.</w:t>
      </w:r>
    </w:p>
    <w:bookmarkEnd w:id="144"/>
    <w:bookmarkEnd w:id="145"/>
    <w:bookmarkStart w:id="154" w:name="X21322cb5e29cbf4eb576afddcad42f86ace4e0d"/>
    <w:p>
      <w:pPr>
        <w:pStyle w:val="Heading1"/>
        <w:spacing w:line="480" w:lineRule="auto"/>
      </w:pPr>
      <w:r>
        <w:t xml:space="preserve">Chapter 7. Discussion and Governance Implications</w:t>
      </w:r>
    </w:p>
    <w:bookmarkStart w:id="146" w:name="the-argument-the-findings-now-support"/>
    <w:p>
      <w:pPr>
        <w:pStyle w:val="Heading2"/>
        <w:spacing w:line="480" w:lineRule="auto"/>
      </w:pPr>
      <w:r>
        <w:t xml:space="preserve">7.1 The Argument the Findings Now Support</w:t>
      </w:r>
    </w:p>
    <w:p>
      <w:pPr>
        <w:pStyle w:val="FirstParagraph"/>
        <w:spacing w:line="480" w:lineRule="auto"/>
      </w:pPr>
      <w:r>
        <w:t xml:space="preserve">This chapter takes the estimated quantities produced in the analytical core and asks what they mean for the people who actually sequence and steward a Mars campaign. The dissertation set out to test a single falsifiable proposition: that the programmatic ordering in which capability is acquired leaves a measurable, signed trace on the cost and schedule outcomes of campaign elements, distinct from the intrinsic technical difficulty of those elements</w:t>
      </w:r>
      <w:r>
        <w:t xml:space="preserve"> </w:t>
      </w:r>
      <w:hyperlink w:anchor="ref-1">
        <w:r>
          <w:rPr>
            <w:rStyle w:val="Hyperlink"/>
          </w:rPr>
          <w:t xml:space="preserve">[1]</w:t>
        </w:r>
      </w:hyperlink>
      <w:r>
        <w:t xml:space="preserve">. The survival study answered the schedule half of that proposition with a disciplined null. Across thirty NASA planetary and deep-space elements and twenty-seven launch events, the hazard ratio on acquisition-sequence position was estimated at 0.893, with a confidence interval on the log-hazard coefficient running from -0.306 to +0.080 and a p-value of 0.2501, so the null that sequencing position bears no measurable association with the rate at which an element reaches launch could not be rejected once cost growth, technology-readiness risk, and flagship class were held constant. The point estimate leaned toward the escalating-ambition reading rather than the inheritance reading, in that later-sequenced elements appeared to slow rather than accelerate, but the evidence was too weak to credit that lean.</w:t>
      </w:r>
    </w:p>
    <w:p>
      <w:pPr>
        <w:pStyle w:val="BodyText"/>
        <w:spacing w:line="480" w:lineRule="auto"/>
        <w:ind w:firstLine="720"/>
      </w:pPr>
      <w:r>
        <w:t xml:space="preserve">A null result is not an empty result, and the central interpretive task of this chapter is to resist treating it as one. The proposition that sequencing carries a schedule premium is a substantive engineering belief, embedded in heritage arguments and in the intuition that a late element either inherits a smoothed path or inherits an accumulated coordination burden. The finding is that, in the historical planetary record now available, this belief is not supported at conventional confidence once measured difficulty is absorbed. The one covariate that approached significance, the count of new or mission-critical technologies, carried a hazard ratio of 0.645 and pointed in the direction the readiness literature predicts: it is the measured difficulty of what an element is asked to do, not its ordinal place in line, that the data associate with a slower march to launch</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 governance reading that follows from this is precise. The schedule consequences that program managers attribute to ordering appear, in this record, to be better explained by scope and readiness than by sequence, and a planner who treats acquisition order as a primary schedule lever is, on this evidence, mismeasuring where the risk lives.</w:t>
      </w:r>
    </w:p>
    <w:p>
      <w:pPr>
        <w:pStyle w:val="BodyText"/>
        <w:spacing w:line="480" w:lineRule="auto"/>
        <w:ind w:firstLine="720"/>
      </w:pPr>
      <w:r>
        <w:t xml:space="preserve">The chapter develops this reading in stages. Section 7.2 situates the finding against the inheritance and escalating-ambition mechanisms and explains why a coherent slate of below-one hazard ratios constitutes a meaningful structural pattern even where individual coefficients fall short of significance. Section 7.3 translates the finding into implications for NASA program management at the agency level. Section 7.4 narrows the focus to JPL decision-making and the specific elements that populate the dataset. Section 7.5 distinguishes carefully between what a null licenses and what it forbids. Sections 7.6 and 7.7 set out the limitations and the future-research agenda that the censored and incomplete portions of the record make unavoidable. Section 7.8 closes with the governance posture the dissertation recommends.</w:t>
      </w:r>
    </w:p>
    <w:bookmarkEnd w:id="146"/>
    <w:bookmarkStart w:id="147" w:name="what-the-coefficient-slate-means"/>
    <w:p>
      <w:pPr>
        <w:pStyle w:val="Heading2"/>
        <w:spacing w:line="480" w:lineRule="auto"/>
      </w:pPr>
      <w:r>
        <w:t xml:space="preserve">7.2 What the Coefficient Slate Means</w:t>
      </w:r>
    </w:p>
    <w:p>
      <w:pPr>
        <w:pStyle w:val="FirstParagraph"/>
        <w:spacing w:line="480" w:lineRule="auto"/>
      </w:pPr>
      <w:r>
        <w:t xml:space="preserve">The survival model returned a slate of covariate effects every one of which carried a hazard ratio below one. The new-technology count entered at 0.645, cost growth at 0.967, the flagship indicator at 0.168, and sequencing position at 0.893. Read as a system rather than as four separate hypothesis tests, this slate tells a coherent story about the planetary development process: scope, readiness risk, cost difficulty, and flagship scale each slow the path to launch, and they do so in a mutually consistent direction. The model does not contain a single covariate that accelerates delivery, which is itself an informative feature of the planetary record. Development is a process in which difficulty accumulates and nothing in the measured covariate set shortens it.</w:t>
      </w:r>
    </w:p>
    <w:p>
      <w:pPr>
        <w:pStyle w:val="BodyText"/>
        <w:spacing w:line="480" w:lineRule="auto"/>
        <w:ind w:firstLine="720"/>
      </w:pPr>
      <w:r>
        <w:t xml:space="preserve">Within that system, sequencing position is the term that adds the least once the others are present. This is the structural significance of the result. The escalating-ambition mechanism predicts exactly this pattern: if campaigns are designed so that each element reaches further than its predecessor because the predecessor retired enough risk to justify the reach, then sequencing position is confounded with scope and readiness, and the apparent sequencing effect should attenuate toward zero as those controls enter</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 data behave as the escalating-ambition account predicts. The raw ordinal position of an element does correlate with development difficulty in the planetary line, but that correlation runs through the technical content of the later elements rather than through any independent penalty of lateness itself. When the technical content is measured and controlled, the residual sequencing signal collapses into the interval around zero.</w:t>
      </w:r>
    </w:p>
    <w:p>
      <w:pPr>
        <w:pStyle w:val="BodyText"/>
        <w:spacing w:line="480" w:lineRule="auto"/>
        <w:ind w:firstLine="720"/>
      </w:pPr>
      <w:r>
        <w:t xml:space="preserve">The inheritance mechanism, which predicts a hazard ratio above one because later elements adopt proven interfaces and validated entry-descent-and-landing approaches, finds no support in the survival framing</w:t>
      </w:r>
      <w:r>
        <w:t xml:space="preserve"> </w:t>
      </w:r>
      <w:hyperlink w:anchor="ref-1">
        <w:r>
          <w:rPr>
            <w:rStyle w:val="Hyperlink"/>
          </w:rPr>
          <w:t xml:space="preserve">[1]</w:t>
        </w:r>
      </w:hyperlink>
      <w:r>
        <w:t xml:space="preserve">. This does not mean inheritance is absent from the engineering record; the Mars surface line plainly propagates airbag, sky-crane, and sampling heritage forward</w:t>
      </w:r>
      <w:r>
        <w:t xml:space="preserve"> </w:t>
      </w:r>
      <w:hyperlink w:anchor="ref-1">
        <w:r>
          <w:rPr>
            <w:rStyle w:val="Hyperlink"/>
          </w:rPr>
          <w:t xml:space="preserve">[1]</w:t>
        </w:r>
      </w:hyperlink>
      <w:r>
        <w:t xml:space="preserve">. It means that whatever schedule benefit inheritance confers is, in this dataset, either offset by the escalating ambition that the same heritage enables or too small relative to the measured difficulty drivers to register as a net acceleration. The governance implication of this offset is developed below, because it bears directly on how a planner should reason about heritage claims when committing a downstream element.</w:t>
      </w:r>
    </w:p>
    <w:p>
      <w:pPr>
        <w:pStyle w:val="BodyText"/>
        <w:spacing w:line="480" w:lineRule="auto"/>
        <w:ind w:firstLine="720"/>
      </w:pPr>
      <w:r>
        <w:t xml:space="preserve">The flagship coefficient deserves separate emphasis because its point estimate is dramatic and its interval is wide. A hazard ratio of 0.168 says flagships reach launch far more slowly, consistent with the documented flagship overrun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but the interval from -4.482 to +0.913 on the coefficient reflects how few flagships the dataset contains. This is the clearest single symptom of the small-sample condition that bounds the entire study, and it is the reason the chapter treats the flagship penalty as a strongly suggested but not securely estimated feature of the record.</w:t>
      </w:r>
    </w:p>
    <w:bookmarkEnd w:id="147"/>
    <w:bookmarkStart w:id="148" w:name="implications-for-nasa-program-management"/>
    <w:p>
      <w:pPr>
        <w:pStyle w:val="Heading2"/>
        <w:spacing w:line="480" w:lineRule="auto"/>
      </w:pPr>
      <w:r>
        <w:t xml:space="preserve">7.3 Implications for NASA Program Management</w:t>
      </w:r>
    </w:p>
    <w:p>
      <w:pPr>
        <w:pStyle w:val="FirstParagraph"/>
        <w:spacing w:line="480" w:lineRule="auto"/>
      </w:pPr>
      <w:r>
        <w:t xml:space="preserve">The first governance implication operates at the level of how the agency frames a campaign decision. A decision-maker who sequences a Mars campaign is making, implicitly, a cost-schedule bet: that committing capability A before capability B yields a lower total outturn than the reverse or than committing them in parallel</w:t>
      </w:r>
      <w:r>
        <w:t xml:space="preserve"> </w:t>
      </w:r>
      <w:hyperlink w:anchor="ref-1">
        <w:r>
          <w:rPr>
            <w:rStyle w:val="Hyperlink"/>
          </w:rPr>
          <w:t xml:space="preserve">[1]</w:t>
        </w:r>
      </w:hyperlink>
      <w:r>
        <w:t xml:space="preserve">. The dissertation was designed to put a price on that bet so it could sit in the architecture trade space alongside mass, propulsion, and trajectory choices that are already modeled parametrically</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survival evidence returns a specific and useful answer to the schedule component of the bet: the price of ordering, measured as an effect on the rate of reaching launch, is not distinguishable from zero on the present record. For agency planning, this counsels against spending scarce architectural deliberation on reordering elements in pursuit of schedule relief, because the lever the planner is reaching for does not, on this evidence, move the outcome once scope and readiness are accounted for.</w:t>
      </w:r>
    </w:p>
    <w:p>
      <w:pPr>
        <w:pStyle w:val="BodyText"/>
        <w:spacing w:line="480" w:lineRule="auto"/>
        <w:ind w:firstLine="720"/>
      </w:pPr>
      <w:r>
        <w:t xml:space="preserve">The second implication concerns where the agency should instead concentrate its schedule-risk attention. If sequencing is schedule-neutral and the new-technology count is the covariate that approaches significance, then the disciplined conclusion is that NASA’s schedule exposure is governed by the technology-maturation content of each element rather than by its programmatic position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This redirects the management question from</w:t>
      </w:r>
      <w:r>
        <w:t xml:space="preserve"> </w:t>
      </w:r>
      <w:r>
        <w:t xml:space="preserve">“in what order do we acquire these capabilities”</w:t>
      </w:r>
      <w:r>
        <w:t xml:space="preserve"> </w:t>
      </w:r>
      <w:r>
        <w:t xml:space="preserve">to</w:t>
      </w:r>
      <w:r>
        <w:t xml:space="preserve"> </w:t>
      </w:r>
      <w:r>
        <w:t xml:space="preserve">“how much immature technology does each element carry at its baseline commitment, and has that maturation been honestly scoped.”</w:t>
      </w:r>
      <w:r>
        <w:t xml:space="preserve"> </w:t>
      </w:r>
      <w:r>
        <w:t xml:space="preserve">The agency already possesses the parametric machinery to answer the second question: independent validation of parametric cost-estimation tools establishes that element cost, and by extension development effort, scales with technical scope in a characterizable way</w:t>
      </w:r>
      <w:r>
        <w:t xml:space="preserve"> </w:t>
      </w:r>
      <w:hyperlink w:anchor="ref-5">
        <w:r>
          <w:rPr>
            <w:rStyle w:val="Hyperlink"/>
          </w:rPr>
          <w:t xml:space="preserve">[5]</w:t>
        </w:r>
      </w:hyperlink>
      <w:r>
        <w:t xml:space="preserve">, and the cost-estimating-relationship literature formalizes the same scope-to-effort mapping</w:t>
      </w:r>
      <w:r>
        <w:t xml:space="preserve"> </w:t>
      </w:r>
      <w:hyperlink w:anchor="ref-6">
        <w:r>
          <w:rPr>
            <w:rStyle w:val="Hyperlink"/>
          </w:rPr>
          <w:t xml:space="preserve">[6]</w:t>
        </w:r>
      </w:hyperlink>
      <w:r>
        <w:t xml:space="preserve">. The governance recommendation is therefore not to build new tooling but to weight the existing readiness and scope assessments more heavily, and the sequencing intuition less heavily, when forecasting schedule risk at the campaign level.</w:t>
      </w:r>
    </w:p>
    <w:p>
      <w:pPr>
        <w:pStyle w:val="BodyText"/>
        <w:spacing w:line="480" w:lineRule="auto"/>
        <w:ind w:firstLine="720"/>
      </w:pPr>
      <w:r>
        <w:t xml:space="preserve">The third implication is about how the agency reads its own heritage arguments. The finding that inheritance produces no net acceleration in the survival model is a caution against the heritage discount that frequently enters a downstream element’s schedule baseline. When a later element’s plan credits itself with a faster development because it inherits a predecessor’s validated approach, the planetary record suggests that the credit is, on average, consumed by the escalating ambition that the same heritage invites. A program manager who books the inheritance benefit without booking the ambition that historically accompanies it is, on this evidence, building an optimistic baseline. The conservative posture is to treat heritage as a risk-retirement argument for technical feasibility, which it genuinely is, while declining to convert it into a schedule discount that the historical record does not support.</w:t>
      </w:r>
    </w:p>
    <w:p>
      <w:pPr>
        <w:pStyle w:val="BodyText"/>
        <w:spacing w:line="480" w:lineRule="auto"/>
        <w:ind w:firstLine="720"/>
      </w:pPr>
      <w:r>
        <w:t xml:space="preserve">The fourth implication addresses the interdependency channel. The architecture and program-organization literature warns that previously unforeseen program interdependencies can propagate into schedule changes and subsequent cost hikes</w:t>
      </w:r>
      <w:r>
        <w:t xml:space="preserve"> </w:t>
      </w:r>
      <w:hyperlink w:anchor="ref-4">
        <w:r>
          <w:rPr>
            <w:rStyle w:val="Hyperlink"/>
          </w:rPr>
          <w:t xml:space="preserve">[4]</w:t>
        </w:r>
      </w:hyperlink>
      <w:r>
        <w:t xml:space="preserve">, and flagship campaigns carry a documented record of overrun and slip</w:t>
      </w:r>
      <w:r>
        <w:t xml:space="preserve"> </w:t>
      </w:r>
      <w:hyperlink w:anchor="ref-3">
        <w:r>
          <w:rPr>
            <w:rStyle w:val="Hyperlink"/>
          </w:rPr>
          <w:t xml:space="preserve">[3]</w:t>
        </w:r>
      </w:hyperlink>
      <w:r>
        <w:t xml:space="preserve">. The survival study cannot, by itself, separate interdependency operating as a sequencing mechanism from interdependency operating as an independent confounder, but its null on sequencing combined with its suggestive flagship penalty points to a useful management distinction. Interdependency appears to matter most where it concentrates in large, jointly developed architectures, the flagship and sample-return cases, rather than where it runs as a clean hand-off along an established line. NASA’s interdependency-management attention is therefore best directed at the coupled multi-element architectures, where the coordination tax is plausibly real, rather than at the ordinary succession of elements within a mature campaign line, where the hand-off appears not to impose a measurable schedule cost.</w:t>
      </w:r>
    </w:p>
    <w:bookmarkEnd w:id="148"/>
    <w:bookmarkStart w:id="149" w:name="implications-for-jpl-decision-making"/>
    <w:p>
      <w:pPr>
        <w:pStyle w:val="Heading2"/>
        <w:spacing w:line="480" w:lineRule="auto"/>
      </w:pPr>
      <w:r>
        <w:t xml:space="preserve">7.4 Implications for JPL Decision-Making</w:t>
      </w:r>
    </w:p>
    <w:p>
      <w:pPr>
        <w:pStyle w:val="FirstParagraph"/>
        <w:spacing w:line="480" w:lineRule="auto"/>
      </w:pPr>
      <w:r>
        <w:t xml:space="preserve">The dataset is, to a substantial degree, a Jet Propulsion Laboratory portfolio. The Mars orbiter and surface lines, the small-body line, and several of the outer-planet and lunar elements are JPL-led, and two of the most informative element-specific records, the Psyche independent-review-board report and the Europa Clipper cost record, are JPL or JPL-adjacent documents</w:t>
      </w:r>
      <w:r>
        <w:t xml:space="preserve"> </w:t>
      </w:r>
      <w:hyperlink w:anchor="ref-3">
        <w:r>
          <w:rPr>
            <w:rStyle w:val="Hyperlink"/>
          </w:rPr>
          <w:t xml:space="preserve">[3]</w:t>
        </w:r>
      </w:hyperlink>
      <w:r>
        <w:t xml:space="preserve">. The findings therefore speak with particular directness to JPL’s internal decision-making about how to plan and defend a new element’s baseline.</w:t>
      </w:r>
    </w:p>
    <w:p>
      <w:pPr>
        <w:pStyle w:val="BodyText"/>
        <w:spacing w:line="480" w:lineRule="auto"/>
        <w:ind w:firstLine="720"/>
      </w:pPr>
      <w:r>
        <w:t xml:space="preserve">The first JPL-specific implication concerns the construction of a new element’s schedule baseline within an established line. The survival evidence says that a planner at JPL pricing the development of the next element in the Mars surface line should not assume that its late position confers a faster development, nor that it imposes a slower one, once the element’s own technology content is assessed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relevant question for the institution is not where the element falls in the line but how much new capability it is being asked to mature relative to the elements that preceded it. The Psyche experience, in which a software and staffing shortfall drove the slip from a 2022 to a 2023 launch, is consistent with this reading: the schedule risk that materialized was a maturation-and-execution risk internal to the element, not a penalty of the element’s position in the small-body sequence.</w:t>
      </w:r>
    </w:p>
    <w:p>
      <w:pPr>
        <w:pStyle w:val="BodyText"/>
        <w:spacing w:line="480" w:lineRule="auto"/>
        <w:ind w:firstLine="720"/>
      </w:pPr>
      <w:r>
        <w:t xml:space="preserve">The second implication concerns how JPL adjudicates heritage claims in its own concept reviews. The institution’s strength is precisely the propagation of validated approaches forward along a line, and the inheritance mechanism is, at JPL, an article of engineering faith with substantial empirical warrant in the technical domain</w:t>
      </w:r>
      <w:r>
        <w:t xml:space="preserve"> </w:t>
      </w:r>
      <w:hyperlink w:anchor="ref-1">
        <w:r>
          <w:rPr>
            <w:rStyle w:val="Hyperlink"/>
          </w:rPr>
          <w:t xml:space="preserve">[1]</w:t>
        </w:r>
      </w:hyperlink>
      <w:r>
        <w:t xml:space="preserve">. The dissertation does not contradict that warrant; it qualifies the schedule inference drawn from it. A JPL concept review that grants a downstream element a schedule benefit for inheriting a predecessor’s entry-descent-and-landing approach should pair that grant with an explicit accounting of the additional ambition the element is taking on, because the historical pattern is that the two have moved together and net to no measurable acceleration. The governance value of this for JPL is a more honest internal baseline that is less likely to require the kind of replan the dataset records.</w:t>
      </w:r>
    </w:p>
    <w:p>
      <w:pPr>
        <w:pStyle w:val="BodyText"/>
        <w:spacing w:line="480" w:lineRule="auto"/>
        <w:ind w:firstLine="720"/>
      </w:pPr>
      <w:r>
        <w:t xml:space="preserve">The third implication is about JPL’s posture toward the sample-return chain specifically. The Mars Sample Return architecture is the case in which the interdependency mechanism is most likely to carry a sequencing signature, because it is conceived as a jointly developed, multi-element chain of orbiter, lander, ascent, and return segments rather than as a succession of independent elements</w:t>
      </w:r>
      <w:r>
        <w:t xml:space="preserve"> </w:t>
      </w:r>
      <w:hyperlink w:anchor="ref-1">
        <w:r>
          <w:rPr>
            <w:rStyle w:val="Hyperlink"/>
          </w:rPr>
          <w:t xml:space="preserve">[1]</w:t>
        </w:r>
      </w:hyperlink>
      <w:r>
        <w:t xml:space="preserve"> </w:t>
      </w:r>
      <w:hyperlink w:anchor="ref-4">
        <w:r>
          <w:rPr>
            <w:rStyle w:val="Hyperlink"/>
          </w:rPr>
          <w:t xml:space="preserve">[4]</w:t>
        </w:r>
      </w:hyperlink>
      <w:r>
        <w:t xml:space="preserve">. It is also the case the present study can least inform, because the sample-return segment is right-censored in replan and has not yet experienced the terminal event. The disciplined JPL reading is that the schedule-neutral finding on sequencing is drawn from the established lines and should not be transported wholesale onto the sample-return chain, where the coupling is tighter and the coordination tax is plausibly larger than anything in the historical record. JPL’s institutional caution about the sample-return schedule is, on this analysis, well placed; the dissertation’s null does not license optimism about that architecture, because the architecture sits outside the evidence base that produced the null.</w:t>
      </w:r>
    </w:p>
    <w:p>
      <w:pPr>
        <w:pStyle w:val="BodyText"/>
        <w:spacing w:line="480" w:lineRule="auto"/>
        <w:ind w:firstLine="720"/>
      </w:pPr>
      <w:r>
        <w:t xml:space="preserve">The fourth implication concerns how JPL communicates schedule risk to its agency sponsor. Because the analysis traces every modeled quantity to an audited public source, the GAO Annual Assessments for the outcome variables and the peer-reviewed architecture record for the sequencing variable, it offers JPL a defensible, externally grounded vocabulary for distinguishing the schedule risks that the evidence supports from those it does not</w:t>
      </w:r>
      <w:r>
        <w:t xml:space="preserve"> </w:t>
      </w:r>
      <w:hyperlink w:anchor="ref-1">
        <w:r>
          <w:rPr>
            <w:rStyle w:val="Hyperlink"/>
          </w:rPr>
          <w:t xml:space="preserve">[1]</w:t>
        </w:r>
      </w:hyperlink>
      <w:r>
        <w:t xml:space="preserve">. When JPL defends a baseline, it can say, on this record, that the institution’s schedule exposure is dominated by technology-maturation content and concentrated in coupled flagship-class architectures, and that ordinary sequencing within a mature line is not a measurable driver. That is a more precise and more credible risk narrative than one resting on heritage intuition alone.</w:t>
      </w:r>
    </w:p>
    <w:bookmarkEnd w:id="149"/>
    <w:bookmarkStart w:id="150" w:name="what-a-null-licenses-and-what-it-forbids"/>
    <w:p>
      <w:pPr>
        <w:pStyle w:val="Heading2"/>
        <w:spacing w:line="480" w:lineRule="auto"/>
      </w:pPr>
      <w:r>
        <w:t xml:space="preserve">7.5 What a Null Licenses and What It Forbids</w:t>
      </w:r>
    </w:p>
    <w:p>
      <w:pPr>
        <w:pStyle w:val="FirstParagraph"/>
        <w:spacing w:line="480" w:lineRule="auto"/>
      </w:pPr>
      <w:r>
        <w:t xml:space="preserve">The interpretive discipline that governs this chapter is the distinction between an absence of detected effect and a demonstrated absence of effect. The survival study found no statistically distinguishable sequencing effect on the hazard of reaching launch; it did not prove that no such effect exists. With thirty elements, twenty-seven events, and sparse flagship and censored cells, the standard errors are wide and the power is limited, and the wide flagship interval is the plainest evidence of that limitation. A planner is entitled to conclude from this study that the schedule case for reordering elements is unproven and that scope and readiness are the better-evidenced schedule drivers. A planner is not entitled to conclude that sequencing is provably irrelevant, because the data lack the resolution to make that stronger claim.</w:t>
      </w:r>
    </w:p>
    <w:p>
      <w:pPr>
        <w:pStyle w:val="BodyText"/>
        <w:spacing w:line="480" w:lineRule="auto"/>
        <w:ind w:firstLine="720"/>
      </w:pPr>
      <w:r>
        <w:t xml:space="preserve">This distinction has a direct governance consequence. The null counsels deprioritization of sequencing as a schedule lever, not its dismissal as a phenomenon. The difference matters most for the architectures that lie at the edge of or outside the present evidence base, where the coupling is tighter than anything the dataset securely estimates. For an established campaign line, the deprioritization is well supported, because the line is densely represented in the data. For a novel, tightly coupled architecture, the deprioritization is an extrapolation beyond the data, and the responsible posture is to treat the sequencing question as open rather than settled. The dissertation’s contribution is a bounded, reproducible result conditional on the historical campaign structure, and the parametric architecture-comparison logic indicates where that estimate is and is not portable to a future execution</w:t>
      </w:r>
      <w:r>
        <w:t xml:space="preserve"> </w:t>
      </w:r>
      <w:hyperlink w:anchor="ref-2">
        <w:r>
          <w:rPr>
            <w:rStyle w:val="Hyperlink"/>
          </w:rPr>
          <w:t xml:space="preserve">[2]</w:t>
        </w:r>
      </w:hyperlink>
      <w:r>
        <w:t xml:space="preserve">.</w:t>
      </w:r>
    </w:p>
    <w:p>
      <w:pPr>
        <w:pStyle w:val="BodyText"/>
        <w:spacing w:line="480" w:lineRule="auto"/>
        <w:ind w:firstLine="720"/>
      </w:pPr>
      <w:r>
        <w:t xml:space="preserve">The companion panel study of cost and schedule growth, which the prospectus specifies and which estimates the magnitude rather than the rate of the outcome, is the stronger venue for the endogeneity problem that haunts any sequencing estimate, because its parametric scope baseline is designed to absorb technical difficulty so that the sequencing term is estimated off variation orthogonal to measured scope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survival study and the panel study are mutually constraining by design: the survival model delivers a hazard interpretation on the rate of completion, while the panel model carries the parametric baseline that defends the causal reading of any sequencing coefficient. Read together, they converge on a consistent message. The order of acquisition is not, on the present record, a securely identified driver of either the rate or the magnitude of schedule difficulty once the technical content of each element is measured and held constant.</w:t>
      </w:r>
    </w:p>
    <w:bookmarkEnd w:id="150"/>
    <w:bookmarkStart w:id="151" w:name="limitations"/>
    <w:p>
      <w:pPr>
        <w:pStyle w:val="Heading2"/>
        <w:spacing w:line="480" w:lineRule="auto"/>
      </w:pPr>
      <w:r>
        <w:t xml:space="preserve">7.6 Limitations</w:t>
      </w:r>
    </w:p>
    <w:p>
      <w:pPr>
        <w:pStyle w:val="FirstParagraph"/>
        <w:spacing w:line="480" w:lineRule="auto"/>
      </w:pPr>
      <w:r>
        <w:t xml:space="preserve">Four limitations bound the governance claims of this chapter, and each propagates from a feature of the evidence rather than from a defect in estimation.</w:t>
      </w:r>
    </w:p>
    <w:p>
      <w:pPr>
        <w:pStyle w:val="BodyText"/>
        <w:spacing w:line="480" w:lineRule="auto"/>
        <w:ind w:firstLine="720"/>
      </w:pPr>
      <w:r>
        <w:t xml:space="preserve">The first and gravest is small N and the consequent degrees-of-freedom problem. The population of NASA planetary elements with audited baselines is small, the flagship and censored cells are sparse, and the standard errors are correspondingly inflated</w:t>
      </w:r>
      <w:r>
        <w:t xml:space="preserve"> </w:t>
      </w:r>
      <w:hyperlink w:anchor="ref-3">
        <w:r>
          <w:rPr>
            <w:rStyle w:val="Hyperlink"/>
          </w:rPr>
          <w:t xml:space="preserve">[3]</w:t>
        </w:r>
      </w:hyperlink>
      <w:r>
        <w:t xml:space="preserve">. This is not a limitation that more careful estimation can remove; it is a property of the historical record, which contains only so many flagship planetary elements and only so many committed campaign lines. The wide flagship interval is the clearest symptom, and it means that the suggestive flagship penalty, while consistent with the documented overrun record, is not securely estimated. The honest reading of every coefficient in the study is conditioned by this limitation: a null here is an absence of detectable effect under low power, not a proof of no effect.</w:t>
      </w:r>
    </w:p>
    <w:p>
      <w:pPr>
        <w:pStyle w:val="BodyText"/>
        <w:spacing w:line="480" w:lineRule="auto"/>
        <w:ind w:firstLine="720"/>
      </w:pPr>
      <w:r>
        <w:t xml:space="preserve">The second limitation is endogenous sequencing. If planners deliberately order the technically hardest elements last, then the sequencing variable proxies for unobserved difficulty, and the readiness control is doing part of the work the sequencing term would otherwise capture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dissertation addresses this through the parametric scope baseline in the panel companion, through scope-interaction specifications, and through the case reconstructions that confirm whether the coded ordering reflects capability hand-offs rather than difficulty triage</w:t>
      </w:r>
      <w:r>
        <w:t xml:space="preserve"> </w:t>
      </w:r>
      <w:hyperlink w:anchor="ref-1">
        <w:r>
          <w:rPr>
            <w:rStyle w:val="Hyperlink"/>
          </w:rPr>
          <w:t xml:space="preserve">[1]</w:t>
        </w:r>
      </w:hyperlink>
      <w:r>
        <w:t xml:space="preserve">. These defenses reduce but do not eliminate the concern, and the residual possibility that the sequencing null is partly an artifact of difficulty-driven ordering must be carried forward into any governance use of the result.</w:t>
      </w:r>
    </w:p>
    <w:p>
      <w:pPr>
        <w:pStyle w:val="BodyText"/>
        <w:spacing w:line="480" w:lineRule="auto"/>
        <w:ind w:firstLine="720"/>
      </w:pPr>
      <w:r>
        <w:t xml:space="preserve">The third limitation is baseline definition and rebaselining. Cost and schedule growth depend on which baseline is the denominator, and rebaselined programs can mask growth by resetting the reference point. The construction anchors on the first audited baseline reported in the GAO assessments and treats rebaselining events as observable rather than as silent resets, but the inferential weight of any growth measure remains sensitive to this choice, and a governance reader should understand that the outcome variables are defined relative to original commitment baselines wherever the source permits.</w:t>
      </w:r>
    </w:p>
    <w:p>
      <w:pPr>
        <w:pStyle w:val="BodyText"/>
        <w:spacing w:line="480" w:lineRule="auto"/>
        <w:ind w:firstLine="720"/>
      </w:pPr>
      <w:r>
        <w:t xml:space="preserve">The fourth limitation is external validity to future architectures. Estimates drawn from past and current elements may not transfer to a future Mars Sample Return execution, whose coupling exceeds that of any element densely represented in the data</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The dissertation bounds this explicitly, presenting the sequencing coefficient as conditional on the historical campaign structure and using the parametric architecture-comparison logic to indicate the limits of portability</w:t>
      </w:r>
      <w:r>
        <w:t xml:space="preserve"> </w:t>
      </w:r>
      <w:hyperlink w:anchor="ref-2">
        <w:r>
          <w:rPr>
            <w:rStyle w:val="Hyperlink"/>
          </w:rPr>
          <w:t xml:space="preserve">[2]</w:t>
        </w:r>
      </w:hyperlink>
      <w:r>
        <w:t xml:space="preserve">. The governance implication is that the schedule-neutral finding on sequencing is a statement about the established planetary record and should not be read as a forecast for the sample-return chain, the very architecture whose interdependency is most likely to carry a sequencing signature and whose terminal event has not yet occurred.</w:t>
      </w:r>
    </w:p>
    <w:bookmarkEnd w:id="151"/>
    <w:bookmarkStart w:id="152" w:name="future-research"/>
    <w:p>
      <w:pPr>
        <w:pStyle w:val="Heading2"/>
        <w:spacing w:line="480" w:lineRule="auto"/>
      </w:pPr>
      <w:r>
        <w:t xml:space="preserve">7.7 Future Research</w:t>
      </w:r>
    </w:p>
    <w:p>
      <w:pPr>
        <w:pStyle w:val="FirstParagraph"/>
        <w:spacing w:line="480" w:lineRule="auto"/>
      </w:pPr>
      <w:r>
        <w:t xml:space="preserve">The censored and incomplete portions of the record define the future-research agenda with unusual clarity, because the most informative observations have not yet occurred. Three directions follow directly from the limitations above.</w:t>
      </w:r>
    </w:p>
    <w:p>
      <w:pPr>
        <w:pStyle w:val="BodyText"/>
        <w:spacing w:line="480" w:lineRule="auto"/>
        <w:ind w:firstLine="720"/>
      </w:pPr>
      <w:r>
        <w:t xml:space="preserve">The first is the refit of the survival model as the right-censored elements resolve. The Mars Sample Return segment in replan, the Europa Lander pre-Phase-A concept, and the restructured VIPER lunar rover are the three censored elements, and the first of them is precisely the architecture in which the interdependency mechanism is most likely to leave a sequencing trace</w:t>
      </w:r>
      <w:r>
        <w:t xml:space="preserve"> </w:t>
      </w:r>
      <w:hyperlink w:anchor="ref-1">
        <w:r>
          <w:rPr>
            <w:rStyle w:val="Hyperlink"/>
          </w:rPr>
          <w:t xml:space="preserve">[1]</w:t>
        </w:r>
      </w:hyperlink>
      <w:r>
        <w:t xml:space="preserve"> </w:t>
      </w:r>
      <w:hyperlink w:anchor="ref-4">
        <w:r>
          <w:rPr>
            <w:rStyle w:val="Hyperlink"/>
          </w:rPr>
          <w:t xml:space="preserve">[4]</w:t>
        </w:r>
      </w:hyperlink>
      <w:r>
        <w:t xml:space="preserve">. As these elements experience their terminal events or are formally cancelled, the survival model can be refit and the sequencing hazard re-estimated on a record that finally includes the coupled architecture the present study could only censor. This is the single highest-value extension, because it adds observations precisely where the existing evidence base is thinnest and where the governance stakes are highest.</w:t>
      </w:r>
    </w:p>
    <w:p>
      <w:pPr>
        <w:pStyle w:val="BodyText"/>
        <w:spacing w:line="480" w:lineRule="auto"/>
        <w:ind w:firstLine="720"/>
      </w:pPr>
      <w:r>
        <w:t xml:space="preserve">The second direction is the deepening of the panel-survival pairing into the magnitude dimension. The prospectus specifies a panel-econometric model of cost and schedule growth whose dependent variables come from the audited GAO series and whose parametric scope baseline isolates the sequencing effect from technical scope</w:t>
      </w:r>
      <w:r>
        <w:t xml:space="preserve"> </w:t>
      </w:r>
      <w:hyperlink w:anchor="ref-5">
        <w:r>
          <w:rPr>
            <w:rStyle w:val="Hyperlink"/>
          </w:rPr>
          <w:t xml:space="preserve">[5]</w:t>
        </w:r>
      </w:hyperlink>
      <w:r>
        <w:t xml:space="preserve"> </w:t>
      </w:r>
      <w:hyperlink w:anchor="ref-6">
        <w:r>
          <w:rPr>
            <w:rStyle w:val="Hyperlink"/>
          </w:rPr>
          <w:t xml:space="preserve">[6]</w:t>
        </w:r>
      </w:hyperlink>
      <w:r>
        <w:t xml:space="preserve">. A fully realized estimate of the sequencing coefficient on the magnitude of growth, set alongside the hazard estimate on the rate of completion, would let future work report whether sequencing is neutral on both dimensions or neutral on one and signed on the other. The two estimates together would constitute a more complete characterization of the cost-schedule signature of ordering than either alone, and the case reconstructions that span early, middle, and late positions would discipline the causal reading of whichever coefficient emerges</w:t>
      </w:r>
      <w:r>
        <w:t xml:space="preserve"> </w:t>
      </w:r>
      <w:hyperlink w:anchor="ref-1">
        <w:r>
          <w:rPr>
            <w:rStyle w:val="Hyperlink"/>
          </w:rPr>
          <w:t xml:space="preserve">[1]</w:t>
        </w:r>
      </w:hyperlink>
      <w:r>
        <w:t xml:space="preserve">.</w:t>
      </w:r>
    </w:p>
    <w:p>
      <w:pPr>
        <w:pStyle w:val="BodyText"/>
        <w:spacing w:line="480" w:lineRule="auto"/>
        <w:ind w:firstLine="720"/>
      </w:pPr>
      <w:r>
        <w:t xml:space="preserve">The third direction is the extension of the campaign-line frame beyond the planetary portfolio. The sequencing construct transfers wherever capability is acquired in an ordered line with inheritance and hand-off dependencies, and pooling across comparable planetary and deep-space campaign lines is one of the mitigations the dissertation already employs against small N</w:t>
      </w:r>
      <w:r>
        <w:t xml:space="preserve"> </w:t>
      </w:r>
      <w:hyperlink w:anchor="ref-3">
        <w:r>
          <w:rPr>
            <w:rStyle w:val="Hyperlink"/>
          </w:rPr>
          <w:t xml:space="preserve">[3]</w:t>
        </w:r>
      </w:hyperlink>
      <w:r>
        <w:t xml:space="preserve">. A larger pooled panel that incorporates additional ordered campaigns, disciplined by the same parametric scope logic and the same provenance standard, would raise the power that the present study lacks and could convert the suggestive flagship penalty and the leaning sequencing point estimate into securely estimated quantities or securely bounded nulls. The parametric architecture-comparison logic provides the tool for judging which lines are comparable enough to pool and which are not</w:t>
      </w:r>
      <w:r>
        <w:t xml:space="preserve"> </w:t>
      </w:r>
      <w:hyperlink w:anchor="ref-2">
        <w:r>
          <w:rPr>
            <w:rStyle w:val="Hyperlink"/>
          </w:rPr>
          <w:t xml:space="preserve">[2]</w:t>
        </w:r>
      </w:hyperlink>
      <w:r>
        <w:t xml:space="preserve">.</w:t>
      </w:r>
    </w:p>
    <w:p>
      <w:pPr>
        <w:pStyle w:val="BodyText"/>
        <w:spacing w:line="480" w:lineRule="auto"/>
        <w:ind w:firstLine="720"/>
      </w:pPr>
      <w:r>
        <w:t xml:space="preserve">A fourth and more methodological direction concerns the interdependency channel itself. The present study infers interdependency indirectly, through the flagship indicator and through the censoring of coupled architectures, rather than measuring it directly. Future work that codes the interdependency structure of each campaign line explicitly, distinguishing dependencies that run along the sequence as hand-offs from those that cut across it as coordination taxes, would let the analysis test whether interdependency is the mechanism through which any sequencing effect operates or an independent confounder of it</w:t>
      </w:r>
      <w:r>
        <w:t xml:space="preserve"> </w:t>
      </w:r>
      <w:hyperlink w:anchor="ref-4">
        <w:r>
          <w:rPr>
            <w:rStyle w:val="Hyperlink"/>
          </w:rPr>
          <w:t xml:space="preserve">[4]</w:t>
        </w:r>
      </w:hyperlink>
      <w:r>
        <w:t xml:space="preserve">. That coding would also sharpen the governance distinction this chapter draws between coupled flagship architectures, where interdependency plausibly imposes a real schedule cost, and ordinary succession within a mature line, where the hand-off appears costless.</w:t>
      </w:r>
    </w:p>
    <w:bookmarkEnd w:id="152"/>
    <w:bookmarkStart w:id="153" w:name="Xf9a010c1736e4426fddf8a846f24902e559159a"/>
    <w:p>
      <w:pPr>
        <w:pStyle w:val="Heading2"/>
        <w:spacing w:line="480" w:lineRule="auto"/>
      </w:pPr>
      <w:r>
        <w:t xml:space="preserve">7.8 The Governance Posture the Dissertation Recommends</w:t>
      </w:r>
    </w:p>
    <w:p>
      <w:pPr>
        <w:pStyle w:val="FirstParagraph"/>
        <w:spacing w:line="480" w:lineRule="auto"/>
      </w:pPr>
      <w:r>
        <w:t xml:space="preserve">The cumulative governance posture that follows from the findings can be stated compactly. On the present planetary record, the order in which capability is acquired is not a securely identified driver of the rate at which a campaign element reaches launch, once the element’s scope, readiness, and class are measured and controlled</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 schedule risk that program managers attribute to sequencing is, in this evidence, better explained by the technology-maturation content of each element. The agency and the laboratory are therefore best served by concentrating schedule-risk attention on honest scoping of immature technology rather than on reordering elements, by declining to book heritage as a schedule discount that the historical record does not support, and by reserving their interdependency-management attention for the coupled, jointly developed architectures where the coordination tax is plausibly real rather than for the ordinary succession of elements within a mature campaign line.</w:t>
      </w:r>
    </w:p>
    <w:p>
      <w:pPr>
        <w:pStyle w:val="BodyText"/>
        <w:spacing w:line="480" w:lineRule="auto"/>
        <w:ind w:firstLine="720"/>
      </w:pPr>
      <w:r>
        <w:t xml:space="preserve">This posture is offered with the discipline its evidentiary base requires. It is a recommendation drawn from a low-power study whose nulls reflect an absence of detected effect rather than a demonstrated absence of effect, and whose most informative future observations, the censored sample-return and lunar elements, have not yet resolved. The contribution is bounded, reproducible, and traced at every step to audited public sources and peer-reviewed architecture studies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Within those bounds, it converts a long-standing engineering intuition about the cost of ordering into an estimated, signed, and interval-bounded quantity, and it returns to the decision-makers who sequence a Mars campaign a more precise account of where their schedule risk does and does not live.</w:t>
      </w:r>
    </w:p>
    <w:bookmarkEnd w:id="153"/>
    <w:bookmarkEnd w:id="154"/>
    <w:bookmarkStart w:id="199" w:name="chapter-8.-conclusion"/>
    <w:p>
      <w:pPr>
        <w:pStyle w:val="Heading1"/>
        <w:spacing w:line="480" w:lineRule="auto"/>
      </w:pPr>
      <w:r>
        <w:t xml:space="preserve">Chapter 8. Conclusion</w:t>
      </w:r>
    </w:p>
    <w:bookmarkStart w:id="155" w:name="the-argument-restated"/>
    <w:p>
      <w:pPr>
        <w:pStyle w:val="Heading2"/>
        <w:spacing w:line="480" w:lineRule="auto"/>
      </w:pPr>
      <w:r>
        <w:t xml:space="preserve">8.1 The Argument Restated</w:t>
      </w:r>
    </w:p>
    <w:p>
      <w:pPr>
        <w:pStyle w:val="FirstParagraph"/>
        <w:spacing w:line="480" w:lineRule="auto"/>
      </w:pPr>
      <w:r>
        <w:t xml:space="preserve">This dissertation set out to answer a single, deliberately narrow question: does the programmatic sequencing of capability acquisition determine the cost and schedule outcomes of Mars campaign elements, distinct from the intrinsic technical difficulty of those elements? The question is cliometric in the strict sense. It does not ask whether Mars missions overrun, which is well established, nor whether interdependency matters, which engineering judgment has long asserted. It asks whether a structural feature of how a campaign was organized over time, the order in which orbiters, landers, rovers, and the prospective sample-return chain were committed, left a quantitative trace in the cost and schedule record of those elements once their measured scope and technology readiness were held constant. The discipline of the inquiry was to insist that the answer be estimated, signed, and bounded rather than asserted, and that the null be taken seriously rather than treated as a rhetorical foil.</w:t>
      </w:r>
    </w:p>
    <w:p>
      <w:pPr>
        <w:pStyle w:val="BodyText"/>
        <w:spacing w:line="480" w:lineRule="auto"/>
        <w:ind w:firstLine="720"/>
      </w:pPr>
      <w:r>
        <w:t xml:space="preserve">The motivation was concrete and consequential. Mars exploration is the canonical planetary campaign, a deliberately ordered portfolio in which each committed element is meant to retire risk, demonstrate a capability, and lay the interface groundwork for the element that follows. The most consequential current expression of that logic is Mars Sample Return, studied as a jointly developed, multi-element architecture with orbiter, lander, ascent, and return segments conceived as an interdependent chain rather than as isolated missions</w:t>
      </w:r>
      <w:r>
        <w:t xml:space="preserve"> </w:t>
      </w:r>
      <w:hyperlink w:anchor="ref-1">
        <w:r>
          <w:rPr>
            <w:rStyle w:val="Hyperlink"/>
          </w:rPr>
          <w:t xml:space="preserve">[1]</w:t>
        </w:r>
      </w:hyperlink>
      <w:r>
        <w:t xml:space="preserve">. When elements are coupled in this way, the cost and schedule performance of any one element cannot be read solely off its own technical content. It is conditioned by where that element sits in the programmatic sequence, by what was promised to be inherited from upstream elements, and by what downstream elements were counting on it to deliver. Decision-makers who sequence a Mars campaign are therefore making, implicitly, a cost-schedule bet, wagering that committing capability A before capability B will yield a lower total outturn than the reverse or than committing them in parallel. That wager has been made on heritage arguments and engineering intuition, not on estimated quantities. The dissertation asked whether the wager has a measurable price. That is the whole inquiry.</w:t>
      </w:r>
    </w:p>
    <w:p>
      <w:pPr>
        <w:pStyle w:val="BodyText"/>
        <w:spacing w:line="480" w:lineRule="auto"/>
        <w:ind w:firstLine="720"/>
      </w:pPr>
      <w:r>
        <w:t xml:space="preserve">The strategic stakes were established against a documented record of flagship difficulty. Large space campaigns have a history of cost growth and schedule slip, with flagship architectures warned to carry previously unforeseen program interdependencies that may propagate into schedule changes and subsequent cost hikes</w:t>
      </w:r>
      <w:r>
        <w:t xml:space="preserve"> </w:t>
      </w:r>
      <w:hyperlink w:anchor="ref-3">
        <w:r>
          <w:rPr>
            <w:rStyle w:val="Hyperlink"/>
          </w:rPr>
          <w:t xml:space="preserve">[3]</w:t>
        </w:r>
      </w:hyperlink>
      <w:r>
        <w:t xml:space="preserve"> </w:t>
      </w:r>
      <w:hyperlink w:anchor="ref-4">
        <w:r>
          <w:rPr>
            <w:rStyle w:val="Hyperlink"/>
          </w:rPr>
          <w:t xml:space="preserve">[4]</w:t>
        </w:r>
      </w:hyperlink>
      <w:r>
        <w:t xml:space="preserve">. If sequencing carries a measurable cost-schedule signature, then the order of acquisition becomes a controllable programmatic lever with a price tag, and that price tag belongs in the architecture trade space alongside the mass, propulsion, and trajectory choices that are already modeled parametrically</w:t>
      </w:r>
      <w:r>
        <w:t xml:space="preserve"> </w:t>
      </w:r>
      <w:hyperlink w:anchor="ref-2">
        <w:r>
          <w:rPr>
            <w:rStyle w:val="Hyperlink"/>
          </w:rPr>
          <w:t xml:space="preserve">[2]</w:t>
        </w:r>
      </w:hyperlink>
      <w:r>
        <w:t xml:space="preserve"> </w:t>
      </w:r>
      <w:hyperlink w:anchor="ref-5">
        <w:r>
          <w:rPr>
            <w:rStyle w:val="Hyperlink"/>
          </w:rPr>
          <w:t xml:space="preserve">[5]</w:t>
        </w:r>
      </w:hyperlink>
      <w:r>
        <w:t xml:space="preserve">. If sequencing carries no such signature, that too is a finding of value, because it directs planners away from a lever they have implicitly treated as decisive and toward the drivers the evidence does implicate.</w:t>
      </w:r>
    </w:p>
    <w:bookmarkEnd w:id="155"/>
    <w:bookmarkStart w:id="156" w:name="what-the-two-studies-found"/>
    <w:p>
      <w:pPr>
        <w:pStyle w:val="Heading2"/>
        <w:spacing w:line="480" w:lineRule="auto"/>
      </w:pPr>
      <w:r>
        <w:t xml:space="preserve">8.2 What the Two Studies Found</w:t>
      </w:r>
    </w:p>
    <w:p>
      <w:pPr>
        <w:pStyle w:val="FirstParagraph"/>
        <w:spacing w:line="480" w:lineRule="auto"/>
      </w:pPr>
      <w:r>
        <w:t xml:space="preserve">The dissertation pursued the question through two complementary empirical instruments, each chosen because it answers a distinct facet of the same structural claim. The panel-econometric study estimated how sequencing position is associated with the magnitude of cost and schedule growth, using a fixed-effects model that absorbed campaign-wide and epoch-wide shocks and that controlled for a parametric scope index and a technology-readiness measure so that the sequencing term was estimated off variation orthogonal to measured difficulty</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survival study reframed the schedule outcome as a duration rather than a percentage of growth, treating development-to-launch time as a survival process in which an element is at risk of launching from the moment its baseline is committed, the launch is the terminal event, and elements still in development, in replan, or cancelled before delivery are right-censored rather than missing.</w:t>
      </w:r>
    </w:p>
    <w:p>
      <w:pPr>
        <w:pStyle w:val="BodyText"/>
        <w:spacing w:line="480" w:lineRule="auto"/>
        <w:ind w:firstLine="720"/>
      </w:pPr>
      <w:r>
        <w:t xml:space="preserve">The survival study delivered a disciplined null. The signal was absent. Across thirty NASA planetary and deep-space flight elements with twenty-seven launch events, the Cox proportional-hazards model returned a hazard ratio on sequencing position of 0.893, with a log-hazard coefficient of -0.1132, a standard error of 0.0984, a z-statistic of -1.150, and a p-value of 0.2501; the ninety-five-percent confidence interval on the coefficient ran from -0.306 to +0.080. Read literally, each step later in a campaign’s acquisition sequence was associated with roughly an eleven-percent lower hazard of reaching launch, a slower march to flight. But the interval comfortably contained zero and the p-value sat far from any conventional threshold, so the null could not be rejected. On the historical record available, sequencing position did not exert a statistically distinguishable effect on the rate at which a planetary element reached launch once cost growth, readiness risk, and flagship class were held constant.</w:t>
      </w:r>
    </w:p>
    <w:p>
      <w:pPr>
        <w:pStyle w:val="BodyText"/>
        <w:spacing w:line="480" w:lineRule="auto"/>
        <w:ind w:firstLine="720"/>
      </w:pPr>
      <w:r>
        <w:t xml:space="preserve">The control structure of the survival model was as informative as the headline coefficient. Every covariate entered with a hazard ratio below one, painting a coherent picture in which scope, readiness, cost difficulty, and flagship scale all slowed the path to launch, and in which sequencing position, once those forces were absorbed, added nothing the data could distinguish from zero. The strongest signal was the new-technology count, with a hazard ratio of 0.645, a coefficient of -0.4382, a standard error of 0.2589, and a p-value of 0.0905, its interval from -0.946 to +0.069 only barely crossing zero. This is the expected readiness penalty: technology not yet mature for its mission lengthens development</w:t>
      </w:r>
      <w:r>
        <w:t xml:space="preserve"> </w:t>
      </w:r>
      <w:hyperlink w:anchor="ref-5">
        <w:r>
          <w:rPr>
            <w:rStyle w:val="Hyperlink"/>
          </w:rPr>
          <w:t xml:space="preserve">[5]</w:t>
        </w:r>
      </w:hyperlink>
      <w:r>
        <w:t xml:space="preserve"> </w:t>
      </w:r>
      <w:hyperlink w:anchor="ref-7">
        <w:r>
          <w:rPr>
            <w:rStyle w:val="Hyperlink"/>
          </w:rPr>
          <w:t xml:space="preserve">[7]</w:t>
        </w:r>
      </w:hyperlink>
      <w:r>
        <w:t xml:space="preserve">. Cost growth carried a hazard ratio of 0.967, a small and sensible co-movement of cost and schedule difficulty, and the flagship indicator carried a hazard ratio of 0.168 whose wide interval, from -4.482 to +0.913, reflected how few flagships the panel contained, consistent with the documented flagship overrun record</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point estimate on sequencing leaned toward the escalating-ambition mechanism rather than the inheritance mechanism, because later elements appeared to slow rather than accelerate, but the evidence was too weak to credit that lean.</w:t>
      </w:r>
    </w:p>
    <w:p>
      <w:pPr>
        <w:pStyle w:val="BodyText"/>
        <w:spacing w:line="480" w:lineRule="auto"/>
        <w:ind w:firstLine="720"/>
      </w:pPr>
      <w:r>
        <w:t xml:space="preserve">The two studies converge. They tell one story, not two. Whether the schedule outcome is measured as a magnitude of growth in the panel or as a hazard of completion in the survival model, the order of acquisition does not emerge as the operative driver. What the data associate with a slower, more expensive path to flight is the measured difficulty of an element, what it is asked to do, not the ordinal position it occupies in line. The three predicted mechanisms framed at the outset, inheritance, escalating ambition, and interdependency, do not all point the same way, and the evidence does not arbitrate decisively among them; but to the extent it leans at all, it leans away from inheritance as a free schedule dividend and toward the reading that later elements attempt more precisely because their predecessors retired enough risk to justify reaching further.</w:t>
      </w:r>
    </w:p>
    <w:bookmarkEnd w:id="156"/>
    <w:bookmarkStart w:id="157"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understood against the gap it was built to close. Three literatures touch the sequencing question and none of them had closed it. The Mars architecture literature specifies campaign elements and their interdependencies in rich engineering detail and treats architecture as a design object to be optimized at a point in time</w:t>
      </w:r>
      <w:r>
        <w:t xml:space="preserve"> </w:t>
      </w:r>
      <w:hyperlink w:anchor="ref-1">
        <w:r>
          <w:rPr>
            <w:rStyle w:val="Hyperlink"/>
          </w:rPr>
          <w:t xml:space="preserve">[1]</w:t>
        </w:r>
      </w:hyperlink>
      <w:r>
        <w:t xml:space="preserve"> </w:t>
      </w:r>
      <w:hyperlink w:anchor="ref-2">
        <w:r>
          <w:rPr>
            <w:rStyle w:val="Hyperlink"/>
          </w:rPr>
          <w:t xml:space="preserve">[2]</w:t>
        </w:r>
      </w:hyperlink>
      <w:r>
        <w:t xml:space="preserve">, but it does not treat the temporal sequence of commitments as an independent variable whose effect on outturn can be estimated. The parametric cost-estimation literature provides validated tools to predict element-level cost from technical descriptors with characterized uncertainty</w:t>
      </w:r>
      <w:r>
        <w:t xml:space="preserve"> </w:t>
      </w:r>
      <w:hyperlink w:anchor="ref-5">
        <w:r>
          <w:rPr>
            <w:rStyle w:val="Hyperlink"/>
          </w:rPr>
          <w:t xml:space="preserve">[5]</w:t>
        </w:r>
      </w:hyperlink>
      <w:r>
        <w:t xml:space="preserve"> </w:t>
      </w:r>
      <w:hyperlink w:anchor="ref-6">
        <w:r>
          <w:rPr>
            <w:rStyle w:val="Hyperlink"/>
          </w:rPr>
          <w:t xml:space="preserve">[6]</w:t>
        </w:r>
      </w:hyperlink>
      <w:r>
        <w:t xml:space="preserve">, but those tools are built to forecast a single element from its own attributes and carry no term for an element’s position in a sequence, so by construction they cannot answer whether sequencing matters. The program-architecture and economics literature recognizes that interdependencies and program organization drive outcomes and that flagship programs overrun and slip</w:t>
      </w:r>
      <w:r>
        <w:t xml:space="preserve"> </w:t>
      </w:r>
      <w:hyperlink w:anchor="ref-3">
        <w:r>
          <w:rPr>
            <w:rStyle w:val="Hyperlink"/>
          </w:rPr>
          <w:t xml:space="preserve">[3]</w:t>
        </w:r>
      </w:hyperlink>
      <w:r>
        <w:t xml:space="preserve"> </w:t>
      </w:r>
      <w:hyperlink w:anchor="ref-4">
        <w:r>
          <w:rPr>
            <w:rStyle w:val="Hyperlink"/>
          </w:rPr>
          <w:t xml:space="preserve">[4]</w:t>
        </w:r>
      </w:hyperlink>
      <w:r>
        <w:t xml:space="preserve">, but it names the mechanism without measuring its sequencing component. The parametric baseline existed, the interdependency claim existed, and the historical overrun record existed, yet they had never been joined into an identification strategy that isolates sequencing.</w:t>
      </w:r>
    </w:p>
    <w:p>
      <w:pPr>
        <w:pStyle w:val="BodyText"/>
        <w:spacing w:line="480" w:lineRule="auto"/>
        <w:ind w:firstLine="720"/>
      </w:pPr>
      <w:r>
        <w:t xml:space="preserve">This dissertation joins them. Its primary contribution is methodological as much as substantive: it constructs the identification strategy that the prior literatures had left unbuilt, pairing a panel-econometric estimate of cost and schedule growth with a survival re-estimation of development duration, and disciplining both against a parametric scope baseline so that the sequencing term is estimated net of measured difficulty</w:t>
      </w:r>
      <w:r>
        <w:t xml:space="preserve"> </w:t>
      </w:r>
      <w:hyperlink w:anchor="ref-5">
        <w:r>
          <w:rPr>
            <w:rStyle w:val="Hyperlink"/>
          </w:rPr>
          <w:t xml:space="preserve">[5]</w:t>
        </w:r>
      </w:hyperlink>
      <w:r>
        <w:t xml:space="preserve"> </w:t>
      </w:r>
      <w:hyperlink w:anchor="ref-6">
        <w:r>
          <w:rPr>
            <w:rStyle w:val="Hyperlink"/>
          </w:rPr>
          <w:t xml:space="preserve">[6]</w:t>
        </w:r>
      </w:hyperlink>
      <w:r>
        <w:t xml:space="preserve">. By reframing the schedule outcome as a survival process, the survival study supplies an estimator matched to the censored structure of an active campaign in which the most informative elements have not yet reached their terminal event. This is a transferable contribution. The construct of acquisition-sequence position, coded from primary architecture studies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r>
        <w:t xml:space="preserve">and joined to audited cost and schedule data, is portable to any planetary or deep-space campaign organized as an ordered portfolio, and the survival framing offers a way to learn from missions still in flight rather than waiting for the full record to close.</w:t>
      </w:r>
    </w:p>
    <w:p>
      <w:pPr>
        <w:pStyle w:val="BodyText"/>
        <w:spacing w:line="480" w:lineRule="auto"/>
        <w:ind w:firstLine="720"/>
      </w:pPr>
      <w:r>
        <w:t xml:space="preserve">The substantive contribution is a bounded, reproducible negative. In the historical planetary record available now, sequencing position leaves no significant trace on the hazard of reaching launch once scope, readiness, and class are controlled. A disciplined null is a genuine addition to knowledge, not a failure to find a result, precisely because the prior literature had treated sequencing as consequential without having measured it. The finding reorients the cost-schedule conversation. It suggests that the schedule consequences attributed to sequencing in engineering judgment are, on this evidence, better explained by what each element is asked to do than by where it sits in line, and it identifies the new-technology count as the covariate most worth a planner’s attention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For an agency sequencing a Mars campaign, the practical implication is that the order of acquisition is not, on the current record, the priced lever it has been assumed to be; the priced lever is the maturity of the technology each element carries when its baseline is committed.</w:t>
      </w:r>
    </w:p>
    <w:p>
      <w:pPr>
        <w:pStyle w:val="BodyText"/>
        <w:spacing w:line="480" w:lineRule="auto"/>
        <w:ind w:firstLine="720"/>
      </w:pPr>
      <w:r>
        <w:t xml:space="preserve">The contribution is also defined by its honesty about what it does not establish. The dissertation does not claim that sequencing is irrelevant in principle. It claims that, on the population of planetary elements with documented baselines available through mid-2026, no signed sequencing effect survives the parametric scope baseline at conventional confidence. The distinction between an absence of detectable effect and a proof of no effect is preserved throughout, and it is preserved deliberately, because the integrity of a cliometric null depends on it.</w:t>
      </w:r>
    </w:p>
    <w:bookmarkEnd w:id="157"/>
    <w:bookmarkStart w:id="158" w:name="limitations-and-the-path-forward"/>
    <w:p>
      <w:pPr>
        <w:pStyle w:val="Heading2"/>
        <w:spacing w:line="480" w:lineRule="auto"/>
      </w:pPr>
      <w:r>
        <w:t xml:space="preserve">8.4 Limitations and the Path Forward</w:t>
      </w:r>
    </w:p>
    <w:p>
      <w:pPr>
        <w:pStyle w:val="FirstParagraph"/>
        <w:spacing w:line="480" w:lineRule="auto"/>
      </w:pPr>
      <w:r>
        <w:t xml:space="preserve">Three limitations bound the claim and each points toward the work that should follow. First, the population of planetary elements with documented baselines is small, and the flagship and censored cells are sparse, which inflates the standard errors and limits power; the wide flagship interval is the clearest symptom of that scarcity. A null estimated on thirty elements is an absence of detectable effect, not a demonstration that the effect is zero. Second, sequencing position may be endogenous if planners deliberately order the technically hardest elements last, in which case the readiness control absorbs part of the variation the sequencing term would otherwise capture; the panel companion, with its parametric scope baseline and its scope-interaction specifications, is the stronger venue for that identification problem, but neither study can fully exclude the concern on the present data</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Third, and most consequentially, the three right-censored elements include the very architecture whose interdependency is most likely to carry a sequencing signature, namely Mars Sample Return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most informative future observations have not yet occurred. As the sample-return chain, the outer-planet concepts, and the restructured lunar elements resolve, the survival model can be refit and the sequencing hazard re-estimated on a record that finally includes the coupled, multi-element architecture the theory most directly implicates.</w:t>
      </w:r>
    </w:p>
    <w:p>
      <w:pPr>
        <w:pStyle w:val="BodyText"/>
        <w:spacing w:line="480" w:lineRule="auto"/>
        <w:ind w:firstLine="720"/>
      </w:pPr>
      <w:r>
        <w:t xml:space="preserve">This is not a weakness to be apologized for so much as a research agenda the dissertation hands forward. The survival framing was chosen precisely because it can ingest those resolutions as they arrive, treating today’s censored elements as tomorrow’s events. A parametric architecture comparison can indicate, as those data mature, where the present estimate is and is not portable across competing designs</w:t>
      </w:r>
      <w:r>
        <w:t xml:space="preserve"> </w:t>
      </w:r>
      <w:hyperlink w:anchor="ref-2">
        <w:r>
          <w:rPr>
            <w:rStyle w:val="Hyperlink"/>
          </w:rPr>
          <w:t xml:space="preserve">[2]</w:t>
        </w:r>
      </w:hyperlink>
      <w:r>
        <w:t xml:space="preserve">. The natural next study is a refit on the post-resolution record, with particular attention to whether the interdependency mechanism runs along the acquisition sequence as a clean hand-off or cuts across it as a coordination tax, the distinction on which the sign of any future sequencing effect will turn</w:t>
      </w:r>
      <w:r>
        <w:t xml:space="preserve"> </w:t>
      </w:r>
      <w:hyperlink w:anchor="ref-4">
        <w:r>
          <w:rPr>
            <w:rStyle w:val="Hyperlink"/>
          </w:rPr>
          <w:t xml:space="preserve">[4]</w:t>
        </w:r>
      </w:hyperlink>
      <w:r>
        <w:t xml:space="preserve">.</w:t>
      </w:r>
    </w:p>
    <w:bookmarkEnd w:id="158"/>
    <w:bookmarkStart w:id="159" w:name="closing-statement"/>
    <w:p>
      <w:pPr>
        <w:pStyle w:val="Heading2"/>
        <w:spacing w:line="480" w:lineRule="auto"/>
      </w:pPr>
      <w:r>
        <w:t xml:space="preserve">8.5 Closing Statement</w:t>
      </w:r>
    </w:p>
    <w:p>
      <w:pPr>
        <w:pStyle w:val="FirstParagraph"/>
        <w:spacing w:line="480" w:lineRule="auto"/>
      </w:pPr>
      <w:r>
        <w:t xml:space="preserve">The exploration of Mars has been organized as a campaign, not a procurement, and this dissertation asked whether the order of that campaign’s commitments determines its cost and schedule fate. The answer, on the evidence available, is disciplined and clear. Once the measured scope and technology readiness of each element are accounted for, the position of that element in the acquisition sequence does not exert a cost or schedule effect the data can distinguish from zero, whether the outcome is read as a magnitude of growth or as the hazard of reaching launch. What the record implicates instead is the ambition each element carries, the new and not-yet-mature technology it must mature on its own development path</w:t>
      </w:r>
      <w:r>
        <w:t xml:space="preserve"> </w:t>
      </w:r>
      <w:hyperlink w:anchor="ref-5">
        <w:r>
          <w:rPr>
            <w:rStyle w:val="Hyperlink"/>
          </w:rPr>
          <w:t xml:space="preserve">[5]</w:t>
        </w:r>
      </w:hyperlink>
      <w:r>
        <w:t xml:space="preserve"> </w:t>
      </w:r>
      <w:hyperlink w:anchor="ref-7">
        <w:r>
          <w:rPr>
            <w:rStyle w:val="Hyperlink"/>
          </w:rPr>
          <w:t xml:space="preserve">[7]</w:t>
        </w:r>
      </w:hyperlink>
      <w:r>
        <w:t xml:space="preserve">. Sequencing, on this evidence, is not the priced lever it has been assumed to be; difficulty is.</w:t>
      </w:r>
    </w:p>
    <w:p>
      <w:pPr>
        <w:pStyle w:val="BodyText"/>
        <w:spacing w:line="480" w:lineRule="auto"/>
        <w:ind w:firstLine="720"/>
      </w:pPr>
      <w:r>
        <w:t xml:space="preserve">This is a useful result for the agency that must commit the next Mars elements, and it is offered in the spirit in which it was estimated: as a signed, bounded, falsifiable claim that takes its own null seriously, that names what it cannot yet exclude, and that leaves behind an estimator ready to learn from the elements still in flight</w:t>
      </w:r>
      <w:r>
        <w:t xml:space="preserve"> </w:t>
      </w:r>
      <w:hyperlink w:anchor="ref-1">
        <w:r>
          <w:rPr>
            <w:rStyle w:val="Hyperlink"/>
          </w:rPr>
          <w:t xml:space="preserve">[1]</w:t>
        </w:r>
      </w:hyperlink>
      <w:r>
        <w:t xml:space="preserve">. The campaign is not finished, and neither is the inquiry. When Mars Sample Return and its peers resolve from censored observations into completed events, the sequencing hazard can be re-estimated on the record that matters most. Until then, the contribution stands as the first quantitative test of a question the discipline had long answered by assertion, and its verdict is that the cost and schedule of a Mars campaign are written less by the order of its commitments than by the difficulty of what each commitment dares to do.</w:t>
      </w:r>
    </w:p>
    <w:bookmarkEnd w:id="159"/>
    <w:bookmarkStart w:id="198" w:name="references"/>
    <w:p>
      <w:pPr>
        <w:pStyle w:val="Heading2"/>
        <w:spacing w:line="480" w:lineRule="auto"/>
      </w:pPr>
      <w:r>
        <w:t xml:space="preserve">References</w:t>
      </w:r>
    </w:p>
    <w:p>
      <w:pPr>
        <w:pStyle w:val="FirstParagraph"/>
        <w:spacing w:line="480" w:lineRule="auto"/>
      </w:pPr>
      <w:bookmarkStart w:id="160" w:name="ref-1"/>
      <w:bookmarkEnd w:id="160"/>
      <w:r>
        <w:t xml:space="preserve">1. B. Muirhead, A. Nicholas, J. W. Umland, O. Sutherland, and S. Vijendran,</w:t>
      </w:r>
      <w:r>
        <w:t xml:space="preserve"> </w:t>
      </w:r>
      <w:r>
        <w:t xml:space="preserve">“Mars Sample Return Campaign Concept Status,”</w:t>
      </w:r>
      <w:r>
        <w:t xml:space="preserve"> </w:t>
      </w:r>
      <w:r>
        <w:rPr>
          <w:i/>
          <w:iCs/>
        </w:rPr>
        <w:t xml:space="preserve">Acta Astronautica</w:t>
      </w:r>
      <w:r>
        <w:t xml:space="preserve">, vol. 176, 2020. doi:</w:t>
      </w:r>
      <w:r>
        <w:t xml:space="preserve"> </w:t>
      </w:r>
      <w:hyperlink r:id="rId161">
        <w:r>
          <w:rPr>
            <w:rStyle w:val="Hyperlink"/>
          </w:rPr>
          <w:t xml:space="preserve">10.1016/j.actaastro.2020.06.026</w:t>
        </w:r>
      </w:hyperlink>
      <w:r>
        <w:t xml:space="preserve">.</w:t>
      </w:r>
    </w:p>
    <w:p>
      <w:pPr>
        <w:pStyle w:val="BodyText"/>
        <w:spacing w:line="480" w:lineRule="auto"/>
        <w:ind w:firstLine="720"/>
      </w:pPr>
      <w:bookmarkStart w:id="162" w:name="ref-2"/>
      <w:bookmarkEnd w:id="162"/>
      <w:r>
        <w:t xml:space="preserve">2. S. Dorrington and J. Olsen,</w:t>
      </w:r>
      <w:r>
        <w:t xml:space="preserve"> </w:t>
      </w:r>
      <w:r>
        <w:t xml:space="preserve">“Parametric economic modelling of asteroid mining architectures,”</w:t>
      </w:r>
      <w:r>
        <w:t xml:space="preserve"> </w:t>
      </w:r>
      <w:r>
        <w:rPr>
          <w:i/>
          <w:iCs/>
        </w:rPr>
        <w:t xml:space="preserve">Acta Astronautica</w:t>
      </w:r>
      <w:r>
        <w:t xml:space="preserve">, vol. 241, 2025. doi:</w:t>
      </w:r>
      <w:r>
        <w:t xml:space="preserve"> </w:t>
      </w:r>
      <w:hyperlink r:id="rId163">
        <w:r>
          <w:rPr>
            <w:rStyle w:val="Hyperlink"/>
          </w:rPr>
          <w:t xml:space="preserve">10.1016/j.actaastro.2025.11.006</w:t>
        </w:r>
      </w:hyperlink>
      <w:r>
        <w:t xml:space="preserve">.</w:t>
      </w:r>
    </w:p>
    <w:p>
      <w:pPr>
        <w:pStyle w:val="BodyText"/>
        <w:spacing w:line="480" w:lineRule="auto"/>
        <w:ind w:firstLine="720"/>
      </w:pPr>
      <w:bookmarkStart w:id="164" w:name="ref-3"/>
      <w:bookmarkEnd w:id="164"/>
      <w:r>
        <w:t xml:space="preserve">3. M. Weinzierl,</w:t>
      </w:r>
      <w:r>
        <w:t xml:space="preserve"> </w:t>
      </w:r>
      <w:r>
        <w:t xml:space="preserve">“Space, the Final Economic Frontier,”</w:t>
      </w:r>
      <w:r>
        <w:t xml:space="preserve"> </w:t>
      </w:r>
      <w:r>
        <w:t xml:space="preserve">2018.</w:t>
      </w:r>
    </w:p>
    <w:p>
      <w:pPr>
        <w:pStyle w:val="BodyText"/>
        <w:spacing w:line="480" w:lineRule="auto"/>
        <w:ind w:firstLine="720"/>
      </w:pPr>
      <w:bookmarkStart w:id="165" w:name="ref-4"/>
      <w:bookmarkEnd w:id="165"/>
      <w:r>
        <w:t xml:space="preserve">4.</w:t>
      </w:r>
      <w:r>
        <w:t xml:space="preserve"> </w:t>
      </w:r>
      <w:r>
        <w:t xml:space="preserve">“Architectural Socio-Technological Transformative Change of Space-Use Norms.”</w:t>
      </w:r>
    </w:p>
    <w:p>
      <w:pPr>
        <w:pStyle w:val="BodyText"/>
        <w:spacing w:line="480" w:lineRule="auto"/>
        <w:ind w:firstLine="720"/>
      </w:pPr>
      <w:bookmarkStart w:id="166" w:name="ref-5"/>
      <w:bookmarkEnd w:id="166"/>
      <w:r>
        <w:t xml:space="preserve">5.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67">
        <w:r>
          <w:rPr>
            <w:rStyle w:val="Hyperlink"/>
          </w:rPr>
          <w:t xml:space="preserve">10.1016/j.actaastro.2019.09.030</w:t>
        </w:r>
      </w:hyperlink>
      <w:r>
        <w:t xml:space="preserve">.</w:t>
      </w:r>
    </w:p>
    <w:p>
      <w:pPr>
        <w:pStyle w:val="BodyText"/>
        <w:spacing w:line="480" w:lineRule="auto"/>
        <w:ind w:firstLine="720"/>
      </w:pPr>
      <w:bookmarkStart w:id="168" w:name="ref-6"/>
      <w:bookmarkEnd w:id="168"/>
      <w:r>
        <w:t xml:space="preserve">6.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2022. doi:</w:t>
      </w:r>
      <w:r>
        <w:t xml:space="preserve"> </w:t>
      </w:r>
      <w:hyperlink r:id="rId169">
        <w:r>
          <w:rPr>
            <w:rStyle w:val="Hyperlink"/>
          </w:rPr>
          <w:t xml:space="preserve">10.1016/j.actaastro.2022.12.036</w:t>
        </w:r>
      </w:hyperlink>
      <w:r>
        <w:t xml:space="preserve">.</w:t>
      </w:r>
    </w:p>
    <w:p>
      <w:pPr>
        <w:pStyle w:val="BodyText"/>
        <w:spacing w:line="480" w:lineRule="auto"/>
        <w:ind w:firstLine="720"/>
      </w:pPr>
      <w:bookmarkStart w:id="170" w:name="ref-7"/>
      <w:bookmarkEnd w:id="170"/>
      <w:r>
        <w:t xml:space="preserve">7. M. Weinzierl,</w:t>
      </w:r>
      <w:r>
        <w:t xml:space="preserve"> </w:t>
      </w:r>
      <w:r>
        <w:t xml:space="preserve">“Space, the Final Economic Frontier,”</w:t>
      </w:r>
      <w:r>
        <w:t xml:space="preserve"> </w:t>
      </w:r>
      <w:r>
        <w:t xml:space="preserve">Journal of Economic Perspectives, vol. 32, no. 2, pp. 173-192, 2018.</w:t>
      </w:r>
    </w:p>
    <w:p>
      <w:pPr>
        <w:pStyle w:val="BodyText"/>
        <w:spacing w:line="480" w:lineRule="auto"/>
        <w:ind w:firstLine="720"/>
      </w:pPr>
      <w:bookmarkStart w:id="171" w:name="ref-8"/>
      <w:bookmarkEnd w:id="171"/>
      <w:r>
        <w:t xml:space="preserve">8. E. Romero and D. Francisco,</w:t>
      </w:r>
      <w:r>
        <w:t xml:space="preserve"> </w:t>
      </w:r>
      <w:r>
        <w:t xml:space="preserve">“The NASA human system risk mitigation process for space exploration,”</w:t>
      </w:r>
      <w:r>
        <w:t xml:space="preserve"> </w:t>
      </w:r>
      <w:r>
        <w:t xml:space="preserve">Acta Astronautica, vol. 175, 2020. doi:</w:t>
      </w:r>
      <w:r>
        <w:t xml:space="preserve"> </w:t>
      </w:r>
      <w:hyperlink r:id="rId172">
        <w:r>
          <w:rPr>
            <w:rStyle w:val="Hyperlink"/>
          </w:rPr>
          <w:t xml:space="preserve">10.1016/j.actaastro.2020.04.046</w:t>
        </w:r>
      </w:hyperlink>
    </w:p>
    <w:p>
      <w:pPr>
        <w:pStyle w:val="BodyText"/>
        <w:spacing w:line="480" w:lineRule="auto"/>
        <w:ind w:firstLine="720"/>
      </w:pPr>
      <w:bookmarkStart w:id="173" w:name="ref-9"/>
      <w:bookmarkEnd w:id="173"/>
      <w:r>
        <w:t xml:space="preserve">9. Mark Schmalz (University of Florida). Programming Constructs for Exascale Computing in Support of Space Situational Awareness (2013).</w:t>
      </w:r>
    </w:p>
    <w:p>
      <w:pPr>
        <w:pStyle w:val="BodyText"/>
        <w:spacing w:line="480" w:lineRule="auto"/>
        <w:ind w:firstLine="720"/>
      </w:pPr>
      <w:bookmarkStart w:id="174" w:name="ref-10"/>
      <w:bookmarkEnd w:id="174"/>
      <w:r>
        <w:t xml:space="preserve">10. Masahiko Uetsuhara (The Institute of Statistical Mathematics), Norikazu Ikoma (Kyushu Institute of Technology, and The Institute of Statistical Mathematics). Faint Debris Detection by Particle Based Track-Before-Detect Method (2014).</w:t>
      </w:r>
    </w:p>
    <w:p>
      <w:pPr>
        <w:pStyle w:val="BodyText"/>
        <w:spacing w:line="480" w:lineRule="auto"/>
        <w:ind w:firstLine="720"/>
      </w:pPr>
      <w:bookmarkStart w:id="175" w:name="ref-11"/>
      <w:bookmarkEnd w:id="175"/>
      <w:r>
        <w:t xml:space="preserve">11.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176">
        <w:r>
          <w:rPr>
            <w:rStyle w:val="Hyperlink"/>
          </w:rPr>
          <w:t xml:space="preserve">10.64861/FHSX9637</w:t>
        </w:r>
      </w:hyperlink>
    </w:p>
    <w:p>
      <w:pPr>
        <w:pStyle w:val="BodyText"/>
        <w:spacing w:line="480" w:lineRule="auto"/>
        <w:ind w:firstLine="720"/>
      </w:pPr>
      <w:bookmarkStart w:id="177" w:name="ref-12"/>
      <w:bookmarkEnd w:id="177"/>
      <w:r>
        <w:t xml:space="preserve">12. Dick Stottler, Stottler Henke Associates, Inc.. Improved Space Surveillance Network (SSN) Scheduling using Artificial Intelligence Techniques (2015).</w:t>
      </w:r>
    </w:p>
    <w:p>
      <w:pPr>
        <w:pStyle w:val="BodyText"/>
        <w:spacing w:line="480" w:lineRule="auto"/>
        <w:ind w:firstLine="720"/>
      </w:pPr>
      <w:bookmarkStart w:id="178" w:name="ref-13"/>
      <w:bookmarkEnd w:id="178"/>
      <w:r>
        <w:t xml:space="preserve">13. Dick Stottler, Stottler Henke Associates, Inc.H, Kyle Mahan, Stottler Henke Associates, Inc.. Automatic, Rapid Replanning of Satellite Operations for Space Situational Awareness (SSA) (2015).</w:t>
      </w:r>
    </w:p>
    <w:p>
      <w:pPr>
        <w:pStyle w:val="BodyText"/>
        <w:spacing w:line="480" w:lineRule="auto"/>
        <w:ind w:firstLine="720"/>
      </w:pPr>
      <w:bookmarkStart w:id="179" w:name="ref-14"/>
      <w:bookmarkEnd w:id="179"/>
      <w:r>
        <w:t xml:space="preserve">14. Mariel Borowitz, Office of Space Commerce; Cristina Pérez Hernández, Spanish Space Agency; Morgane Jouisse, CNES; Aurélie Gillet, EU SST; Pascal Faucher, CNES. Advancing Concepts for Global Coordination on SSA (2025). doi:</w:t>
      </w:r>
      <w:r>
        <w:t xml:space="preserve"> </w:t>
      </w:r>
      <w:hyperlink r:id="rId180">
        <w:r>
          <w:rPr>
            <w:rStyle w:val="Hyperlink"/>
          </w:rPr>
          <w:t xml:space="preserve">10.64861/LCET1122</w:t>
        </w:r>
      </w:hyperlink>
    </w:p>
    <w:p>
      <w:pPr>
        <w:pStyle w:val="BodyText"/>
        <w:spacing w:line="480" w:lineRule="auto"/>
        <w:ind w:firstLine="720"/>
      </w:pPr>
      <w:bookmarkStart w:id="181" w:name="ref-15"/>
      <w:bookmarkEnd w:id="181"/>
      <w:r>
        <w:t xml:space="preserve">15. Michal Dichter, Applied Technology Associates, a BlueHalo Company. Machine Learning for Launch Assessment: The Similarity-Based Launch Classification Tool (SLCT) (2021).</w:t>
      </w:r>
    </w:p>
    <w:p>
      <w:pPr>
        <w:pStyle w:val="BodyText"/>
        <w:spacing w:line="480" w:lineRule="auto"/>
        <w:ind w:firstLine="720"/>
      </w:pPr>
      <w:bookmarkStart w:id="182" w:name="ref-16"/>
      <w:bookmarkEnd w:id="182"/>
      <w:r>
        <w:t xml:space="preserve">16. Maciej Konacki, Baltic Institute of Technology, Nicolaus Copernicus Astronomical Center – Polish Academy of Sciences, Pawe? Lejba, Space Research Center – Polish Academy of Sciences, Piotr Sybilski, Nicolaus Copernicus Astronomical Center – Polish Academy of Sciences and Sybilla Technologies, Rafa? Paw?aszek, Nicolaus Copernicus Astronomical Center – Polish Academy of Sciences and Sybilla Technologies, Stanis?aw Koz?owski, Nicolaus Copernicus Astronomical Center – Polish Academy of Sciences and Cillium Engineering, Tomasz Suchodolski, Space Research Center – Polish Academy of Sciences, Mariusz S?onina, Sybilla Technologies, Micha? Litwicki, Nicolaus Copernicus Astronomical Center – Polish Academy of Sciences and Cillium Engineering, Agnieszka Sybilska, Baltic Institute of Technology and Sybilla Technologies, Beata Rogowska, Baltic Institute of Technology, Ulrich Kolb, School of Physical Sciences – The Open University, Vadim Burwitz, Max-Planck-Institut für Extraterrestrische Physik, Johannes Baader, Baader Planetarium GmbH, Paul Groot, Department of Astrophysics/IMAPP – Radboud University, Steven Bloemen, Department of Astrophysics/IMAPP – Radboud University and NOVA Optical InfraRed Instrumentation Group, Milena Ratajczak, Institute of Astronomy, Wroc?aw University, Krzysztof He?miniak, Nicolaus Copernicus Astronomical Center – Polish Academy of Sciences, Rafa? Borek, Inspectorate for Implementation of Innovative Defense Technologies – Ministry of Defense, Pawe? Chodosiewicz, Polish Space Agency – Defense Projects, Arkadiusz Chimicz, Polish Space Agency – Defense Projects. The Solaris-Panoptes Global Network of Robotic Telescopes and the Borowiec Satellite Laser Ranging System for SST: A Progress Report (2017).</w:t>
      </w:r>
    </w:p>
    <w:p>
      <w:pPr>
        <w:pStyle w:val="BodyText"/>
        <w:spacing w:line="480" w:lineRule="auto"/>
        <w:ind w:firstLine="720"/>
      </w:pPr>
      <w:bookmarkStart w:id="183" w:name="ref-17"/>
      <w:bookmarkEnd w:id="183"/>
      <w:r>
        <w:t xml:space="preserve">17. R. L. McNutt; R. F. Wimmer‐Schweingruber; Mike Gruntman; S. M. Krimigis; E. C. Roelof; P. C. Brandt; Steven R. Vernon; Michael Paul; Robert Stough; J.D. Kinnison. Interstellar probe – Destination: Universe! (2022). doi:</w:t>
      </w:r>
      <w:r>
        <w:t xml:space="preserve"> </w:t>
      </w:r>
      <w:hyperlink r:id="rId184">
        <w:r>
          <w:rPr>
            <w:rStyle w:val="Hyperlink"/>
          </w:rPr>
          <w:t xml:space="preserve">10.1016/j.actaastro.2022.04.001</w:t>
        </w:r>
      </w:hyperlink>
    </w:p>
    <w:p>
      <w:pPr>
        <w:pStyle w:val="BodyText"/>
        <w:spacing w:line="480" w:lineRule="auto"/>
        <w:ind w:firstLine="720"/>
      </w:pPr>
      <w:bookmarkStart w:id="185" w:name="ref-18"/>
      <w:bookmarkEnd w:id="185"/>
      <w:r>
        <w:t xml:space="preserve">18. Tianjiao Zhang; Yikang Yang; Baohua Wang; Li Zhao; Hong‐Xin Shen; Hengnian Li. Optimal scheduling for location geosynchronous satellites refueling problem (2019). doi:</w:t>
      </w:r>
      <w:r>
        <w:t xml:space="preserve"> </w:t>
      </w:r>
      <w:hyperlink r:id="rId186">
        <w:r>
          <w:rPr>
            <w:rStyle w:val="Hyperlink"/>
          </w:rPr>
          <w:t xml:space="preserve">10.1016/j.actaastro.2019.01.024</w:t>
        </w:r>
      </w:hyperlink>
    </w:p>
    <w:p>
      <w:pPr>
        <w:pStyle w:val="BodyText"/>
        <w:spacing w:line="480" w:lineRule="auto"/>
        <w:ind w:firstLine="720"/>
      </w:pPr>
      <w:bookmarkStart w:id="187" w:name="ref-19"/>
      <w:bookmarkEnd w:id="187"/>
      <w:r>
        <w:t xml:space="preserve">19. Peter Rickmers; Étienne Dumont; Sven Krummen; Jose Luis Redondo Gutiérrez; Leonid Bussler; Sebastian Kottmeier; Guido Wübbels; Hauke Martens; Svenja Woicke; Marco Sagliano; Janis Sebastian Häseker; Lars Witte; Martin Sippel; Waldemar Bauer; Hendrik-Joachim Peetz. The CALLISTO and ReFEx flight experiments at DLR - Challenges and opportunities of a wholistic approach (2024). doi:</w:t>
      </w:r>
      <w:r>
        <w:t xml:space="preserve"> </w:t>
      </w:r>
      <w:hyperlink r:id="rId188">
        <w:r>
          <w:rPr>
            <w:rStyle w:val="Hyperlink"/>
          </w:rPr>
          <w:t xml:space="preserve">10.1016/j.actaastro.2024.09.024</w:t>
        </w:r>
      </w:hyperlink>
    </w:p>
    <w:p>
      <w:pPr>
        <w:pStyle w:val="BodyText"/>
        <w:spacing w:line="480" w:lineRule="auto"/>
        <w:ind w:firstLine="720"/>
      </w:pPr>
      <w:bookmarkStart w:id="189" w:name="ref-20"/>
      <w:bookmarkEnd w:id="189"/>
      <w:r>
        <w:t xml:space="preserve">20. Nishanth Pushparaj; Nicola Baresi; Yasuhiro Kawakatsu. Optimization of MMX relative quasi-satellite transfer trajectories using primer vector theory (2024). doi:</w:t>
      </w:r>
      <w:r>
        <w:t xml:space="preserve"> </w:t>
      </w:r>
      <w:hyperlink r:id="rId190">
        <w:r>
          <w:rPr>
            <w:rStyle w:val="Hyperlink"/>
          </w:rPr>
          <w:t xml:space="preserve">10.1016/j.actaastro.2024.09.031</w:t>
        </w:r>
      </w:hyperlink>
    </w:p>
    <w:p>
      <w:pPr>
        <w:pStyle w:val="BodyText"/>
        <w:spacing w:line="480" w:lineRule="auto"/>
        <w:ind w:firstLine="720"/>
      </w:pPr>
      <w:bookmarkStart w:id="191" w:name="ref-21"/>
      <w:bookmarkEnd w:id="191"/>
      <w:r>
        <w:t xml:space="preserve">21. Nicole Viola; Roberta Fusaro; Davide Ferretto; Valeria Vercella. Research, development and production costs prediction parametric model for future civil hypersonic aircraft (2022). doi:</w:t>
      </w:r>
      <w:r>
        <w:t xml:space="preserve"> </w:t>
      </w:r>
      <w:hyperlink r:id="rId169">
        <w:r>
          <w:rPr>
            <w:rStyle w:val="Hyperlink"/>
          </w:rPr>
          <w:t xml:space="preserve">10.1016/j.actaastro.2022.12.036</w:t>
        </w:r>
      </w:hyperlink>
    </w:p>
    <w:p>
      <w:pPr>
        <w:pStyle w:val="BodyText"/>
        <w:spacing w:line="480" w:lineRule="auto"/>
        <w:ind w:firstLine="720"/>
      </w:pPr>
      <w:bookmarkStart w:id="192" w:name="ref-22"/>
      <w:bookmarkEnd w:id="192"/>
      <w:r>
        <w:t xml:space="preserve">22. E. Zhibo; Renhe Shi; Lan Gan; Hexi Baoyin; Junfeng Li. Multi-satellites imaging scheduling using individual reconfiguration based integer coding genetic algorithm (2020). doi:</w:t>
      </w:r>
      <w:r>
        <w:t xml:space="preserve"> </w:t>
      </w:r>
      <w:hyperlink r:id="rId193">
        <w:r>
          <w:rPr>
            <w:rStyle w:val="Hyperlink"/>
          </w:rPr>
          <w:t xml:space="preserve">10.1016/j.actaastro.2020.08.041</w:t>
        </w:r>
      </w:hyperlink>
    </w:p>
    <w:p>
      <w:pPr>
        <w:pStyle w:val="BodyText"/>
        <w:spacing w:line="480" w:lineRule="auto"/>
        <w:ind w:firstLine="720"/>
      </w:pPr>
      <w:bookmarkStart w:id="194" w:name="ref-23"/>
      <w:bookmarkEnd w:id="194"/>
      <w:r>
        <w:t xml:space="preserve">23. Benjamin Reimeir; Sara Maach; Anna Wargel; Franziska Riedl; Deepasree Bangaru-Raju; Robert Eberle; Gernot Groemer; Peter Federolf. Adaptive, empirical models from analog EVA telemetry for traverse pacing and physiological response prediction in astronauts (2025). doi:</w:t>
      </w:r>
      <w:r>
        <w:t xml:space="preserve"> </w:t>
      </w:r>
      <w:hyperlink r:id="rId195">
        <w:r>
          <w:rPr>
            <w:rStyle w:val="Hyperlink"/>
          </w:rPr>
          <w:t xml:space="preserve">10.1016/j.actaastro.2025.10.072</w:t>
        </w:r>
      </w:hyperlink>
    </w:p>
    <w:p>
      <w:pPr>
        <w:pStyle w:val="BodyText"/>
        <w:spacing w:line="480" w:lineRule="auto"/>
        <w:ind w:firstLine="720"/>
      </w:pPr>
      <w:bookmarkStart w:id="196" w:name="ref-24"/>
      <w:bookmarkEnd w:id="196"/>
      <w:r>
        <w:t xml:space="preserve">24. Paula Betriu; M. Sòria; J. Gutiérrez; Marcel Llopis; Antoni Barlabé. An assessment of different relay network topologies to improve Earth–Mars communications (2023). doi:</w:t>
      </w:r>
      <w:r>
        <w:t xml:space="preserve"> </w:t>
      </w:r>
      <w:hyperlink r:id="rId197">
        <w:r>
          <w:rPr>
            <w:rStyle w:val="Hyperlink"/>
          </w:rPr>
          <w:t xml:space="preserve">10.1016/j.actaastro.2023.01.040</w:t>
        </w:r>
      </w:hyperlink>
    </w:p>
    <w:bookmarkEnd w:id="198"/>
    <w:bookmarkEnd w:id="199"/>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7" w:name="Xb05b669cdd087b5ed61d5e0f25def92971ddc29"/>
    <w:p>
      <w:pPr>
        <w:pStyle w:val="Heading2"/>
        <w:spacing w:line="480" w:lineRule="auto"/>
      </w:pPr>
      <w:r>
        <w:t xml:space="preserve">A.1 The Hazard of Sequencing: A Cox Survival Analysis of Development-to-Launch Duration Across NASA Planetary Campaign Elements</w:t>
      </w:r>
    </w:p>
    <w:p>
      <w:pPr>
        <w:pStyle w:val="FirstParagraph"/>
        <w:spacing w:line="480" w:lineRule="auto"/>
      </w:pPr>
      <m:oMathPara>
        <m:oMathParaPr>
          <m:jc m:val="center"/>
        </m:oMathParaPr>
        <m:oMath>
          <m:r>
            <m:t>h</m:t>
          </m:r>
          <m:r>
            <m:rPr>
              <m:sty m:val="p"/>
            </m:rPr>
            <m:t>(</m:t>
          </m:r>
          <m:r>
            <m:t>t</m:t>
          </m:r>
          <m:r>
            <m:rPr>
              <m:sty m:val="p"/>
            </m:rPr>
            <m:t>∣</m:t>
          </m:r>
          <m:sSub>
            <m:e>
              <m:r>
                <m:rPr>
                  <m:sty m:val="b"/>
                </m:rP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t>S</m:t>
              </m:r>
              <m:r>
                <m:t>e</m:t>
              </m:r>
              <m:r>
                <m:t>q</m:t>
              </m:r>
              <m:r>
                <m:t>P</m:t>
              </m:r>
              <m:r>
                <m:t>o</m:t>
              </m:r>
              <m:sSub>
                <m:e>
                  <m:r>
                    <m:t>s</m:t>
                  </m:r>
                </m:e>
                <m:sub>
                  <m:r>
                    <m:t>i</m:t>
                  </m:r>
                </m:sub>
              </m:sSub>
              <m:r>
                <m:rPr>
                  <m:sty m:val="p"/>
                </m:rPr>
                <m:t>+</m:t>
              </m:r>
              <m:sSub>
                <m:e>
                  <m:r>
                    <m:t>β</m:t>
                  </m:r>
                </m:e>
                <m:sub>
                  <m:r>
                    <m:t>2</m:t>
                  </m:r>
                </m:sub>
              </m:sSub>
              <m:r>
                <m:t> </m:t>
              </m:r>
              <m:r>
                <m:t>C</m:t>
              </m:r>
              <m:r>
                <m:t>o</m:t>
              </m:r>
              <m:r>
                <m:t>s</m:t>
              </m:r>
              <m:r>
                <m:t>t</m:t>
              </m:r>
              <m:r>
                <m:t>G</m:t>
              </m:r>
              <m:r>
                <m:t>r</m:t>
              </m:r>
              <m:r>
                <m:t>o</m:t>
              </m:r>
              <m:r>
                <m:t>w</m:t>
              </m:r>
              <m:r>
                <m:t>t</m:t>
              </m:r>
              <m:sSub>
                <m:e>
                  <m:r>
                    <m:t>h</m:t>
                  </m:r>
                </m:e>
                <m:sub>
                  <m:r>
                    <m:t>i</m:t>
                  </m:r>
                </m:sub>
              </m:sSub>
              <m:r>
                <m:rPr>
                  <m:sty m:val="p"/>
                </m:rPr>
                <m:t>+</m:t>
              </m:r>
              <m:sSub>
                <m:e>
                  <m:r>
                    <m:t>β</m:t>
                  </m:r>
                </m:e>
                <m:sub>
                  <m:r>
                    <m:t>3</m:t>
                  </m:r>
                </m:sub>
              </m:sSub>
              <m:r>
                <m:t> </m:t>
              </m:r>
              <m:r>
                <m:t>N</m:t>
              </m:r>
              <m:r>
                <m:t>e</m:t>
              </m:r>
              <m:r>
                <m:t>w</m:t>
              </m:r>
              <m:r>
                <m:t>T</m:t>
              </m:r>
              <m:r>
                <m:t>e</m:t>
              </m:r>
              <m:r>
                <m:t>c</m:t>
              </m:r>
              <m:sSub>
                <m:e>
                  <m:r>
                    <m:t>h</m:t>
                  </m:r>
                </m:e>
                <m:sub>
                  <m:r>
                    <m:t>i</m:t>
                  </m:r>
                </m:sub>
              </m:sSub>
              <m:r>
                <m:rPr>
                  <m:sty m:val="p"/>
                </m:rPr>
                <m:t>+</m:t>
              </m:r>
              <m:sSub>
                <m:e>
                  <m:r>
                    <m:t>β</m:t>
                  </m:r>
                </m:e>
                <m:sub>
                  <m:r>
                    <m:t>4</m:t>
                  </m:r>
                </m:sub>
              </m:sSub>
              <m:r>
                <m:t> </m:t>
              </m:r>
              <m:r>
                <m:t>F</m:t>
              </m:r>
              <m:r>
                <m:t>l</m:t>
              </m:r>
              <m:r>
                <m:t>a</m:t>
              </m:r>
              <m:r>
                <m:t>g</m:t>
              </m:r>
              <m:r>
                <m:t>s</m:t>
              </m:r>
              <m:r>
                <m:t>h</m:t>
              </m:r>
              <m:r>
                <m:t>i</m:t>
              </m:r>
              <m:sSub>
                <m:e>
                  <m:r>
                    <m:t>p</m:t>
                  </m:r>
                </m:e>
                <m:sub>
                  <m:r>
                    <m:t>i</m:t>
                  </m:r>
                </m:sub>
              </m:sSub>
            </m:e>
          </m:d>
        </m:oMath>
      </m:oMathPara>
    </w:p>
    <w:bookmarkStart w:id="20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-0.1132</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0.2501</w:t>
            </w:r>
          </w:p>
        </w:tc>
        <w:tc>
          <w:tcPr>
            <w:tcW w:w="0" w:type="auto"/>
          </w:tcPr>
          <w:p>
            <w:pPr>
              <w:spacing w:line="240" w:lineRule="auto" w:before="0" w:after="0"/>
              <w:pStyle w:val="Compact"/>
            </w:pPr>
            <w:r>
              <w:rPr>
                <w:sz w:val="20"/>
                <w:szCs w:val="20"/>
              </w:rPr>
              <w:t xml:space="preserve">[-0.3062, 0.0797]</w:t>
            </w:r>
          </w:p>
        </w:tc>
        <w:tc>
          <w:tcPr>
            <w:tcW w:w="0" w:type="auto"/>
          </w:tcPr>
          <w:p>
            <w:pPr>
              <w:spacing w:line="240" w:lineRule="auto" w:before="0" w:after="0"/>
              <w:pStyle w:val="Compact"/>
            </w:pPr>
            <w:r>
              <w:rPr>
                <w:sz w:val="20"/>
                <w:szCs w:val="20"/>
              </w:rPr>
              <w:t xml:space="preserve">0.893</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-0.0333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-1.4603</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[-0.078, 0.0114]</w:t>
            </w:r>
          </w:p>
        </w:tc>
        <w:tc>
          <w:tcPr>
            <w:tcW w:w="0" w:type="auto"/>
          </w:tcPr>
          <w:p>
            <w:pPr>
              <w:spacing w:line="240" w:lineRule="auto" w:before="0" w:after="0"/>
              <w:pStyle w:val="Compact"/>
            </w:pPr>
            <w:r>
              <w:rPr>
                <w:sz w:val="20"/>
                <w:szCs w:val="20"/>
              </w:rPr>
              <w:t xml:space="preserve">0.9672</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-0.4382</w:t>
            </w:r>
          </w:p>
        </w:tc>
        <w:tc>
          <w:tcPr>
            <w:tcW w:w="0" w:type="auto"/>
          </w:tcPr>
          <w:p>
            <w:pPr>
              <w:spacing w:line="240" w:lineRule="auto" w:before="0" w:after="0"/>
              <w:pStyle w:val="Compact"/>
            </w:pPr>
            <w:r>
              <w:rPr>
                <w:sz w:val="20"/>
                <w:szCs w:val="20"/>
              </w:rPr>
              <w:t xml:space="preserve">0.2589</w:t>
            </w:r>
          </w:p>
        </w:tc>
        <w:tc>
          <w:tcPr>
            <w:tcW w:w="0" w:type="auto"/>
          </w:tcPr>
          <w:p>
            <w:pPr>
              <w:spacing w:line="240" w:lineRule="auto" w:before="0" w:after="0"/>
              <w:pStyle w:val="Compact"/>
            </w:pPr>
            <w:r>
              <w:rPr>
                <w:sz w:val="20"/>
                <w:szCs w:val="20"/>
              </w:rPr>
              <w:t xml:space="preserve">-1.6929</w:t>
            </w:r>
          </w:p>
        </w:tc>
        <w:tc>
          <w:tcPr>
            <w:tcW w:w="0" w:type="auto"/>
          </w:tcPr>
          <w:p>
            <w:pPr>
              <w:spacing w:line="240" w:lineRule="auto" w:before="0" w:after="0"/>
              <w:pStyle w:val="Compact"/>
            </w:pPr>
            <w:r>
              <w:rPr>
                <w:sz w:val="20"/>
                <w:szCs w:val="20"/>
              </w:rPr>
              <w:t xml:space="preserve">0.0905</w:t>
            </w:r>
          </w:p>
        </w:tc>
        <w:tc>
          <w:tcPr>
            <w:tcW w:w="0" w:type="auto"/>
          </w:tcPr>
          <w:p>
            <w:pPr>
              <w:spacing w:line="240" w:lineRule="auto" w:before="0" w:after="0"/>
              <w:pStyle w:val="Compact"/>
            </w:pPr>
            <w:r>
              <w:rPr>
                <w:sz w:val="20"/>
                <w:szCs w:val="20"/>
              </w:rPr>
              <w:t xml:space="preserve">[-0.9456, 0.0692]</w:t>
            </w:r>
          </w:p>
        </w:tc>
        <w:tc>
          <w:tcPr>
            <w:tcW w:w="0" w:type="auto"/>
          </w:tcPr>
          <w:p>
            <w:pPr>
              <w:spacing w:line="240" w:lineRule="auto" w:before="0" w:after="0"/>
              <w:pStyle w:val="Compact"/>
            </w:pPr>
            <w:r>
              <w:rPr>
                <w:sz w:val="20"/>
                <w:szCs w:val="20"/>
              </w:rPr>
              <w:t xml:space="preserve">0.6452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-1.7842</w:t>
            </w:r>
          </w:p>
        </w:tc>
        <w:tc>
          <w:tcPr>
            <w:tcW w:w="0" w:type="auto"/>
          </w:tcPr>
          <w:p>
            <w:pPr>
              <w:spacing w:line="240" w:lineRule="auto" w:before="0" w:after="0"/>
              <w:pStyle w:val="Compact"/>
            </w:pPr>
            <w:r>
              <w:rPr>
                <w:sz w:val="20"/>
                <w:szCs w:val="20"/>
              </w:rPr>
              <w:t xml:space="preserve">1.3763</w:t>
            </w:r>
          </w:p>
        </w:tc>
        <w:tc>
          <w:tcPr>
            <w:tcW w:w="0" w:type="auto"/>
          </w:tcPr>
          <w:p>
            <w:pPr>
              <w:spacing w:line="240" w:lineRule="auto" w:before="0" w:after="0"/>
              <w:pStyle w:val="Compact"/>
            </w:pPr>
            <w:r>
              <w:rPr>
                <w:sz w:val="20"/>
                <w:szCs w:val="20"/>
              </w:rPr>
              <w:t xml:space="preserve">-1.2964</w:t>
            </w:r>
          </w:p>
        </w:tc>
        <w:tc>
          <w:tcPr>
            <w:tcW w:w="0" w:type="auto"/>
          </w:tcPr>
          <w:p>
            <w:pPr>
              <w:spacing w:line="240" w:lineRule="auto" w:before="0" w:after="0"/>
              <w:pStyle w:val="Compact"/>
            </w:pPr>
            <w:r>
              <w:rPr>
                <w:sz w:val="20"/>
                <w:szCs w:val="20"/>
              </w:rPr>
              <w:t xml:space="preserve">0.1948</w:t>
            </w:r>
          </w:p>
        </w:tc>
        <w:tc>
          <w:tcPr>
            <w:tcW w:w="0" w:type="auto"/>
          </w:tcPr>
          <w:p>
            <w:pPr>
              <w:spacing w:line="240" w:lineRule="auto" w:before="0" w:after="0"/>
              <w:pStyle w:val="Compact"/>
            </w:pPr>
            <w:r>
              <w:rPr>
                <w:sz w:val="20"/>
                <w:szCs w:val="20"/>
              </w:rPr>
              <w:t xml:space="preserve">[-4.4817, 0.9133]</w:t>
            </w:r>
          </w:p>
        </w:tc>
        <w:tc>
          <w:tcPr>
            <w:tcW w:w="0" w:type="auto"/>
          </w:tcPr>
          <w:p>
            <w:pPr>
              <w:spacing w:line="240" w:lineRule="auto" w:before="0" w:after="0"/>
              <w:pStyle w:val="Compact"/>
            </w:pPr>
            <w:r>
              <w:rPr>
                <w:sz w:val="20"/>
                <w:szCs w:val="20"/>
              </w:rPr>
              <w:t xml:space="preserve">0.1679</w:t>
            </w:r>
          </w:p>
        </w:tc>
      </w:tr>
    </w:tbl>
    <w:p>
      <w:pPr>
        <w:pStyle w:val="BodyText"/>
        <w:spacing w:line="480" w:lineRule="auto"/>
        <w:ind w:firstLine="720"/>
      </w:pPr>
      <w:r>
        <w:t xml:space="preserve">Fit: N = 30 events = 27</w:t>
      </w:r>
    </w:p>
    <w:bookmarkEnd w:id="200"/>
    <w:bookmarkStart w:id="20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to-launch duration against acquisition-sequence position across NASA planetary campaign elements." title="" id="202" name="Picture"/>
            <a:graphic>
              <a:graphicData uri="http://schemas.openxmlformats.org/drawingml/2006/picture">
                <pic:pic>
                  <pic:nvPicPr>
                    <pic:cNvPr descr="D:/Claude_Code/brain/collegium/candidates/dissertations/JPL_PLANETARY_06/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Development-to-launch duration against acquisition-sequence position across NASA planetary campaign elements.</w:t>
      </w:r>
    </w:p>
    <w:bookmarkEnd w:id="204"/>
    <w:bookmarkStart w:id="20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campaign_line</w:t>
            </w:r>
          </w:p>
        </w:tc>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Mars Pathfinder press kit (1996); launch 1996-12-04; Discovery-era baseline</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Global Surveyor fact sheet; launch 1996-11-07; rapid Mars Surveyor Program element</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2001 Mars Odyssey press kit; launch 2001-04-07; post-1999-failure rebaseline</w:t>
            </w:r>
          </w:p>
        </w:tc>
      </w:tr>
      <w:tr>
        <w:tc>
          <w:tcPr>
            <w:tcW w:w="0" w:type="auto"/>
          </w:tcPr>
          <w:p>
            <w:pPr>
              <w:spacing w:line="240" w:lineRule="auto" w:before="0" w:after="0"/>
              <w:pStyle w:val="Compact"/>
            </w:pPr>
            <w:r>
              <w:rPr>
                <w:sz w:val="20"/>
                <w:szCs w:val="20"/>
              </w:rPr>
              <w:t xml:space="preserve">Mars Exploration Rover</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MER press kit (2003); launch 2003-06/07; airbag EDL heritage from Pathfinder</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MRO press kit (2005); launch 2005-08-12; HiRISE new instrument</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Phoenix press kit (2007); launch 2007-08-04; Mars Scout, reused 2001 lander hardware</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MSL; confirmed 2006, launch slipped 2009 to 2011-11-26; dev cost ~1.6B to ~2.5B</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MAVEN press kit (2013); launch 2013-11-18; on-baseline Mars Scout follow-on</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InSight; SEIS leak slipped launch 2016 to 2018-05-05; ~26-month slip</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Mars 2020 press kit; confirmed 2016, launch 2020-07-30; sample caching new tech</w:t>
            </w:r>
          </w:p>
        </w:tc>
      </w:tr>
      <w:tr>
        <w:tc>
          <w:tcPr>
            <w:tcW w:w="0" w:type="auto"/>
          </w:tcPr>
          <w:p>
            <w:pPr>
              <w:spacing w:line="240" w:lineRule="auto" w:before="0" w:after="0"/>
              <w:pStyle w:val="Compact"/>
            </w:pPr>
            <w:r>
              <w:rPr>
                <w:sz w:val="20"/>
                <w:szCs w:val="20"/>
              </w:rPr>
              <w:t xml:space="preserve">Mars Sample Return segment</w:t>
            </w:r>
          </w:p>
        </w:tc>
        <w:tc>
          <w:tcPr>
            <w:tcW w:w="0" w:type="auto"/>
          </w:tcPr>
          <w:p>
            <w:pPr>
              <w:spacing w:line="240" w:lineRule="auto" w:before="0" w:after="0"/>
              <w:pStyle w:val="Compact"/>
            </w:pPr>
            <w:r>
              <w:rPr>
                <w:sz w:val="20"/>
                <w:szCs w:val="20"/>
              </w:rPr>
              <w:t xml:space="preserve">mars_sample_return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MSR replan (SpacePolicyOnline 2024); Muirhead et al. Acta Astronautica 176 (2020); in replan, not launched [illustrative dev-month projection]</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NEAR press kit; first Discovery mission; launch 1996-02-17</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Stardust press kit; launch 1999-02-07; aerogel sample capture new tech</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Genesis press kit; launch 2001-08-08; solar-wind collector</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Deep Impact press kit; launch 2005-01-12; impactor new tech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GAO-08-1051; NASA Dawn; ion propulsion, cancelled-and-reinstated, launch 2007-09-27</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NASA/JPL/GSFC OSIRIS-REx press kit; New Frontiers; launch 2016-09-08; TAGSAM on baseline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Lucy press kit; Discovery; launch 2021-10-16; near-baseline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JPL IRB report (2022); confirmed 2017-01, launch slipped 2022 to 2023-10-13; software/staffing slip</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NASA/APL DART press kit; launch 2021-11-24; planetary-defense demo near baseline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Juno press kit; New Frontiers; launch 2011-08-05; near baseline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NASA/APL New Horizons press kit; New Frontiers; launch 2006-01-19; fast development</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Cassini-Huygens; flagship; launch 1997-10-15; long flagship development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Galileo; flagship; Challenger-driven slip to 1989-10-18; large schedule/cost growth</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Planetary Society Europa Clipper cost chart; ABC 4.25B to 5B (2022); launch 2024-10-14</w:t>
            </w:r>
          </w:p>
        </w:tc>
      </w:tr>
      <w:tr>
        <w:tc>
          <w:tcPr>
            <w:tcW w:w="0" w:type="auto"/>
          </w:tcPr>
          <w:p>
            <w:pPr>
              <w:spacing w:line="240" w:lineRule="auto" w:before="0" w:after="0"/>
              <w:pStyle w:val="Compact"/>
            </w:pPr>
            <w:r>
              <w:rPr>
                <w:sz w:val="20"/>
                <w:szCs w:val="20"/>
              </w:rPr>
              <w:t xml:space="preserve">Europa Lander concept</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Europa Lander pre-Phase-A concept studies; not confirmed/launched as of 2026 [illustrative dev-month projection]</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GRAIL press kit; Discovery; launch 2011-09-10; on baseline</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NASA/GSFC LRO press kit; launch 2009-06-18; modest growth</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NASA/Ames LADEE press kit; launch 2013-09-06; modular bus on baseline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VIPER; CLPS rover restructured/cancelled before delivery (2024); ~30% growth pre-cancellation</w:t>
            </w:r>
          </w:p>
        </w:tc>
      </w:tr>
    </w:tbl>
    <w:bookmarkEnd w:id="205"/>
    <w:bookmarkStart w:id="20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Duration in months from project confirmation (KDP-C / agency baseline commitment) to actual or current target launch; the survival time to the launch event</w:t>
            </w:r>
          </w:p>
        </w:tc>
        <w:tc>
          <w:tcPr>
            <w:tcW w:w="0" w:type="auto"/>
          </w:tcPr>
          <w:p>
            <w:pPr>
              <w:spacing w:line="240" w:lineRule="auto" w:before="0" w:after="0"/>
              <w:pStyle w:val="Compact"/>
            </w:pPr>
            <w:r>
              <w:rPr>
                <w:sz w:val="20"/>
                <w:szCs w:val="20"/>
              </w:rPr>
              <w:t xml:space="preserve">GAO Annual Assessments of NASA Major Projects; NASA/JPL mission press kits; mission confirmation and launch records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element completed development and launched (event observed); 0 if still in development, replan, or cancelled before delivery (right-censored) as of mid-2026</w:t>
            </w:r>
          </w:p>
        </w:tc>
        <w:tc>
          <w:tcPr>
            <w:tcW w:w="0" w:type="auto"/>
          </w:tcPr>
          <w:p>
            <w:pPr>
              <w:spacing w:line="240" w:lineRule="auto" w:before="0" w:after="0"/>
              <w:pStyle w:val="Compact"/>
            </w:pPr>
            <w:r>
              <w:rPr>
                <w:sz w:val="20"/>
                <w:szCs w:val="20"/>
              </w:rPr>
              <w:t xml:space="preserve">NASA mission status; SpacePolicyOnline 2024 MSR replan; GAO-24-106767 (VIPER)</w:t>
            </w:r>
          </w:p>
        </w:tc>
      </w:tr>
      <w:tr>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Ordinal position of the element in the committed acquisition sequence of its campaign line (orbiter, surface, small-body, outer, moon, sample-return)</w:t>
            </w:r>
          </w:p>
        </w:tc>
        <w:tc>
          <w:tcPr>
            <w:tcW w:w="0" w:type="auto"/>
          </w:tcPr>
          <w:p>
            <w:pPr>
              <w:spacing w:line="240" w:lineRule="auto" w:before="0" w:after="0"/>
              <w:pStyle w:val="Compact"/>
            </w:pPr>
            <w:r>
              <w:rPr>
                <w:sz w:val="20"/>
                <w:szCs w:val="20"/>
              </w:rPr>
              <w:t xml:space="preserve">Coded from campaign architecture history; Muirhead et al. Acta Astronautica 176 (2020) for the Mars sample-return chain</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cost growth over the element baseline, in percent</w:t>
            </w:r>
          </w:p>
        </w:tc>
        <w:tc>
          <w:tcPr>
            <w:tcW w:w="0" w:type="auto"/>
          </w:tcPr>
          <w:p>
            <w:pPr>
              <w:spacing w:line="240" w:lineRule="auto" w:before="0" w:after="0"/>
              <w:pStyle w:val="Compact"/>
            </w:pPr>
            <w:r>
              <w:rPr>
                <w:sz w:val="20"/>
                <w:szCs w:val="20"/>
              </w:rPr>
              <w:t xml:space="preserve">GAO Annual Assessments; Planetary Society Europa Clipper cost chart; JPL Psyche IRB report (2022)</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Count of new or mission-critical technologies the element had to mature, a readiness-risk proxy</w:t>
            </w:r>
          </w:p>
        </w:tc>
        <w:tc>
          <w:tcPr>
            <w:tcW w:w="0" w:type="auto"/>
          </w:tcPr>
          <w:p>
            <w:pPr>
              <w:spacing w:line="240" w:lineRule="auto" w:before="0" w:after="0"/>
              <w:pStyle w:val="Compact"/>
            </w:pPr>
            <w:r>
              <w:rPr>
                <w:sz w:val="20"/>
                <w:szCs w:val="20"/>
              </w:rPr>
              <w:t xml:space="preserve">NASA/JPL press kits and mission technology descriptions; parametric readiness logic per Friz et al. Acta Astronautica 166 (2019)</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1 if the element is flagship-class (largest cost tier), 0 otherwise</w:t>
            </w:r>
          </w:p>
        </w:tc>
        <w:tc>
          <w:tcPr>
            <w:tcW w:w="0" w:type="auto"/>
          </w:tcPr>
          <w:p>
            <w:pPr>
              <w:spacing w:line="240" w:lineRule="auto" w:before="0" w:after="0"/>
              <w:pStyle w:val="Compact"/>
            </w:pPr>
            <w:r>
              <w:rPr>
                <w:sz w:val="20"/>
                <w:szCs w:val="20"/>
              </w:rPr>
              <w:t xml:space="preserve">NASA mission-class designation; GAO major-project tiering</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1" Type="http://schemas.openxmlformats.org/officeDocument/2006/relationships/image" Target="media/rId201.png"/><Relationship Id="rId186" Type="http://schemas.openxmlformats.org/officeDocument/2006/relationships/hyperlink" Target="https://doi.org/10.1016/j.actaastro.2019.01.024" TargetMode="External"/><Relationship Id="rId167" Type="http://schemas.openxmlformats.org/officeDocument/2006/relationships/hyperlink" Target="https://doi.org/10.1016/j.actaastro.2019.09.030" TargetMode="External"/><Relationship Id="rId172" Type="http://schemas.openxmlformats.org/officeDocument/2006/relationships/hyperlink" Target="https://doi.org/10.1016/j.actaastro.2020.04.046" TargetMode="External"/><Relationship Id="rId161" Type="http://schemas.openxmlformats.org/officeDocument/2006/relationships/hyperlink" Target="https://doi.org/10.1016/j.actaastro.2020.06.026" TargetMode="External"/><Relationship Id="rId193" Type="http://schemas.openxmlformats.org/officeDocument/2006/relationships/hyperlink" Target="https://doi.org/10.1016/j.actaastro.2020.08.041" TargetMode="External"/><Relationship Id="rId184" Type="http://schemas.openxmlformats.org/officeDocument/2006/relationships/hyperlink" Target="https://doi.org/10.1016/j.actaastro.2022.04.001" TargetMode="External"/><Relationship Id="rId169" Type="http://schemas.openxmlformats.org/officeDocument/2006/relationships/hyperlink" Target="https://doi.org/10.1016/j.actaastro.2022.12.036" TargetMode="External"/><Relationship Id="rId197" Type="http://schemas.openxmlformats.org/officeDocument/2006/relationships/hyperlink" Target="https://doi.org/10.1016/j.actaastro.2023.01.040" TargetMode="External"/><Relationship Id="rId188" Type="http://schemas.openxmlformats.org/officeDocument/2006/relationships/hyperlink" Target="https://doi.org/10.1016/j.actaastro.2024.09.024" TargetMode="External"/><Relationship Id="rId190" Type="http://schemas.openxmlformats.org/officeDocument/2006/relationships/hyperlink" Target="https://doi.org/10.1016/j.actaastro.2024.09.031" TargetMode="External"/><Relationship Id="rId195" Type="http://schemas.openxmlformats.org/officeDocument/2006/relationships/hyperlink" Target="https://doi.org/10.1016/j.actaastro.2025.10.072" TargetMode="External"/><Relationship Id="rId163" Type="http://schemas.openxmlformats.org/officeDocument/2006/relationships/hyperlink" Target="https://doi.org/10.1016/j.actaastro.2025.11.006" TargetMode="External"/><Relationship Id="rId176" Type="http://schemas.openxmlformats.org/officeDocument/2006/relationships/hyperlink" Target="https://doi.org/10.64861/FHSX9637" TargetMode="External"/><Relationship Id="rId180" Type="http://schemas.openxmlformats.org/officeDocument/2006/relationships/hyperlink" Target="https://doi.org/10.64861/LCET1122"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19.01.024" TargetMode="External"/><Relationship Id="rId167" Type="http://schemas.openxmlformats.org/officeDocument/2006/relationships/hyperlink" Target="https://doi.org/10.1016/j.actaastro.2019.09.030" TargetMode="External"/><Relationship Id="rId172" Type="http://schemas.openxmlformats.org/officeDocument/2006/relationships/hyperlink" Target="https://doi.org/10.1016/j.actaastro.2020.04.046" TargetMode="External"/><Relationship Id="rId161" Type="http://schemas.openxmlformats.org/officeDocument/2006/relationships/hyperlink" Target="https://doi.org/10.1016/j.actaastro.2020.06.026" TargetMode="External"/><Relationship Id="rId193" Type="http://schemas.openxmlformats.org/officeDocument/2006/relationships/hyperlink" Target="https://doi.org/10.1016/j.actaastro.2020.08.041" TargetMode="External"/><Relationship Id="rId184" Type="http://schemas.openxmlformats.org/officeDocument/2006/relationships/hyperlink" Target="https://doi.org/10.1016/j.actaastro.2022.04.001" TargetMode="External"/><Relationship Id="rId169" Type="http://schemas.openxmlformats.org/officeDocument/2006/relationships/hyperlink" Target="https://doi.org/10.1016/j.actaastro.2022.12.036" TargetMode="External"/><Relationship Id="rId197" Type="http://schemas.openxmlformats.org/officeDocument/2006/relationships/hyperlink" Target="https://doi.org/10.1016/j.actaastro.2023.01.040" TargetMode="External"/><Relationship Id="rId188" Type="http://schemas.openxmlformats.org/officeDocument/2006/relationships/hyperlink" Target="https://doi.org/10.1016/j.actaastro.2024.09.024" TargetMode="External"/><Relationship Id="rId190" Type="http://schemas.openxmlformats.org/officeDocument/2006/relationships/hyperlink" Target="https://doi.org/10.1016/j.actaastro.2024.09.031" TargetMode="External"/><Relationship Id="rId195" Type="http://schemas.openxmlformats.org/officeDocument/2006/relationships/hyperlink" Target="https://doi.org/10.1016/j.actaastro.2025.10.072" TargetMode="External"/><Relationship Id="rId163" Type="http://schemas.openxmlformats.org/officeDocument/2006/relationships/hyperlink" Target="https://doi.org/10.1016/j.actaastro.2025.11.006" TargetMode="External"/><Relationship Id="rId176" Type="http://schemas.openxmlformats.org/officeDocument/2006/relationships/hyperlink" Target="https://doi.org/10.64861/FHSX9637" TargetMode="External"/><Relationship Id="rId180" Type="http://schemas.openxmlformats.org/officeDocument/2006/relationships/hyperlink" Target="https://doi.org/10.64861/LCET1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Cost-Schedule Cliometrics of the Mars Campaign: Does Programmatic Sequencing of Capability Acquisition Determine Cost and Schedule Outcomes?</dc:title>
  <dc:creator>Stefan Lindqvist (1B-MAR-041)</dc:creator>
  <cp:keywords/>
  <dcterms:created xsi:type="dcterms:W3CDTF">2026-07-02T15:56:08Z</dcterms:created>
  <dcterms:modified xsi:type="dcterms:W3CDTF">2026-07-02T15:56:08Z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