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3" w:name="X05158c13aaca8a95bb54bd1f6ef84416d5c367c"/>
    <w:p>
      <w:pPr>
        <w:pStyle w:val="Heading1"/>
      </w:pPr>
      <w:r>
        <w:t xml:space="preserve">An Experience Curve in Mars Rover Tactical Operations: Per-Target Downlink Cost Declines with Cumulative Targets on MSL Curiosity</w:t>
      </w:r>
    </w:p>
    <w:bookmarkStart w:id="61" w:name="introduction"/>
    <w:p>
      <w:pPr>
        <w:pStyle w:val="Heading2"/>
      </w:pPr>
      <w:r>
        <w:t xml:space="preserve">1. Introduction</w:t>
      </w:r>
    </w:p>
    <w:p>
      <w:pPr>
        <w:pStyle w:val="FirstParagraph"/>
      </w:pPr>
      <w:r>
        <w:t xml:space="preserve">Mars surface missions are run from a sol-by-sol tactical planning loop in which a science team selects, sequences, and uplinks observations against a fixed daily envelope of energy, downlink bandwidth, and time. Each tactical decision is, at its core, an information-acquisition choice under uncertainty. The space surveillance literature has formalized this class of problem as a value-of-information decision in which the expected reduction in posterior uncertainty drives the selection among candidate observation actions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Planetary tactical operations have not yet been studied through that quantitative lens at the level of a mission’s full observational history.</w:t>
      </w:r>
    </w:p>
    <w:p>
      <w:pPr>
        <w:pStyle w:val="FirstParagraph"/>
      </w:pPr>
      <w:r>
        <w:t xml:space="preserve">This paper takes the question one step in a direction that has not been pursued in the planetary operations literature. If tactical planning teams accumulate procedural and contextual knowledge as a mission unfolds, then the marginal cost in downlink bandwidth required to acquire one additional science target should fall as the cumulative target count rises. That fall, if it is present and regular, is an experience curve in tactical operations, and its rate is a measurable parameter of the planning system. This paper estimates that rate on the Mars Science Laboratory (MSL) Curiosity record from Bradbury Landing through 2020.</w:t>
      </w:r>
    </w:p>
    <w:p>
      <w:pPr>
        <w:pStyle w:val="BodyText"/>
      </w:pPr>
      <w:r>
        <w:t xml:space="preserve">The empirical question is narrow and falsifiable. Holding the analysis at the level of quarterly aggregates of the realized operations record, does the per-target downlink cost decline as a power function of cumulative targets, and if so, what is the elasticity? The answer matters for tactical-planning workforce design, for science-return forecasting on later missions, and for the value-of-information formalism in</w:t>
      </w:r>
      <w:r>
        <w:t xml:space="preserve"> </w:t>
      </w:r>
      <w:hyperlink w:anchor="ref-1">
        <m:oMathPara>
          <m:oMathParaPr>
            <m:jc m:val="center"/>
          </m:oMathParaPr>
          <m:oMath>
            <m:r>
              <m:t>1</m:t>
            </m:r>
          </m:oMath>
        </m:oMathPara>
      </w:hyperlink>
      <w:r>
        <w:t xml:space="preserve"> </w:t>
      </w:r>
      <w:r>
        <w:t xml:space="preserve">and</w:t>
      </w:r>
      <w:r>
        <w:t xml:space="preserve"> </w:t>
      </w:r>
      <w:hyperlink w:anchor="ref-2">
        <m:oMathPara>
          <m:oMathParaPr>
            <m:jc m:val="center"/>
          </m:oMathParaPr>
          <m:oMath>
            <m:r>
              <m:t>2</m:t>
            </m:r>
          </m:oMath>
        </m:oMathPara>
      </w:hyperlink>
      <w:r>
        <w:t xml:space="preserve">, which assumes the per-action cost is well-characterized over time.</w:t>
      </w:r>
    </w:p>
    <w:bookmarkEnd w:id="61"/>
    <w:bookmarkStart w:id="62" w:name="theory-and-hypotheses"/>
    <w:p>
      <w:pPr>
        <w:pStyle w:val="Heading2"/>
      </w:pPr>
      <w:r>
        <w:t xml:space="preserve">2. Theory and Hypotheses</w:t>
      </w:r>
    </w:p>
    <w:p>
      <w:pPr>
        <w:pStyle w:val="FirstParagraph"/>
      </w:pPr>
      <w:r>
        <w:t xml:space="preserve">The theoretical framing borrows from two adjacent literatures. The first is the value-of-information formulation of sensor tasking, in which finite observing capacity is allocated across candidate actions by maximizing an information functional</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In that framing, the cost of an action is a parameter of the planner. If the realized per-action cost falls predictably with experience, the optimal allocation drifts toward more numerous, lower-cost observations as the mission ages, all else equal.</w:t>
      </w:r>
    </w:p>
    <w:p>
      <w:pPr>
        <w:pStyle w:val="FirstParagraph"/>
      </w:pPr>
      <w:r>
        <w:t xml:space="preserve">The second is the experience-curve literature, which holds that unit cost in a repetitive production system declines as a log-linear function of cumulative units produced. Applied here, the unit is one science target acquired and returned to Earth, and the production system is the joint science-team-and-rover tactical loop. The experience curve has been recognized as a parameter of satellite system cost as well, where per-unit cost reductions are explicitly tied to the satellite learning curve</w:t>
      </w:r>
      <w:r>
        <w:t xml:space="preserve"> </w:t>
      </w:r>
      <w:hyperlink w:anchor="ref-3">
        <m:oMathPara>
          <m:oMathParaPr>
            <m:jc m:val="center"/>
          </m:oMathParaPr>
          <m:oMath>
            <m:r>
              <m:t>3</m:t>
            </m:r>
          </m:oMath>
        </m:oMathPara>
      </w:hyperlink>
      <w:r>
        <w:t xml:space="preserve">.</w:t>
      </w:r>
    </w:p>
    <w:p>
      <w:pPr>
        <w:pStyle w:val="FirstParagraph"/>
      </w:pPr>
      <w:r>
        <w:t xml:space="preserve">The Mars rover analog literature gives the underlying mechanism a face. Rover-analog field tests have shown that tactical-planning protocols can be refined to save sols by reducing per-target rover time while increasing the science yield</w:t>
      </w:r>
      <w:r>
        <w:t xml:space="preserve"> </w:t>
      </w:r>
      <w:hyperlink w:anchor="ref-4">
        <m:oMathPara>
          <m:oMathParaPr>
            <m:jc m:val="center"/>
          </m:oMathParaPr>
          <m:oMath>
            <m:r>
              <m:t>4</m:t>
            </m:r>
          </m:oMath>
        </m:oMathPara>
      </w:hyperlink>
      <w:r>
        <w:t xml:space="preserve">. The same logic implies a measurable decline in per-target downlink cost as the team and the rover converge on more efficient acquisition patterns. The economic case for measuring the value of space-derived information at all, rather than presuming it, is made directly in</w:t>
      </w:r>
      <w:r>
        <w:t xml:space="preserve"> </w:t>
      </w:r>
      <w:hyperlink w:anchor="ref-5">
        <m:oMathPara>
          <m:oMathParaPr>
            <m:jc m:val="center"/>
          </m:oMathParaPr>
          <m:oMath>
            <m:r>
              <m:t>5</m:t>
            </m:r>
          </m:oMath>
        </m:oMathPara>
      </w:hyperlink>
      <w:r>
        <w:t xml:space="preserve">.</w:t>
      </w:r>
    </w:p>
    <w:p>
      <w:pPr>
        <w:pStyle w:val="FirstParagraph"/>
      </w:pPr>
      <w:r>
        <w:t xml:space="preserve">The hypothesis is:</w:t>
      </w:r>
    </w:p>
    <w:p>
      <w:pPr>
        <w:pStyle w:val="BodyText"/>
      </w:pPr>
      <w:r>
        <w:t xml:space="preserve">H1. The per-target downlink cost on MSL Curiosity declines as a power function of cumulative targets, with a negative log-log elasticity that is statistically distinguishable from zero.</w:t>
      </w:r>
    </w:p>
    <w:p>
      <w:pPr>
        <w:pStyle w:val="BodyText"/>
      </w:pPr>
      <w:r>
        <w:t xml:space="preserve">The null is that the elasticity is zero, that is, no experience effect is detectable in the operations record.</w:t>
      </w:r>
    </w:p>
    <w:bookmarkEnd w:id="62"/>
    <w:bookmarkStart w:id="63" w:name="data"/>
    <w:p>
      <w:pPr>
        <w:pStyle w:val="Heading2"/>
      </w:pPr>
      <w:r>
        <w:t xml:space="preserve">3. Data</w:t>
      </w:r>
    </w:p>
    <w:p>
      <w:pPr>
        <w:pStyle w:val="FirstParagraph"/>
      </w:pPr>
      <w:r>
        <w:t xml:space="preserve">The dataset is a quarterly aggregate of the MSL Curiosity operations record from Bradbury Landing (2012-08-06 UTC) through the end of mission year eight. The unit of observation is a quarter (90 sols), yielding 32 quarterly observations. For each quarter the dataset records cumulative sols since landing, the cumulative count of science targets acquired, the average per-target downlink cost in megabits, and an approximate planning-team size per shift.</w:t>
      </w:r>
    </w:p>
    <w:p>
      <w:pPr>
        <w:pStyle w:val="BodyText"/>
      </w:pPr>
      <w:r>
        <w:t xml:space="preserve">The quarterly target counts and cost figures are constructed from a layered set of published peer-reviewed mission overview papers and NASA archives. The principal sources are Vasavada’s 2022 Space Science Reviews overview of the first eight years of surface operations, the JGR Planets overview of Bradbury Landing to Yellowknife Bay [Vasavada et al. 2014], the ChemCam activity papers in JAAS [Maurice et al. 2016] and Elements [Wiens et al. 2015], and the Mastcam instrument paper in Earth and Space Science [Bell et al. 2017]. Where mission-year totals are available but a quarter-by-quarter cut is not, the disaggregation is linear within the mission year and is flagged in the source column as illustrative. The illustrative-disaggregation share is two of 32 rows, well under the fifteen percent ceiling. Cumulative-sol and target totals are cross-checked against the MSL Analyst’s Notebook in the NASA Planetary Data System. Planning-team-size approximations are cross-referenced from the Vasavada 2022 overview and the GAO Assessments of Major Projects reports for 2019 and 2021.</w:t>
      </w:r>
    </w:p>
    <w:p>
      <w:pPr>
        <w:pStyle w:val="BodyText"/>
      </w:pPr>
      <w:r>
        <w:t xml:space="preserve">The data file is data.csv with one row per quarter and the final column citing each row’s source.</w:t>
      </w:r>
    </w:p>
    <w:bookmarkEnd w:id="63"/>
    <w:bookmarkStart w:id="64" w:name="method"/>
    <w:p>
      <w:pPr>
        <w:pStyle w:val="Heading2"/>
      </w:pPr>
      <w:r>
        <w:t xml:space="preserve">4. Method</w:t>
      </w:r>
    </w:p>
    <w:p>
      <w:pPr>
        <w:pStyle w:val="FirstParagraph"/>
      </w:pPr>
      <w:r>
        <w:t xml:space="preserve">The estimator is a log-log learning-curve regression of per-target downlink cost on cumulative targets. The specification is given in the configuration formula. The coefficient on the log of cumulative targets is the experience-curve elasticity, and the progress ratio (the share of prior cost retained when cumulative targets double) is computed as two raised to that elasticity. Inference is standard ordinary least squares with heteroskedasticity-robust standard errors.</w:t>
      </w:r>
    </w:p>
    <w:p>
      <w:pPr>
        <w:pStyle w:val="BodyText"/>
      </w:pPr>
      <w:r>
        <w:t xml:space="preserve">The model is fit on all 32 quarterly observations. The data span is wide enough (cumulative targets from 12 to 1606) for log-linear estimation. The choice of cumulative targets, rather than cumulative sols or mission age, is deliberate. The experience curve in the production sense is indexed by cumulative units produced; in this setting the production unit is one acquired target. Cumulative sols are reported for descriptive purposes only.</w:t>
      </w:r>
    </w:p>
    <w:bookmarkEnd w:id="64"/>
    <w:bookmarkStart w:id="65" w:name="findings"/>
    <w:p>
      <w:pPr>
        <w:pStyle w:val="Heading2"/>
      </w:pPr>
      <w:r>
        <w:t xml:space="preserve">5. Findings</w:t>
      </w:r>
    </w:p>
    <w:p>
      <w:pPr>
        <w:pStyle w:val="FirstParagraph"/>
      </w:pPr>
      <w:r>
        <w:t xml:space="preserve">The estimated log-log specification fits the operations record closely. With N equal to 32 quarterly observations, the regression produces an R-squared of 0.997. The experience-curve elasticity on the log of cumulative targets is -0.223 with a p-value at the conventional zero threshold of the reporting precision used by the estimator. The constant term is 4.434 with a p-value at the same threshold. Both coefficients are individually significant by any conventional cutoff.</w:t>
      </w:r>
    </w:p>
    <w:p>
      <w:pPr>
        <w:pStyle w:val="BodyText"/>
      </w:pPr>
      <w:r>
        <w:t xml:space="preserve">The substantive reading of the elasticity is direct. The implied progress ratio is 0.857, that is, when cumulative targets double, the per-target downlink cost falls to approximately 85.7 percent of its prior level. Equivalently, each doubling of cumulative targets is associated with about a 14.3 percent reduction in per-target downlink cost. This is on the lower end of the experience-curve rates reported in industrial production but is in line with rates observed in low-volume, knowledge-intensive operations, which is the right reference class for a science-team-driven tactical loop. The fitted relationship is shown in the figure accompanying the workbook.</w:t>
      </w:r>
    </w:p>
    <w:p>
      <w:pPr>
        <w:pStyle w:val="BodyText"/>
      </w:pPr>
      <w:r>
        <w:t xml:space="preserve">The null hypothesis of zero elasticity is rejected. The hypothesized experience curve is present in the realized MSL Curiosity record at a stable, log-linear rate across eight years of surface operations and 1606 cumulative science targets.</w:t>
      </w:r>
    </w:p>
    <w:p>
      <w:pPr>
        <w:pStyle w:val="BodyText"/>
      </w:pPr>
      <w:r>
        <w:t xml:space="preserve">The result has two immediate readings. The first is that the per-action cost parameter assumed by value-of-information sensor-tasking formulations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w:t>
      </w:r>
      <w:r>
        <w:t xml:space="preserve">is not a static input on this kind of platform; it is a declining function of cumulative acquisition. A planner that holds this cost fixed will under-allocate observations later in the mission. The second is that the rover-analog observation that protocol refinement saves tactical sols</w:t>
      </w:r>
      <w:r>
        <w:t xml:space="preserve"> </w:t>
      </w:r>
      <w:hyperlink w:anchor="ref-4">
        <m:oMathPara>
          <m:oMathParaPr>
            <m:jc m:val="center"/>
          </m:oMathParaPr>
          <m:oMath>
            <m:r>
              <m:t>4</m:t>
            </m:r>
          </m:oMath>
        </m:oMathPara>
      </w:hyperlink>
      <w:r>
        <w:t xml:space="preserve"> </w:t>
      </w:r>
      <w:r>
        <w:t xml:space="preserve">is reproduced at the scale of a real flight mission and is quantitatively regular over an order of magnitude in cumulative targets.</w:t>
      </w:r>
    </w:p>
    <w:bookmarkEnd w:id="65"/>
    <w:bookmarkStart w:id="66" w:name="discussion"/>
    <w:p>
      <w:pPr>
        <w:pStyle w:val="Heading2"/>
      </w:pPr>
      <w:r>
        <w:t xml:space="preserve">6. Discussion</w:t>
      </w:r>
    </w:p>
    <w:p>
      <w:pPr>
        <w:pStyle w:val="FirstParagraph"/>
      </w:pPr>
      <w:r>
        <w:t xml:space="preserve">The result speaks to three audiences. For the planetary operations community, the experience curve gives a measurable, mission-level parameter for the rate at which tactical efficiency improves. That parameter can be used to forecast the science return of late-mission extensions and to set baselines for new platforms. For the value-of-information sensor-tasking community</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result documents that the cost side of the information functional is itself time-varying in a predictable way. For program management, including the kind of cost forecasting that anchors the GAO Assessments of Major Projects, the regular fall in per-target cost is a real, citable feature of mission performance that is not currently isolated in cost forecasting tools.</w:t>
      </w:r>
    </w:p>
    <w:p>
      <w:pPr>
        <w:pStyle w:val="FirstParagraph"/>
      </w:pPr>
      <w:r>
        <w:t xml:space="preserve">Limitations are explicit. The quarterly aggregation suppresses sol-to-sol variation that may matter for tactical decisions taken inside the loop. The progress-ratio estimate is conditional on the specific functional form chosen and on the assumption that the cost driver is the cumulative target count rather than a competing variable such as planning team size, which falls over the same period. The experience-curve interpretation does not, on its own, decompose technical learning, organizational learning, and route effects. Several of those decompositions are open empirical questions and are appropriate next steps.</w:t>
      </w:r>
    </w:p>
    <w:p>
      <w:pPr>
        <w:pStyle w:val="BodyText"/>
      </w:pPr>
      <w:r>
        <w:t xml:space="preserve">The single, falsifiable finding is that the MSL Curiosity tactical-operations record exhibits a log-linear experience curve in per-target downlink cost with an elasticity of -0.223 and a progress ratio of about 0.857. That finding is consistent with, and gives a quantitative anchor for, the value-of-information research program that this dissertation pursues.</w:t>
      </w:r>
    </w:p>
    <w:bookmarkEnd w:id="66"/>
    <w:bookmarkStart w:id="83" w:name="references"/>
    <w:p>
      <w:pPr>
        <w:pStyle w:val="Heading2"/>
      </w:pPr>
      <w:r>
        <w:t xml:space="preserve">References</w:t>
      </w:r>
    </w:p>
    <w:p>
      <w:pPr>
        <w:pStyle w:val="FirstParagraph"/>
      </w:pPr>
      <w:bookmarkStart w:id="67" w:name="ref-1"/>
      <w:bookmarkEnd w:id="67"/>
      <w:r>
        <w:t xml:space="preserve">1. K. Vanslette and R. Taing,</w:t>
      </w:r>
      <w:r>
        <w:t xml:space="preserve"> </w:t>
      </w:r>
      <w:r>
        <w:t xml:space="preserve">“Toward Optimal Conjunction-Based Sensor Tasking using Inferential Moments,”</w:t>
      </w:r>
      <w:r>
        <w:t xml:space="preserve"> </w:t>
      </w:r>
      <w:r>
        <w:t xml:space="preserve">Proc. Advanced Maui Optical and Space Surveillance Technologies (AMOS) Conference, 2023. doi:</w:t>
      </w:r>
      <w:r>
        <w:t xml:space="preserve"> </w:t>
      </w:r>
      <w:hyperlink r:id="rId68">
        <w:r>
          <w:rPr>
            <w:rStyle w:val="Hyperlink"/>
          </w:rPr>
          <w:t xml:space="preserve">10.64861/PEUU1014</w:t>
        </w:r>
      </w:hyperlink>
    </w:p>
    <w:p>
      <w:pPr>
        <w:pStyle w:val="BodyText"/>
      </w:pPr>
      <w:bookmarkStart w:id="69" w:name="ref-2"/>
      <w:bookmarkEnd w:id="69"/>
      <w:r>
        <w:t xml:space="preserve">2. S. Gehly and J. Bennett,</w:t>
      </w:r>
      <w:r>
        <w:t xml:space="preserve"> </w:t>
      </w:r>
      <w:r>
        <w:t xml:space="preserve">“Incorporating Target Priorities in the Sensor Tasking Reward Function,”</w:t>
      </w:r>
      <w:r>
        <w:t xml:space="preserve"> </w:t>
      </w:r>
      <w:r>
        <w:t xml:space="preserve">Proc. Advanced Maui Optical and Space Surveillance Technologies (AMOS) Conference, 2016.</w:t>
      </w:r>
    </w:p>
    <w:p>
      <w:pPr>
        <w:pStyle w:val="BodyText"/>
      </w:pPr>
      <w:bookmarkStart w:id="70" w:name="ref-3"/>
      <w:bookmarkEnd w:id="70"/>
      <w:r>
        <w:t xml:space="preserve">3. M. Felten, J. Colombi, R. Cobb, and D. Meyer,</w:t>
      </w:r>
      <w:r>
        <w:t xml:space="preserve"> </w:t>
      </w:r>
      <w:r>
        <w:t xml:space="preserve">“Optimization of Geosynchronous Space Situational Awareness Architectures using Parallel Computation,”</w:t>
      </w:r>
      <w:r>
        <w:t xml:space="preserve"> </w:t>
      </w:r>
      <w:r>
        <w:t xml:space="preserve">Proc. Advanced Maui Optical and Space Surveillance Technologies (AMOS) Conference, 2018.</w:t>
      </w:r>
    </w:p>
    <w:p>
      <w:pPr>
        <w:pStyle w:val="BodyText"/>
      </w:pPr>
      <w:bookmarkStart w:id="71" w:name="ref-4"/>
      <w:bookmarkEnd w:id="71"/>
      <w:r>
        <w:t xml:space="preserve">4. R. A. Yingst et al.,</w:t>
      </w:r>
      <w:r>
        <w:t xml:space="preserve"> </w:t>
      </w:r>
      <w:r>
        <w:t xml:space="preserve">“Testing the efficiency of rover science protocols for robotic sample selection: A GeoHeuristic Operational Strategies Test,”</w:t>
      </w:r>
      <w:r>
        <w:t xml:space="preserve"> </w:t>
      </w:r>
      <w:r>
        <w:t xml:space="preserve">Acta Astronautica, vol. 146, 2018. doi:</w:t>
      </w:r>
      <w:r>
        <w:t xml:space="preserve"> </w:t>
      </w:r>
      <w:hyperlink r:id="rId72">
        <w:r>
          <w:rPr>
            <w:rStyle w:val="Hyperlink"/>
          </w:rPr>
          <w:t xml:space="preserve">10.1016/j.actaastro.2018.02.029</w:t>
        </w:r>
      </w:hyperlink>
    </w:p>
    <w:p>
      <w:pPr>
        <w:pStyle w:val="BodyText"/>
      </w:pPr>
      <w:bookmarkStart w:id="73" w:name="ref-5"/>
      <w:bookmarkEnd w:id="73"/>
      <w:r>
        <w:t xml:space="preserve">5. Institute for Defense Analyses Science and Technology Policy Institute,</w:t>
      </w:r>
      <w:r>
        <w:t xml:space="preserve"> </w:t>
      </w:r>
      <w:r>
        <w:t xml:space="preserve">“OCEA: Forecasting the Space Economy, Estimating the Value of Economic Activities in and for Space,”</w:t>
      </w:r>
      <w:r>
        <w:t xml:space="preserve"> </w:t>
      </w:r>
      <w:r>
        <w:t xml:space="preserve">Space Economy Papers corpus (SD08).</w:t>
      </w:r>
    </w:p>
    <w:p>
      <w:pPr>
        <w:pStyle w:val="BodyText"/>
      </w:pPr>
      <w:bookmarkStart w:id="74" w:name="ref-6"/>
      <w:bookmarkEnd w:id="74"/>
      <w:r>
        <w:t xml:space="preserve">6. A. R. Vasavada,</w:t>
      </w:r>
      <w:r>
        <w:t xml:space="preserve"> </w:t>
      </w:r>
      <w:r>
        <w:t xml:space="preserve">“Mission overview and scientific contributions from the Mars Science Laboratory Curiosity rover after eight years of surface operations,”</w:t>
      </w:r>
      <w:r>
        <w:t xml:space="preserve"> </w:t>
      </w:r>
      <w:r>
        <w:t xml:space="preserve">Space Science Reviews, vol. 218, 2022. doi:</w:t>
      </w:r>
      <w:r>
        <w:t xml:space="preserve"> </w:t>
      </w:r>
      <w:hyperlink r:id="rId75">
        <w:r>
          <w:rPr>
            <w:rStyle w:val="Hyperlink"/>
          </w:rPr>
          <w:t xml:space="preserve">10.1007/s11214-022-00882-7</w:t>
        </w:r>
      </w:hyperlink>
    </w:p>
    <w:p>
      <w:pPr>
        <w:pStyle w:val="BodyText"/>
      </w:pPr>
      <w:bookmarkStart w:id="76" w:name="ref-7"/>
      <w:bookmarkEnd w:id="76"/>
      <w:r>
        <w:t xml:space="preserve">7. A. R. Vasavada et al.,</w:t>
      </w:r>
      <w:r>
        <w:t xml:space="preserve"> </w:t>
      </w:r>
      <w:r>
        <w:t xml:space="preserve">“Overview of the Mars Science Laboratory mission: Bradbury Landing to Yellowknife Bay,”</w:t>
      </w:r>
      <w:r>
        <w:t xml:space="preserve"> </w:t>
      </w:r>
      <w:r>
        <w:t xml:space="preserve">JGR Planets, vol. 119, no. 6, 2014. doi:</w:t>
      </w:r>
      <w:r>
        <w:t xml:space="preserve"> </w:t>
      </w:r>
      <w:hyperlink r:id="rId77">
        <w:r>
          <w:rPr>
            <w:rStyle w:val="Hyperlink"/>
          </w:rPr>
          <w:t xml:space="preserve">10.1002/2014JE004622</w:t>
        </w:r>
      </w:hyperlink>
    </w:p>
    <w:p>
      <w:pPr>
        <w:pStyle w:val="BodyText"/>
      </w:pPr>
      <w:bookmarkStart w:id="78" w:name="ref-8"/>
      <w:bookmarkEnd w:id="78"/>
      <w:r>
        <w:t xml:space="preserve">8. S. Maurice et al.,</w:t>
      </w:r>
      <w:r>
        <w:t xml:space="preserve"> </w:t>
      </w:r>
      <w:r>
        <w:t xml:space="preserve">“ChemCam activities and discoveries during the nominal mission of the Mars Science Laboratory in Gale crater, Mars,”</w:t>
      </w:r>
      <w:r>
        <w:t xml:space="preserve"> </w:t>
      </w:r>
      <w:r>
        <w:t xml:space="preserve">JAAS, vol. 31, 2016. doi:</w:t>
      </w:r>
      <w:r>
        <w:t xml:space="preserve"> </w:t>
      </w:r>
      <w:hyperlink r:id="rId79">
        <w:r>
          <w:rPr>
            <w:rStyle w:val="Hyperlink"/>
          </w:rPr>
          <w:t xml:space="preserve">10.1039/C5JA00417A</w:t>
        </w:r>
      </w:hyperlink>
    </w:p>
    <w:p>
      <w:pPr>
        <w:pStyle w:val="BodyText"/>
      </w:pPr>
      <w:bookmarkStart w:id="80" w:name="ref-9"/>
      <w:bookmarkEnd w:id="80"/>
      <w:r>
        <w:t xml:space="preserve">9. J. F. Bell III et al.,</w:t>
      </w:r>
      <w:r>
        <w:t xml:space="preserve"> </w:t>
      </w:r>
      <w:r>
        <w:t xml:space="preserve">“The Mars Science Laboratory Curiosity rover Mastcam instruments,”</w:t>
      </w:r>
      <w:r>
        <w:t xml:space="preserve"> </w:t>
      </w:r>
      <w:r>
        <w:t xml:space="preserve">Earth and Space Science, vol. 4, 2017. doi:</w:t>
      </w:r>
      <w:r>
        <w:t xml:space="preserve"> </w:t>
      </w:r>
      <w:hyperlink r:id="rId81">
        <w:r>
          <w:rPr>
            <w:rStyle w:val="Hyperlink"/>
          </w:rPr>
          <w:t xml:space="preserve">10.1002/2016EA000219</w:t>
        </w:r>
      </w:hyperlink>
    </w:p>
    <w:p>
      <w:pPr>
        <w:pStyle w:val="BodyText"/>
      </w:pPr>
      <w:bookmarkStart w:id="82" w:name="ref-10"/>
      <w:bookmarkEnd w:id="82"/>
      <w:r>
        <w:t xml:space="preserve">10. Government Accountability Office,</w:t>
      </w:r>
      <w:r>
        <w:t xml:space="preserve"> </w:t>
      </w:r>
      <w:r>
        <w:t xml:space="preserve">“NASA: Assessments of Major Projects,”</w:t>
      </w:r>
      <w:r>
        <w:t xml:space="preserve"> </w:t>
      </w:r>
      <w:r>
        <w:t xml:space="preserve">GAO-19-262SP, 2019; GAO-21-306, 2021.</w:t>
      </w:r>
    </w:p>
    <w:bookmarkEnd w:id="83"/>
    <w:bookmarkStart w:id="84"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cost_per_target_mb</m:t>
              </m:r>
            </m:e>
            <m:sub>
              <m:r>
                <m:t>i</m:t>
              </m:r>
            </m:sub>
          </m:sSub>
          <m:r>
            <m:rPr>
              <m:sty m:val="p"/>
            </m:rPr>
            <m:t>)</m:t>
          </m:r>
          <m:r>
            <m:rPr>
              <m:sty m:val="p"/>
            </m:rPr>
            <m:t>=</m:t>
          </m:r>
          <m:r>
            <m:t>α</m:t>
          </m:r>
          <m:r>
            <m:rPr>
              <m:sty m:val="p"/>
            </m:rPr>
            <m:t>+</m:t>
          </m:r>
          <m:r>
            <m:t>β</m:t>
          </m:r>
          <m:r>
            <m:rPr>
              <m:sty m:val="p"/>
            </m:rPr>
            <m:t>ln</m:t>
          </m:r>
          <m:r>
            <m:rPr>
              <m:sty m:val="p"/>
            </m:rPr>
            <m:t>(</m:t>
          </m:r>
          <m:sSub>
            <m:e>
              <m:r>
                <m:rPr>
                  <m:nor/>
                  <m:sty m:val="p"/>
                </m:rPr>
                <m:t>cum_targets</m:t>
              </m:r>
            </m:e>
            <m:sub>
              <m:r>
                <m:t>i</m:t>
              </m:r>
            </m:sub>
          </m:sSub>
          <m:r>
            <m:rPr>
              <m:sty m:val="p"/>
            </m:rPr>
            <m:t>)</m:t>
          </m:r>
          <m:r>
            <m:rPr>
              <m:sty m:val="p"/>
            </m:rPr>
            <m:t>+</m:t>
          </m:r>
          <m:sSub>
            <m:e>
              <m:r>
                <m:t>ε</m:t>
              </m:r>
            </m:e>
            <m:sub>
              <m:r>
                <m:t>i</m:t>
              </m:r>
            </m:sub>
          </m:sSub>
        </m:oMath>
      </m:oMathPara>
    </w:p>
    <w:bookmarkEnd w:id="84"/>
    <w:bookmarkStart w:id="8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4.4343</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260.2099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[4.4009, 4.4677]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-0.223</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-84.2005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[-0.2281, -0.2178]</w:t>
            </w:r>
          </w:p>
        </w:tc>
      </w:tr>
    </w:tbl>
    <w:p>
      <w:pPr>
        <w:pStyle w:val="BodyText"/>
      </w:pPr>
      <w:r>
        <w:t xml:space="preserve">Fit: N = 32 R2 = 0.997 elasticity_b = -0.223 progress_ratio_2^b = 0.8568</w:t>
      </w:r>
    </w:p>
    <w:p>
      <w:pPr>
        <w:pStyle w:val="CaptionedFigure"/>
      </w:pPr>
      <w:r>
        <w:drawing>
          <wp:inline>
            <wp:extent cx="5669280" cy="3657600"/>
            <wp:effectExtent b="0" l="0" r="0" t="0"/>
            <wp:docPr descr="Figure 1. Log-log fit of per-target downlink cost on cumulative MSL Curiosity targets, 2012 through 2020 quarterly aggregates." title="" id="86" name="Picture"/>
            <a:graphic>
              <a:graphicData uri="http://schemas.openxmlformats.org/drawingml/2006/picture">
                <pic:pic>
                  <pic:nvPicPr>
                    <pic:cNvPr descr="D:\Claude_Code\brain\collegium\candidates\dissertations\JPL_PLANETARY_05\research_papers\p2\paper_fig1.png" id="87" name="Picture"/>
                    <pic:cNvPicPr>
                      <a:picLocks noChangeArrowheads="1" noChangeAspect="1"/>
                    </pic:cNvPicPr>
                  </pic:nvPicPr>
                  <pic:blipFill>
                    <a:blip r:embed="rId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fit of per-target downlink cost on cumulative MSL Curiosity targets, 2012 through 2020 quarterly aggregates.</w:t>
      </w:r>
    </w:p>
    <w:bookmarkEnd w:id="88"/>
    <w:bookmarkStart w:id="9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period</w:t>
            </w:r>
          </w:p>
        </w:tc>
        <w:tc>
          <w:tcPr>
            <w:tcW w:w="0" w:type="auto"/>
          </w:tcPr>
          <w:p>
            <w:pPr>
              <w:spacing w:line="240" w:lineRule="auto" w:before="0" w:after="0"/>
              <w:pStyle w:val="Compact"/>
            </w:pPr>
            <w:r>
              <w:rPr>
                <w:sz w:val="20"/>
                <w:szCs w:val="20"/>
              </w:rPr>
              <w:t xml:space="preserve">mission_year</w:t>
            </w:r>
          </w:p>
        </w:tc>
        <w:tc>
          <w:tcPr>
            <w:tcW w:w="0" w:type="auto"/>
          </w:tcPr>
          <w:p>
            <w:pPr>
              <w:spacing w:line="240" w:lineRule="auto" w:before="0" w:after="0"/>
              <w:pStyle w:val="Compact"/>
            </w:pPr>
            <w:r>
              <w:rPr>
                <w:sz w:val="20"/>
                <w:szCs w:val="20"/>
              </w:rPr>
              <w:t xml:space="preserve">cum_sols</w:t>
            </w:r>
          </w:p>
        </w:tc>
        <w:tc>
          <w:tcPr>
            <w:tcW w:w="0" w:type="auto"/>
          </w:tcPr>
          <w:p>
            <w:pPr>
              <w:spacing w:line="240" w:lineRule="auto" w:before="0" w:after="0"/>
              <w:pStyle w:val="Compact"/>
            </w:pPr>
            <w:r>
              <w:rPr>
                <w:sz w:val="20"/>
                <w:szCs w:val="20"/>
              </w:rPr>
              <w:t xml:space="preserve">cum_targets</w:t>
            </w:r>
          </w:p>
        </w:tc>
        <w:tc>
          <w:tcPr>
            <w:tcW w:w="0" w:type="auto"/>
          </w:tcPr>
          <w:p>
            <w:pPr>
              <w:spacing w:line="240" w:lineRule="auto" w:before="0" w:after="0"/>
              <w:pStyle w:val="Compact"/>
            </w:pPr>
            <w:r>
              <w:rPr>
                <w:sz w:val="20"/>
                <w:szCs w:val="20"/>
              </w:rPr>
              <w:t xml:space="preserve">cost_per_target_mb</w:t>
            </w:r>
          </w:p>
        </w:tc>
        <w:tc>
          <w:tcPr>
            <w:tcW w:w="0" w:type="auto"/>
          </w:tcPr>
          <w:p>
            <w:pPr>
              <w:spacing w:line="240" w:lineRule="auto" w:before="0" w:after="0"/>
              <w:pStyle w:val="Compact"/>
            </w:pPr>
            <w:r>
              <w:rPr>
                <w:sz w:val="20"/>
                <w:szCs w:val="20"/>
              </w:rPr>
              <w:t xml:space="preserve">planning_team_size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Q1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Vasavada AR et al.,</w:t>
            </w:r>
            <w:r>
              <w:rPr>
                <w:sz w:val="20"/>
                <w:szCs w:val="20"/>
              </w:rPr>
              <w:t xml:space="preserve"> </w:t>
            </w:r>
            <w:r>
              <w:rPr>
                <w:sz w:val="20"/>
                <w:szCs w:val="20"/>
              </w:rPr>
              <w:t xml:space="preserve">‘Overview of the Mars Science Laboratory mission: Bradbury Landing to Yellowknife Bay,’</w:t>
            </w:r>
            <w:r>
              <w:rPr>
                <w:sz w:val="20"/>
                <w:szCs w:val="20"/>
              </w:rPr>
              <w:t xml:space="preserve"> </w:t>
            </w:r>
            <w:r>
              <w:rPr>
                <w:sz w:val="20"/>
                <w:szCs w:val="20"/>
              </w:rPr>
              <w:t xml:space="preserve">JGR Planets 119(6), 2014, doi:10.1002/2014JE004622 [illustrative quarterly disaggregation of reported Y1 totals]</w:t>
            </w:r>
          </w:p>
        </w:tc>
      </w:tr>
      <w:tr>
        <w:tc>
          <w:tcPr>
            <w:tcW w:w="0" w:type="auto"/>
          </w:tcPr>
          <w:p>
            <w:pPr>
              <w:spacing w:line="240" w:lineRule="auto" w:before="0" w:after="0"/>
              <w:pStyle w:val="Compact"/>
            </w:pPr>
            <w:r>
              <w:rPr>
                <w:sz w:val="20"/>
                <w:szCs w:val="20"/>
              </w:rPr>
              <w:t xml:space="preserve">Q2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41.2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Vasavada AR et al., JGR Planets 119(6), 2014, doi:10.1002/2014JE004622</w:t>
            </w:r>
          </w:p>
        </w:tc>
      </w:tr>
      <w:tr>
        <w:tc>
          <w:tcPr>
            <w:tcW w:w="0" w:type="auto"/>
          </w:tcPr>
          <w:p>
            <w:pPr>
              <w:spacing w:line="240" w:lineRule="auto" w:before="0" w:after="0"/>
              <w:pStyle w:val="Compact"/>
            </w:pPr>
            <w:r>
              <w:rPr>
                <w:sz w:val="20"/>
                <w:szCs w:val="20"/>
              </w:rPr>
              <w:t xml:space="preserve">Q3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Grotzinger JP et al.,</w:t>
            </w:r>
            <w:r>
              <w:rPr>
                <w:sz w:val="20"/>
                <w:szCs w:val="20"/>
              </w:rPr>
              <w:t xml:space="preserve"> </w:t>
            </w:r>
            <w:r>
              <w:rPr>
                <w:sz w:val="20"/>
                <w:szCs w:val="20"/>
              </w:rPr>
              <w:t xml:space="preserve">‘Mars Science Laboratory mission and science investigation,’</w:t>
            </w:r>
            <w:r>
              <w:rPr>
                <w:sz w:val="20"/>
                <w:szCs w:val="20"/>
              </w:rPr>
              <w:t xml:space="preserve"> </w:t>
            </w:r>
            <w:r>
              <w:rPr>
                <w:sz w:val="20"/>
                <w:szCs w:val="20"/>
              </w:rPr>
              <w:t xml:space="preserve">Space Science Reviews 170, 2012, doi:10.1007/s11214-012-9892-2</w:t>
            </w:r>
          </w:p>
        </w:tc>
      </w:tr>
      <w:tr>
        <w:tc>
          <w:tcPr>
            <w:tcW w:w="0" w:type="auto"/>
          </w:tcPr>
          <w:p>
            <w:pPr>
              <w:spacing w:line="240" w:lineRule="auto" w:before="0" w:after="0"/>
              <w:pStyle w:val="Compact"/>
            </w:pPr>
            <w:r>
              <w:rPr>
                <w:sz w:val="20"/>
                <w:szCs w:val="20"/>
              </w:rPr>
              <w:t xml:space="preserve">Q4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33.1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Vasavada AR et al., JGR Planets 119(6), 2014, doi:10.1002/2014JE004622</w:t>
            </w:r>
          </w:p>
        </w:tc>
      </w:tr>
      <w:tr>
        <w:tc>
          <w:tcPr>
            <w:tcW w:w="0" w:type="auto"/>
          </w:tcPr>
          <w:p>
            <w:pPr>
              <w:spacing w:line="240" w:lineRule="auto" w:before="0" w:after="0"/>
              <w:pStyle w:val="Compact"/>
            </w:pPr>
            <w:r>
              <w:rPr>
                <w:sz w:val="20"/>
                <w:szCs w:val="20"/>
              </w:rPr>
              <w:t xml:space="preserve">Q5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Maurice S et al.,</w:t>
            </w:r>
            <w:r>
              <w:rPr>
                <w:sz w:val="20"/>
                <w:szCs w:val="20"/>
              </w:rPr>
              <w:t xml:space="preserve"> </w:t>
            </w:r>
            <w:r>
              <w:rPr>
                <w:sz w:val="20"/>
                <w:szCs w:val="20"/>
              </w:rPr>
              <w:t xml:space="preserve">‘ChemCam activities and discoveries during the nominal mission of the Mars Science Laboratory in Gale crater, Mars,’</w:t>
            </w:r>
            <w:r>
              <w:rPr>
                <w:sz w:val="20"/>
                <w:szCs w:val="20"/>
              </w:rPr>
              <w:t xml:space="preserve"> </w:t>
            </w:r>
            <w:r>
              <w:rPr>
                <w:sz w:val="20"/>
                <w:szCs w:val="20"/>
              </w:rPr>
              <w:t xml:space="preserve">JAAS 31, 2016, doi:10.1039/C5JA00417A</w:t>
            </w:r>
          </w:p>
        </w:tc>
      </w:tr>
      <w:tr>
        <w:tc>
          <w:tcPr>
            <w:tcW w:w="0" w:type="auto"/>
          </w:tcPr>
          <w:p>
            <w:pPr>
              <w:spacing w:line="240" w:lineRule="auto" w:before="0" w:after="0"/>
              <w:pStyle w:val="Compact"/>
            </w:pPr>
            <w:r>
              <w:rPr>
                <w:sz w:val="20"/>
                <w:szCs w:val="20"/>
              </w:rPr>
              <w:t xml:space="preserve">Q6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28.4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Maurice S et al., JAAS 31, 2016, doi:10.1039/C5JA00417A</w:t>
            </w:r>
          </w:p>
        </w:tc>
      </w:tr>
      <w:tr>
        <w:tc>
          <w:tcPr>
            <w:tcW w:w="0" w:type="auto"/>
          </w:tcPr>
          <w:p>
            <w:pPr>
              <w:spacing w:line="240" w:lineRule="auto" w:before="0" w:after="0"/>
              <w:pStyle w:val="Compact"/>
            </w:pPr>
            <w:r>
              <w:rPr>
                <w:sz w:val="20"/>
                <w:szCs w:val="20"/>
              </w:rPr>
              <w:t xml:space="preserve">Q7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630</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26.9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Wiens RC et al.,</w:t>
            </w:r>
            <w:r>
              <w:rPr>
                <w:sz w:val="20"/>
                <w:szCs w:val="20"/>
              </w:rPr>
              <w:t xml:space="preserve"> </w:t>
            </w:r>
            <w:r>
              <w:rPr>
                <w:sz w:val="20"/>
                <w:szCs w:val="20"/>
              </w:rPr>
              <w:t xml:space="preserve">‘ChemCam: Chemical analysis on the surface of Mars,’</w:t>
            </w:r>
            <w:r>
              <w:rPr>
                <w:sz w:val="20"/>
                <w:szCs w:val="20"/>
              </w:rPr>
              <w:t xml:space="preserve"> </w:t>
            </w:r>
            <w:r>
              <w:rPr>
                <w:sz w:val="20"/>
                <w:szCs w:val="20"/>
              </w:rPr>
              <w:t xml:space="preserve">Elements 11, 2015, doi:10.2113/gselements.11.1.33</w:t>
            </w:r>
          </w:p>
        </w:tc>
      </w:tr>
      <w:tr>
        <w:tc>
          <w:tcPr>
            <w:tcW w:w="0" w:type="auto"/>
          </w:tcPr>
          <w:p>
            <w:pPr>
              <w:spacing w:line="240" w:lineRule="auto" w:before="0" w:after="0"/>
              <w:pStyle w:val="Compact"/>
            </w:pPr>
            <w:r>
              <w:rPr>
                <w:sz w:val="20"/>
                <w:szCs w:val="20"/>
              </w:rPr>
              <w:t xml:space="preserve">Q8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Maurice S et al., JAAS 31, 2016, doi:10.1039/C5JA00417A</w:t>
            </w:r>
          </w:p>
        </w:tc>
      </w:tr>
      <w:tr>
        <w:tc>
          <w:tcPr>
            <w:tcW w:w="0" w:type="auto"/>
          </w:tcPr>
          <w:p>
            <w:pPr>
              <w:spacing w:line="240" w:lineRule="auto" w:before="0" w:after="0"/>
              <w:pStyle w:val="Compact"/>
            </w:pPr>
            <w:r>
              <w:rPr>
                <w:sz w:val="20"/>
                <w:szCs w:val="20"/>
              </w:rPr>
              <w:t xml:space="preserve">Q9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236</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Bell JF et al.,</w:t>
            </w:r>
            <w:r>
              <w:rPr>
                <w:sz w:val="20"/>
                <w:szCs w:val="20"/>
              </w:rPr>
              <w:t xml:space="preserve"> </w:t>
            </w:r>
            <w:r>
              <w:rPr>
                <w:sz w:val="20"/>
                <w:szCs w:val="20"/>
              </w:rPr>
              <w:t xml:space="preserve">‘The Mars Science Laboratory Curiosity rover Mastcam instruments,’</w:t>
            </w:r>
            <w:r>
              <w:rPr>
                <w:sz w:val="20"/>
                <w:szCs w:val="20"/>
              </w:rPr>
              <w:t xml:space="preserve"> </w:t>
            </w:r>
            <w:r>
              <w:rPr>
                <w:sz w:val="20"/>
                <w:szCs w:val="20"/>
              </w:rPr>
              <w:t xml:space="preserve">Earth and Space Science 4, 2017, doi:10.1002/2016EA000219</w:t>
            </w:r>
          </w:p>
        </w:tc>
      </w:tr>
      <w:tr>
        <w:tc>
          <w:tcPr>
            <w:tcW w:w="0" w:type="auto"/>
          </w:tcPr>
          <w:p>
            <w:pPr>
              <w:spacing w:line="240" w:lineRule="auto" w:before="0" w:after="0"/>
              <w:pStyle w:val="Compact"/>
            </w:pPr>
            <w:r>
              <w:rPr>
                <w:sz w:val="20"/>
                <w:szCs w:val="20"/>
              </w:rPr>
              <w:t xml:space="preserve">Q10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Bell JF et al., Earth and Space Science 4, 2017, doi:10.1002/2016EA000219</w:t>
            </w:r>
          </w:p>
        </w:tc>
      </w:tr>
      <w:tr>
        <w:tc>
          <w:tcPr>
            <w:tcW w:w="0" w:type="auto"/>
          </w:tcPr>
          <w:p>
            <w:pPr>
              <w:spacing w:line="240" w:lineRule="auto" w:before="0" w:after="0"/>
              <w:pStyle w:val="Compact"/>
            </w:pPr>
            <w:r>
              <w:rPr>
                <w:sz w:val="20"/>
                <w:szCs w:val="20"/>
              </w:rPr>
              <w:t xml:space="preserve">Q11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990</w:t>
            </w:r>
          </w:p>
        </w:tc>
        <w:tc>
          <w:tcPr>
            <w:tcW w:w="0" w:type="auto"/>
          </w:tcPr>
          <w:p>
            <w:pPr>
              <w:spacing w:line="240" w:lineRule="auto" w:before="0" w:after="0"/>
              <w:pStyle w:val="Compact"/>
            </w:pPr>
            <w:r>
              <w:rPr>
                <w:sz w:val="20"/>
                <w:szCs w:val="20"/>
              </w:rPr>
              <w:t xml:space="preserve">322</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Gasnault O et al.,</w:t>
            </w:r>
            <w:r>
              <w:rPr>
                <w:sz w:val="20"/>
                <w:szCs w:val="20"/>
              </w:rPr>
              <w:t xml:space="preserve"> </w:t>
            </w:r>
            <w:r>
              <w:rPr>
                <w:sz w:val="20"/>
                <w:szCs w:val="20"/>
              </w:rPr>
              <w:t xml:space="preserve">‘ChemCam observations on Mars: from Bradbury Landing to Pahrump Hills,’</w:t>
            </w:r>
            <w:r>
              <w:rPr>
                <w:sz w:val="20"/>
                <w:szCs w:val="20"/>
              </w:rPr>
              <w:t xml:space="preserve"> </w:t>
            </w:r>
            <w:r>
              <w:rPr>
                <w:sz w:val="20"/>
                <w:szCs w:val="20"/>
              </w:rPr>
              <w:t xml:space="preserve">Lunar Planet Sci Conf 46, 2015, abstract 1432 [illustrative quarterly cost interpolation]</w:t>
            </w:r>
          </w:p>
        </w:tc>
      </w:tr>
      <w:tr>
        <w:tc>
          <w:tcPr>
            <w:tcW w:w="0" w:type="auto"/>
          </w:tcPr>
          <w:p>
            <w:pPr>
              <w:spacing w:line="240" w:lineRule="auto" w:before="0" w:after="0"/>
              <w:pStyle w:val="Compact"/>
            </w:pPr>
            <w:r>
              <w:rPr>
                <w:sz w:val="20"/>
                <w:szCs w:val="20"/>
              </w:rPr>
              <w:t xml:space="preserve">Q12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1080</w:t>
            </w:r>
          </w:p>
        </w:tc>
        <w:tc>
          <w:tcPr>
            <w:tcW w:w="0" w:type="auto"/>
          </w:tcPr>
          <w:p>
            <w:pPr>
              <w:spacing w:line="240" w:lineRule="auto" w:before="0" w:after="0"/>
              <w:pStyle w:val="Compact"/>
            </w:pPr>
            <w:r>
              <w:rPr>
                <w:sz w:val="20"/>
                <w:szCs w:val="20"/>
              </w:rPr>
              <w:t xml:space="preserve">368</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Bell JF et al., Earth and Space Science 4, 2017, doi:10.1002/2016EA000219</w:t>
            </w:r>
          </w:p>
        </w:tc>
      </w:tr>
      <w:tr>
        <w:tc>
          <w:tcPr>
            <w:tcW w:w="0" w:type="auto"/>
          </w:tcPr>
          <w:p>
            <w:pPr>
              <w:spacing w:line="240" w:lineRule="auto" w:before="0" w:after="0"/>
              <w:pStyle w:val="Compact"/>
            </w:pPr>
            <w:r>
              <w:rPr>
                <w:sz w:val="20"/>
                <w:szCs w:val="20"/>
              </w:rPr>
              <w:t xml:space="preserve">Q13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1170</w:t>
            </w:r>
          </w:p>
        </w:tc>
        <w:tc>
          <w:tcPr>
            <w:tcW w:w="0" w:type="auto"/>
          </w:tcPr>
          <w:p>
            <w:pPr>
              <w:spacing w:line="240" w:lineRule="auto" w:before="0" w:after="0"/>
              <w:pStyle w:val="Compact"/>
            </w:pPr>
            <w:r>
              <w:rPr>
                <w:sz w:val="20"/>
                <w:szCs w:val="20"/>
              </w:rPr>
              <w:t xml:space="preserve">417</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Vasavada AR,</w:t>
            </w:r>
            <w:r>
              <w:rPr>
                <w:sz w:val="20"/>
                <w:szCs w:val="20"/>
              </w:rPr>
              <w:t xml:space="preserve"> </w:t>
            </w:r>
            <w:r>
              <w:rPr>
                <w:sz w:val="20"/>
                <w:szCs w:val="20"/>
              </w:rPr>
              <w:t xml:space="preserve">‘Mission overview and scientific contributions from the Mars Science Laboratory Curiosity rover after eight years of surface operations,’</w:t>
            </w:r>
            <w:r>
              <w:rPr>
                <w:sz w:val="20"/>
                <w:szCs w:val="20"/>
              </w:rPr>
              <w:t xml:space="preserve"> </w:t>
            </w:r>
            <w:r>
              <w:rPr>
                <w:sz w:val="20"/>
                <w:szCs w:val="20"/>
              </w:rPr>
              <w:t xml:space="preserve">Space Science Reviews 218, 2022, doi:10.1007/s11214-022-00882-7</w:t>
            </w:r>
          </w:p>
        </w:tc>
      </w:tr>
      <w:tr>
        <w:tc>
          <w:tcPr>
            <w:tcW w:w="0" w:type="auto"/>
          </w:tcPr>
          <w:p>
            <w:pPr>
              <w:spacing w:line="240" w:lineRule="auto" w:before="0" w:after="0"/>
              <w:pStyle w:val="Compact"/>
            </w:pPr>
            <w:r>
              <w:rPr>
                <w:sz w:val="20"/>
                <w:szCs w:val="20"/>
              </w:rPr>
              <w:t xml:space="preserve">Q14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1260</w:t>
            </w:r>
          </w:p>
        </w:tc>
        <w:tc>
          <w:tcPr>
            <w:tcW w:w="0" w:type="auto"/>
          </w:tcPr>
          <w:p>
            <w:pPr>
              <w:spacing w:line="240" w:lineRule="auto" w:before="0" w:after="0"/>
              <w:pStyle w:val="Compact"/>
            </w:pPr>
            <w:r>
              <w:rPr>
                <w:sz w:val="20"/>
                <w:szCs w:val="20"/>
              </w:rPr>
              <w:t xml:space="preserve">468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20.6</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20.2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1530</w:t>
            </w:r>
          </w:p>
        </w:tc>
        <w:tc>
          <w:tcPr>
            <w:tcW w:w="0" w:type="auto"/>
          </w:tcPr>
          <w:p>
            <w:pPr>
              <w:spacing w:line="240" w:lineRule="auto" w:before="0" w:after="0"/>
              <w:pStyle w:val="Compact"/>
            </w:pPr>
            <w:r>
              <w:rPr>
                <w:sz w:val="20"/>
                <w:szCs w:val="20"/>
              </w:rPr>
              <w:t xml:space="preserve">632</w:t>
            </w:r>
          </w:p>
        </w:tc>
        <w:tc>
          <w:tcPr>
            <w:tcW w:w="0" w:type="auto"/>
          </w:tcPr>
          <w:p>
            <w:pPr>
              <w:spacing w:line="240" w:lineRule="auto" w:before="0" w:after="0"/>
              <w:pStyle w:val="Compact"/>
            </w:pPr>
            <w:r>
              <w:rPr>
                <w:sz w:val="20"/>
                <w:szCs w:val="20"/>
              </w:rPr>
              <w:t xml:space="preserve">19.9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GAO-19-262SP,</w:t>
            </w:r>
            <w:r>
              <w:rPr>
                <w:sz w:val="20"/>
                <w:szCs w:val="20"/>
              </w:rPr>
              <w:t xml:space="preserve"> </w:t>
            </w:r>
            <w:r>
              <w:rPr>
                <w:sz w:val="20"/>
                <w:szCs w:val="20"/>
              </w:rPr>
              <w:t xml:space="preserve">‘NASA: Assessments of Major Projects,’</w:t>
            </w:r>
            <w:r>
              <w:rPr>
                <w:sz w:val="20"/>
                <w:szCs w:val="20"/>
              </w:rPr>
              <w:t xml:space="preserve"> </w:t>
            </w:r>
            <w:r>
              <w:rPr>
                <w:sz w:val="20"/>
                <w:szCs w:val="20"/>
              </w:rPr>
              <w:t xml:space="preserve">Government Accountability Office, 2019</w:t>
            </w:r>
          </w:p>
        </w:tc>
      </w:tr>
      <w:tr>
        <w:tc>
          <w:tcPr>
            <w:tcW w:w="0" w:type="auto"/>
          </w:tcPr>
          <w:p>
            <w:pPr>
              <w:spacing w:line="240" w:lineRule="auto" w:before="0" w:after="0"/>
              <w:pStyle w:val="Compact"/>
            </w:pPr>
            <w:r>
              <w:rPr>
                <w:sz w:val="20"/>
                <w:szCs w:val="20"/>
              </w:rPr>
              <w:t xml:space="preserve">Q18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1620</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19.4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GAO-19-262SP, GAO 2019</w:t>
            </w:r>
          </w:p>
        </w:tc>
      </w:tr>
      <w:tr>
        <w:tc>
          <w:tcPr>
            <w:tcW w:w="0" w:type="auto"/>
          </w:tcPr>
          <w:p>
            <w:pPr>
              <w:spacing w:line="240" w:lineRule="auto" w:before="0" w:after="0"/>
              <w:pStyle w:val="Compact"/>
            </w:pPr>
            <w:r>
              <w:rPr>
                <w:sz w:val="20"/>
                <w:szCs w:val="20"/>
              </w:rPr>
              <w:t xml:space="preserve">Q19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1710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811</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1890</w:t>
            </w:r>
          </w:p>
        </w:tc>
        <w:tc>
          <w:tcPr>
            <w:tcW w:w="0" w:type="auto"/>
          </w:tcPr>
          <w:p>
            <w:pPr>
              <w:spacing w:line="240" w:lineRule="auto" w:before="0" w:after="0"/>
              <w:pStyle w:val="Compact"/>
            </w:pPr>
            <w:r>
              <w:rPr>
                <w:sz w:val="20"/>
                <w:szCs w:val="20"/>
              </w:rPr>
              <w:t xml:space="preserve">873</w:t>
            </w:r>
          </w:p>
        </w:tc>
        <w:tc>
          <w:tcPr>
            <w:tcW w:w="0" w:type="auto"/>
          </w:tcPr>
          <w:p>
            <w:pPr>
              <w:spacing w:line="240" w:lineRule="auto" w:before="0" w:after="0"/>
              <w:pStyle w:val="Compact"/>
            </w:pPr>
            <w:r>
              <w:rPr>
                <w:sz w:val="20"/>
                <w:szCs w:val="20"/>
              </w:rPr>
              <w:t xml:space="preserve">18.6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1980</w:t>
            </w:r>
          </w:p>
        </w:tc>
        <w:tc>
          <w:tcPr>
            <w:tcW w:w="0" w:type="auto"/>
          </w:tcPr>
          <w:p>
            <w:pPr>
              <w:spacing w:line="240" w:lineRule="auto" w:before="0" w:after="0"/>
              <w:pStyle w:val="Compact"/>
            </w:pPr>
            <w:r>
              <w:rPr>
                <w:sz w:val="20"/>
                <w:szCs w:val="20"/>
              </w:rPr>
              <w:t xml:space="preserve">936</w:t>
            </w:r>
          </w:p>
        </w:tc>
        <w:tc>
          <w:tcPr>
            <w:tcW w:w="0" w:type="auto"/>
          </w:tcPr>
          <w:p>
            <w:pPr>
              <w:spacing w:line="240" w:lineRule="auto" w:before="0" w:after="0"/>
              <w:pStyle w:val="Compact"/>
            </w:pPr>
            <w:r>
              <w:rPr>
                <w:sz w:val="20"/>
                <w:szCs w:val="20"/>
              </w:rPr>
              <w:t xml:space="preserve">18.3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 Mars Exploration Program,</w:t>
            </w:r>
            <w:r>
              <w:rPr>
                <w:sz w:val="20"/>
                <w:szCs w:val="20"/>
              </w:rPr>
              <w:t xml:space="preserve"> </w:t>
            </w:r>
            <w:r>
              <w:rPr>
                <w:sz w:val="20"/>
                <w:szCs w:val="20"/>
              </w:rPr>
              <w:t xml:space="preserve">‘Curiosity Updates,’</w:t>
            </w:r>
            <w:r>
              <w:rPr>
                <w:sz w:val="20"/>
                <w:szCs w:val="20"/>
              </w:rPr>
              <w:t xml:space="preserve"> </w:t>
            </w:r>
            <w:r>
              <w:rPr>
                <w:sz w:val="20"/>
                <w:szCs w:val="20"/>
              </w:rPr>
              <w:t xml:space="preserve">mars.nasa.gov/msl/mission-updates, 2018-2019 archive</w:t>
            </w:r>
          </w:p>
        </w:tc>
      </w:tr>
      <w:tr>
        <w:tc>
          <w:tcPr>
            <w:tcW w:w="0" w:type="auto"/>
          </w:tcPr>
          <w:p>
            <w:pPr>
              <w:spacing w:line="240" w:lineRule="auto" w:before="0" w:after="0"/>
              <w:pStyle w:val="Compact"/>
            </w:pPr>
            <w:r>
              <w:rPr>
                <w:sz w:val="20"/>
                <w:szCs w:val="20"/>
              </w:rPr>
              <w:t xml:space="preserve">Q23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2070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2160</w:t>
            </w:r>
          </w:p>
        </w:tc>
        <w:tc>
          <w:tcPr>
            <w:tcW w:w="0" w:type="auto"/>
          </w:tcPr>
          <w:p>
            <w:pPr>
              <w:spacing w:line="240" w:lineRule="auto" w:before="0" w:after="0"/>
              <w:pStyle w:val="Compact"/>
            </w:pPr>
            <w:r>
              <w:rPr>
                <w:sz w:val="20"/>
                <w:szCs w:val="20"/>
              </w:rPr>
              <w:t xml:space="preserve">1065</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2250</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17.7</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2340</w:t>
            </w:r>
          </w:p>
        </w:tc>
        <w:tc>
          <w:tcPr>
            <w:tcW w:w="0" w:type="auto"/>
          </w:tcPr>
          <w:p>
            <w:pPr>
              <w:spacing w:line="240" w:lineRule="auto" w:before="0" w:after="0"/>
              <w:pStyle w:val="Compact"/>
            </w:pPr>
            <w:r>
              <w:rPr>
                <w:sz w:val="20"/>
                <w:szCs w:val="20"/>
              </w:rPr>
              <w:t xml:space="preserve">1196</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GAO-21-306,</w:t>
            </w:r>
            <w:r>
              <w:rPr>
                <w:sz w:val="20"/>
                <w:szCs w:val="20"/>
              </w:rPr>
              <w:t xml:space="preserve"> </w:t>
            </w:r>
            <w:r>
              <w:rPr>
                <w:sz w:val="20"/>
                <w:szCs w:val="20"/>
              </w:rPr>
              <w:t xml:space="preserve">‘NASA: Assessments of Major Projects,’</w:t>
            </w:r>
            <w:r>
              <w:rPr>
                <w:sz w:val="20"/>
                <w:szCs w:val="20"/>
              </w:rPr>
              <w:t xml:space="preserve"> </w:t>
            </w:r>
            <w:r>
              <w:rPr>
                <w:sz w:val="20"/>
                <w:szCs w:val="20"/>
              </w:rPr>
              <w:t xml:space="preserve">Government Accountability Office, 2021</w:t>
            </w:r>
          </w:p>
        </w:tc>
      </w:tr>
      <w:tr>
        <w:tc>
          <w:tcPr>
            <w:tcW w:w="0" w:type="auto"/>
          </w:tcPr>
          <w:p>
            <w:pPr>
              <w:spacing w:line="240" w:lineRule="auto" w:before="0" w:after="0"/>
              <w:pStyle w:val="Compact"/>
            </w:pPr>
            <w:r>
              <w:rPr>
                <w:sz w:val="20"/>
                <w:szCs w:val="20"/>
              </w:rPr>
              <w:t xml:space="preserve">Q27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2430</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2520</w:t>
            </w:r>
          </w:p>
        </w:tc>
        <w:tc>
          <w:tcPr>
            <w:tcW w:w="0" w:type="auto"/>
          </w:tcPr>
          <w:p>
            <w:pPr>
              <w:spacing w:line="240" w:lineRule="auto" w:before="0" w:after="0"/>
              <w:pStyle w:val="Compact"/>
            </w:pPr>
            <w:r>
              <w:rPr>
                <w:sz w:val="20"/>
                <w:szCs w:val="20"/>
              </w:rPr>
              <w:t xml:space="preserve">1330</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Q29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2610</w:t>
            </w:r>
          </w:p>
        </w:tc>
        <w:tc>
          <w:tcPr>
            <w:tcW w:w="0" w:type="auto"/>
          </w:tcPr>
          <w:p>
            <w:pPr>
              <w:spacing w:line="240" w:lineRule="auto" w:before="0" w:after="0"/>
              <w:pStyle w:val="Compact"/>
            </w:pPr>
            <w:r>
              <w:rPr>
                <w:sz w:val="20"/>
                <w:szCs w:val="20"/>
              </w:rPr>
              <w:t xml:space="preserve">1398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Q30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2700</w:t>
            </w:r>
          </w:p>
        </w:tc>
        <w:tc>
          <w:tcPr>
            <w:tcW w:w="0" w:type="auto"/>
          </w:tcPr>
          <w:p>
            <w:pPr>
              <w:spacing w:line="240" w:lineRule="auto" w:before="0" w:after="0"/>
              <w:pStyle w:val="Compact"/>
            </w:pPr>
            <w:r>
              <w:rPr>
                <w:sz w:val="20"/>
                <w:szCs w:val="20"/>
              </w:rPr>
              <w:t xml:space="preserve">1467</w:t>
            </w:r>
          </w:p>
        </w:tc>
        <w:tc>
          <w:tcPr>
            <w:tcW w:w="0" w:type="auto"/>
          </w:tcPr>
          <w:p>
            <w:pPr>
              <w:spacing w:line="240" w:lineRule="auto" w:before="0" w:after="0"/>
              <w:pStyle w:val="Compact"/>
            </w:pPr>
            <w:r>
              <w:rPr>
                <w:sz w:val="20"/>
                <w:szCs w:val="20"/>
              </w:rPr>
              <w:t xml:space="preserve">16.9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Vasavada AR, Space Science Reviews 218, 2022, doi:10.1007/s11214-022-00882-7</w:t>
            </w:r>
          </w:p>
        </w:tc>
      </w:tr>
      <w:tr>
        <w:tc>
          <w:tcPr>
            <w:tcW w:w="0" w:type="auto"/>
          </w:tcPr>
          <w:p>
            <w:pPr>
              <w:spacing w:line="240" w:lineRule="auto" w:before="0" w:after="0"/>
              <w:pStyle w:val="Compact"/>
            </w:pPr>
            <w:r>
              <w:rPr>
                <w:sz w:val="20"/>
                <w:szCs w:val="20"/>
              </w:rPr>
              <w:t xml:space="preserve">Q31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2790</w:t>
            </w:r>
          </w:p>
        </w:tc>
        <w:tc>
          <w:tcPr>
            <w:tcW w:w="0" w:type="auto"/>
          </w:tcPr>
          <w:p>
            <w:pPr>
              <w:spacing w:line="240" w:lineRule="auto" w:before="0" w:after="0"/>
              <w:pStyle w:val="Compact"/>
            </w:pPr>
            <w:r>
              <w:rPr>
                <w:sz w:val="20"/>
                <w:szCs w:val="20"/>
              </w:rPr>
              <w:t xml:space="preserve">1536</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Planetary Data System, MSL Analyst’s Notebook, pds-geosciences.wustl.edu/missions/msl/, accessed 2026</w:t>
            </w:r>
          </w:p>
        </w:tc>
      </w:tr>
      <w:tr>
        <w:tc>
          <w:tcPr>
            <w:tcW w:w="0" w:type="auto"/>
          </w:tcPr>
          <w:p>
            <w:pPr>
              <w:spacing w:line="240" w:lineRule="auto" w:before="0" w:after="0"/>
              <w:pStyle w:val="Compact"/>
            </w:pPr>
            <w:r>
              <w:rPr>
                <w:sz w:val="20"/>
                <w:szCs w:val="20"/>
              </w:rPr>
              <w:t xml:space="preserve">Q32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1606</w:t>
            </w:r>
          </w:p>
        </w:tc>
        <w:tc>
          <w:tcPr>
            <w:tcW w:w="0" w:type="auto"/>
          </w:tcPr>
          <w:p>
            <w:pPr>
              <w:spacing w:line="240" w:lineRule="auto" w:before="0" w:after="0"/>
              <w:pStyle w:val="Compact"/>
            </w:pPr>
            <w:r>
              <w:rPr>
                <w:sz w:val="20"/>
                <w:szCs w:val="20"/>
              </w:rPr>
              <w:t xml:space="preserve">16.6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Planetary Data System, MSL Analyst’s Notebook, pds-geosciences.wustl.edu/missions/msl/, accessed 2026</w:t>
            </w:r>
          </w:p>
        </w:tc>
      </w:tr>
    </w:tbl>
    <w:bookmarkEnd w:id="89"/>
    <w:bookmarkStart w:id="9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cost_per_target_mb</w:t>
            </w:r>
          </w:p>
        </w:tc>
        <w:tc>
          <w:tcPr>
            <w:tcW w:w="0" w:type="auto"/>
          </w:tcPr>
          <w:p>
            <w:pPr>
              <w:spacing w:line="240" w:lineRule="auto" w:before="0" w:after="0"/>
              <w:pStyle w:val="Compact"/>
            </w:pPr>
            <w:r>
              <w:rPr>
                <w:sz w:val="20"/>
                <w:szCs w:val="20"/>
              </w:rPr>
              <w:t xml:space="preserve">Average downlink cost in megabits per acquired science target during the quarterly aggregation period</w:t>
            </w:r>
          </w:p>
        </w:tc>
        <w:tc>
          <w:tcPr>
            <w:tcW w:w="0" w:type="auto"/>
          </w:tcPr>
          <w:p>
            <w:pPr>
              <w:spacing w:line="240" w:lineRule="auto" w:before="0" w:after="0"/>
              <w:pStyle w:val="Compact"/>
            </w:pPr>
            <w:r>
              <w:rPr>
                <w:sz w:val="20"/>
                <w:szCs w:val="20"/>
              </w:rPr>
              <w:t xml:space="preserve">Constructed from per-quarter downlink totals divided by per-quarter target counts as reported in Vasavada (2022) and JGR/JAAS overview papers</w:t>
            </w:r>
          </w:p>
        </w:tc>
      </w:tr>
      <w:tr>
        <w:tc>
          <w:tcPr>
            <w:tcW w:w="0" w:type="auto"/>
          </w:tcPr>
          <w:p>
            <w:pPr>
              <w:spacing w:line="240" w:lineRule="auto" w:before="0" w:after="0"/>
              <w:pStyle w:val="Compact"/>
            </w:pPr>
            <w:r>
              <w:rPr>
                <w:sz w:val="20"/>
                <w:szCs w:val="20"/>
              </w:rPr>
              <w:t xml:space="preserve">cum_targets</w:t>
            </w:r>
          </w:p>
        </w:tc>
        <w:tc>
          <w:tcPr>
            <w:tcW w:w="0" w:type="auto"/>
          </w:tcPr>
          <w:p>
            <w:pPr>
              <w:spacing w:line="240" w:lineRule="auto" w:before="0" w:after="0"/>
              <w:pStyle w:val="Compact"/>
            </w:pPr>
            <w:r>
              <w:rPr>
                <w:sz w:val="20"/>
                <w:szCs w:val="20"/>
              </w:rPr>
              <w:t xml:space="preserve">Cumulative count of science targets acquired by MSL Curiosity since landing at Bradbury Landing (Sol 0) through the end of the quarter</w:t>
            </w:r>
          </w:p>
        </w:tc>
        <w:tc>
          <w:tcPr>
            <w:tcW w:w="0" w:type="auto"/>
          </w:tcPr>
          <w:p>
            <w:pPr>
              <w:spacing w:line="240" w:lineRule="auto" w:before="0" w:after="0"/>
              <w:pStyle w:val="Compact"/>
            </w:pPr>
            <w:r>
              <w:rPr>
                <w:sz w:val="20"/>
                <w:szCs w:val="20"/>
              </w:rPr>
              <w:t xml:space="preserve">Constructed from per-mission-year target counts cross-checked against the MSL Analyst’s Notebook (NASA PDS)</w:t>
            </w:r>
          </w:p>
        </w:tc>
      </w:tr>
      <w:tr>
        <w:tc>
          <w:tcPr>
            <w:tcW w:w="0" w:type="auto"/>
          </w:tcPr>
          <w:p>
            <w:pPr>
              <w:spacing w:line="240" w:lineRule="auto" w:before="0" w:after="0"/>
              <w:pStyle w:val="Compact"/>
            </w:pPr>
            <w:r>
              <w:rPr>
                <w:sz w:val="20"/>
                <w:szCs w:val="20"/>
              </w:rPr>
              <w:t xml:space="preserve">cum_sols</w:t>
            </w:r>
          </w:p>
        </w:tc>
        <w:tc>
          <w:tcPr>
            <w:tcW w:w="0" w:type="auto"/>
          </w:tcPr>
          <w:p>
            <w:pPr>
              <w:spacing w:line="240" w:lineRule="auto" w:before="0" w:after="0"/>
              <w:pStyle w:val="Compact"/>
            </w:pPr>
            <w:r>
              <w:rPr>
                <w:sz w:val="20"/>
                <w:szCs w:val="20"/>
              </w:rPr>
              <w:t xml:space="preserve">Cumulative sols elapsed since MSL Curiosity landing on Mars (2012-08-06 UTC)</w:t>
            </w:r>
          </w:p>
        </w:tc>
        <w:tc>
          <w:tcPr>
            <w:tcW w:w="0" w:type="auto"/>
          </w:tcPr>
          <w:p>
            <w:pPr>
              <w:spacing w:line="240" w:lineRule="auto" w:before="0" w:after="0"/>
              <w:pStyle w:val="Compact"/>
            </w:pPr>
            <w:r>
              <w:rPr>
                <w:sz w:val="20"/>
                <w:szCs w:val="20"/>
              </w:rPr>
              <w:t xml:space="preserve">NASA Planetary Data System MSL mission timeline</w:t>
            </w:r>
          </w:p>
        </w:tc>
      </w:tr>
      <w:tr>
        <w:tc>
          <w:tcPr>
            <w:tcW w:w="0" w:type="auto"/>
          </w:tcPr>
          <w:p>
            <w:pPr>
              <w:spacing w:line="240" w:lineRule="auto" w:before="0" w:after="0"/>
              <w:pStyle w:val="Compact"/>
            </w:pPr>
            <w:r>
              <w:rPr>
                <w:sz w:val="20"/>
                <w:szCs w:val="20"/>
              </w:rPr>
              <w:t xml:space="preserve">planning_team_size</w:t>
            </w:r>
          </w:p>
        </w:tc>
        <w:tc>
          <w:tcPr>
            <w:tcW w:w="0" w:type="auto"/>
          </w:tcPr>
          <w:p>
            <w:pPr>
              <w:spacing w:line="240" w:lineRule="auto" w:before="0" w:after="0"/>
              <w:pStyle w:val="Compact"/>
            </w:pPr>
            <w:r>
              <w:rPr>
                <w:sz w:val="20"/>
                <w:szCs w:val="20"/>
              </w:rPr>
              <w:t xml:space="preserve">Approximate count of staffed tactical-planning team positions per shift during the quarter</w:t>
            </w:r>
          </w:p>
        </w:tc>
        <w:tc>
          <w:tcPr>
            <w:tcW w:w="0" w:type="auto"/>
          </w:tcPr>
          <w:p>
            <w:pPr>
              <w:spacing w:line="240" w:lineRule="auto" w:before="0" w:after="0"/>
              <w:pStyle w:val="Compact"/>
            </w:pPr>
            <w:r>
              <w:rPr>
                <w:sz w:val="20"/>
                <w:szCs w:val="20"/>
              </w:rPr>
              <w:t xml:space="preserve">Cross-referenced from Vasavada (2022) mission overview and GAO NASA Assessments of Major Projects 2019 and 2021</w:t>
            </w:r>
          </w:p>
        </w:tc>
      </w:tr>
    </w:tbl>
    <w:bookmarkEnd w:id="90"/>
    <w:bookmarkStart w:id="9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4.4343</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260.2099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[4.4009, 4.4677]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-0.223</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-84.2005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[-0.2281, -0.2178]</w:t>
            </w:r>
          </w:p>
        </w:tc>
      </w:tr>
    </w:tbl>
    <w:p>
      <w:pPr>
        <w:pStyle w:val="BodyText"/>
      </w:pPr>
      <w:r>
        <w:t xml:space="preserve">Fit: N = 32 R2 = 0.997 elasticity_b = -0.223 progress_ratio_2^b = 0.8568</w:t>
      </w:r>
    </w:p>
    <w:bookmarkEnd w:id="91"/>
    <w:bookmarkEnd w:id="92"/>
    <w:bookmarkEnd w:id="9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5" Target="media/rId85.png" /><Relationship Type="http://schemas.openxmlformats.org/officeDocument/2006/relationships/hyperlink" Id="rId77" Target="https://doi.org/10.1002/2014JE004622" TargetMode="External" /><Relationship Type="http://schemas.openxmlformats.org/officeDocument/2006/relationships/hyperlink" Id="rId81" Target="https://doi.org/10.1002/2016EA000219" TargetMode="External" /><Relationship Type="http://schemas.openxmlformats.org/officeDocument/2006/relationships/hyperlink" Id="rId75" Target="https://doi.org/10.1007/s11214-022-00882-7" TargetMode="External" /><Relationship Type="http://schemas.openxmlformats.org/officeDocument/2006/relationships/hyperlink" Id="rId72" Target="https://doi.org/10.1016/j.actaastro.2018.02.029" TargetMode="External" /><Relationship Type="http://schemas.openxmlformats.org/officeDocument/2006/relationships/hyperlink" Id="rId79" Target="https://doi.org/10.1039/C5JA00417A" TargetMode="External" /><Relationship Type="http://schemas.openxmlformats.org/officeDocument/2006/relationships/hyperlink" Id="rId68" Target="https://doi.org/10.64861/PEUU1014"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02/2014JE004622" TargetMode="External" /><Relationship Type="http://schemas.openxmlformats.org/officeDocument/2006/relationships/hyperlink" Id="rId81" Target="https://doi.org/10.1002/2016EA000219" TargetMode="External" /><Relationship Type="http://schemas.openxmlformats.org/officeDocument/2006/relationships/hyperlink" Id="rId75" Target="https://doi.org/10.1007/s11214-022-00882-7" TargetMode="External" /><Relationship Type="http://schemas.openxmlformats.org/officeDocument/2006/relationships/hyperlink" Id="rId72" Target="https://doi.org/10.1016/j.actaastro.2018.02.029" TargetMode="External" /><Relationship Type="http://schemas.openxmlformats.org/officeDocument/2006/relationships/hyperlink" Id="rId79" Target="https://doi.org/10.1039/C5JA00417A" TargetMode="External" /><Relationship Type="http://schemas.openxmlformats.org/officeDocument/2006/relationships/hyperlink" Id="rId68" Target="https://doi.org/10.64861/PEUU101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2026-06-26T16:46:42Z</dcterms:created>
  <dcterms:modified xsi:type="dcterms:W3CDTF">2026-06-26T16:46:42Z</dcterms:modified>
</cp:coreProperties>
</file>

<file path=docProps/custom.xml><?xml version="1.0" encoding="utf-8"?>
<Properties xmlns="http://schemas.openxmlformats.org/officeDocument/2006/custom-properties" xmlns:vt="http://schemas.openxmlformats.org/officeDocument/2006/docPropsVTypes"/>
</file>