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3.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1" w:name="Xa19d99a9097943a51db57d0726390382fcc03a0"/>
    <w:p>
      <w:pPr>
        <w:pStyle w:val="Heading1"/>
      </w:pPr>
      <w:r>
        <w:t xml:space="preserve">Resource Envelope and Realized Science Tenure of Planetary Surface Missions: An OLS Estimate of the Mass-Power Elasticity of Achieved Sols</w:t>
      </w:r>
    </w:p>
    <w:bookmarkStart w:id="61" w:name="introduction"/>
    <w:p>
      <w:pPr>
        <w:pStyle w:val="Heading2"/>
      </w:pPr>
      <w:r>
        <w:t xml:space="preserve">1. Introduction</w:t>
      </w:r>
    </w:p>
    <w:p>
      <w:pPr>
        <w:pStyle w:val="FirstParagraph"/>
      </w:pPr>
      <w:r>
        <w:t xml:space="preserve">A planetary surface mission spends its entire operational life inside a fixed envelope of energy, downlink, and time. Every sol the lander or rover survives is a sol on which a tactical plan can allocate scarce resources across competing observation actions, and every sol it does not survive is a portfolio of forgone information. The dissertation that this paper supports treats Mars rover tactical planning as a sequential value of information (VOI) problem in which the planner ranks candidate actions by expected information gain under a hard resource budget. That treatment makes a prior empirical question unavoidable. Before asking how well a tactical planner allocates within a sol, the field needs a quantitative account of what determines the total number of sols available to allocate. The size of the realized operational tenure is the size of the prize the planner is competing for.</w:t>
      </w:r>
    </w:p>
    <w:p>
      <w:pPr>
        <w:pStyle w:val="BodyText"/>
      </w:pPr>
      <w:r>
        <w:t xml:space="preserve">This paper estimates the cross-mission relationship between the resource envelope a planetary surface mission carries to the surface and the operational tenure that envelope buys. The estimand is the elasticity of achieved operational sols with respect to landed mass, conditional on planned mission duration, power class, and the count of instruments in the surface-deployed payload. Landed mass is the cleanest publicly archived proxy for the combined energy, thermal, and structural envelope that supports a science payload across a surface campaign. Planned sols capture the agency commitment that defines the nominal mission, allowing the regression to recover the conditional rather than the unconditional mass relationship. The power class indicator separates radioisotope and radiothermal platforms from solar and battery platforms, since the literature on tasking under a finite resource budget treats the power source as the binding constraint on the sequence of actions a platform can execute over time</w:t>
      </w:r>
      <w:r>
        <w:t xml:space="preserve"> </w:t>
      </w:r>
      <w:hyperlink w:anchor="ref-1">
        <m:oMathPara>
          <m:oMathParaPr>
            <m:jc m:val="center"/>
          </m:oMathParaPr>
          <m:oMath>
            <m:r>
              <m:t>1</m:t>
            </m:r>
          </m:oMath>
        </m:oMathPara>
      </w:hyperlink>
      <w:r>
        <w:t xml:space="preserve">,</w:t>
      </w:r>
      <w:r>
        <w:t xml:space="preserve"> </w:t>
      </w:r>
      <w:hyperlink w:anchor="ref-3">
        <m:oMathPara>
          <m:oMathParaPr>
            <m:jc m:val="center"/>
          </m:oMathParaPr>
          <m:oMath>
            <m:r>
              <m:t>3</m:t>
            </m:r>
          </m:oMath>
        </m:oMathPara>
      </w:hyperlink>
      <w:r>
        <w:t xml:space="preserve">. The instrument count measures payload breadth and captures the engineering reality that a surface platform with more instruments allocates more of its envelope to science demand rather than to longevity.</w:t>
      </w:r>
    </w:p>
    <w:p>
      <w:pPr>
        <w:pStyle w:val="FirstParagraph"/>
      </w:pPr>
      <w:r>
        <w:t xml:space="preserve">The contribution is a single coefficient with a single interpretation: the mass elasticity of achieved sols across the population of landed planetary surface missions for which the relevant data are publicly archived. The paper does not estimate a structural model of platform reliability and does not claim a causal identification strategy. It estimates a descriptive association of the kind that a planetary tactical planner needs before adopting an information-functional reward, because that reward is meaningless absent a defensible expectation about how many sols of opportunity the platform will deliver.</w:t>
      </w:r>
    </w:p>
    <w:bookmarkEnd w:id="61"/>
    <w:bookmarkStart w:id="62" w:name="theory-and-hypotheses"/>
    <w:p>
      <w:pPr>
        <w:pStyle w:val="Heading2"/>
      </w:pPr>
      <w:r>
        <w:t xml:space="preserve">2. Theory and Hypotheses</w:t>
      </w:r>
    </w:p>
    <w:p>
      <w:pPr>
        <w:pStyle w:val="FirstParagraph"/>
      </w:pPr>
      <w:r>
        <w:t xml:space="preserve">The theoretical anchor is the sensor tasking literature in space domain awareness, where the value of a tasking decision is given precise meaning as the expected reduction in posterior uncertainty under a fixed resource budget</w:t>
      </w:r>
      <w:r>
        <w:t xml:space="preserve"> </w:t>
      </w:r>
      <w:hyperlink w:anchor="ref-1">
        <m:oMathPara>
          <m:oMathParaPr>
            <m:jc m:val="center"/>
          </m:oMathParaPr>
          <m:oMath>
            <m:r>
              <m:t>1</m:t>
            </m:r>
          </m:oMath>
        </m:oMathPara>
      </w:hyperlink>
      <w:r>
        <w:t xml:space="preserve">. That literature has converged on framing each tasking choice as the maximization of an information functional weighted by target priority</w:t>
      </w:r>
      <w:r>
        <w:t xml:space="preserve"> </w:t>
      </w:r>
      <w:hyperlink w:anchor="ref-3">
        <m:oMathPara>
          <m:oMathParaPr>
            <m:jc m:val="center"/>
          </m:oMathParaPr>
          <m:oMath>
            <m:r>
              <m:t>3</m:t>
            </m:r>
          </m:oMath>
        </m:oMathPara>
      </w:hyperlink>
      <w:r>
        <w:t xml:space="preserve">. Sequential variants compute the value of tasking actions across an horizon using partially observable Markov decision process formulations and tree search</w:t>
      </w:r>
      <w:r>
        <w:t xml:space="preserve"> </w:t>
      </w:r>
      <w:hyperlink w:anchor="ref-4">
        <m:oMathPara>
          <m:oMathParaPr>
            <m:jc m:val="center"/>
          </m:oMathParaPr>
          <m:oMath>
            <m:r>
              <m:t>4</m:t>
            </m:r>
          </m:oMath>
        </m:oMathPara>
      </w:hyperlink>
      <w:r>
        <w:t xml:space="preserve">. A common feature across these formulations is that the binding resource is the platform’s own time and energy, not the absolute capability of any single sensor. The reward function lives inside a resource envelope that constrains how many actions the platform can take before the campaign closes.</w:t>
      </w:r>
    </w:p>
    <w:p>
      <w:pPr>
        <w:pStyle w:val="FirstParagraph"/>
      </w:pPr>
      <w:r>
        <w:t xml:space="preserve">The planetary surface mission inherits the same structural problem at a longer time scale. The resource envelope is the sol budget the lander or rover can sustain on the surface. Tactical planning literature documents that the planning cycle treats this envelope as binding and resolves contention among candidate observation actions through a science team deliberation that prices each action against the remaining envelope</w:t>
      </w:r>
      <w:r>
        <w:t xml:space="preserve"> </w:t>
      </w:r>
      <w:hyperlink w:anchor="ref-6">
        <m:oMathPara>
          <m:oMathParaPr>
            <m:jc m:val="center"/>
          </m:oMathParaPr>
          <m:oMath>
            <m:r>
              <m:t>6</m:t>
            </m:r>
          </m:oMath>
        </m:oMathPara>
      </w:hyperlink>
      <w:r>
        <w:t xml:space="preserve">. The space economics literature reinforces why the size of the envelope matters at the program level rather than only at the sol level: the value of scientific activity generated in and for space is an active measurement problem, and the platform-side determinants of that value are part of the measurement</w:t>
      </w:r>
      <w:r>
        <w:t xml:space="preserve"> </w:t>
      </w:r>
      <w:hyperlink w:anchor="ref-5">
        <m:oMathPara>
          <m:oMathParaPr>
            <m:jc m:val="center"/>
          </m:oMathParaPr>
          <m:oMath>
            <m:r>
              <m:t>5</m:t>
            </m:r>
          </m:oMath>
        </m:oMathPara>
      </w:hyperlink>
      <w:r>
        <w:t xml:space="preserve">.</w:t>
      </w:r>
    </w:p>
    <w:p>
      <w:pPr>
        <w:pStyle w:val="FirstParagraph"/>
      </w:pPr>
      <w:r>
        <w:t xml:space="preserve">The hypothesis tested here follows directly from these three streams. If the resource envelope binds the realized operational tenure of a planetary surface mission, then mass, which proxies for the combined energy, thermal, and structural envelope, should predict achieved sols after holding the planned mission duration and the power source fixed. The directional expectation under the VOI framework is that a larger envelope buys more sols of opportunity, conditional on the agency’s commitment to operate the platform across a given planned duration. The null is that mass carries no association with achieved sols once planned sols and power source are held constant, which would imply that operational tenure is set by program commitment alone rather than by platform endowment.</w:t>
      </w:r>
    </w:p>
    <w:bookmarkEnd w:id="62"/>
    <w:bookmarkStart w:id="63" w:name="data"/>
    <w:p>
      <w:pPr>
        <w:pStyle w:val="Heading2"/>
      </w:pPr>
      <w:r>
        <w:t xml:space="preserve">3. Data</w:t>
      </w:r>
    </w:p>
    <w:p>
      <w:pPr>
        <w:pStyle w:val="FirstParagraph"/>
      </w:pPr>
      <w:r>
        <w:t xml:space="preserve">The dataset is a cross-section of 28 landed planetary surface missions for which landed mass, planned operational duration, achieved surface tenure, instrument count, and power class are publicly archived. Sources are documented per row in the</w:t>
      </w:r>
      <w:r>
        <w:t xml:space="preserve"> </w:t>
      </w:r>
      <w:r>
        <w:rPr>
          <w:rStyle w:val="VerbatimChar"/>
        </w:rPr>
        <w:t xml:space="preserve">source</w:t>
      </w:r>
      <w:r>
        <w:t xml:space="preserve"> </w:t>
      </w:r>
      <w:r>
        <w:t xml:space="preserve">column of the dataset and include the NASA NSSDCA master catalog for missions in the Surveyor, Viking, Mars Pathfinder, Mars Exploration Rover, Phoenix, and Mars Science Laboratory programs, along with NASA mission press kits for InSight and Mars 2020. Cost figures for Curiosity, InSight, and Perseverance are drawn from the NASA Major Project Assessment series of GAO reports, specifically GAO-13-276SP, GAO-19-262SP, and GAO-25-107591. International missions are sourced from official agency mission summaries from CNSA (Tianwen-1 Zhurong, Chang’e 3 with Yutu, Chang’e 4 with Yutu-2), ISRO (Chandrayaan-3 Vikram with Pragyan), JAXA (SLIM), and ESA (Schiaparelli, Beagle 2). Lunokhod 1 and Lunokhod 2 are sourced from the NSSDCA master catalog. A small minority of cost figures for international missions are marked as illustrative in the source column where official agency cost disclosures are not publicly verifiable in dollars; cost is not used in the primary specification and these flags do not affect the estimated coefficients.</w:t>
      </w:r>
    </w:p>
    <w:p>
      <w:pPr>
        <w:pStyle w:val="BodyText"/>
      </w:pPr>
      <w:r>
        <w:t xml:space="preserve">Three missions failed on landing and recorded zero achieved sols (Mars Polar Lander, Beagle 2, Schiaparelli) and are dropped from the log-log regression because the outcome is undefined at zero sols. The estimation sample is therefore N equals 25 successful landed missions, which spans the population of publicly documented planetary surface landings from 1966 through 2024 with the exclusions noted. Variable definitions and per-variable sources are recorded in</w:t>
      </w:r>
      <w:r>
        <w:t xml:space="preserve"> </w:t>
      </w:r>
      <w:r>
        <w:rPr>
          <w:rStyle w:val="VerbatimChar"/>
        </w:rPr>
        <w:t xml:space="preserve">config.json</w:t>
      </w:r>
      <w:r>
        <w:t xml:space="preserve">.</w:t>
      </w:r>
    </w:p>
    <w:bookmarkEnd w:id="63"/>
    <w:bookmarkStart w:id="64" w:name="method"/>
    <w:p>
      <w:pPr>
        <w:pStyle w:val="Heading2"/>
      </w:pPr>
      <w:r>
        <w:t xml:space="preserve">4. Method</w:t>
      </w:r>
    </w:p>
    <w:p>
      <w:pPr>
        <w:pStyle w:val="FirstParagraph"/>
      </w:pPr>
      <w:r>
        <w:t xml:space="preserve">The specification is ordinary least squares with HC1 robust standard errors. The outcome is the natural log of achieved operational sols. The regressors are the natural log of landed mass in kilograms, the natural log of planned mission sols, an indicator for radioisotope or radiothermal power, and the count of instruments in the surface-deployed payload. The log-log treatment of mass and planned sols allows the coefficient on log mass to be read as an elasticity of achieved sols with respect to landed mass, conditional on the other regressors. The nuclear power indicator enters as a level shift in the conditional mean of log sols, and the instrument count enters as a linear control for payload breadth. The regression is estimated on the 25 missions with non-zero achieved sols. Robust standard errors are reported throughout to accommodate heteroskedasticity across program eras and platform classes. No transformation other than the log scaling is applied, and no observations are excluded other than the three loss-on-landing cases described above.</w:t>
      </w:r>
    </w:p>
    <w:bookmarkEnd w:id="64"/>
    <w:bookmarkStart w:id="65" w:name="findings"/>
    <w:p>
      <w:pPr>
        <w:pStyle w:val="Heading2"/>
      </w:pPr>
      <w:r>
        <w:t xml:space="preserve">5. Findings</w:t>
      </w:r>
    </w:p>
    <w:p>
      <w:pPr>
        <w:pStyle w:val="FirstParagraph"/>
      </w:pPr>
      <w:r>
        <w:t xml:space="preserve">The model explains a substantial fraction of cross-mission variation in achieved sols. The R-squared is 0.674 and the adjusted R-squared is 0.609, with an F statistic of 14.13 and an F p-value of 1.2 times ten to the minus five on 25 observations. The model is jointly significant at any conventional level.</w:t>
      </w:r>
    </w:p>
    <w:p>
      <w:pPr>
        <w:pStyle w:val="BodyText"/>
      </w:pPr>
      <w:r>
        <w:t xml:space="preserve">The coefficient on log planned sols is 1.031 with a p-value below one in ten thousand. The point estimate is essentially unit elastic: a one percent increase in planned mission duration is associated with a 1.0 percent increase in achieved operational sols, holding mass, power class, and instrument count fixed. This is the strongest result in the regression and indicates that the agency’s commitment to a given planned duration is the dominant correlate of how long the platform actually survives on the surface. Programs that promised more sols delivered more sols, in tight proportion to the promise.</w:t>
      </w:r>
    </w:p>
    <w:p>
      <w:pPr>
        <w:pStyle w:val="BodyText"/>
      </w:pPr>
      <w:r>
        <w:t xml:space="preserve">The coefficient on log landed mass is minus 0.494 with a p-value of 0.055, marginally outside the conventional five percent threshold and well inside the ten percent threshold. The sign is negative. Conditional on the planned mission duration, the power source, and the instrument count, a heavier landed mass is associated with a lower achieved sol count. The directional expectation in section 2 was the opposite. The most defensible reading of this conditional negative association is that the planned-sols control absorbs the part of the mass-sol relationship that reflects ambition: heavy platforms tend to be platforms with long planned campaigns, and once that ambition is held constant, the remaining mass variation captures missions whose extra mass went into instrumentation and surface complexity rather than into longevity. The implication for the value of information framework is that mass is not a free proxy for the resource envelope available to a tactical planner. It is correlated with science demand on that envelope as well as with the envelope itself, and the planner’s reward function should price both sides of that correlation.</w:t>
      </w:r>
    </w:p>
    <w:p>
      <w:pPr>
        <w:pStyle w:val="BodyText"/>
      </w:pPr>
      <w:r>
        <w:t xml:space="preserve">The nuclear power indicator carries a coefficient of 0.426 with a p-value of 0.544. The sign is positive, consistent with the engineering expectation that radioisotope and radiothermal power platforms outlast solar and battery platforms, but the estimate is statistically indistinguishable from zero in this sample. The dataset includes only a small number of nuclear-powered platforms and a large number of short-duration solar landers, and the conditional contribution of power class is absorbed by planned sols and mass in this specification.</w:t>
      </w:r>
    </w:p>
    <w:p>
      <w:pPr>
        <w:pStyle w:val="BodyText"/>
      </w:pPr>
      <w:r>
        <w:t xml:space="preserve">The instrument count coefficient is 0.124 with a p-value of 0.215. The point estimate suggests roughly a 12 percent increase in achieved sols per additional surface instrument, holding the other regressors fixed, but the standard error is large enough that this association cannot be distinguished from zero on this sample.</w:t>
      </w:r>
    </w:p>
    <w:p>
      <w:pPr>
        <w:pStyle w:val="BodyText"/>
      </w:pPr>
      <w:r>
        <w:t xml:space="preserve">The constant is 3.453 with a p-value of 0.013, which is interpretable as the conditional log mean of achieved sols for a small, short-planned, solar-powered, lightly instrumented platform.</w:t>
      </w:r>
    </w:p>
    <w:bookmarkEnd w:id="65"/>
    <w:bookmarkStart w:id="66" w:name="discussion"/>
    <w:p>
      <w:pPr>
        <w:pStyle w:val="Heading2"/>
      </w:pPr>
      <w:r>
        <w:t xml:space="preserve">6. Discussion</w:t>
      </w:r>
    </w:p>
    <w:p>
      <w:pPr>
        <w:pStyle w:val="FirstParagraph"/>
      </w:pPr>
      <w:r>
        <w:t xml:space="preserve">The headline result is that the planned mission duration is the dominant publicly observable correlate of how long a planetary surface mission survives, and that landed mass conditional on planned duration carries a sign that does not match a naive resource-envelope account. Both results bear directly on the dissertation’s central claim that Mars rover tactical planning can be modeled as a sequential VOI problem. They are diagnostic, not contradictory.</w:t>
      </w:r>
    </w:p>
    <w:p>
      <w:pPr>
        <w:pStyle w:val="BodyText"/>
      </w:pPr>
      <w:r>
        <w:t xml:space="preserve">The strong unit elasticity on planned sols means that the size of the tactical planning prize is largely a programmatic variable. A VOI planner choosing among candidate observation actions on a Mars sol is allocating across an opportunity set whose total size has been substantially fixed at the program-commitment stage. The marginal information value forgone by consensus planning, which the dissertation will estimate at the within-sol level, sits inside an envelope that is itself set far above the planning cycle. This reinforces the dissertation’s identification strategy: holding the resource envelope fixed at its actual mission value is not a restrictive assumption, since the envelope is what dominantly differentiates mission outcomes in the cross-section.</w:t>
      </w:r>
    </w:p>
    <w:p>
      <w:pPr>
        <w:pStyle w:val="BodyText"/>
      </w:pPr>
      <w:r>
        <w:t xml:space="preserve">The conditional negative mass coefficient is the more interesting result. It indicates that the resource envelope cannot be cleanly read off platform mass alone. Heavier platforms carry more science demand, not just more energy and thermal support, and the engineering tradeoff is at least partially absorbed by the data once planned sols are held constant. The implication for an information functional in the sensor tasking tradition</w:t>
      </w:r>
      <w:r>
        <w:t xml:space="preserve"> </w:t>
      </w:r>
      <w:hyperlink w:anchor="ref-1">
        <m:oMathPara>
          <m:oMathParaPr>
            <m:jc m:val="center"/>
          </m:oMathParaPr>
          <m:oMath>
            <m:r>
              <m:t>1</m:t>
            </m:r>
          </m:oMath>
        </m:oMathPara>
      </w:hyperlink>
      <w:r>
        <w:t xml:space="preserve">,</w:t>
      </w:r>
      <w:r>
        <w:t xml:space="preserve"> </w:t>
      </w:r>
      <w:hyperlink w:anchor="ref-3">
        <m:oMathPara>
          <m:oMathParaPr>
            <m:jc m:val="center"/>
          </m:oMathParaPr>
          <m:oMath>
            <m:r>
              <m:t>3</m:t>
            </m:r>
          </m:oMath>
        </m:oMathPara>
      </w:hyperlink>
      <w:r>
        <w:t xml:space="preserve"> </w:t>
      </w:r>
      <w:r>
        <w:t xml:space="preserve">is that the per-action energy and downlink prices used inside the functional should be calibrated to platform-specific demand on the envelope, not to bulk mass. The dissertation’s tactical model will need to enumerate the candidate-action cost vector at the level of individual instrument operations rather than aggregate platform mass, a discipline already present in the operations-record reconstruction approach used in rover-analog tactical studies</w:t>
      </w:r>
      <w:r>
        <w:t xml:space="preserve"> </w:t>
      </w:r>
      <w:hyperlink w:anchor="ref-6">
        <m:oMathPara>
          <m:oMathParaPr>
            <m:jc m:val="center"/>
          </m:oMathParaPr>
          <m:oMath>
            <m:r>
              <m:t>6</m:t>
            </m:r>
          </m:oMath>
        </m:oMathPara>
      </w:hyperlink>
      <w:r>
        <w:t xml:space="preserve">.</w:t>
      </w:r>
    </w:p>
    <w:p>
      <w:pPr>
        <w:pStyle w:val="FirstParagraph"/>
      </w:pPr>
      <w:r>
        <w:t xml:space="preserve">The nuclear power and instrument count results are best read as null findings on a sample dominated by mission-class heterogeneity. With more landed missions in the population over the next decade, particularly from the lunar and Mars programs of multiple agencies, the conditional contribution of power class to achieved sols may become estimable. For the current dissertation, the relevant takeaway is that within-sol tactical planning analysis should not assume that platform power class delivers a measurable longevity bonus once planned duration is controlled. The information-value-per-action calculation must price the actual sol budget the platform has earned, not the budget that a power class would predict in isolation.</w:t>
      </w:r>
    </w:p>
    <w:p>
      <w:pPr>
        <w:pStyle w:val="BodyText"/>
      </w:pPr>
      <w:r>
        <w:t xml:space="preserve">Two caveats bound the result. First, the sample is small. Twenty-five observations is sufficient to detect a unit-elastic effect of planned sols but underpowered against the smaller effects associated with mass, power, and instrumentation. Second, planetary surface missions are a non-random sample of attempted landings, and the loss-on-landing exclusion truncates the outcome at zero. The conditional coefficients should be read as the within-success population relationship, not as a counterfactual prediction of what an arbitrary new platform will deliver. The dissertation’s tactical paper will accept this scope limit and condition its within-sol analysis on missions that succeeded in reaching the surface.</w:t>
      </w:r>
    </w:p>
    <w:p>
      <w:pPr>
        <w:pStyle w:val="BodyText"/>
      </w:pPr>
      <w:r>
        <w:t xml:space="preserve">The result that survives is useful. Planned mission duration is the binding programmatic correlate of operational tenure. The resource envelope a tactical planner allocates across is dominantly set by program commitment, the mass-side proxy for that envelope carries science demand as well as longevity, and the dissertation’s information-functional formulation should price candidate actions at the instrument level rather than at the platform level. The space economics literature framing</w:t>
      </w:r>
      <w:r>
        <w:t xml:space="preserve"> </w:t>
      </w:r>
      <w:hyperlink w:anchor="ref-5">
        <m:oMathPara>
          <m:oMathParaPr>
            <m:jc m:val="center"/>
          </m:oMathParaPr>
          <m:oMath>
            <m:r>
              <m:t>5</m:t>
            </m:r>
          </m:oMath>
        </m:oMathPara>
      </w:hyperlink>
      <w:r>
        <w:t xml:space="preserve"> </w:t>
      </w:r>
      <w:r>
        <w:t xml:space="preserve">applies: the value of information acquired across a planetary surface campaign is the product of the per-sol decisions a tactical planner makes and the number of sols the program has committed to operating. Both terms matter, and the second term is the larger one.</w:t>
      </w:r>
    </w:p>
    <w:bookmarkEnd w:id="66"/>
    <w:bookmarkStart w:id="81" w:name="references"/>
    <w:p>
      <w:pPr>
        <w:pStyle w:val="Heading2"/>
      </w:pPr>
      <w:r>
        <w:t xml:space="preserve">References</w:t>
      </w:r>
    </w:p>
    <w:p>
      <w:pPr>
        <w:pStyle w:val="FirstParagraph"/>
      </w:pPr>
      <w:bookmarkStart w:id="67" w:name="ref-1"/>
      <w:bookmarkEnd w:id="67"/>
      <w:r>
        <w:t xml:space="preserve">1. K. Vanslette and R. Taing,</w:t>
      </w:r>
      <w:r>
        <w:t xml:space="preserve"> </w:t>
      </w:r>
      <w:r>
        <w:t xml:space="preserve">“Toward Optimal Conjunction-Based Sensor Tasking using Inferential Moments,”</w:t>
      </w:r>
      <w:r>
        <w:t xml:space="preserve"> </w:t>
      </w:r>
      <w:r>
        <w:t xml:space="preserve">Proc. Advanced Maui Optical and Space Surveillance Technologies (AMOS) Conference, 2023.</w:t>
      </w:r>
    </w:p>
    <w:p>
      <w:pPr>
        <w:pStyle w:val="BodyText"/>
      </w:pPr>
      <w:bookmarkStart w:id="68" w:name="ref-2"/>
      <w:bookmarkEnd w:id="68"/>
      <w:r>
        <w:t xml:space="preserve">2. S. Gehly and J. Bennett,</w:t>
      </w:r>
      <w:r>
        <w:t xml:space="preserve"> </w:t>
      </w:r>
      <w:r>
        <w:t xml:space="preserve">“Incorporating Target Priorities in the Sensor Tasking Reward Function,”</w:t>
      </w:r>
      <w:r>
        <w:t xml:space="preserve"> </w:t>
      </w:r>
      <w:r>
        <w:t xml:space="preserve">Proc. Advanced Maui Optical and Space Surveillance Technologies (AMOS) Conference, 2016.</w:t>
      </w:r>
    </w:p>
    <w:p>
      <w:pPr>
        <w:pStyle w:val="BodyText"/>
      </w:pPr>
      <w:bookmarkStart w:id="69" w:name="ref-3"/>
      <w:bookmarkEnd w:id="69"/>
      <w:r>
        <w:t xml:space="preserve">3. S. Fedeler, M. Holzinger, and W. Whitacre,</w:t>
      </w:r>
      <w:r>
        <w:t xml:space="preserve"> </w:t>
      </w:r>
      <w:r>
        <w:t xml:space="preserve">“Optimality and Application of Tree Search Methods for POMDP-based Sensor Tasking,”</w:t>
      </w:r>
      <w:r>
        <w:t xml:space="preserve"> </w:t>
      </w:r>
      <w:r>
        <w:t xml:space="preserve">Proc. Advanced Maui Optical and Space Surveillance Technologies (AMOS) Conference, 2020.</w:t>
      </w:r>
    </w:p>
    <w:p>
      <w:pPr>
        <w:pStyle w:val="BodyText"/>
      </w:pPr>
      <w:bookmarkStart w:id="70" w:name="ref-4"/>
      <w:bookmarkEnd w:id="70"/>
      <w:r>
        <w:t xml:space="preserve">4. O. Dagan, T. Becker, and Z. Sunberg,</w:t>
      </w:r>
      <w:r>
        <w:t xml:space="preserve"> </w:t>
      </w:r>
      <w:r>
        <w:t xml:space="preserve">“Hypothesis-Driven Sensor Tasking for Space Domain Awareness,”</w:t>
      </w:r>
      <w:r>
        <w:t xml:space="preserve"> </w:t>
      </w:r>
      <w:r>
        <w:t xml:space="preserve">Proc. Advanced Maui Optical and Space Surveillance Technologies (AMOS) Conference, 2025, doi:</w:t>
      </w:r>
      <w:r>
        <w:t xml:space="preserve"> </w:t>
      </w:r>
      <w:hyperlink r:id="rId71">
        <w:r>
          <w:rPr>
            <w:rStyle w:val="Hyperlink"/>
          </w:rPr>
          <w:t xml:space="preserve">10.64861/JHKF6115</w:t>
        </w:r>
      </w:hyperlink>
    </w:p>
    <w:p>
      <w:pPr>
        <w:pStyle w:val="BodyText"/>
      </w:pPr>
      <w:bookmarkStart w:id="72" w:name="ref-5"/>
      <w:bookmarkEnd w:id="72"/>
      <w:r>
        <w:t xml:space="preserve">5. Institute for Defense Analyses Science and Technology Policy Institute,</w:t>
      </w:r>
      <w:r>
        <w:t xml:space="preserve"> </w:t>
      </w:r>
      <w:r>
        <w:t xml:space="preserve">“OCEA: Forecasting the Space Economy, Estimating the Value of Economic Activities in and for Space,”</w:t>
      </w:r>
      <w:r>
        <w:t xml:space="preserve"> </w:t>
      </w:r>
      <w:r>
        <w:t xml:space="preserve">Space Economy Papers corpus (SD08).</w:t>
      </w:r>
    </w:p>
    <w:p>
      <w:pPr>
        <w:pStyle w:val="BodyText"/>
      </w:pPr>
      <w:bookmarkStart w:id="73" w:name="ref-6"/>
      <w:bookmarkEnd w:id="73"/>
      <w:r>
        <w:t xml:space="preserve">6. R. A. Yingst, J. A. Berger, B. A. Cohen, B. M. Hynek, and M. E. Schmidt,</w:t>
      </w:r>
      <w:r>
        <w:t xml:space="preserve"> </w:t>
      </w:r>
      <w:r>
        <w:t xml:space="preserve">“Determining best practices in reconnoitering sites for habitability potential on Mars using a semi-autonomous rover: A GeoHeuristic Operational Strategies Test,”</w:t>
      </w:r>
      <w:r>
        <w:t xml:space="preserve"> </w:t>
      </w:r>
      <w:r>
        <w:t xml:space="preserve">Acta Astronautica, vol. 132, 2016, doi:</w:t>
      </w:r>
      <w:r>
        <w:t xml:space="preserve"> </w:t>
      </w:r>
      <w:hyperlink r:id="rId74">
        <w:r>
          <w:rPr>
            <w:rStyle w:val="Hyperlink"/>
          </w:rPr>
          <w:t xml:space="preserve">10.1016/j.actaastro.2016.12.018</w:t>
        </w:r>
      </w:hyperlink>
    </w:p>
    <w:p>
      <w:pPr>
        <w:pStyle w:val="BodyText"/>
      </w:pPr>
      <w:bookmarkStart w:id="75" w:name="ref-7"/>
      <w:bookmarkEnd w:id="75"/>
      <w:r>
        <w:t xml:space="preserve">7. R. A. Yingst et al.,</w:t>
      </w:r>
      <w:r>
        <w:t xml:space="preserve"> </w:t>
      </w:r>
      <w:r>
        <w:t xml:space="preserve">“Testing the efficiency of rover science protocols for robotic sample selection: A GeoHeuristic Operational Strategies Test,”</w:t>
      </w:r>
      <w:r>
        <w:t xml:space="preserve"> </w:t>
      </w:r>
      <w:r>
        <w:t xml:space="preserve">Acta Astronautica, vol. 146, 2018, doi:</w:t>
      </w:r>
      <w:r>
        <w:t xml:space="preserve"> </w:t>
      </w:r>
      <w:hyperlink r:id="rId76">
        <w:r>
          <w:rPr>
            <w:rStyle w:val="Hyperlink"/>
          </w:rPr>
          <w:t xml:space="preserve">10.1016/j.actaastro.2018.02.029</w:t>
        </w:r>
      </w:hyperlink>
    </w:p>
    <w:p>
      <w:pPr>
        <w:pStyle w:val="BodyText"/>
      </w:pPr>
      <w:bookmarkStart w:id="77" w:name="ref-8"/>
      <w:bookmarkEnd w:id="77"/>
      <w:r>
        <w:t xml:space="preserve">8. U.S. Government Accountability Office, NASA Major Project Assessment, GAO-25-107591, 2025.</w:t>
      </w:r>
    </w:p>
    <w:p>
      <w:pPr>
        <w:pStyle w:val="BodyText"/>
      </w:pPr>
      <w:bookmarkStart w:id="78" w:name="ref-9"/>
      <w:bookmarkEnd w:id="78"/>
      <w:r>
        <w:t xml:space="preserve">9. U.S. Government Accountability Office, NASA Major Project Assessment, GAO-19-262SP, 2019.</w:t>
      </w:r>
    </w:p>
    <w:p>
      <w:pPr>
        <w:pStyle w:val="BodyText"/>
      </w:pPr>
      <w:bookmarkStart w:id="79" w:name="ref-10"/>
      <w:bookmarkEnd w:id="79"/>
      <w:r>
        <w:t xml:space="preserve">10. U.S. Government Accountability Office, NASA Major Project Assessment, GAO-13-276SP, 2013.</w:t>
      </w:r>
    </w:p>
    <w:p>
      <w:pPr>
        <w:pStyle w:val="BodyText"/>
      </w:pPr>
      <w:bookmarkStart w:id="80" w:name="ref-11"/>
      <w:bookmarkEnd w:id="80"/>
      <w:r>
        <w:t xml:space="preserve">11. NASA Goddard Space Flight Center, National Space Science Data Center Coordinated Archive (NSSDCA) Master Catalog, mission entries for Viking 1 and 2, Mars Pathfinder, Sojourner, Spirit, Opportunity, Phoenix, Surveyor series, Lunokhod 1 and 2.</w:t>
      </w:r>
    </w:p>
    <w:bookmarkEnd w:id="81"/>
    <w:bookmarkStart w:id="82" w:name="specification"/>
    <w:p>
      <w:pPr>
        <w:pStyle w:val="Heading2"/>
      </w:pPr>
      <w:r>
        <w:t xml:space="preserve">Specification</w:t>
      </w:r>
    </w:p>
    <w:p>
      <w:pPr>
        <w:pStyle w:val="FirstParagraph"/>
      </w:pPr>
      <m:oMathPara>
        <m:oMathParaPr>
          <m:jc m:val="center"/>
        </m:oMathParaPr>
        <m:oMath>
          <m:r>
            <m:rPr>
              <m:sty m:val="p"/>
            </m:rPr>
            <m:t>log</m:t>
          </m:r>
          <m:r>
            <m:rPr>
              <m:sty m:val="p"/>
            </m:rPr>
            <m:t>(</m:t>
          </m:r>
          <m:sSub>
            <m:e>
              <m:r>
                <m:rPr>
                  <m:nor/>
                  <m:sty m:val="p"/>
                </m:rPr>
                <m:t>achieved_sols</m:t>
              </m:r>
            </m:e>
            <m:sub>
              <m:r>
                <m:t>i</m:t>
              </m:r>
            </m:sub>
          </m:sSub>
          <m:r>
            <m:rPr>
              <m:sty m:val="p"/>
            </m:rPr>
            <m:t>)</m:t>
          </m:r>
          <m:r>
            <m:rPr>
              <m:sty m:val="p"/>
            </m:rPr>
            <m:t>=</m:t>
          </m:r>
          <m:sSub>
            <m:e>
              <m:r>
                <m:t>β</m:t>
              </m:r>
            </m:e>
            <m:sub>
              <m:r>
                <m:t>0</m:t>
              </m:r>
            </m:sub>
          </m:sSub>
          <m:r>
            <m:rPr>
              <m:sty m:val="p"/>
            </m:rPr>
            <m:t>+</m:t>
          </m:r>
          <m:sSub>
            <m:e>
              <m:r>
                <m:t>β</m:t>
              </m:r>
            </m:e>
            <m:sub>
              <m:r>
                <m:t>1</m:t>
              </m:r>
            </m:sub>
          </m:sSub>
          <m:r>
            <m:rPr>
              <m:sty m:val="p"/>
            </m:rPr>
            <m:t>log</m:t>
          </m:r>
          <m:r>
            <m:rPr>
              <m:sty m:val="p"/>
            </m:rPr>
            <m:t>(</m:t>
          </m:r>
          <m:sSub>
            <m:e>
              <m:r>
                <m:rPr>
                  <m:nor/>
                  <m:sty m:val="p"/>
                </m:rPr>
                <m:t>landed_mass</m:t>
              </m:r>
            </m:e>
            <m:sub>
              <m:r>
                <m:t>i</m:t>
              </m:r>
            </m:sub>
          </m:sSub>
          <m:r>
            <m:rPr>
              <m:sty m:val="p"/>
            </m:rPr>
            <m:t>)</m:t>
          </m:r>
          <m:r>
            <m:rPr>
              <m:sty m:val="p"/>
            </m:rPr>
            <m:t>+</m:t>
          </m:r>
          <m:sSub>
            <m:e>
              <m:r>
                <m:t>β</m:t>
              </m:r>
            </m:e>
            <m:sub>
              <m:r>
                <m:t>2</m:t>
              </m:r>
            </m:sub>
          </m:sSub>
          <m:r>
            <m:rPr>
              <m:sty m:val="p"/>
            </m:rPr>
            <m:t>log</m:t>
          </m:r>
          <m:r>
            <m:rPr>
              <m:sty m:val="p"/>
            </m:rPr>
            <m:t>(</m:t>
          </m:r>
          <m:sSub>
            <m:e>
              <m:r>
                <m:rPr>
                  <m:nor/>
                  <m:sty m:val="p"/>
                </m:rPr>
                <m:t>planned_sols</m:t>
              </m:r>
            </m:e>
            <m:sub>
              <m:r>
                <m:t>i</m:t>
              </m:r>
            </m:sub>
          </m:sSub>
          <m:r>
            <m:rPr>
              <m:sty m:val="p"/>
            </m:rPr>
            <m:t>)</m:t>
          </m:r>
          <m:r>
            <m:rPr>
              <m:sty m:val="p"/>
            </m:rPr>
            <m:t>+</m:t>
          </m:r>
          <m:sSub>
            <m:e>
              <m:r>
                <m:t>β</m:t>
              </m:r>
            </m:e>
            <m:sub>
              <m:r>
                <m:t>3</m:t>
              </m:r>
            </m:sub>
          </m:sSub>
          <m:sSub>
            <m:e>
              <m:r>
                <m:rPr>
                  <m:nor/>
                  <m:sty m:val="p"/>
                </m:rPr>
                <m:t>nuclear</m:t>
              </m:r>
            </m:e>
            <m:sub>
              <m:r>
                <m:t>i</m:t>
              </m:r>
            </m:sub>
          </m:sSub>
          <m:r>
            <m:rPr>
              <m:sty m:val="p"/>
            </m:rPr>
            <m:t>+</m:t>
          </m:r>
          <m:sSub>
            <m:e>
              <m:r>
                <m:t>β</m:t>
              </m:r>
            </m:e>
            <m:sub>
              <m:r>
                <m:t>4</m:t>
              </m:r>
            </m:sub>
          </m:sSub>
          <m:sSub>
            <m:e>
              <m:r>
                <m:rPr>
                  <m:nor/>
                  <m:sty m:val="p"/>
                </m:rPr>
                <m:t>instruments</m:t>
              </m:r>
            </m:e>
            <m:sub>
              <m:r>
                <m:t>i</m:t>
              </m:r>
            </m:sub>
          </m:sSub>
          <m:r>
            <m:rPr>
              <m:sty m:val="p"/>
            </m:rPr>
            <m:t>+</m:t>
          </m:r>
          <m:sSub>
            <m:e>
              <m:r>
                <m:t>ε</m:t>
              </m:r>
            </m:e>
            <m:sub>
              <m:r>
                <m:t>i</m:t>
              </m:r>
            </m:sub>
          </m:sSub>
        </m:oMath>
      </m:oMathPara>
    </w:p>
    <w:bookmarkEnd w:id="82"/>
    <w:bookmarkStart w:id="86"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3.4528</w:t>
            </w:r>
          </w:p>
        </w:tc>
        <w:tc>
          <w:tcPr>
            <w:tcW w:w="0" w:type="auto"/>
          </w:tcPr>
          <w:p>
            <w:pPr>
              <w:spacing w:line="240" w:lineRule="auto" w:before="0" w:after="0"/>
              <w:pStyle w:val="Compact"/>
            </w:pPr>
            <w:r>
              <w:rPr>
                <w:sz w:val="20"/>
                <w:szCs w:val="20"/>
              </w:rPr>
              <w:t xml:space="preserve">1.3901</w:t>
            </w:r>
          </w:p>
        </w:tc>
        <w:tc>
          <w:tcPr>
            <w:tcW w:w="0" w:type="auto"/>
          </w:tcPr>
          <w:p>
            <w:pPr>
              <w:spacing w:line="240" w:lineRule="auto" w:before="0" w:after="0"/>
              <w:pStyle w:val="Compact"/>
            </w:pPr>
            <w:r>
              <w:rPr>
                <w:sz w:val="20"/>
                <w:szCs w:val="20"/>
              </w:rPr>
              <w:t xml:space="preserve">2.4839</w:t>
            </w:r>
          </w:p>
        </w:tc>
        <w:tc>
          <w:tcPr>
            <w:tcW w:w="0" w:type="auto"/>
          </w:tcPr>
          <w:p>
            <w:pPr>
              <w:spacing w:line="240" w:lineRule="auto" w:before="0" w:after="0"/>
              <w:pStyle w:val="Compact"/>
            </w:pPr>
            <w:r>
              <w:rPr>
                <w:sz w:val="20"/>
                <w:szCs w:val="20"/>
              </w:rPr>
              <w:t xml:space="preserve">0.013</w:t>
            </w:r>
          </w:p>
        </w:tc>
        <w:tc>
          <w:tcPr>
            <w:tcW w:w="0" w:type="auto"/>
          </w:tcPr>
          <w:p>
            <w:pPr>
              <w:spacing w:line="240" w:lineRule="auto" w:before="0" w:after="0"/>
              <w:pStyle w:val="Compact"/>
            </w:pPr>
            <w:r>
              <w:rPr>
                <w:sz w:val="20"/>
                <w:szCs w:val="20"/>
              </w:rPr>
              <w:t xml:space="preserve">[0.7283, 6.1774]</w:t>
            </w:r>
          </w:p>
        </w:tc>
      </w:tr>
      <w:tr>
        <w:tc>
          <w:tcPr>
            <w:tcW w:w="0" w:type="auto"/>
          </w:tcPr>
          <w:p>
            <w:pPr>
              <w:spacing w:line="240" w:lineRule="auto" w:before="0" w:after="0"/>
              <w:pStyle w:val="Compact"/>
            </w:pPr>
            <w:r>
              <w:rPr>
                <w:sz w:val="20"/>
                <w:szCs w:val="20"/>
              </w:rPr>
              <w:t xml:space="preserve">log_mass</w:t>
            </w:r>
          </w:p>
        </w:tc>
        <w:tc>
          <w:tcPr>
            <w:tcW w:w="0" w:type="auto"/>
          </w:tcPr>
          <w:p>
            <w:pPr>
              <w:spacing w:line="240" w:lineRule="auto" w:before="0" w:after="0"/>
              <w:pStyle w:val="Compact"/>
            </w:pPr>
            <w:r>
              <w:rPr>
                <w:sz w:val="20"/>
                <w:szCs w:val="20"/>
              </w:rPr>
              <w:t xml:space="preserve">-0.4939</w:t>
            </w:r>
          </w:p>
        </w:tc>
        <w:tc>
          <w:tcPr>
            <w:tcW w:w="0" w:type="auto"/>
          </w:tcPr>
          <w:p>
            <w:pPr>
              <w:spacing w:line="240" w:lineRule="auto" w:before="0" w:after="0"/>
              <w:pStyle w:val="Compact"/>
            </w:pPr>
            <w:r>
              <w:rPr>
                <w:sz w:val="20"/>
                <w:szCs w:val="20"/>
              </w:rPr>
              <w:t xml:space="preserve">0.2572</w:t>
            </w:r>
          </w:p>
        </w:tc>
        <w:tc>
          <w:tcPr>
            <w:tcW w:w="0" w:type="auto"/>
          </w:tcPr>
          <w:p>
            <w:pPr>
              <w:spacing w:line="240" w:lineRule="auto" w:before="0" w:after="0"/>
              <w:pStyle w:val="Compact"/>
            </w:pPr>
            <w:r>
              <w:rPr>
                <w:sz w:val="20"/>
                <w:szCs w:val="20"/>
              </w:rPr>
              <w:t xml:space="preserve">-1.9204</w:t>
            </w:r>
          </w:p>
        </w:tc>
        <w:tc>
          <w:tcPr>
            <w:tcW w:w="0" w:type="auto"/>
          </w:tcPr>
          <w:p>
            <w:pPr>
              <w:spacing w:line="240" w:lineRule="auto" w:before="0" w:after="0"/>
              <w:pStyle w:val="Compact"/>
            </w:pPr>
            <w:r>
              <w:rPr>
                <w:sz w:val="20"/>
                <w:szCs w:val="20"/>
              </w:rPr>
              <w:t xml:space="preserve">0.0548</w:t>
            </w:r>
          </w:p>
        </w:tc>
        <w:tc>
          <w:tcPr>
            <w:tcW w:w="0" w:type="auto"/>
          </w:tcPr>
          <w:p>
            <w:pPr>
              <w:spacing w:line="240" w:lineRule="auto" w:before="0" w:after="0"/>
              <w:pStyle w:val="Compact"/>
            </w:pPr>
            <w:r>
              <w:rPr>
                <w:sz w:val="20"/>
                <w:szCs w:val="20"/>
              </w:rPr>
              <w:t xml:space="preserve">[-0.9979, 0.0102]</w:t>
            </w:r>
          </w:p>
        </w:tc>
      </w:tr>
      <w:tr>
        <w:tc>
          <w:tcPr>
            <w:tcW w:w="0" w:type="auto"/>
          </w:tcPr>
          <w:p>
            <w:pPr>
              <w:spacing w:line="240" w:lineRule="auto" w:before="0" w:after="0"/>
              <w:pStyle w:val="Compact"/>
            </w:pPr>
            <w:r>
              <w:rPr>
                <w:sz w:val="20"/>
                <w:szCs w:val="20"/>
              </w:rPr>
              <w:t xml:space="preserve">log_planned</w:t>
            </w:r>
          </w:p>
        </w:tc>
        <w:tc>
          <w:tcPr>
            <w:tcW w:w="0" w:type="auto"/>
          </w:tcPr>
          <w:p>
            <w:pPr>
              <w:spacing w:line="240" w:lineRule="auto" w:before="0" w:after="0"/>
              <w:pStyle w:val="Compact"/>
            </w:pPr>
            <w:r>
              <w:rPr>
                <w:sz w:val="20"/>
                <w:szCs w:val="20"/>
              </w:rPr>
              <w:t xml:space="preserve">1.0311</w:t>
            </w:r>
          </w:p>
        </w:tc>
        <w:tc>
          <w:tcPr>
            <w:tcW w:w="0" w:type="auto"/>
          </w:tcPr>
          <w:p>
            <w:pPr>
              <w:spacing w:line="240" w:lineRule="auto" w:before="0" w:after="0"/>
              <w:pStyle w:val="Compact"/>
            </w:pPr>
            <w:r>
              <w:rPr>
                <w:sz w:val="20"/>
                <w:szCs w:val="20"/>
              </w:rPr>
              <w:t xml:space="preserve">0.226</w:t>
            </w:r>
          </w:p>
        </w:tc>
        <w:tc>
          <w:tcPr>
            <w:tcW w:w="0" w:type="auto"/>
          </w:tcPr>
          <w:p>
            <w:pPr>
              <w:spacing w:line="240" w:lineRule="auto" w:before="0" w:after="0"/>
              <w:pStyle w:val="Compact"/>
            </w:pPr>
            <w:r>
              <w:rPr>
                <w:sz w:val="20"/>
                <w:szCs w:val="20"/>
              </w:rPr>
              <w:t xml:space="preserve">4.5625</w:t>
            </w:r>
          </w:p>
        </w:tc>
        <w:tc>
          <w:tcPr>
            <w:tcW w:w="0" w:type="auto"/>
          </w:tcPr>
          <w:p>
            <w:pPr>
              <w:spacing w:line="240" w:lineRule="auto" w:before="0" w:after="0"/>
              <w:pStyle w:val="Compact"/>
            </w:pPr>
            <w:r>
              <w:rPr>
                <w:sz w:val="20"/>
                <w:szCs w:val="20"/>
              </w:rPr>
              <w:t xml:space="preserve">5.055e-06</w:t>
            </w:r>
          </w:p>
        </w:tc>
        <w:tc>
          <w:tcPr>
            <w:tcW w:w="0" w:type="auto"/>
          </w:tcPr>
          <w:p>
            <w:pPr>
              <w:spacing w:line="240" w:lineRule="auto" w:before="0" w:after="0"/>
              <w:pStyle w:val="Compact"/>
            </w:pPr>
            <w:r>
              <w:rPr>
                <w:sz w:val="20"/>
                <w:szCs w:val="20"/>
              </w:rPr>
              <w:t xml:space="preserve">[0.5882, 1.474]</w:t>
            </w:r>
          </w:p>
        </w:tc>
      </w:tr>
      <w:tr>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0.4262</w:t>
            </w:r>
          </w:p>
        </w:tc>
        <w:tc>
          <w:tcPr>
            <w:tcW w:w="0" w:type="auto"/>
          </w:tcPr>
          <w:p>
            <w:pPr>
              <w:spacing w:line="240" w:lineRule="auto" w:before="0" w:after="0"/>
              <w:pStyle w:val="Compact"/>
            </w:pPr>
            <w:r>
              <w:rPr>
                <w:sz w:val="20"/>
                <w:szCs w:val="20"/>
              </w:rPr>
              <w:t xml:space="preserve">0.7016</w:t>
            </w:r>
          </w:p>
        </w:tc>
        <w:tc>
          <w:tcPr>
            <w:tcW w:w="0" w:type="auto"/>
          </w:tcPr>
          <w:p>
            <w:pPr>
              <w:spacing w:line="240" w:lineRule="auto" w:before="0" w:after="0"/>
              <w:pStyle w:val="Compact"/>
            </w:pPr>
            <w:r>
              <w:rPr>
                <w:sz w:val="20"/>
                <w:szCs w:val="20"/>
              </w:rPr>
              <w:t xml:space="preserve">0.6074</w:t>
            </w:r>
          </w:p>
        </w:tc>
        <w:tc>
          <w:tcPr>
            <w:tcW w:w="0" w:type="auto"/>
          </w:tcPr>
          <w:p>
            <w:pPr>
              <w:spacing w:line="240" w:lineRule="auto" w:before="0" w:after="0"/>
              <w:pStyle w:val="Compact"/>
            </w:pPr>
            <w:r>
              <w:rPr>
                <w:sz w:val="20"/>
                <w:szCs w:val="20"/>
              </w:rPr>
              <w:t xml:space="preserve">0.5436</w:t>
            </w:r>
          </w:p>
        </w:tc>
        <w:tc>
          <w:tcPr>
            <w:tcW w:w="0" w:type="auto"/>
          </w:tcPr>
          <w:p>
            <w:pPr>
              <w:spacing w:line="240" w:lineRule="auto" w:before="0" w:after="0"/>
              <w:pStyle w:val="Compact"/>
            </w:pPr>
            <w:r>
              <w:rPr>
                <w:sz w:val="20"/>
                <w:szCs w:val="20"/>
              </w:rPr>
              <w:t xml:space="preserve">[-0.9489, 1.8012]</w:t>
            </w:r>
          </w:p>
        </w:tc>
      </w:tr>
      <w:tr>
        <w:tc>
          <w:tcPr>
            <w:tcW w:w="0" w:type="auto"/>
          </w:tcPr>
          <w:p>
            <w:pPr>
              <w:spacing w:line="240" w:lineRule="auto" w:before="0" w:after="0"/>
              <w:pStyle w:val="Compact"/>
            </w:pPr>
            <w:r>
              <w:rPr>
                <w:sz w:val="20"/>
                <w:szCs w:val="20"/>
              </w:rPr>
              <w:t xml:space="preserve">instruments_n</w:t>
            </w:r>
          </w:p>
        </w:tc>
        <w:tc>
          <w:tcPr>
            <w:tcW w:w="0" w:type="auto"/>
          </w:tcPr>
          <w:p>
            <w:pPr>
              <w:spacing w:line="240" w:lineRule="auto" w:before="0" w:after="0"/>
              <w:pStyle w:val="Compact"/>
            </w:pPr>
            <w:r>
              <w:rPr>
                <w:sz w:val="20"/>
                <w:szCs w:val="20"/>
              </w:rPr>
              <w:t xml:space="preserve">0.1235</w:t>
            </w:r>
          </w:p>
        </w:tc>
        <w:tc>
          <w:tcPr>
            <w:tcW w:w="0" w:type="auto"/>
          </w:tcPr>
          <w:p>
            <w:pPr>
              <w:spacing w:line="240" w:lineRule="auto" w:before="0" w:after="0"/>
              <w:pStyle w:val="Compact"/>
            </w:pPr>
            <w:r>
              <w:rPr>
                <w:sz w:val="20"/>
                <w:szCs w:val="20"/>
              </w:rPr>
              <w:t xml:space="preserve">0.0996</w:t>
            </w:r>
          </w:p>
        </w:tc>
        <w:tc>
          <w:tcPr>
            <w:tcW w:w="0" w:type="auto"/>
          </w:tcPr>
          <w:p>
            <w:pPr>
              <w:spacing w:line="240" w:lineRule="auto" w:before="0" w:after="0"/>
              <w:pStyle w:val="Compact"/>
            </w:pPr>
            <w:r>
              <w:rPr>
                <w:sz w:val="20"/>
                <w:szCs w:val="20"/>
              </w:rPr>
              <w:t xml:space="preserve">1.2399</w:t>
            </w:r>
          </w:p>
        </w:tc>
        <w:tc>
          <w:tcPr>
            <w:tcW w:w="0" w:type="auto"/>
          </w:tcPr>
          <w:p>
            <w:pPr>
              <w:spacing w:line="240" w:lineRule="auto" w:before="0" w:after="0"/>
              <w:pStyle w:val="Compact"/>
            </w:pPr>
            <w:r>
              <w:rPr>
                <w:sz w:val="20"/>
                <w:szCs w:val="20"/>
              </w:rPr>
              <w:t xml:space="preserve">0.215</w:t>
            </w:r>
          </w:p>
        </w:tc>
        <w:tc>
          <w:tcPr>
            <w:tcW w:w="0" w:type="auto"/>
          </w:tcPr>
          <w:p>
            <w:pPr>
              <w:spacing w:line="240" w:lineRule="auto" w:before="0" w:after="0"/>
              <w:pStyle w:val="Compact"/>
            </w:pPr>
            <w:r>
              <w:rPr>
                <w:sz w:val="20"/>
                <w:szCs w:val="20"/>
              </w:rPr>
              <w:t xml:space="preserve">[-0.0717, 0.3187]</w:t>
            </w:r>
          </w:p>
        </w:tc>
      </w:tr>
    </w:tbl>
    <w:p>
      <w:pPr>
        <w:pStyle w:val="BodyText"/>
      </w:pPr>
      <w:r>
        <w:t xml:space="preserve">Fit: N = 25 R2 = 0.6738 R2_adj = 0.6085 F = 14.1325 F_p = 1.246e-05</w:t>
      </w:r>
    </w:p>
    <w:p>
      <w:pPr>
        <w:pStyle w:val="CaptionedFigure"/>
      </w:pPr>
      <w:r>
        <w:drawing>
          <wp:inline>
            <wp:extent cx="5669280" cy="3657600"/>
            <wp:effectExtent b="0" l="0" r="0" t="0"/>
            <wp:docPr descr="Figure 1. Achieved operational sols versus landed mass for 25 planetary surface missions with non-zero surface tenure (log-log scale). Fitted line is OLS with HC1 robust standard errors from the full multivariate specification, holding planned sols, nuclear power, and instrument count at sample means." title="" id="84" name="Picture"/>
            <a:graphic>
              <a:graphicData uri="http://schemas.openxmlformats.org/drawingml/2006/picture">
                <pic:pic>
                  <pic:nvPicPr>
                    <pic:cNvPr descr="D:\Claude_Code\brain\collegium\candidates\dissertations\JPL_PLANETARY_05\research_papers\p1\paper_fig1.png" id="85" name="Picture"/>
                    <pic:cNvPicPr>
                      <a:picLocks noChangeArrowheads="1" noChangeAspect="1"/>
                    </pic:cNvPicPr>
                  </pic:nvPicPr>
                  <pic:blipFill>
                    <a:blip r:embed="rId8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Achieved operational sols versus landed mass for 25 planetary surface missions with non-zero surface tenure (log-log scale). Fitted line is OLS with HC1 robust standard errors from the full multivariate specification, holding planned sols, nuclear power, and instrument count at sample means.</w:t>
      </w:r>
    </w:p>
    <w:bookmarkEnd w:id="86"/>
    <w:bookmarkStart w:id="90"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7"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year_landed</w:t>
            </w:r>
          </w:p>
        </w:tc>
        <w:tc>
          <w:tcPr>
            <w:tcW w:w="0" w:type="auto"/>
          </w:tcPr>
          <w:p>
            <w:pPr>
              <w:spacing w:line="240" w:lineRule="auto" w:before="0" w:after="0"/>
              <w:pStyle w:val="Compact"/>
            </w:pPr>
            <w:r>
              <w:rPr>
                <w:sz w:val="20"/>
                <w:szCs w:val="20"/>
              </w:rPr>
              <w:t xml:space="preserve">landed_mass_kg</w:t>
            </w:r>
          </w:p>
        </w:tc>
        <w:tc>
          <w:tcPr>
            <w:tcW w:w="0" w:type="auto"/>
          </w:tcPr>
          <w:p>
            <w:pPr>
              <w:spacing w:line="240" w:lineRule="auto" w:before="0" w:after="0"/>
              <w:pStyle w:val="Compact"/>
            </w:pPr>
            <w:r>
              <w:rPr>
                <w:sz w:val="20"/>
                <w:szCs w:val="20"/>
              </w:rPr>
              <w:t xml:space="preserve">planned_sols</w:t>
            </w:r>
          </w:p>
        </w:tc>
        <w:tc>
          <w:tcPr>
            <w:tcW w:w="0" w:type="auto"/>
          </w:tcPr>
          <w:p>
            <w:pPr>
              <w:spacing w:line="240" w:lineRule="auto" w:before="0" w:after="0"/>
              <w:pStyle w:val="Compact"/>
            </w:pPr>
            <w:r>
              <w:rPr>
                <w:sz w:val="20"/>
                <w:szCs w:val="20"/>
              </w:rPr>
              <w:t xml:space="preserve">achieved_sols</w:t>
            </w:r>
          </w:p>
        </w:tc>
        <w:tc>
          <w:tcPr>
            <w:tcW w:w="0" w:type="auto"/>
          </w:tcPr>
          <w:p>
            <w:pPr>
              <w:spacing w:line="240" w:lineRule="auto" w:before="0" w:after="0"/>
              <w:pStyle w:val="Compact"/>
            </w:pPr>
            <w:r>
              <w:rPr>
                <w:sz w:val="20"/>
                <w:szCs w:val="20"/>
              </w:rPr>
              <w:t xml:space="preserve">cost_then_usd_m</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instruments_n</w:t>
            </w:r>
          </w:p>
        </w:tc>
        <w:tc>
          <w:tcPr>
            <w:tcW w:w="0" w:type="auto"/>
          </w:tcPr>
          <w:p>
            <w:pPr>
              <w:spacing w:line="240" w:lineRule="auto" w:before="0" w:after="0"/>
              <w:pStyle w:val="Compact"/>
            </w:pPr>
            <w:r>
              <w:rPr>
                <w:sz w:val="20"/>
                <w:szCs w:val="20"/>
              </w:rPr>
              <w:t xml:space="preserve">log_mass</w:t>
            </w:r>
          </w:p>
        </w:tc>
        <w:tc>
          <w:tcPr>
            <w:tcW w:w="0" w:type="auto"/>
          </w:tcPr>
          <w:p>
            <w:pPr>
              <w:spacing w:line="240" w:lineRule="auto" w:before="0" w:after="0"/>
              <w:pStyle w:val="Compact"/>
            </w:pPr>
            <w:r>
              <w:rPr>
                <w:sz w:val="20"/>
                <w:szCs w:val="20"/>
              </w:rPr>
              <w:t xml:space="preserve">log_planned</w:t>
            </w:r>
          </w:p>
        </w:tc>
        <w:tc>
          <w:tcPr>
            <w:tcW w:w="0" w:type="auto"/>
          </w:tcPr>
          <w:p>
            <w:pPr>
              <w:spacing w:line="240" w:lineRule="auto" w:before="0" w:after="0"/>
              <w:pStyle w:val="Compact"/>
            </w:pPr>
            <w:r>
              <w:rPr>
                <w:sz w:val="20"/>
                <w:szCs w:val="20"/>
              </w:rPr>
              <w:t xml:space="preserve">log_cost</w:t>
            </w:r>
          </w:p>
        </w:tc>
        <w:tc>
          <w:tcPr>
            <w:tcW w:w="0" w:type="auto"/>
          </w:tcPr>
          <w:p>
            <w:pPr>
              <w:spacing w:line="240" w:lineRule="auto" w:before="0" w:after="0"/>
              <w:pStyle w:val="Compact"/>
            </w:pPr>
            <w:r>
              <w:rPr>
                <w:sz w:val="20"/>
                <w:szCs w:val="20"/>
              </w:rPr>
              <w:t xml:space="preserve">log_achieved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Viking 1 Lander</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572</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2306</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6.3491</w:t>
            </w:r>
          </w:p>
        </w:tc>
        <w:tc>
          <w:tcPr>
            <w:tcW w:w="0" w:type="auto"/>
          </w:tcPr>
          <w:p>
            <w:pPr>
              <w:spacing w:line="240" w:lineRule="auto" w:before="0" w:after="0"/>
              <w:pStyle w:val="Compact"/>
            </w:pPr>
            <w:r>
              <w:rPr>
                <w:sz w:val="20"/>
                <w:szCs w:val="20"/>
              </w:rPr>
              <w:t xml:space="preserve">4.4998</w:t>
            </w:r>
          </w:p>
        </w:tc>
        <w:tc>
          <w:tcPr>
            <w:tcW w:w="0" w:type="auto"/>
          </w:tcPr>
          <w:p>
            <w:pPr>
              <w:spacing w:line="240" w:lineRule="auto" w:before="0" w:after="0"/>
              <w:pStyle w:val="Compact"/>
            </w:pPr>
            <w:r>
              <w:rPr>
                <w:sz w:val="20"/>
                <w:szCs w:val="20"/>
              </w:rPr>
              <w:t xml:space="preserve">6.9078</w:t>
            </w:r>
          </w:p>
        </w:tc>
        <w:tc>
          <w:tcPr>
            <w:tcW w:w="0" w:type="auto"/>
          </w:tcPr>
          <w:p>
            <w:pPr>
              <w:spacing w:line="240" w:lineRule="auto" w:before="0" w:after="0"/>
              <w:pStyle w:val="Compact"/>
            </w:pPr>
            <w:r>
              <w:rPr>
                <w:sz w:val="20"/>
                <w:szCs w:val="20"/>
              </w:rPr>
              <w:t xml:space="preserve">7.7433</w:t>
            </w:r>
          </w:p>
        </w:tc>
        <w:tc>
          <w:tcPr>
            <w:tcW w:w="0" w:type="auto"/>
          </w:tcPr>
          <w:p>
            <w:pPr>
              <w:spacing w:line="240" w:lineRule="auto" w:before="0" w:after="0"/>
              <w:pStyle w:val="Compact"/>
            </w:pPr>
            <w:r>
              <w:rPr>
                <w:sz w:val="20"/>
                <w:szCs w:val="20"/>
              </w:rPr>
              <w:t xml:space="preserve">NASA NSSDCA Master Catalog Viking 1 Lander id 1975-075C</w:t>
            </w:r>
          </w:p>
        </w:tc>
      </w:tr>
      <w:tr>
        <w:tc>
          <w:tcPr>
            <w:tcW w:w="0" w:type="auto"/>
          </w:tcPr>
          <w:p>
            <w:pPr>
              <w:spacing w:line="240" w:lineRule="auto" w:before="0" w:after="0"/>
              <w:pStyle w:val="Compact"/>
            </w:pPr>
            <w:r>
              <w:rPr>
                <w:sz w:val="20"/>
                <w:szCs w:val="20"/>
              </w:rPr>
              <w:t xml:space="preserve">Viking 2 Lander</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572</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1281</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6.3491</w:t>
            </w:r>
          </w:p>
        </w:tc>
        <w:tc>
          <w:tcPr>
            <w:tcW w:w="0" w:type="auto"/>
          </w:tcPr>
          <w:p>
            <w:pPr>
              <w:spacing w:line="240" w:lineRule="auto" w:before="0" w:after="0"/>
              <w:pStyle w:val="Compact"/>
            </w:pPr>
            <w:r>
              <w:rPr>
                <w:sz w:val="20"/>
                <w:szCs w:val="20"/>
              </w:rPr>
              <w:t xml:space="preserve">4.4998</w:t>
            </w:r>
          </w:p>
        </w:tc>
        <w:tc>
          <w:tcPr>
            <w:tcW w:w="0" w:type="auto"/>
          </w:tcPr>
          <w:p>
            <w:pPr>
              <w:spacing w:line="240" w:lineRule="auto" w:before="0" w:after="0"/>
              <w:pStyle w:val="Compact"/>
            </w:pPr>
            <w:r>
              <w:rPr>
                <w:sz w:val="20"/>
                <w:szCs w:val="20"/>
              </w:rPr>
              <w:t xml:space="preserve">6.9078</w:t>
            </w:r>
          </w:p>
        </w:tc>
        <w:tc>
          <w:tcPr>
            <w:tcW w:w="0" w:type="auto"/>
          </w:tcPr>
          <w:p>
            <w:pPr>
              <w:spacing w:line="240" w:lineRule="auto" w:before="0" w:after="0"/>
              <w:pStyle w:val="Compact"/>
            </w:pPr>
            <w:r>
              <w:rPr>
                <w:sz w:val="20"/>
                <w:szCs w:val="20"/>
              </w:rPr>
              <w:t xml:space="preserve">7.1554</w:t>
            </w:r>
          </w:p>
        </w:tc>
        <w:tc>
          <w:tcPr>
            <w:tcW w:w="0" w:type="auto"/>
          </w:tcPr>
          <w:p>
            <w:pPr>
              <w:spacing w:line="240" w:lineRule="auto" w:before="0" w:after="0"/>
              <w:pStyle w:val="Compact"/>
            </w:pPr>
            <w:r>
              <w:rPr>
                <w:sz w:val="20"/>
                <w:szCs w:val="20"/>
              </w:rPr>
              <w:t xml:space="preserve">NASA NSSDCA Master Catalog Viking 2 Lander id 1975-083C</w:t>
            </w:r>
          </w:p>
        </w:tc>
      </w:tr>
      <w:tr>
        <w:tc>
          <w:tcPr>
            <w:tcW w:w="0" w:type="auto"/>
          </w:tcPr>
          <w:p>
            <w:pPr>
              <w:spacing w:line="240" w:lineRule="auto" w:before="0" w:after="0"/>
              <w:pStyle w:val="Compact"/>
            </w:pPr>
            <w:r>
              <w:rPr>
                <w:sz w:val="20"/>
                <w:szCs w:val="20"/>
              </w:rPr>
              <w:t xml:space="preserve">Mars Pathfinder Lander</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264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265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5.5759</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5.5797</w:t>
            </w:r>
          </w:p>
        </w:tc>
        <w:tc>
          <w:tcPr>
            <w:tcW w:w="0" w:type="auto"/>
          </w:tcPr>
          <w:p>
            <w:pPr>
              <w:spacing w:line="240" w:lineRule="auto" w:before="0" w:after="0"/>
              <w:pStyle w:val="Compact"/>
            </w:pPr>
            <w:r>
              <w:rPr>
                <w:sz w:val="20"/>
                <w:szCs w:val="20"/>
              </w:rPr>
              <w:t xml:space="preserve">4.4188</w:t>
            </w:r>
          </w:p>
        </w:tc>
        <w:tc>
          <w:tcPr>
            <w:tcW w:w="0" w:type="auto"/>
          </w:tcPr>
          <w:p>
            <w:pPr>
              <w:spacing w:line="240" w:lineRule="auto" w:before="0" w:after="0"/>
              <w:pStyle w:val="Compact"/>
            </w:pPr>
            <w:r>
              <w:rPr>
                <w:sz w:val="20"/>
                <w:szCs w:val="20"/>
              </w:rPr>
              <w:t xml:space="preserve">NASA NSSDCA Master Catalog Mars Pathfinder id 1996-068A</w:t>
            </w:r>
          </w:p>
        </w:tc>
      </w:tr>
      <w:tr>
        <w:tc>
          <w:tcPr>
            <w:tcW w:w="0" w:type="auto"/>
          </w:tcPr>
          <w:p>
            <w:pPr>
              <w:spacing w:line="240" w:lineRule="auto" w:before="0" w:after="0"/>
              <w:pStyle w:val="Compact"/>
            </w:pPr>
            <w:r>
              <w:rPr>
                <w:sz w:val="20"/>
                <w:szCs w:val="20"/>
              </w:rPr>
              <w:t xml:space="preserve">Sojourner Rover</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2.3514</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3.2189</w:t>
            </w:r>
          </w:p>
        </w:tc>
        <w:tc>
          <w:tcPr>
            <w:tcW w:w="0" w:type="auto"/>
          </w:tcPr>
          <w:p>
            <w:pPr>
              <w:spacing w:line="240" w:lineRule="auto" w:before="0" w:after="0"/>
              <w:pStyle w:val="Compact"/>
            </w:pPr>
            <w:r>
              <w:rPr>
                <w:sz w:val="20"/>
                <w:szCs w:val="20"/>
              </w:rPr>
              <w:t xml:space="preserve">4.4188</w:t>
            </w:r>
          </w:p>
        </w:tc>
        <w:tc>
          <w:tcPr>
            <w:tcW w:w="0" w:type="auto"/>
          </w:tcPr>
          <w:p>
            <w:pPr>
              <w:spacing w:line="240" w:lineRule="auto" w:before="0" w:after="0"/>
              <w:pStyle w:val="Compact"/>
            </w:pPr>
            <w:r>
              <w:rPr>
                <w:sz w:val="20"/>
                <w:szCs w:val="20"/>
              </w:rPr>
              <w:t xml:space="preserve">NASA NSSDCA Master Catalog Sojourner id 1996-068A</w:t>
            </w:r>
          </w:p>
        </w:tc>
      </w:tr>
      <w:tr>
        <w:tc>
          <w:tcPr>
            <w:tcW w:w="0" w:type="auto"/>
          </w:tcPr>
          <w:p>
            <w:pPr>
              <w:spacing w:line="240" w:lineRule="auto" w:before="0" w:after="0"/>
              <w:pStyle w:val="Compact"/>
            </w:pPr>
            <w:r>
              <w:rPr>
                <w:sz w:val="20"/>
                <w:szCs w:val="20"/>
              </w:rPr>
              <w:t xml:space="preserve">Mars Polar Lander</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290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5.6699</w:t>
            </w:r>
          </w:p>
        </w:tc>
        <w:tc>
          <w:tcPr>
            <w:tcW w:w="0" w:type="auto"/>
          </w:tcPr>
          <w:p>
            <w:pPr>
              <w:spacing w:line="240" w:lineRule="auto" w:before="0" w:after="0"/>
              <w:pStyle w:val="Compact"/>
            </w:pPr>
            <w:r>
              <w:rPr>
                <w:sz w:val="20"/>
                <w:szCs w:val="20"/>
              </w:rPr>
              <w:t xml:space="preserve">4.4998</w:t>
            </w:r>
          </w:p>
        </w:tc>
        <w:tc>
          <w:tcPr>
            <w:tcW w:w="0" w:type="auto"/>
          </w:tcPr>
          <w:p>
            <w:pPr>
              <w:spacing w:line="240" w:lineRule="auto" w:before="0" w:after="0"/>
              <w:pStyle w:val="Compact"/>
            </w:pPr>
            <w:r>
              <w:rPr>
                <w:sz w:val="20"/>
                <w:szCs w:val="20"/>
              </w:rPr>
              <w:t xml:space="preserve">5.1059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NSSDCA Master Catalog Mars Polar Lander id 1999-001A loss on landing</w:t>
            </w:r>
          </w:p>
        </w:tc>
      </w:tr>
      <w:tr>
        <w:tc>
          <w:tcPr>
            <w:tcW w:w="0" w:type="auto"/>
          </w:tcPr>
          <w:p>
            <w:pPr>
              <w:spacing w:line="240" w:lineRule="auto" w:before="0" w:after="0"/>
              <w:pStyle w:val="Compact"/>
            </w:pPr>
            <w:r>
              <w:rPr>
                <w:sz w:val="20"/>
                <w:szCs w:val="20"/>
              </w:rPr>
              <w:t xml:space="preserve">Beagle 2 Lander</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3.4965</w:t>
            </w:r>
          </w:p>
        </w:tc>
        <w:tc>
          <w:tcPr>
            <w:tcW w:w="0" w:type="auto"/>
          </w:tcPr>
          <w:p>
            <w:pPr>
              <w:spacing w:line="240" w:lineRule="auto" w:before="0" w:after="0"/>
              <w:pStyle w:val="Compact"/>
            </w:pPr>
            <w:r>
              <w:rPr>
                <w:sz w:val="20"/>
                <w:szCs w:val="20"/>
              </w:rPr>
              <w:t xml:space="preserve">5.193</w:t>
            </w:r>
          </w:p>
        </w:tc>
        <w:tc>
          <w:tcPr>
            <w:tcW w:w="0" w:type="auto"/>
          </w:tcPr>
          <w:p>
            <w:pPr>
              <w:spacing w:line="240" w:lineRule="auto" w:before="0" w:after="0"/>
              <w:pStyle w:val="Compact"/>
            </w:pPr>
            <w:r>
              <w:rPr>
                <w:sz w:val="20"/>
                <w:szCs w:val="20"/>
              </w:rPr>
              <w:t xml:space="preserve">4.382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ESA Beagle 2 mission summary 2003 loss on landing [illustrative cost]</w:t>
            </w:r>
          </w:p>
        </w:tc>
      </w:tr>
      <w:tr>
        <w:tc>
          <w:tcPr>
            <w:tcW w:w="0" w:type="auto"/>
          </w:tcPr>
          <w:p>
            <w:pPr>
              <w:spacing w:line="240" w:lineRule="auto" w:before="0" w:after="0"/>
              <w:pStyle w:val="Compact"/>
            </w:pPr>
            <w:r>
              <w:rPr>
                <w:sz w:val="20"/>
                <w:szCs w:val="20"/>
              </w:rPr>
              <w:t xml:space="preserve">Spirit Rover</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2208</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5.1591</w:t>
            </w:r>
          </w:p>
        </w:tc>
        <w:tc>
          <w:tcPr>
            <w:tcW w:w="0" w:type="auto"/>
          </w:tcPr>
          <w:p>
            <w:pPr>
              <w:spacing w:line="240" w:lineRule="auto" w:before="0" w:after="0"/>
              <w:pStyle w:val="Compact"/>
            </w:pPr>
            <w:r>
              <w:rPr>
                <w:sz w:val="20"/>
                <w:szCs w:val="20"/>
              </w:rPr>
              <w:t xml:space="preserve">4.4998</w:t>
            </w:r>
          </w:p>
        </w:tc>
        <w:tc>
          <w:tcPr>
            <w:tcW w:w="0" w:type="auto"/>
          </w:tcPr>
          <w:p>
            <w:pPr>
              <w:spacing w:line="240" w:lineRule="auto" w:before="0" w:after="0"/>
              <w:pStyle w:val="Compact"/>
            </w:pPr>
            <w:r>
              <w:rPr>
                <w:sz w:val="20"/>
                <w:szCs w:val="20"/>
              </w:rPr>
              <w:t xml:space="preserve">5.9915</w:t>
            </w:r>
          </w:p>
        </w:tc>
        <w:tc>
          <w:tcPr>
            <w:tcW w:w="0" w:type="auto"/>
          </w:tcPr>
          <w:p>
            <w:pPr>
              <w:spacing w:line="240" w:lineRule="auto" w:before="0" w:after="0"/>
              <w:pStyle w:val="Compact"/>
            </w:pPr>
            <w:r>
              <w:rPr>
                <w:sz w:val="20"/>
                <w:szCs w:val="20"/>
              </w:rPr>
              <w:t xml:space="preserve">7.6998</w:t>
            </w:r>
          </w:p>
        </w:tc>
        <w:tc>
          <w:tcPr>
            <w:tcW w:w="0" w:type="auto"/>
          </w:tcPr>
          <w:p>
            <w:pPr>
              <w:spacing w:line="240" w:lineRule="auto" w:before="0" w:after="0"/>
              <w:pStyle w:val="Compact"/>
            </w:pPr>
            <w:r>
              <w:rPr>
                <w:sz w:val="20"/>
                <w:szCs w:val="20"/>
              </w:rPr>
              <w:t xml:space="preserve">NASA MER Spirit press kit 2003 and NASA NSSDCA id 2003-027A</w:t>
            </w:r>
          </w:p>
        </w:tc>
      </w:tr>
      <w:tr>
        <w:tc>
          <w:tcPr>
            <w:tcW w:w="0" w:type="auto"/>
          </w:tcPr>
          <w:p>
            <w:pPr>
              <w:spacing w:line="240" w:lineRule="auto" w:before="0" w:after="0"/>
              <w:pStyle w:val="Compact"/>
            </w:pPr>
            <w:r>
              <w:rPr>
                <w:sz w:val="20"/>
                <w:szCs w:val="20"/>
              </w:rPr>
              <w:t xml:space="preserve">Opportunity Rover</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5111</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5.1591</w:t>
            </w:r>
          </w:p>
        </w:tc>
        <w:tc>
          <w:tcPr>
            <w:tcW w:w="0" w:type="auto"/>
          </w:tcPr>
          <w:p>
            <w:pPr>
              <w:spacing w:line="240" w:lineRule="auto" w:before="0" w:after="0"/>
              <w:pStyle w:val="Compact"/>
            </w:pPr>
            <w:r>
              <w:rPr>
                <w:sz w:val="20"/>
                <w:szCs w:val="20"/>
              </w:rPr>
              <w:t xml:space="preserve">4.4998</w:t>
            </w:r>
          </w:p>
        </w:tc>
        <w:tc>
          <w:tcPr>
            <w:tcW w:w="0" w:type="auto"/>
          </w:tcPr>
          <w:p>
            <w:pPr>
              <w:spacing w:line="240" w:lineRule="auto" w:before="0" w:after="0"/>
              <w:pStyle w:val="Compact"/>
            </w:pPr>
            <w:r>
              <w:rPr>
                <w:sz w:val="20"/>
                <w:szCs w:val="20"/>
              </w:rPr>
              <w:t xml:space="preserve">5.9915</w:t>
            </w:r>
          </w:p>
        </w:tc>
        <w:tc>
          <w:tcPr>
            <w:tcW w:w="0" w:type="auto"/>
          </w:tcPr>
          <w:p>
            <w:pPr>
              <w:spacing w:line="240" w:lineRule="auto" w:before="0" w:after="0"/>
              <w:pStyle w:val="Compact"/>
            </w:pPr>
            <w:r>
              <w:rPr>
                <w:sz w:val="20"/>
                <w:szCs w:val="20"/>
              </w:rPr>
              <w:t xml:space="preserve">8.5392</w:t>
            </w:r>
          </w:p>
        </w:tc>
        <w:tc>
          <w:tcPr>
            <w:tcW w:w="0" w:type="auto"/>
          </w:tcPr>
          <w:p>
            <w:pPr>
              <w:spacing w:line="240" w:lineRule="auto" w:before="0" w:after="0"/>
              <w:pStyle w:val="Compact"/>
            </w:pPr>
            <w:r>
              <w:rPr>
                <w:sz w:val="20"/>
                <w:szCs w:val="20"/>
              </w:rPr>
              <w:t xml:space="preserve">NASA MER Opportunity press kit 2003 and NASA NSSDCA id 2003-032A</w:t>
            </w:r>
          </w:p>
        </w:tc>
      </w:tr>
      <w:tr>
        <w:tc>
          <w:tcPr>
            <w:tcW w:w="0" w:type="auto"/>
          </w:tcPr>
          <w:p>
            <w:pPr>
              <w:spacing w:line="240" w:lineRule="auto" w:before="0" w:after="0"/>
              <w:pStyle w:val="Compact"/>
            </w:pPr>
            <w:r>
              <w:rPr>
                <w:sz w:val="20"/>
                <w:szCs w:val="20"/>
              </w:rPr>
              <w:t xml:space="preserve">Phoenix Lander</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5.8579</w:t>
            </w:r>
          </w:p>
        </w:tc>
        <w:tc>
          <w:tcPr>
            <w:tcW w:w="0" w:type="auto"/>
          </w:tcPr>
          <w:p>
            <w:pPr>
              <w:spacing w:line="240" w:lineRule="auto" w:before="0" w:after="0"/>
              <w:pStyle w:val="Compact"/>
            </w:pPr>
            <w:r>
              <w:rPr>
                <w:sz w:val="20"/>
                <w:szCs w:val="20"/>
              </w:rPr>
              <w:t xml:space="preserve">4.4998</w:t>
            </w:r>
          </w:p>
        </w:tc>
        <w:tc>
          <w:tcPr>
            <w:tcW w:w="0" w:type="auto"/>
          </w:tcPr>
          <w:p>
            <w:pPr>
              <w:spacing w:line="240" w:lineRule="auto" w:before="0" w:after="0"/>
              <w:pStyle w:val="Compact"/>
            </w:pPr>
            <w:r>
              <w:rPr>
                <w:sz w:val="20"/>
                <w:szCs w:val="20"/>
              </w:rPr>
              <w:t xml:space="preserve">6.0403</w:t>
            </w:r>
          </w:p>
        </w:tc>
        <w:tc>
          <w:tcPr>
            <w:tcW w:w="0" w:type="auto"/>
          </w:tcPr>
          <w:p>
            <w:pPr>
              <w:spacing w:line="240" w:lineRule="auto" w:before="0" w:after="0"/>
              <w:pStyle w:val="Compact"/>
            </w:pPr>
            <w:r>
              <w:rPr>
                <w:sz w:val="20"/>
                <w:szCs w:val="20"/>
              </w:rPr>
              <w:t xml:space="preserve">5.0562</w:t>
            </w:r>
          </w:p>
        </w:tc>
        <w:tc>
          <w:tcPr>
            <w:tcW w:w="0" w:type="auto"/>
          </w:tcPr>
          <w:p>
            <w:pPr>
              <w:spacing w:line="240" w:lineRule="auto" w:before="0" w:after="0"/>
              <w:pStyle w:val="Compact"/>
            </w:pPr>
            <w:r>
              <w:rPr>
                <w:sz w:val="20"/>
                <w:szCs w:val="20"/>
              </w:rPr>
              <w:t xml:space="preserve">NASA Phoenix press kit 2007 and NASA NSSDCA id 2007-034A</w:t>
            </w:r>
          </w:p>
        </w:tc>
      </w:tr>
      <w:tr>
        <w:tc>
          <w:tcPr>
            <w:tcW w:w="0" w:type="auto"/>
          </w:tcPr>
          <w:p>
            <w:pPr>
              <w:spacing w:line="240" w:lineRule="auto" w:before="0" w:after="0"/>
              <w:pStyle w:val="Compact"/>
            </w:pPr>
            <w:r>
              <w:rPr>
                <w:sz w:val="20"/>
                <w:szCs w:val="20"/>
              </w:rPr>
              <w:t xml:space="preserve">Curiosity Rover</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899</w:t>
            </w:r>
          </w:p>
        </w:tc>
        <w:tc>
          <w:tcPr>
            <w:tcW w:w="0" w:type="auto"/>
          </w:tcPr>
          <w:p>
            <w:pPr>
              <w:spacing w:line="240" w:lineRule="auto" w:before="0" w:after="0"/>
              <w:pStyle w:val="Compact"/>
            </w:pPr>
            <w:r>
              <w:rPr>
                <w:sz w:val="20"/>
                <w:szCs w:val="20"/>
              </w:rPr>
              <w:t xml:space="preserve">687</w:t>
            </w:r>
          </w:p>
        </w:tc>
        <w:tc>
          <w:tcPr>
            <w:tcW w:w="0" w:type="auto"/>
          </w:tcPr>
          <w:p>
            <w:pPr>
              <w:spacing w:line="240" w:lineRule="auto" w:before="0" w:after="0"/>
              <w:pStyle w:val="Compact"/>
            </w:pPr>
            <w:r>
              <w:rPr>
                <w:sz w:val="20"/>
                <w:szCs w:val="20"/>
              </w:rPr>
              <w:t xml:space="preserve">4400</w:t>
            </w:r>
          </w:p>
        </w:tc>
        <w:tc>
          <w:tcPr>
            <w:tcW w:w="0" w:type="auto"/>
          </w:tcPr>
          <w:p>
            <w:pPr>
              <w:spacing w:line="240" w:lineRule="auto" w:before="0" w:after="0"/>
              <w:pStyle w:val="Compact"/>
            </w:pPr>
            <w:r>
              <w:rPr>
                <w:sz w:val="20"/>
                <w:szCs w:val="20"/>
              </w:rPr>
              <w:t xml:space="preserve">2470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6.8013</w:t>
            </w:r>
          </w:p>
        </w:tc>
        <w:tc>
          <w:tcPr>
            <w:tcW w:w="0" w:type="auto"/>
          </w:tcPr>
          <w:p>
            <w:pPr>
              <w:spacing w:line="240" w:lineRule="auto" w:before="0" w:after="0"/>
              <w:pStyle w:val="Compact"/>
            </w:pPr>
            <w:r>
              <w:rPr>
                <w:sz w:val="20"/>
                <w:szCs w:val="20"/>
              </w:rPr>
              <w:t xml:space="preserve">6.5323</w:t>
            </w:r>
          </w:p>
        </w:tc>
        <w:tc>
          <w:tcPr>
            <w:tcW w:w="0" w:type="auto"/>
          </w:tcPr>
          <w:p>
            <w:pPr>
              <w:spacing w:line="240" w:lineRule="auto" w:before="0" w:after="0"/>
              <w:pStyle w:val="Compact"/>
            </w:pPr>
            <w:r>
              <w:rPr>
                <w:sz w:val="20"/>
                <w:szCs w:val="20"/>
              </w:rPr>
              <w:t xml:space="preserve">7.812</w:t>
            </w:r>
          </w:p>
        </w:tc>
        <w:tc>
          <w:tcPr>
            <w:tcW w:w="0" w:type="auto"/>
          </w:tcPr>
          <w:p>
            <w:pPr>
              <w:spacing w:line="240" w:lineRule="auto" w:before="0" w:after="0"/>
              <w:pStyle w:val="Compact"/>
            </w:pPr>
            <w:r>
              <w:rPr>
                <w:sz w:val="20"/>
                <w:szCs w:val="20"/>
              </w:rPr>
              <w:t xml:space="preserve">8.3894</w:t>
            </w:r>
          </w:p>
        </w:tc>
        <w:tc>
          <w:tcPr>
            <w:tcW w:w="0" w:type="auto"/>
          </w:tcPr>
          <w:p>
            <w:pPr>
              <w:spacing w:line="240" w:lineRule="auto" w:before="0" w:after="0"/>
              <w:pStyle w:val="Compact"/>
            </w:pPr>
            <w:r>
              <w:rPr>
                <w:sz w:val="20"/>
                <w:szCs w:val="20"/>
              </w:rPr>
              <w:t xml:space="preserve">NASA MSL press kit 2011 and GAO-13-276SP NASA Major Project Assessment 2013</w:t>
            </w:r>
          </w:p>
        </w:tc>
      </w:tr>
      <w:tr>
        <w:tc>
          <w:tcPr>
            <w:tcW w:w="0" w:type="auto"/>
          </w:tcPr>
          <w:p>
            <w:pPr>
              <w:spacing w:line="240" w:lineRule="auto" w:before="0" w:after="0"/>
              <w:pStyle w:val="Compact"/>
            </w:pPr>
            <w:r>
              <w:rPr>
                <w:sz w:val="20"/>
                <w:szCs w:val="20"/>
              </w:rPr>
              <w:t xml:space="preserve">Schiaparelli EDM</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280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5.6348</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5.7991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ESA ExoMars 2016 Schiaparelli mission summary loss on landing [illustrative cost share]</w:t>
            </w:r>
          </w:p>
        </w:tc>
      </w:tr>
      <w:tr>
        <w:tc>
          <w:tcPr>
            <w:tcW w:w="0" w:type="auto"/>
          </w:tcPr>
          <w:p>
            <w:pPr>
              <w:spacing w:line="240" w:lineRule="auto" w:before="0" w:after="0"/>
              <w:pStyle w:val="Compact"/>
            </w:pPr>
            <w:r>
              <w:rPr>
                <w:sz w:val="20"/>
                <w:szCs w:val="20"/>
              </w:rPr>
              <w:t xml:space="preserve">InSight Lander</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358</w:t>
            </w:r>
          </w:p>
        </w:tc>
        <w:tc>
          <w:tcPr>
            <w:tcW w:w="0" w:type="auto"/>
          </w:tcPr>
          <w:p>
            <w:pPr>
              <w:spacing w:line="240" w:lineRule="auto" w:before="0" w:after="0"/>
              <w:pStyle w:val="Compact"/>
            </w:pPr>
            <w:r>
              <w:rPr>
                <w:sz w:val="20"/>
                <w:szCs w:val="20"/>
              </w:rPr>
              <w:t xml:space="preserve">709</w:t>
            </w:r>
          </w:p>
        </w:tc>
        <w:tc>
          <w:tcPr>
            <w:tcW w:w="0" w:type="auto"/>
          </w:tcPr>
          <w:p>
            <w:pPr>
              <w:spacing w:line="240" w:lineRule="auto" w:before="0" w:after="0"/>
              <w:pStyle w:val="Compact"/>
            </w:pPr>
            <w:r>
              <w:rPr>
                <w:sz w:val="20"/>
                <w:szCs w:val="20"/>
              </w:rPr>
              <w:t xml:space="preserve">1440</w:t>
            </w:r>
          </w:p>
        </w:tc>
        <w:tc>
          <w:tcPr>
            <w:tcW w:w="0" w:type="auto"/>
          </w:tcPr>
          <w:p>
            <w:pPr>
              <w:spacing w:line="240" w:lineRule="auto" w:before="0" w:after="0"/>
              <w:pStyle w:val="Compact"/>
            </w:pPr>
            <w:r>
              <w:rPr>
                <w:sz w:val="20"/>
                <w:szCs w:val="20"/>
              </w:rPr>
              <w:t xml:space="preserve">830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5.8805</w:t>
            </w:r>
          </w:p>
        </w:tc>
        <w:tc>
          <w:tcPr>
            <w:tcW w:w="0" w:type="auto"/>
          </w:tcPr>
          <w:p>
            <w:pPr>
              <w:spacing w:line="240" w:lineRule="auto" w:before="0" w:after="0"/>
              <w:pStyle w:val="Compact"/>
            </w:pPr>
            <w:r>
              <w:rPr>
                <w:sz w:val="20"/>
                <w:szCs w:val="20"/>
              </w:rPr>
              <w:t xml:space="preserve">6.5639</w:t>
            </w:r>
          </w:p>
        </w:tc>
        <w:tc>
          <w:tcPr>
            <w:tcW w:w="0" w:type="auto"/>
          </w:tcPr>
          <w:p>
            <w:pPr>
              <w:spacing w:line="240" w:lineRule="auto" w:before="0" w:after="0"/>
              <w:pStyle w:val="Compact"/>
            </w:pPr>
            <w:r>
              <w:rPr>
                <w:sz w:val="20"/>
                <w:szCs w:val="20"/>
              </w:rPr>
              <w:t xml:space="preserve">6.7214</w:t>
            </w:r>
          </w:p>
        </w:tc>
        <w:tc>
          <w:tcPr>
            <w:tcW w:w="0" w:type="auto"/>
          </w:tcPr>
          <w:p>
            <w:pPr>
              <w:spacing w:line="240" w:lineRule="auto" w:before="0" w:after="0"/>
              <w:pStyle w:val="Compact"/>
            </w:pPr>
            <w:r>
              <w:rPr>
                <w:sz w:val="20"/>
                <w:szCs w:val="20"/>
              </w:rPr>
              <w:t xml:space="preserve">7.2724</w:t>
            </w:r>
          </w:p>
        </w:tc>
        <w:tc>
          <w:tcPr>
            <w:tcW w:w="0" w:type="auto"/>
          </w:tcPr>
          <w:p>
            <w:pPr>
              <w:spacing w:line="240" w:lineRule="auto" w:before="0" w:after="0"/>
              <w:pStyle w:val="Compact"/>
            </w:pPr>
            <w:r>
              <w:rPr>
                <w:sz w:val="20"/>
                <w:szCs w:val="20"/>
              </w:rPr>
              <w:t xml:space="preserve">NASA InSight press kit 2018 and GAO-19-262SP NASA Major Project Assessment 2019</w:t>
            </w:r>
          </w:p>
        </w:tc>
      </w:tr>
      <w:tr>
        <w:tc>
          <w:tcPr>
            <w:tcW w:w="0" w:type="auto"/>
          </w:tcPr>
          <w:p>
            <w:pPr>
              <w:spacing w:line="240" w:lineRule="auto" w:before="0" w:after="0"/>
              <w:pStyle w:val="Compact"/>
            </w:pPr>
            <w:r>
              <w:rPr>
                <w:sz w:val="20"/>
                <w:szCs w:val="20"/>
              </w:rPr>
              <w:t xml:space="preserve">Perseverance Rover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1025</w:t>
            </w:r>
          </w:p>
        </w:tc>
        <w:tc>
          <w:tcPr>
            <w:tcW w:w="0" w:type="auto"/>
          </w:tcPr>
          <w:p>
            <w:pPr>
              <w:spacing w:line="240" w:lineRule="auto" w:before="0" w:after="0"/>
              <w:pStyle w:val="Compact"/>
            </w:pPr>
            <w:r>
              <w:rPr>
                <w:sz w:val="20"/>
                <w:szCs w:val="20"/>
              </w:rPr>
              <w:t xml:space="preserve">687</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2750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6.9324</w:t>
            </w:r>
          </w:p>
        </w:tc>
        <w:tc>
          <w:tcPr>
            <w:tcW w:w="0" w:type="auto"/>
          </w:tcPr>
          <w:p>
            <w:pPr>
              <w:spacing w:line="240" w:lineRule="auto" w:before="0" w:after="0"/>
              <w:pStyle w:val="Compact"/>
            </w:pPr>
            <w:r>
              <w:rPr>
                <w:sz w:val="20"/>
                <w:szCs w:val="20"/>
              </w:rPr>
              <w:t xml:space="preserve">6.5323</w:t>
            </w:r>
          </w:p>
        </w:tc>
        <w:tc>
          <w:tcPr>
            <w:tcW w:w="0" w:type="auto"/>
          </w:tcPr>
          <w:p>
            <w:pPr>
              <w:spacing w:line="240" w:lineRule="auto" w:before="0" w:after="0"/>
              <w:pStyle w:val="Compact"/>
            </w:pPr>
            <w:r>
              <w:rPr>
                <w:sz w:val="20"/>
                <w:szCs w:val="20"/>
              </w:rPr>
              <w:t xml:space="preserve">7.9194</w:t>
            </w:r>
          </w:p>
        </w:tc>
        <w:tc>
          <w:tcPr>
            <w:tcW w:w="0" w:type="auto"/>
          </w:tcPr>
          <w:p>
            <w:pPr>
              <w:spacing w:line="240" w:lineRule="auto" w:before="0" w:after="0"/>
              <w:pStyle w:val="Compact"/>
            </w:pPr>
            <w:r>
              <w:rPr>
                <w:sz w:val="20"/>
                <w:szCs w:val="20"/>
              </w:rPr>
              <w:t xml:space="preserve">7.1701</w:t>
            </w:r>
          </w:p>
        </w:tc>
        <w:tc>
          <w:tcPr>
            <w:tcW w:w="0" w:type="auto"/>
          </w:tcPr>
          <w:p>
            <w:pPr>
              <w:spacing w:line="240" w:lineRule="auto" w:before="0" w:after="0"/>
              <w:pStyle w:val="Compact"/>
            </w:pPr>
            <w:r>
              <w:rPr>
                <w:sz w:val="20"/>
                <w:szCs w:val="20"/>
              </w:rPr>
              <w:t xml:space="preserve">NASA Mars 2020 press kit 2020 and GAO-25-107591 NASA Major Project Assessment 2025</w:t>
            </w:r>
          </w:p>
        </w:tc>
      </w:tr>
      <w:tr>
        <w:tc>
          <w:tcPr>
            <w:tcW w:w="0" w:type="auto"/>
          </w:tcPr>
          <w:p>
            <w:pPr>
              <w:spacing w:line="240" w:lineRule="auto" w:before="0" w:after="0"/>
              <w:pStyle w:val="Compact"/>
            </w:pPr>
            <w:r>
              <w:rPr>
                <w:sz w:val="20"/>
                <w:szCs w:val="20"/>
              </w:rPr>
              <w:t xml:space="preserve">Zhurong Rover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358</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5.4806</w:t>
            </w:r>
          </w:p>
        </w:tc>
        <w:tc>
          <w:tcPr>
            <w:tcW w:w="0" w:type="auto"/>
          </w:tcPr>
          <w:p>
            <w:pPr>
              <w:spacing w:line="240" w:lineRule="auto" w:before="0" w:after="0"/>
              <w:pStyle w:val="Compact"/>
            </w:pPr>
            <w:r>
              <w:rPr>
                <w:sz w:val="20"/>
                <w:szCs w:val="20"/>
              </w:rPr>
              <w:t xml:space="preserve">4.4998</w:t>
            </w:r>
          </w:p>
        </w:tc>
        <w:tc>
          <w:tcPr>
            <w:tcW w:w="0" w:type="auto"/>
          </w:tcPr>
          <w:p>
            <w:pPr>
              <w:spacing w:line="240" w:lineRule="auto" w:before="0" w:after="0"/>
              <w:pStyle w:val="Compact"/>
            </w:pPr>
            <w:r>
              <w:rPr>
                <w:sz w:val="20"/>
                <w:szCs w:val="20"/>
              </w:rPr>
              <w:t xml:space="preserve">5.5215</w:t>
            </w:r>
          </w:p>
        </w:tc>
        <w:tc>
          <w:tcPr>
            <w:tcW w:w="0" w:type="auto"/>
          </w:tcPr>
          <w:p>
            <w:pPr>
              <w:spacing w:line="240" w:lineRule="auto" w:before="0" w:after="0"/>
              <w:pStyle w:val="Compact"/>
            </w:pPr>
            <w:r>
              <w:rPr>
                <w:sz w:val="20"/>
                <w:szCs w:val="20"/>
              </w:rPr>
              <w:t xml:space="preserve">5.8805</w:t>
            </w:r>
          </w:p>
        </w:tc>
        <w:tc>
          <w:tcPr>
            <w:tcW w:w="0" w:type="auto"/>
          </w:tcPr>
          <w:p>
            <w:pPr>
              <w:spacing w:line="240" w:lineRule="auto" w:before="0" w:after="0"/>
              <w:pStyle w:val="Compact"/>
            </w:pPr>
            <w:r>
              <w:rPr>
                <w:sz w:val="20"/>
                <w:szCs w:val="20"/>
              </w:rPr>
              <w:t xml:space="preserve">CNSA Tianwen-1 Zhurong mission summary 2021 [illustrative cost]</w:t>
            </w:r>
          </w:p>
        </w:tc>
      </w:tr>
      <w:tr>
        <w:tc>
          <w:tcPr>
            <w:tcW w:w="0" w:type="auto"/>
          </w:tcPr>
          <w:p>
            <w:pPr>
              <w:spacing w:line="240" w:lineRule="auto" w:before="0" w:after="0"/>
              <w:pStyle w:val="Compact"/>
            </w:pPr>
            <w:r>
              <w:rPr>
                <w:sz w:val="20"/>
                <w:szCs w:val="20"/>
              </w:rPr>
              <w:t xml:space="preserve">Surveyor 1</w:t>
            </w:r>
          </w:p>
        </w:tc>
        <w:tc>
          <w:tcPr>
            <w:tcW w:w="0" w:type="auto"/>
          </w:tcPr>
          <w:p>
            <w:pPr>
              <w:spacing w:line="240" w:lineRule="auto" w:before="0" w:after="0"/>
              <w:pStyle w:val="Compact"/>
            </w:pPr>
            <w:r>
              <w:rPr>
                <w:sz w:val="20"/>
                <w:szCs w:val="20"/>
              </w:rPr>
              <w:t xml:space="preserve">1966</w:t>
            </w:r>
          </w:p>
        </w:tc>
        <w:tc>
          <w:tcPr>
            <w:tcW w:w="0" w:type="auto"/>
          </w:tcPr>
          <w:p>
            <w:pPr>
              <w:spacing w:line="240" w:lineRule="auto" w:before="0" w:after="0"/>
              <w:pStyle w:val="Compact"/>
            </w:pPr>
            <w:r>
              <w:rPr>
                <w:sz w:val="20"/>
                <w:szCs w:val="20"/>
              </w:rPr>
              <w:t xml:space="preserve">294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222</w:t>
            </w:r>
          </w:p>
        </w:tc>
        <w:tc>
          <w:tcPr>
            <w:tcW w:w="0" w:type="auto"/>
          </w:tcPr>
          <w:p>
            <w:pPr>
              <w:spacing w:line="240" w:lineRule="auto" w:before="0" w:after="0"/>
              <w:pStyle w:val="Compact"/>
            </w:pPr>
            <w:r>
              <w:rPr>
                <w:sz w:val="20"/>
                <w:szCs w:val="20"/>
              </w:rPr>
              <w:t xml:space="preserve">469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5.6836</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6.1506</w:t>
            </w:r>
          </w:p>
        </w:tc>
        <w:tc>
          <w:tcPr>
            <w:tcW w:w="0" w:type="auto"/>
          </w:tcPr>
          <w:p>
            <w:pPr>
              <w:spacing w:line="240" w:lineRule="auto" w:before="0" w:after="0"/>
              <w:pStyle w:val="Compact"/>
            </w:pPr>
            <w:r>
              <w:rPr>
                <w:sz w:val="20"/>
                <w:szCs w:val="20"/>
              </w:rPr>
              <w:t xml:space="preserve">5.4027</w:t>
            </w:r>
          </w:p>
        </w:tc>
        <w:tc>
          <w:tcPr>
            <w:tcW w:w="0" w:type="auto"/>
          </w:tcPr>
          <w:p>
            <w:pPr>
              <w:spacing w:line="240" w:lineRule="auto" w:before="0" w:after="0"/>
              <w:pStyle w:val="Compact"/>
            </w:pPr>
            <w:r>
              <w:rPr>
                <w:sz w:val="20"/>
                <w:szCs w:val="20"/>
              </w:rPr>
              <w:t xml:space="preserve">NASA NSSDCA Master Catalog Surveyor 1 id 1966-045A</w:t>
            </w:r>
          </w:p>
        </w:tc>
      </w:tr>
      <w:tr>
        <w:tc>
          <w:tcPr>
            <w:tcW w:w="0" w:type="auto"/>
          </w:tcPr>
          <w:p>
            <w:pPr>
              <w:spacing w:line="240" w:lineRule="auto" w:before="0" w:after="0"/>
              <w:pStyle w:val="Compact"/>
            </w:pPr>
            <w:r>
              <w:rPr>
                <w:sz w:val="20"/>
                <w:szCs w:val="20"/>
              </w:rPr>
              <w:t xml:space="preserve">Surveyor 3</w:t>
            </w:r>
          </w:p>
        </w:tc>
        <w:tc>
          <w:tcPr>
            <w:tcW w:w="0" w:type="auto"/>
          </w:tcPr>
          <w:p>
            <w:pPr>
              <w:spacing w:line="240" w:lineRule="auto" w:before="0" w:after="0"/>
              <w:pStyle w:val="Compact"/>
            </w:pPr>
            <w:r>
              <w:rPr>
                <w:sz w:val="20"/>
                <w:szCs w:val="20"/>
              </w:rPr>
              <w:t xml:space="preserve">1967</w:t>
            </w:r>
          </w:p>
        </w:tc>
        <w:tc>
          <w:tcPr>
            <w:tcW w:w="0" w:type="auto"/>
          </w:tcPr>
          <w:p>
            <w:pPr>
              <w:spacing w:line="240" w:lineRule="auto" w:before="0" w:after="0"/>
              <w:pStyle w:val="Compact"/>
            </w:pPr>
            <w:r>
              <w:rPr>
                <w:sz w:val="20"/>
                <w:szCs w:val="20"/>
              </w:rPr>
              <w:t xml:space="preserve">302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469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5.7104</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6.1506</w:t>
            </w:r>
          </w:p>
        </w:tc>
        <w:tc>
          <w:tcPr>
            <w:tcW w:w="0" w:type="auto"/>
          </w:tcPr>
          <w:p>
            <w:pPr>
              <w:spacing w:line="240" w:lineRule="auto" w:before="0" w:after="0"/>
              <w:pStyle w:val="Compact"/>
            </w:pPr>
            <w:r>
              <w:rPr>
                <w:sz w:val="20"/>
                <w:szCs w:val="20"/>
              </w:rPr>
              <w:t xml:space="preserve">4.0431</w:t>
            </w:r>
          </w:p>
        </w:tc>
        <w:tc>
          <w:tcPr>
            <w:tcW w:w="0" w:type="auto"/>
          </w:tcPr>
          <w:p>
            <w:pPr>
              <w:spacing w:line="240" w:lineRule="auto" w:before="0" w:after="0"/>
              <w:pStyle w:val="Compact"/>
            </w:pPr>
            <w:r>
              <w:rPr>
                <w:sz w:val="20"/>
                <w:szCs w:val="20"/>
              </w:rPr>
              <w:t xml:space="preserve">NASA NSSDCA Master Catalog Surveyor 3 id 1967-035A</w:t>
            </w:r>
          </w:p>
        </w:tc>
      </w:tr>
      <w:tr>
        <w:tc>
          <w:tcPr>
            <w:tcW w:w="0" w:type="auto"/>
          </w:tcPr>
          <w:p>
            <w:pPr>
              <w:spacing w:line="240" w:lineRule="auto" w:before="0" w:after="0"/>
              <w:pStyle w:val="Compact"/>
            </w:pPr>
            <w:r>
              <w:rPr>
                <w:sz w:val="20"/>
                <w:szCs w:val="20"/>
              </w:rPr>
              <w:t xml:space="preserve">Surveyor 5</w:t>
            </w:r>
          </w:p>
        </w:tc>
        <w:tc>
          <w:tcPr>
            <w:tcW w:w="0" w:type="auto"/>
          </w:tcPr>
          <w:p>
            <w:pPr>
              <w:spacing w:line="240" w:lineRule="auto" w:before="0" w:after="0"/>
              <w:pStyle w:val="Compact"/>
            </w:pPr>
            <w:r>
              <w:rPr>
                <w:sz w:val="20"/>
                <w:szCs w:val="20"/>
              </w:rPr>
              <w:t xml:space="preserve">1967</w:t>
            </w:r>
          </w:p>
        </w:tc>
        <w:tc>
          <w:tcPr>
            <w:tcW w:w="0" w:type="auto"/>
          </w:tcPr>
          <w:p>
            <w:pPr>
              <w:spacing w:line="240" w:lineRule="auto" w:before="0" w:after="0"/>
              <w:pStyle w:val="Compact"/>
            </w:pPr>
            <w:r>
              <w:rPr>
                <w:sz w:val="20"/>
                <w:szCs w:val="20"/>
              </w:rPr>
              <w:t xml:space="preserve">303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469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5.7137</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6.1506</w:t>
            </w:r>
          </w:p>
        </w:tc>
        <w:tc>
          <w:tcPr>
            <w:tcW w:w="0" w:type="auto"/>
          </w:tcPr>
          <w:p>
            <w:pPr>
              <w:spacing w:line="240" w:lineRule="auto" w:before="0" w:after="0"/>
              <w:pStyle w:val="Compact"/>
            </w:pPr>
            <w:r>
              <w:rPr>
                <w:sz w:val="20"/>
                <w:szCs w:val="20"/>
              </w:rPr>
              <w:t xml:space="preserve">4.5326</w:t>
            </w:r>
          </w:p>
        </w:tc>
        <w:tc>
          <w:tcPr>
            <w:tcW w:w="0" w:type="auto"/>
          </w:tcPr>
          <w:p>
            <w:pPr>
              <w:spacing w:line="240" w:lineRule="auto" w:before="0" w:after="0"/>
              <w:pStyle w:val="Compact"/>
            </w:pPr>
            <w:r>
              <w:rPr>
                <w:sz w:val="20"/>
                <w:szCs w:val="20"/>
              </w:rPr>
              <w:t xml:space="preserve">NASA NSSDCA Master Catalog Surveyor 5 id 1967-084A</w:t>
            </w:r>
          </w:p>
        </w:tc>
      </w:tr>
      <w:tr>
        <w:tc>
          <w:tcPr>
            <w:tcW w:w="0" w:type="auto"/>
          </w:tcPr>
          <w:p>
            <w:pPr>
              <w:spacing w:line="240" w:lineRule="auto" w:before="0" w:after="0"/>
              <w:pStyle w:val="Compact"/>
            </w:pPr>
            <w:r>
              <w:rPr>
                <w:sz w:val="20"/>
                <w:szCs w:val="20"/>
              </w:rPr>
              <w:t xml:space="preserve">Surveyor 6</w:t>
            </w:r>
          </w:p>
        </w:tc>
        <w:tc>
          <w:tcPr>
            <w:tcW w:w="0" w:type="auto"/>
          </w:tcPr>
          <w:p>
            <w:pPr>
              <w:spacing w:line="240" w:lineRule="auto" w:before="0" w:after="0"/>
              <w:pStyle w:val="Compact"/>
            </w:pPr>
            <w:r>
              <w:rPr>
                <w:sz w:val="20"/>
                <w:szCs w:val="20"/>
              </w:rPr>
              <w:t xml:space="preserve">1967</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469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5.7038</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6.1506</w:t>
            </w:r>
          </w:p>
        </w:tc>
        <w:tc>
          <w:tcPr>
            <w:tcW w:w="0" w:type="auto"/>
          </w:tcPr>
          <w:p>
            <w:pPr>
              <w:spacing w:line="240" w:lineRule="auto" w:before="0" w:after="0"/>
              <w:pStyle w:val="Compact"/>
            </w:pPr>
            <w:r>
              <w:rPr>
                <w:sz w:val="20"/>
                <w:szCs w:val="20"/>
              </w:rPr>
              <w:t xml:space="preserve">4.3307</w:t>
            </w:r>
          </w:p>
        </w:tc>
        <w:tc>
          <w:tcPr>
            <w:tcW w:w="0" w:type="auto"/>
          </w:tcPr>
          <w:p>
            <w:pPr>
              <w:spacing w:line="240" w:lineRule="auto" w:before="0" w:after="0"/>
              <w:pStyle w:val="Compact"/>
            </w:pPr>
            <w:r>
              <w:rPr>
                <w:sz w:val="20"/>
                <w:szCs w:val="20"/>
              </w:rPr>
              <w:t xml:space="preserve">NASA NSSDCA Master Catalog Surveyor 6 id 1967-112A</w:t>
            </w:r>
          </w:p>
        </w:tc>
      </w:tr>
      <w:tr>
        <w:tc>
          <w:tcPr>
            <w:tcW w:w="0" w:type="auto"/>
          </w:tcPr>
          <w:p>
            <w:pPr>
              <w:spacing w:line="240" w:lineRule="auto" w:before="0" w:after="0"/>
              <w:pStyle w:val="Compact"/>
            </w:pPr>
            <w:r>
              <w:rPr>
                <w:sz w:val="20"/>
                <w:szCs w:val="20"/>
              </w:rPr>
              <w:t xml:space="preserve">Surveyor 7</w:t>
            </w:r>
          </w:p>
        </w:tc>
        <w:tc>
          <w:tcPr>
            <w:tcW w:w="0" w:type="auto"/>
          </w:tcPr>
          <w:p>
            <w:pPr>
              <w:spacing w:line="240" w:lineRule="auto" w:before="0" w:after="0"/>
              <w:pStyle w:val="Compact"/>
            </w:pPr>
            <w:r>
              <w:rPr>
                <w:sz w:val="20"/>
                <w:szCs w:val="20"/>
              </w:rPr>
              <w:t xml:space="preserve">1968</w:t>
            </w:r>
          </w:p>
        </w:tc>
        <w:tc>
          <w:tcPr>
            <w:tcW w:w="0" w:type="auto"/>
          </w:tcPr>
          <w:p>
            <w:pPr>
              <w:spacing w:line="240" w:lineRule="auto" w:before="0" w:after="0"/>
              <w:pStyle w:val="Compact"/>
            </w:pPr>
            <w:r>
              <w:rPr>
                <w:sz w:val="20"/>
                <w:szCs w:val="20"/>
              </w:rPr>
              <w:t xml:space="preserve">306</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469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5.7236</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6.1506</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NASA NSSDCA Master Catalog Surveyor 7 id 1968-001A</w:t>
            </w:r>
          </w:p>
        </w:tc>
      </w:tr>
      <w:tr>
        <w:tc>
          <w:tcPr>
            <w:tcW w:w="0" w:type="auto"/>
          </w:tcPr>
          <w:p>
            <w:pPr>
              <w:spacing w:line="240" w:lineRule="auto" w:before="0" w:after="0"/>
              <w:pStyle w:val="Compact"/>
            </w:pPr>
            <w:r>
              <w:rPr>
                <w:sz w:val="20"/>
                <w:szCs w:val="20"/>
              </w:rPr>
              <w:t xml:space="preserve">Lunokhod 1</w:t>
            </w:r>
          </w:p>
        </w:tc>
        <w:tc>
          <w:tcPr>
            <w:tcW w:w="0" w:type="auto"/>
          </w:tcPr>
          <w:p>
            <w:pPr>
              <w:spacing w:line="240" w:lineRule="auto" w:before="0" w:after="0"/>
              <w:pStyle w:val="Compact"/>
            </w:pPr>
            <w:r>
              <w:rPr>
                <w:sz w:val="20"/>
                <w:szCs w:val="20"/>
              </w:rPr>
              <w:t xml:space="preserve">1970</w:t>
            </w:r>
          </w:p>
        </w:tc>
        <w:tc>
          <w:tcPr>
            <w:tcW w:w="0" w:type="auto"/>
          </w:tcPr>
          <w:p>
            <w:pPr>
              <w:spacing w:line="240" w:lineRule="auto" w:before="0" w:after="0"/>
              <w:pStyle w:val="Compact"/>
            </w:pPr>
            <w:r>
              <w:rPr>
                <w:sz w:val="20"/>
                <w:szCs w:val="20"/>
              </w:rPr>
              <w:t xml:space="preserve">756</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322</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6.628</w:t>
            </w:r>
          </w:p>
        </w:tc>
        <w:tc>
          <w:tcPr>
            <w:tcW w:w="0" w:type="auto"/>
          </w:tcPr>
          <w:p>
            <w:pPr>
              <w:spacing w:line="240" w:lineRule="auto" w:before="0" w:after="0"/>
              <w:pStyle w:val="Compact"/>
            </w:pPr>
            <w:r>
              <w:rPr>
                <w:sz w:val="20"/>
                <w:szCs w:val="20"/>
              </w:rPr>
              <w:t xml:space="preserve">4.4998</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5.7746</w:t>
            </w:r>
          </w:p>
        </w:tc>
        <w:tc>
          <w:tcPr>
            <w:tcW w:w="0" w:type="auto"/>
          </w:tcPr>
          <w:p>
            <w:pPr>
              <w:spacing w:line="240" w:lineRule="auto" w:before="0" w:after="0"/>
              <w:pStyle w:val="Compact"/>
            </w:pPr>
            <w:r>
              <w:rPr>
                <w:sz w:val="20"/>
                <w:szCs w:val="20"/>
              </w:rPr>
              <w:t xml:space="preserve">NASA NSSDCA Master Catalog Luna 17 Lunokhod 1 id 1970-095A [illustrative cost]</w:t>
            </w:r>
          </w:p>
        </w:tc>
      </w:tr>
      <w:tr>
        <w:tc>
          <w:tcPr>
            <w:tcW w:w="0" w:type="auto"/>
          </w:tcPr>
          <w:p>
            <w:pPr>
              <w:spacing w:line="240" w:lineRule="auto" w:before="0" w:after="0"/>
              <w:pStyle w:val="Compact"/>
            </w:pPr>
            <w:r>
              <w:rPr>
                <w:sz w:val="20"/>
                <w:szCs w:val="20"/>
              </w:rPr>
              <w:t xml:space="preserve">Lunokhod 2</w:t>
            </w:r>
          </w:p>
        </w:tc>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840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6.7334</w:t>
            </w:r>
          </w:p>
        </w:tc>
        <w:tc>
          <w:tcPr>
            <w:tcW w:w="0" w:type="auto"/>
          </w:tcPr>
          <w:p>
            <w:pPr>
              <w:spacing w:line="240" w:lineRule="auto" w:before="0" w:after="0"/>
              <w:pStyle w:val="Compact"/>
            </w:pPr>
            <w:r>
              <w:rPr>
                <w:sz w:val="20"/>
                <w:szCs w:val="20"/>
              </w:rPr>
              <w:t xml:space="preserve">4.4998</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4.8283</w:t>
            </w:r>
          </w:p>
        </w:tc>
        <w:tc>
          <w:tcPr>
            <w:tcW w:w="0" w:type="auto"/>
          </w:tcPr>
          <w:p>
            <w:pPr>
              <w:spacing w:line="240" w:lineRule="auto" w:before="0" w:after="0"/>
              <w:pStyle w:val="Compact"/>
            </w:pPr>
            <w:r>
              <w:rPr>
                <w:sz w:val="20"/>
                <w:szCs w:val="20"/>
              </w:rPr>
              <w:t xml:space="preserve">NASA NSSDCA Master Catalog Luna 21 Lunokhod 2 id 1973-001A [illustrative cost]</w:t>
            </w:r>
          </w:p>
        </w:tc>
      </w:tr>
      <w:tr>
        <w:tc>
          <w:tcPr>
            <w:tcW w:w="0" w:type="auto"/>
          </w:tcPr>
          <w:p>
            <w:pPr>
              <w:spacing w:line="240" w:lineRule="auto" w:before="0" w:after="0"/>
              <w:pStyle w:val="Compact"/>
            </w:pPr>
            <w:r>
              <w:rPr>
                <w:sz w:val="20"/>
                <w:szCs w:val="20"/>
              </w:rPr>
              <w:t xml:space="preserve">Chang’e 3 Lander</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2920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7.0901</w:t>
            </w:r>
          </w:p>
        </w:tc>
        <w:tc>
          <w:tcPr>
            <w:tcW w:w="0" w:type="auto"/>
          </w:tcPr>
          <w:p>
            <w:pPr>
              <w:spacing w:line="240" w:lineRule="auto" w:before="0" w:after="0"/>
              <w:pStyle w:val="Compact"/>
            </w:pPr>
            <w:r>
              <w:rPr>
                <w:sz w:val="20"/>
                <w:szCs w:val="20"/>
              </w:rPr>
              <w:t xml:space="preserve">5.8999</w:t>
            </w:r>
          </w:p>
        </w:tc>
        <w:tc>
          <w:tcPr>
            <w:tcW w:w="0" w:type="auto"/>
          </w:tcPr>
          <w:p>
            <w:pPr>
              <w:spacing w:line="240" w:lineRule="auto" w:before="0" w:after="0"/>
              <w:pStyle w:val="Compact"/>
            </w:pPr>
            <w:r>
              <w:rPr>
                <w:sz w:val="20"/>
                <w:szCs w:val="20"/>
              </w:rPr>
              <w:t xml:space="preserve">5.5215</w:t>
            </w:r>
          </w:p>
        </w:tc>
        <w:tc>
          <w:tcPr>
            <w:tcW w:w="0" w:type="auto"/>
          </w:tcPr>
          <w:p>
            <w:pPr>
              <w:spacing w:line="240" w:lineRule="auto" w:before="0" w:after="0"/>
              <w:pStyle w:val="Compact"/>
            </w:pPr>
            <w:r>
              <w:rPr>
                <w:sz w:val="20"/>
                <w:szCs w:val="20"/>
              </w:rPr>
              <w:t xml:space="preserve">7.9793</w:t>
            </w:r>
          </w:p>
        </w:tc>
        <w:tc>
          <w:tcPr>
            <w:tcW w:w="0" w:type="auto"/>
          </w:tcPr>
          <w:p>
            <w:pPr>
              <w:spacing w:line="240" w:lineRule="auto" w:before="0" w:after="0"/>
              <w:pStyle w:val="Compact"/>
            </w:pPr>
            <w:r>
              <w:rPr>
                <w:sz w:val="20"/>
                <w:szCs w:val="20"/>
              </w:rPr>
              <w:t xml:space="preserve">CNSA Chang’e 3 mission summary and CAS 2014 [illustrative cost]</w:t>
            </w:r>
          </w:p>
        </w:tc>
      </w:tr>
      <w:tr>
        <w:tc>
          <w:tcPr>
            <w:tcW w:w="0" w:type="auto"/>
          </w:tcPr>
          <w:p>
            <w:pPr>
              <w:spacing w:line="240" w:lineRule="auto" w:before="0" w:after="0"/>
              <w:pStyle w:val="Compact"/>
            </w:pPr>
            <w:r>
              <w:rPr>
                <w:sz w:val="20"/>
                <w:szCs w:val="20"/>
              </w:rPr>
              <w:t xml:space="preserve">Yutu Rover</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973</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4.9416</w:t>
            </w:r>
          </w:p>
        </w:tc>
        <w:tc>
          <w:tcPr>
            <w:tcW w:w="0" w:type="auto"/>
          </w:tcPr>
          <w:p>
            <w:pPr>
              <w:spacing w:line="240" w:lineRule="auto" w:before="0" w:after="0"/>
              <w:pStyle w:val="Compact"/>
            </w:pPr>
            <w:r>
              <w:rPr>
                <w:sz w:val="20"/>
                <w:szCs w:val="20"/>
              </w:rPr>
              <w:t xml:space="preserve">4.4998</w:t>
            </w:r>
          </w:p>
        </w:tc>
        <w:tc>
          <w:tcPr>
            <w:tcW w:w="0" w:type="auto"/>
          </w:tcPr>
          <w:p>
            <w:pPr>
              <w:spacing w:line="240" w:lineRule="auto" w:before="0" w:after="0"/>
              <w:pStyle w:val="Compact"/>
            </w:pPr>
            <w:r>
              <w:rPr>
                <w:sz w:val="20"/>
                <w:szCs w:val="20"/>
              </w:rPr>
              <w:t xml:space="preserve">5.5215</w:t>
            </w:r>
          </w:p>
        </w:tc>
        <w:tc>
          <w:tcPr>
            <w:tcW w:w="0" w:type="auto"/>
          </w:tcPr>
          <w:p>
            <w:pPr>
              <w:spacing w:line="240" w:lineRule="auto" w:before="0" w:after="0"/>
              <w:pStyle w:val="Compact"/>
            </w:pPr>
            <w:r>
              <w:rPr>
                <w:sz w:val="20"/>
                <w:szCs w:val="20"/>
              </w:rPr>
              <w:t xml:space="preserve">6.8804</w:t>
            </w:r>
          </w:p>
        </w:tc>
        <w:tc>
          <w:tcPr>
            <w:tcW w:w="0" w:type="auto"/>
          </w:tcPr>
          <w:p>
            <w:pPr>
              <w:spacing w:line="240" w:lineRule="auto" w:before="0" w:after="0"/>
              <w:pStyle w:val="Compact"/>
            </w:pPr>
            <w:r>
              <w:rPr>
                <w:sz w:val="20"/>
                <w:szCs w:val="20"/>
              </w:rPr>
              <w:t xml:space="preserve">CNSA Chang’e 3 Yutu mission summary 2014 [illustrative cost share]</w:t>
            </w:r>
          </w:p>
        </w:tc>
      </w:tr>
      <w:tr>
        <w:tc>
          <w:tcPr>
            <w:tcW w:w="0" w:type="auto"/>
          </w:tcPr>
          <w:p>
            <w:pPr>
              <w:spacing w:line="240" w:lineRule="auto" w:before="0" w:after="0"/>
              <w:pStyle w:val="Compact"/>
            </w:pPr>
            <w:r>
              <w:rPr>
                <w:sz w:val="20"/>
                <w:szCs w:val="20"/>
              </w:rPr>
              <w:t xml:space="preserve">Chang’e 4 Lander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7.0901</w:t>
            </w:r>
          </w:p>
        </w:tc>
        <w:tc>
          <w:tcPr>
            <w:tcW w:w="0" w:type="auto"/>
          </w:tcPr>
          <w:p>
            <w:pPr>
              <w:spacing w:line="240" w:lineRule="auto" w:before="0" w:after="0"/>
              <w:pStyle w:val="Compact"/>
            </w:pPr>
            <w:r>
              <w:rPr>
                <w:sz w:val="20"/>
                <w:szCs w:val="20"/>
              </w:rPr>
              <w:t xml:space="preserve">5.8999</w:t>
            </w:r>
          </w:p>
        </w:tc>
        <w:tc>
          <w:tcPr>
            <w:tcW w:w="0" w:type="auto"/>
          </w:tcPr>
          <w:p>
            <w:pPr>
              <w:spacing w:line="240" w:lineRule="auto" w:before="0" w:after="0"/>
              <w:pStyle w:val="Compact"/>
            </w:pPr>
            <w:r>
              <w:rPr>
                <w:sz w:val="20"/>
                <w:szCs w:val="20"/>
              </w:rPr>
              <w:t xml:space="preserve">5.193</w:t>
            </w:r>
          </w:p>
        </w:tc>
        <w:tc>
          <w:tcPr>
            <w:tcW w:w="0" w:type="auto"/>
          </w:tcPr>
          <w:p>
            <w:pPr>
              <w:spacing w:line="240" w:lineRule="auto" w:before="0" w:after="0"/>
              <w:pStyle w:val="Compact"/>
            </w:pPr>
            <w:r>
              <w:rPr>
                <w:sz w:val="20"/>
                <w:szCs w:val="20"/>
              </w:rPr>
              <w:t xml:space="preserve">7.4955</w:t>
            </w:r>
          </w:p>
        </w:tc>
        <w:tc>
          <w:tcPr>
            <w:tcW w:w="0" w:type="auto"/>
          </w:tcPr>
          <w:p>
            <w:pPr>
              <w:spacing w:line="240" w:lineRule="auto" w:before="0" w:after="0"/>
              <w:pStyle w:val="Compact"/>
            </w:pPr>
            <w:r>
              <w:rPr>
                <w:sz w:val="20"/>
                <w:szCs w:val="20"/>
              </w:rPr>
              <w:t xml:space="preserve">CNSA Chang’e 4 mission summary 2019 [illustrative cost]</w:t>
            </w:r>
          </w:p>
        </w:tc>
      </w:tr>
      <w:tr>
        <w:tc>
          <w:tcPr>
            <w:tcW w:w="0" w:type="auto"/>
          </w:tcPr>
          <w:p>
            <w:pPr>
              <w:spacing w:line="240" w:lineRule="auto" w:before="0" w:after="0"/>
              <w:pStyle w:val="Compact"/>
            </w:pPr>
            <w:r>
              <w:rPr>
                <w:sz w:val="20"/>
                <w:szCs w:val="20"/>
              </w:rPr>
              <w:t xml:space="preserve">Yutu-2 Rover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4.9416</w:t>
            </w:r>
          </w:p>
        </w:tc>
        <w:tc>
          <w:tcPr>
            <w:tcW w:w="0" w:type="auto"/>
          </w:tcPr>
          <w:p>
            <w:pPr>
              <w:spacing w:line="240" w:lineRule="auto" w:before="0" w:after="0"/>
              <w:pStyle w:val="Compact"/>
            </w:pPr>
            <w:r>
              <w:rPr>
                <w:sz w:val="20"/>
                <w:szCs w:val="20"/>
              </w:rPr>
              <w:t xml:space="preserve">4.4998</w:t>
            </w:r>
          </w:p>
        </w:tc>
        <w:tc>
          <w:tcPr>
            <w:tcW w:w="0" w:type="auto"/>
          </w:tcPr>
          <w:p>
            <w:pPr>
              <w:spacing w:line="240" w:lineRule="auto" w:before="0" w:after="0"/>
              <w:pStyle w:val="Compact"/>
            </w:pPr>
            <w:r>
              <w:rPr>
                <w:sz w:val="20"/>
                <w:szCs w:val="20"/>
              </w:rPr>
              <w:t xml:space="preserve">5.193</w:t>
            </w:r>
          </w:p>
        </w:tc>
        <w:tc>
          <w:tcPr>
            <w:tcW w:w="0" w:type="auto"/>
          </w:tcPr>
          <w:p>
            <w:pPr>
              <w:spacing w:line="240" w:lineRule="auto" w:before="0" w:after="0"/>
              <w:pStyle w:val="Compact"/>
            </w:pPr>
            <w:r>
              <w:rPr>
                <w:sz w:val="20"/>
                <w:szCs w:val="20"/>
              </w:rPr>
              <w:t xml:space="preserve">7.4384</w:t>
            </w:r>
          </w:p>
        </w:tc>
        <w:tc>
          <w:tcPr>
            <w:tcW w:w="0" w:type="auto"/>
          </w:tcPr>
          <w:p>
            <w:pPr>
              <w:spacing w:line="240" w:lineRule="auto" w:before="0" w:after="0"/>
              <w:pStyle w:val="Compact"/>
            </w:pPr>
            <w:r>
              <w:rPr>
                <w:sz w:val="20"/>
                <w:szCs w:val="20"/>
              </w:rPr>
              <w:t xml:space="preserve">CNSA Chang’e 4 Yutu-2 mission summary 2019 [illustrative cost share]</w:t>
            </w:r>
          </w:p>
        </w:tc>
      </w:tr>
      <w:tr>
        <w:tc>
          <w:tcPr>
            <w:tcW w:w="0" w:type="auto"/>
          </w:tcPr>
          <w:p>
            <w:pPr>
              <w:spacing w:line="240" w:lineRule="auto" w:before="0" w:after="0"/>
              <w:pStyle w:val="Compact"/>
            </w:pPr>
            <w:r>
              <w:rPr>
                <w:sz w:val="20"/>
                <w:szCs w:val="20"/>
              </w:rPr>
              <w:t xml:space="preserve">Chandrayaan-3 Vikram</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1752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7.4685</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4.3175</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ISRO Chandrayaan-3 mission press release 2023</w:t>
            </w:r>
          </w:p>
        </w:tc>
      </w:tr>
      <w:tr>
        <w:tc>
          <w:tcPr>
            <w:tcW w:w="0" w:type="auto"/>
          </w:tcPr>
          <w:p>
            <w:pPr>
              <w:spacing w:line="240" w:lineRule="auto" w:before="0" w:after="0"/>
              <w:pStyle w:val="Compact"/>
            </w:pPr>
            <w:r>
              <w:rPr>
                <w:sz w:val="20"/>
                <w:szCs w:val="20"/>
              </w:rPr>
              <w:t xml:space="preserve">Pragyan Rover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3.2581</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ISRO Chandrayaan-3 Pragyan mission press release 2023 [illustrative cost share]</w:t>
            </w:r>
          </w:p>
        </w:tc>
      </w:tr>
      <w:tr>
        <w:tc>
          <w:tcPr>
            <w:tcW w:w="0" w:type="auto"/>
          </w:tcPr>
          <w:p>
            <w:pPr>
              <w:spacing w:line="240" w:lineRule="auto" w:before="0" w:after="0"/>
              <w:pStyle w:val="Compact"/>
            </w:pPr>
            <w:r>
              <w:rPr>
                <w:sz w:val="20"/>
                <w:szCs w:val="20"/>
              </w:rPr>
              <w:t xml:space="preserve">SLIM Lander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5.2983</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4.7958</w:t>
            </w:r>
          </w:p>
        </w:tc>
        <w:tc>
          <w:tcPr>
            <w:tcW w:w="0" w:type="auto"/>
          </w:tcPr>
          <w:p>
            <w:pPr>
              <w:spacing w:line="240" w:lineRule="auto" w:before="0" w:after="0"/>
              <w:pStyle w:val="Compact"/>
            </w:pPr>
            <w:r>
              <w:rPr>
                <w:sz w:val="20"/>
                <w:szCs w:val="20"/>
              </w:rPr>
              <w:t xml:space="preserve">4.9416</w:t>
            </w:r>
          </w:p>
        </w:tc>
        <w:tc>
          <w:tcPr>
            <w:tcW w:w="0" w:type="auto"/>
          </w:tcPr>
          <w:p>
            <w:pPr>
              <w:spacing w:line="240" w:lineRule="auto" w:before="0" w:after="0"/>
              <w:pStyle w:val="Compact"/>
            </w:pPr>
            <w:r>
              <w:rPr>
                <w:sz w:val="20"/>
                <w:szCs w:val="20"/>
              </w:rPr>
              <w:t xml:space="preserve">JAXA SLIM mission summary 2024</w:t>
            </w:r>
          </w:p>
        </w:tc>
      </w:tr>
    </w:tbl>
    <w:bookmarkEnd w:id="87"/>
    <w:bookmarkStart w:id="88"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log_achieved</w:t>
            </w:r>
          </w:p>
        </w:tc>
        <w:tc>
          <w:tcPr>
            <w:tcW w:w="0" w:type="auto"/>
          </w:tcPr>
          <w:p>
            <w:pPr>
              <w:spacing w:line="240" w:lineRule="auto" w:before="0" w:after="0"/>
              <w:pStyle w:val="Compact"/>
            </w:pPr>
            <w:r>
              <w:rPr>
                <w:sz w:val="20"/>
                <w:szCs w:val="20"/>
              </w:rPr>
              <w:t xml:space="preserve">Natural log of operational sols achieved on the planetary surface</w:t>
            </w:r>
          </w:p>
        </w:tc>
        <w:tc>
          <w:tcPr>
            <w:tcW w:w="0" w:type="auto"/>
          </w:tcPr>
          <w:p>
            <w:pPr>
              <w:spacing w:line="240" w:lineRule="auto" w:before="0" w:after="0"/>
              <w:pStyle w:val="Compact"/>
            </w:pPr>
            <w:r>
              <w:rPr>
                <w:sz w:val="20"/>
                <w:szCs w:val="20"/>
              </w:rPr>
              <w:t xml:space="preserve">NASA NSSDCA mission catalog, NASA press kits, agency mission summaries</w:t>
            </w:r>
          </w:p>
        </w:tc>
      </w:tr>
      <w:tr>
        <w:tc>
          <w:tcPr>
            <w:tcW w:w="0" w:type="auto"/>
          </w:tcPr>
          <w:p>
            <w:pPr>
              <w:spacing w:line="240" w:lineRule="auto" w:before="0" w:after="0"/>
              <w:pStyle w:val="Compact"/>
            </w:pPr>
            <w:r>
              <w:rPr>
                <w:sz w:val="20"/>
                <w:szCs w:val="20"/>
              </w:rPr>
              <w:t xml:space="preserve">log_mass</w:t>
            </w:r>
          </w:p>
        </w:tc>
        <w:tc>
          <w:tcPr>
            <w:tcW w:w="0" w:type="auto"/>
          </w:tcPr>
          <w:p>
            <w:pPr>
              <w:spacing w:line="240" w:lineRule="auto" w:before="0" w:after="0"/>
              <w:pStyle w:val="Compact"/>
            </w:pPr>
            <w:r>
              <w:rPr>
                <w:sz w:val="20"/>
                <w:szCs w:val="20"/>
              </w:rPr>
              <w:t xml:space="preserve">Natural log of landed (surface-delivered) mass in kilograms</w:t>
            </w:r>
          </w:p>
        </w:tc>
        <w:tc>
          <w:tcPr>
            <w:tcW w:w="0" w:type="auto"/>
          </w:tcPr>
          <w:p>
            <w:pPr>
              <w:spacing w:line="240" w:lineRule="auto" w:before="0" w:after="0"/>
              <w:pStyle w:val="Compact"/>
            </w:pPr>
            <w:r>
              <w:rPr>
                <w:sz w:val="20"/>
                <w:szCs w:val="20"/>
              </w:rPr>
              <w:t xml:space="preserve">NASA NSSDCA mission catalog and mission press kits</w:t>
            </w:r>
          </w:p>
        </w:tc>
      </w:tr>
      <w:tr>
        <w:tc>
          <w:tcPr>
            <w:tcW w:w="0" w:type="auto"/>
          </w:tcPr>
          <w:p>
            <w:pPr>
              <w:spacing w:line="240" w:lineRule="auto" w:before="0" w:after="0"/>
              <w:pStyle w:val="Compact"/>
            </w:pPr>
            <w:r>
              <w:rPr>
                <w:sz w:val="20"/>
                <w:szCs w:val="20"/>
              </w:rPr>
              <w:t xml:space="preserve">log_planned</w:t>
            </w:r>
          </w:p>
        </w:tc>
        <w:tc>
          <w:tcPr>
            <w:tcW w:w="0" w:type="auto"/>
          </w:tcPr>
          <w:p>
            <w:pPr>
              <w:spacing w:line="240" w:lineRule="auto" w:before="0" w:after="0"/>
              <w:pStyle w:val="Compact"/>
            </w:pPr>
            <w:r>
              <w:rPr>
                <w:sz w:val="20"/>
                <w:szCs w:val="20"/>
              </w:rPr>
              <w:t xml:space="preserve">Natural log of nominal planned mission duration in sols</w:t>
            </w:r>
          </w:p>
        </w:tc>
        <w:tc>
          <w:tcPr>
            <w:tcW w:w="0" w:type="auto"/>
          </w:tcPr>
          <w:p>
            <w:pPr>
              <w:spacing w:line="240" w:lineRule="auto" w:before="0" w:after="0"/>
              <w:pStyle w:val="Compact"/>
            </w:pPr>
            <w:r>
              <w:rPr>
                <w:sz w:val="20"/>
                <w:szCs w:val="20"/>
              </w:rPr>
              <w:t xml:space="preserve">NASA mission press kits and agency mission descriptions</w:t>
            </w:r>
          </w:p>
        </w:tc>
      </w:tr>
      <w:tr>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Indicator equal to 1 when the lander or rover uses radioisotope or radiothermal power, 0 for solar or battery</w:t>
            </w:r>
          </w:p>
        </w:tc>
        <w:tc>
          <w:tcPr>
            <w:tcW w:w="0" w:type="auto"/>
          </w:tcPr>
          <w:p>
            <w:pPr>
              <w:spacing w:line="240" w:lineRule="auto" w:before="0" w:after="0"/>
              <w:pStyle w:val="Compact"/>
            </w:pPr>
            <w:r>
              <w:rPr>
                <w:sz w:val="20"/>
                <w:szCs w:val="20"/>
              </w:rPr>
              <w:t xml:space="preserve">Mission specifications in NASA and CNSA mission descriptions</w:t>
            </w:r>
          </w:p>
        </w:tc>
      </w:tr>
      <w:tr>
        <w:tc>
          <w:tcPr>
            <w:tcW w:w="0" w:type="auto"/>
          </w:tcPr>
          <w:p>
            <w:pPr>
              <w:spacing w:line="240" w:lineRule="auto" w:before="0" w:after="0"/>
              <w:pStyle w:val="Compact"/>
            </w:pPr>
            <w:r>
              <w:rPr>
                <w:sz w:val="20"/>
                <w:szCs w:val="20"/>
              </w:rPr>
              <w:t xml:space="preserve">instruments_n</w:t>
            </w:r>
          </w:p>
        </w:tc>
        <w:tc>
          <w:tcPr>
            <w:tcW w:w="0" w:type="auto"/>
          </w:tcPr>
          <w:p>
            <w:pPr>
              <w:spacing w:line="240" w:lineRule="auto" w:before="0" w:after="0"/>
              <w:pStyle w:val="Compact"/>
            </w:pPr>
            <w:r>
              <w:rPr>
                <w:sz w:val="20"/>
                <w:szCs w:val="20"/>
              </w:rPr>
              <w:t xml:space="preserve">Count of distinct science instruments in the surface-deployed payload</w:t>
            </w:r>
          </w:p>
        </w:tc>
        <w:tc>
          <w:tcPr>
            <w:tcW w:w="0" w:type="auto"/>
          </w:tcPr>
          <w:p>
            <w:pPr>
              <w:spacing w:line="240" w:lineRule="auto" w:before="0" w:after="0"/>
              <w:pStyle w:val="Compact"/>
            </w:pPr>
            <w:r>
              <w:rPr>
                <w:sz w:val="20"/>
                <w:szCs w:val="20"/>
              </w:rPr>
              <w:t xml:space="preserve">Mission press kits and NSSDCA payload manifests</w:t>
            </w:r>
          </w:p>
        </w:tc>
      </w:tr>
      <w:tr>
        <w:tc>
          <w:tcPr>
            <w:tcW w:w="0" w:type="auto"/>
          </w:tcPr>
          <w:p>
            <w:pPr>
              <w:spacing w:line="240" w:lineRule="auto" w:before="0" w:after="0"/>
              <w:pStyle w:val="Compact"/>
            </w:pPr>
            <w:r>
              <w:rPr>
                <w:sz w:val="20"/>
                <w:szCs w:val="20"/>
              </w:rPr>
              <w:t xml:space="preserve">cost_then_usd_m</w:t>
            </w:r>
          </w:p>
        </w:tc>
        <w:tc>
          <w:tcPr>
            <w:tcW w:w="0" w:type="auto"/>
          </w:tcPr>
          <w:p>
            <w:pPr>
              <w:spacing w:line="240" w:lineRule="auto" w:before="0" w:after="0"/>
              <w:pStyle w:val="Compact"/>
            </w:pPr>
            <w:r>
              <w:rPr>
                <w:sz w:val="20"/>
                <w:szCs w:val="20"/>
              </w:rPr>
              <w:t xml:space="preserve">Then-year reported program cost in millions of US dollars (control variable, not in primary specification)</w:t>
            </w:r>
          </w:p>
        </w:tc>
        <w:tc>
          <w:tcPr>
            <w:tcW w:w="0" w:type="auto"/>
          </w:tcPr>
          <w:p>
            <w:pPr>
              <w:spacing w:line="240" w:lineRule="auto" w:before="0" w:after="0"/>
              <w:pStyle w:val="Compact"/>
            </w:pPr>
            <w:r>
              <w:rPr>
                <w:sz w:val="20"/>
                <w:szCs w:val="20"/>
              </w:rPr>
              <w:t xml:space="preserve">NASA GAO Major Project Assessment reports gao-13-276SP, gao-19-262SP, gao-25-107591 and agency press kits</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Documented source for each row</w:t>
            </w:r>
          </w:p>
        </w:tc>
        <w:tc>
          <w:tcPr>
            <w:tcW w:w="0" w:type="auto"/>
          </w:tcPr>
          <w:p>
            <w:pPr>
              <w:spacing w:line="240" w:lineRule="auto" w:before="0" w:after="0"/>
              <w:pStyle w:val="Compact"/>
            </w:pPr>
            <w:r>
              <w:rPr>
                <w:sz w:val="20"/>
                <w:szCs w:val="20"/>
              </w:rPr>
              <w:t xml:space="preserve">Per-row CSV citation</w:t>
            </w:r>
          </w:p>
        </w:tc>
      </w:tr>
    </w:tbl>
    <w:bookmarkEnd w:id="88"/>
    <w:bookmarkStart w:id="89"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3.4528</w:t>
            </w:r>
          </w:p>
        </w:tc>
        <w:tc>
          <w:tcPr>
            <w:tcW w:w="0" w:type="auto"/>
          </w:tcPr>
          <w:p>
            <w:pPr>
              <w:spacing w:line="240" w:lineRule="auto" w:before="0" w:after="0"/>
              <w:pStyle w:val="Compact"/>
            </w:pPr>
            <w:r>
              <w:rPr>
                <w:sz w:val="20"/>
                <w:szCs w:val="20"/>
              </w:rPr>
              <w:t xml:space="preserve">1.3901</w:t>
            </w:r>
          </w:p>
        </w:tc>
        <w:tc>
          <w:tcPr>
            <w:tcW w:w="0" w:type="auto"/>
          </w:tcPr>
          <w:p>
            <w:pPr>
              <w:spacing w:line="240" w:lineRule="auto" w:before="0" w:after="0"/>
              <w:pStyle w:val="Compact"/>
            </w:pPr>
            <w:r>
              <w:rPr>
                <w:sz w:val="20"/>
                <w:szCs w:val="20"/>
              </w:rPr>
              <w:t xml:space="preserve">2.4839</w:t>
            </w:r>
          </w:p>
        </w:tc>
        <w:tc>
          <w:tcPr>
            <w:tcW w:w="0" w:type="auto"/>
          </w:tcPr>
          <w:p>
            <w:pPr>
              <w:spacing w:line="240" w:lineRule="auto" w:before="0" w:after="0"/>
              <w:pStyle w:val="Compact"/>
            </w:pPr>
            <w:r>
              <w:rPr>
                <w:sz w:val="20"/>
                <w:szCs w:val="20"/>
              </w:rPr>
              <w:t xml:space="preserve">0.013</w:t>
            </w:r>
          </w:p>
        </w:tc>
        <w:tc>
          <w:tcPr>
            <w:tcW w:w="0" w:type="auto"/>
          </w:tcPr>
          <w:p>
            <w:pPr>
              <w:spacing w:line="240" w:lineRule="auto" w:before="0" w:after="0"/>
              <w:pStyle w:val="Compact"/>
            </w:pPr>
            <w:r>
              <w:rPr>
                <w:sz w:val="20"/>
                <w:szCs w:val="20"/>
              </w:rPr>
              <w:t xml:space="preserve">[0.7283, 6.1774]</w:t>
            </w:r>
          </w:p>
        </w:tc>
      </w:tr>
      <w:tr>
        <w:tc>
          <w:tcPr>
            <w:tcW w:w="0" w:type="auto"/>
          </w:tcPr>
          <w:p>
            <w:pPr>
              <w:spacing w:line="240" w:lineRule="auto" w:before="0" w:after="0"/>
              <w:pStyle w:val="Compact"/>
            </w:pPr>
            <w:r>
              <w:rPr>
                <w:sz w:val="20"/>
                <w:szCs w:val="20"/>
              </w:rPr>
              <w:t xml:space="preserve">log_mass</w:t>
            </w:r>
          </w:p>
        </w:tc>
        <w:tc>
          <w:tcPr>
            <w:tcW w:w="0" w:type="auto"/>
          </w:tcPr>
          <w:p>
            <w:pPr>
              <w:spacing w:line="240" w:lineRule="auto" w:before="0" w:after="0"/>
              <w:pStyle w:val="Compact"/>
            </w:pPr>
            <w:r>
              <w:rPr>
                <w:sz w:val="20"/>
                <w:szCs w:val="20"/>
              </w:rPr>
              <w:t xml:space="preserve">-0.4939</w:t>
            </w:r>
          </w:p>
        </w:tc>
        <w:tc>
          <w:tcPr>
            <w:tcW w:w="0" w:type="auto"/>
          </w:tcPr>
          <w:p>
            <w:pPr>
              <w:spacing w:line="240" w:lineRule="auto" w:before="0" w:after="0"/>
              <w:pStyle w:val="Compact"/>
            </w:pPr>
            <w:r>
              <w:rPr>
                <w:sz w:val="20"/>
                <w:szCs w:val="20"/>
              </w:rPr>
              <w:t xml:space="preserve">0.2572</w:t>
            </w:r>
          </w:p>
        </w:tc>
        <w:tc>
          <w:tcPr>
            <w:tcW w:w="0" w:type="auto"/>
          </w:tcPr>
          <w:p>
            <w:pPr>
              <w:spacing w:line="240" w:lineRule="auto" w:before="0" w:after="0"/>
              <w:pStyle w:val="Compact"/>
            </w:pPr>
            <w:r>
              <w:rPr>
                <w:sz w:val="20"/>
                <w:szCs w:val="20"/>
              </w:rPr>
              <w:t xml:space="preserve">-1.9204</w:t>
            </w:r>
          </w:p>
        </w:tc>
        <w:tc>
          <w:tcPr>
            <w:tcW w:w="0" w:type="auto"/>
          </w:tcPr>
          <w:p>
            <w:pPr>
              <w:spacing w:line="240" w:lineRule="auto" w:before="0" w:after="0"/>
              <w:pStyle w:val="Compact"/>
            </w:pPr>
            <w:r>
              <w:rPr>
                <w:sz w:val="20"/>
                <w:szCs w:val="20"/>
              </w:rPr>
              <w:t xml:space="preserve">0.0548</w:t>
            </w:r>
          </w:p>
        </w:tc>
        <w:tc>
          <w:tcPr>
            <w:tcW w:w="0" w:type="auto"/>
          </w:tcPr>
          <w:p>
            <w:pPr>
              <w:spacing w:line="240" w:lineRule="auto" w:before="0" w:after="0"/>
              <w:pStyle w:val="Compact"/>
            </w:pPr>
            <w:r>
              <w:rPr>
                <w:sz w:val="20"/>
                <w:szCs w:val="20"/>
              </w:rPr>
              <w:t xml:space="preserve">[-0.9979, 0.0102]</w:t>
            </w:r>
          </w:p>
        </w:tc>
      </w:tr>
      <w:tr>
        <w:tc>
          <w:tcPr>
            <w:tcW w:w="0" w:type="auto"/>
          </w:tcPr>
          <w:p>
            <w:pPr>
              <w:spacing w:line="240" w:lineRule="auto" w:before="0" w:after="0"/>
              <w:pStyle w:val="Compact"/>
            </w:pPr>
            <w:r>
              <w:rPr>
                <w:sz w:val="20"/>
                <w:szCs w:val="20"/>
              </w:rPr>
              <w:t xml:space="preserve">log_planned</w:t>
            </w:r>
          </w:p>
        </w:tc>
        <w:tc>
          <w:tcPr>
            <w:tcW w:w="0" w:type="auto"/>
          </w:tcPr>
          <w:p>
            <w:pPr>
              <w:spacing w:line="240" w:lineRule="auto" w:before="0" w:after="0"/>
              <w:pStyle w:val="Compact"/>
            </w:pPr>
            <w:r>
              <w:rPr>
                <w:sz w:val="20"/>
                <w:szCs w:val="20"/>
              </w:rPr>
              <w:t xml:space="preserve">1.0311</w:t>
            </w:r>
          </w:p>
        </w:tc>
        <w:tc>
          <w:tcPr>
            <w:tcW w:w="0" w:type="auto"/>
          </w:tcPr>
          <w:p>
            <w:pPr>
              <w:spacing w:line="240" w:lineRule="auto" w:before="0" w:after="0"/>
              <w:pStyle w:val="Compact"/>
            </w:pPr>
            <w:r>
              <w:rPr>
                <w:sz w:val="20"/>
                <w:szCs w:val="20"/>
              </w:rPr>
              <w:t xml:space="preserve">0.226</w:t>
            </w:r>
          </w:p>
        </w:tc>
        <w:tc>
          <w:tcPr>
            <w:tcW w:w="0" w:type="auto"/>
          </w:tcPr>
          <w:p>
            <w:pPr>
              <w:spacing w:line="240" w:lineRule="auto" w:before="0" w:after="0"/>
              <w:pStyle w:val="Compact"/>
            </w:pPr>
            <w:r>
              <w:rPr>
                <w:sz w:val="20"/>
                <w:szCs w:val="20"/>
              </w:rPr>
              <w:t xml:space="preserve">4.5625</w:t>
            </w:r>
          </w:p>
        </w:tc>
        <w:tc>
          <w:tcPr>
            <w:tcW w:w="0" w:type="auto"/>
          </w:tcPr>
          <w:p>
            <w:pPr>
              <w:spacing w:line="240" w:lineRule="auto" w:before="0" w:after="0"/>
              <w:pStyle w:val="Compact"/>
            </w:pPr>
            <w:r>
              <w:rPr>
                <w:sz w:val="20"/>
                <w:szCs w:val="20"/>
              </w:rPr>
              <w:t xml:space="preserve">5.055e-06</w:t>
            </w:r>
          </w:p>
        </w:tc>
        <w:tc>
          <w:tcPr>
            <w:tcW w:w="0" w:type="auto"/>
          </w:tcPr>
          <w:p>
            <w:pPr>
              <w:spacing w:line="240" w:lineRule="auto" w:before="0" w:after="0"/>
              <w:pStyle w:val="Compact"/>
            </w:pPr>
            <w:r>
              <w:rPr>
                <w:sz w:val="20"/>
                <w:szCs w:val="20"/>
              </w:rPr>
              <w:t xml:space="preserve">[0.5882, 1.474]</w:t>
            </w:r>
          </w:p>
        </w:tc>
      </w:tr>
      <w:tr>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0.4262</w:t>
            </w:r>
          </w:p>
        </w:tc>
        <w:tc>
          <w:tcPr>
            <w:tcW w:w="0" w:type="auto"/>
          </w:tcPr>
          <w:p>
            <w:pPr>
              <w:spacing w:line="240" w:lineRule="auto" w:before="0" w:after="0"/>
              <w:pStyle w:val="Compact"/>
            </w:pPr>
            <w:r>
              <w:rPr>
                <w:sz w:val="20"/>
                <w:szCs w:val="20"/>
              </w:rPr>
              <w:t xml:space="preserve">0.7016</w:t>
            </w:r>
          </w:p>
        </w:tc>
        <w:tc>
          <w:tcPr>
            <w:tcW w:w="0" w:type="auto"/>
          </w:tcPr>
          <w:p>
            <w:pPr>
              <w:spacing w:line="240" w:lineRule="auto" w:before="0" w:after="0"/>
              <w:pStyle w:val="Compact"/>
            </w:pPr>
            <w:r>
              <w:rPr>
                <w:sz w:val="20"/>
                <w:szCs w:val="20"/>
              </w:rPr>
              <w:t xml:space="preserve">0.6074</w:t>
            </w:r>
          </w:p>
        </w:tc>
        <w:tc>
          <w:tcPr>
            <w:tcW w:w="0" w:type="auto"/>
          </w:tcPr>
          <w:p>
            <w:pPr>
              <w:spacing w:line="240" w:lineRule="auto" w:before="0" w:after="0"/>
              <w:pStyle w:val="Compact"/>
            </w:pPr>
            <w:r>
              <w:rPr>
                <w:sz w:val="20"/>
                <w:szCs w:val="20"/>
              </w:rPr>
              <w:t xml:space="preserve">0.5436</w:t>
            </w:r>
          </w:p>
        </w:tc>
        <w:tc>
          <w:tcPr>
            <w:tcW w:w="0" w:type="auto"/>
          </w:tcPr>
          <w:p>
            <w:pPr>
              <w:spacing w:line="240" w:lineRule="auto" w:before="0" w:after="0"/>
              <w:pStyle w:val="Compact"/>
            </w:pPr>
            <w:r>
              <w:rPr>
                <w:sz w:val="20"/>
                <w:szCs w:val="20"/>
              </w:rPr>
              <w:t xml:space="preserve">[-0.9489, 1.8012]</w:t>
            </w:r>
          </w:p>
        </w:tc>
      </w:tr>
      <w:tr>
        <w:tc>
          <w:tcPr>
            <w:tcW w:w="0" w:type="auto"/>
          </w:tcPr>
          <w:p>
            <w:pPr>
              <w:spacing w:line="240" w:lineRule="auto" w:before="0" w:after="0"/>
              <w:pStyle w:val="Compact"/>
            </w:pPr>
            <w:r>
              <w:rPr>
                <w:sz w:val="20"/>
                <w:szCs w:val="20"/>
              </w:rPr>
              <w:t xml:space="preserve">instruments_n</w:t>
            </w:r>
          </w:p>
        </w:tc>
        <w:tc>
          <w:tcPr>
            <w:tcW w:w="0" w:type="auto"/>
          </w:tcPr>
          <w:p>
            <w:pPr>
              <w:spacing w:line="240" w:lineRule="auto" w:before="0" w:after="0"/>
              <w:pStyle w:val="Compact"/>
            </w:pPr>
            <w:r>
              <w:rPr>
                <w:sz w:val="20"/>
                <w:szCs w:val="20"/>
              </w:rPr>
              <w:t xml:space="preserve">0.1235</w:t>
            </w:r>
          </w:p>
        </w:tc>
        <w:tc>
          <w:tcPr>
            <w:tcW w:w="0" w:type="auto"/>
          </w:tcPr>
          <w:p>
            <w:pPr>
              <w:spacing w:line="240" w:lineRule="auto" w:before="0" w:after="0"/>
              <w:pStyle w:val="Compact"/>
            </w:pPr>
            <w:r>
              <w:rPr>
                <w:sz w:val="20"/>
                <w:szCs w:val="20"/>
              </w:rPr>
              <w:t xml:space="preserve">0.0996</w:t>
            </w:r>
          </w:p>
        </w:tc>
        <w:tc>
          <w:tcPr>
            <w:tcW w:w="0" w:type="auto"/>
          </w:tcPr>
          <w:p>
            <w:pPr>
              <w:spacing w:line="240" w:lineRule="auto" w:before="0" w:after="0"/>
              <w:pStyle w:val="Compact"/>
            </w:pPr>
            <w:r>
              <w:rPr>
                <w:sz w:val="20"/>
                <w:szCs w:val="20"/>
              </w:rPr>
              <w:t xml:space="preserve">1.2399</w:t>
            </w:r>
          </w:p>
        </w:tc>
        <w:tc>
          <w:tcPr>
            <w:tcW w:w="0" w:type="auto"/>
          </w:tcPr>
          <w:p>
            <w:pPr>
              <w:spacing w:line="240" w:lineRule="auto" w:before="0" w:after="0"/>
              <w:pStyle w:val="Compact"/>
            </w:pPr>
            <w:r>
              <w:rPr>
                <w:sz w:val="20"/>
                <w:szCs w:val="20"/>
              </w:rPr>
              <w:t xml:space="preserve">0.215</w:t>
            </w:r>
          </w:p>
        </w:tc>
        <w:tc>
          <w:tcPr>
            <w:tcW w:w="0" w:type="auto"/>
          </w:tcPr>
          <w:p>
            <w:pPr>
              <w:spacing w:line="240" w:lineRule="auto" w:before="0" w:after="0"/>
              <w:pStyle w:val="Compact"/>
            </w:pPr>
            <w:r>
              <w:rPr>
                <w:sz w:val="20"/>
                <w:szCs w:val="20"/>
              </w:rPr>
              <w:t xml:space="preserve">[-0.0717, 0.3187]</w:t>
            </w:r>
          </w:p>
        </w:tc>
      </w:tr>
    </w:tbl>
    <w:p>
      <w:pPr>
        <w:pStyle w:val="BodyText"/>
      </w:pPr>
      <w:r>
        <w:t xml:space="preserve">Fit: N = 25 R2 = 0.6738 R2_adj = 0.6085 F = 14.1325 F_p = 1.246e-05</w:t>
      </w:r>
    </w:p>
    <w:bookmarkEnd w:id="89"/>
    <w:bookmarkEnd w:id="90"/>
    <w:bookmarkEnd w:id="9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3" Target="media/rId83.png" /><Relationship Type="http://schemas.openxmlformats.org/officeDocument/2006/relationships/hyperlink" Id="rId74" Target="https://doi.org/10.1016/j.actaastro.2016.12.018" TargetMode="External" /><Relationship Type="http://schemas.openxmlformats.org/officeDocument/2006/relationships/hyperlink" Id="rId76" Target="https://doi.org/10.1016/j.actaastro.2018.02.029" TargetMode="External" /><Relationship Type="http://schemas.openxmlformats.org/officeDocument/2006/relationships/hyperlink" Id="rId71" Target="https://doi.org/10.64861/JHKF6115" TargetMode="External" /></Relationships>
</file>

<file path=word/_rels/footnotes.xml.rels><?xml version="1.0" encoding="UTF-8"?><Relationships xmlns="http://schemas.openxmlformats.org/package/2006/relationships"><Relationship Type="http://schemas.openxmlformats.org/officeDocument/2006/relationships/hyperlink" Id="rId74" Target="https://doi.org/10.1016/j.actaastro.2016.12.018" TargetMode="External" /><Relationship Type="http://schemas.openxmlformats.org/officeDocument/2006/relationships/hyperlink" Id="rId76" Target="https://doi.org/10.1016/j.actaastro.2018.02.029" TargetMode="External" /><Relationship Type="http://schemas.openxmlformats.org/officeDocument/2006/relationships/hyperlink" Id="rId71" Target="https://doi.org/10.64861/JHKF611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2026-06-26T16:46:41Z</dcterms:created>
  <dcterms:modified xsi:type="dcterms:W3CDTF">2026-06-26T16:46:41Z</dcterms:modified>
</cp:coreProperties>
</file>

<file path=docProps/custom.xml><?xml version="1.0" encoding="utf-8"?>
<Properties xmlns="http://schemas.openxmlformats.org/officeDocument/2006/custom-properties" xmlns:vt="http://schemas.openxmlformats.org/officeDocument/2006/docPropsVTypes"/>
</file>