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VALUE OF INFORMATION IN MARS ROVER TACTICAL PLANNING: QUANTIFYING THE SCIENCE CO.</w:t>
      </w:r>
    </w:p>
    <w:p>
      <w:pPr>
        <w:jc w:val="center"/>
      </w:pPr>
    </w:p>
    <w:p>
      <w:pPr>
        <w:jc w:val="center"/>
      </w:pPr>
      <w:r>
        <w:rPr>
          <w:rFonts w:ascii="Times New Roman" w:hAnsi="Times New Roman"/>
          <w:sz w:val="24"/>
        </w:rPr>
        <w:t>by</w:t>
      </w:r>
    </w:p>
    <w:p>
      <w:pPr>
        <w:jc w:val="center"/>
      </w:pPr>
      <w:r>
        <w:rPr>
          <w:rFonts w:ascii="Times New Roman" w:hAnsi="Times New Roman"/>
          <w:b/>
          <w:sz w:val="28"/>
        </w:rPr>
        <w:t>Hassan Quinn</w:t>
      </w:r>
    </w:p>
    <w:p>
      <w:pPr>
        <w:jc w:val="center"/>
      </w:pPr>
      <w:r>
        <w:rPr>
          <w:rFonts w:ascii="Times New Roman" w:hAnsi="Times New Roman"/>
          <w:sz w:val="24"/>
        </w:rPr>
        <w:t>1B-MAR-086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A Mars surface mission is, at every sol of its operational life, an exercise in choosing among more candidate scientific actions than its energy, downlink, and time budgets can support. The science team weighs which target to image, which traverse leg to execute, which contact instrument to place, and which observation to defer to a later sol. The result of that deliberation is a tactical plan: a commitment of scarce resources to a small, ordered subset of the candidate actions available that day. Every one of those commitments is, at root, an information-acquisition decision under uncertainty. The team does not yet know which of the candidate targets will deliver the highest scientific return, and it must allocate the day’s envelope before that uncertainty is resolved. This is the central problem this dissertation studies: the tactical allocation of a fixed daily resource envelope across competing information-acquisition actions on a Mars rover, and the measurable gap between what current consensus-driven planning recovers and what a formal value-of-information policy would recover under the identical envelope.</w:t>
      </w:r>
    </w:p>
    <w:p>
      <w:pPr>
        <w:pStyle w:val="BodyText"/>
        <w:spacing w:line="480" w:lineRule="auto"/>
        <w:ind w:firstLine="720"/>
      </w:pPr>
      <w:r>
        <w:t xml:space="preserve">The stakes for NASA and for the Jet Propulsion Laboratory are direct and quantifiable. The Mars Science Laboratory Curiosity rover has executed more than 1,600 cumulative science targets across eight years of surface operations on the way to characterizing Gale crater’s habitability record, and the operations record is sufficiently well archived to permit retrospective analysis of the tactical loop</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same loop has shaped the science return of ChemCam</w:t>
      </w:r>
      <w:r>
        <w:t xml:space="preserve"> </w:t>
      </w:r>
      <w:hyperlink w:anchor="ref-14">
        <w:r>
          <w:rPr>
            <w:rStyle w:val="Hyperlink"/>
          </w:rPr>
          <w:t xml:space="preserve">[14]</w:t>
        </w:r>
      </w:hyperlink>
      <w:r>
        <w:t xml:space="preserve"> </w:t>
      </w:r>
      <w:r>
        <w:t xml:space="preserve">and Mastcam</w:t>
      </w:r>
      <w:r>
        <w:t xml:space="preserve"> </w:t>
      </w:r>
      <w:hyperlink w:anchor="ref-15">
        <w:r>
          <w:rPr>
            <w:rStyle w:val="Hyperlink"/>
          </w:rPr>
          <w:t xml:space="preserve">[15]</w:t>
        </w:r>
      </w:hyperlink>
      <w:r>
        <w:t xml:space="preserve"> </w:t>
      </w:r>
      <w:r>
        <w:t xml:space="preserve">across the campaign. For NASA at the program level, the Government Accountability Office reports a sustained interest in the cost and performance of major science missions including the Mars rovers</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and the agency’s own science economics community has begun to insist that the value of space-derived information be measured rather than presumed</w:t>
      </w:r>
      <w:r>
        <w:t xml:space="preserve"> </w:t>
      </w:r>
      <w:hyperlink w:anchor="ref-5">
        <w:r>
          <w:rPr>
            <w:rStyle w:val="Hyperlink"/>
          </w:rPr>
          <w:t xml:space="preserve">[5]</w:t>
        </w:r>
      </w:hyperlink>
      <w:r>
        <w:t xml:space="preserve">. For JPL at the institutional level, every percentage point of information left on the table by suboptimal tactical allocation is, in expectation, a percentage point of scientific yield that the laboratory has paid for in development cost but failed to harvest in operations. The marginal value of a sol of surface tenure is not free: it has been bought with launch, cruise, entry-descent-and-landing, surface checkout, and sustained ground operations expenditures whose aggregate is on the order of multiple billions of dollars per flagship mission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If the tactical planning loop systematically forgoes recoverable information, that loss aggregates across the campaign in the same units in which the program is financed.</w:t>
      </w:r>
    </w:p>
    <w:p>
      <w:pPr>
        <w:pStyle w:val="BodyText"/>
        <w:spacing w:line="480" w:lineRule="auto"/>
        <w:ind w:firstLine="720"/>
      </w:pPr>
      <w:r>
        <w:t xml:space="preserve">Two empirical anchors quantify the size of the prize that tactical planning is competing for and the rate at which the planning system itself is changing. The cross-mission econometric analysis in the first supporting paper of this dissertation estimates, on a cross-section of 25 successful landed planetary surface missions, that the elasticity of achieved operational sols with respect to planned mission duration is 1.031 with a p-value below one in ten thousand, R-squared 0.674, F statistic 14.13. The dominant publicly observable correlate of how long a planetary surface mission survives is the agency’s programmatic commitment to a planned duration; landed mass enters with a marginal-significance negative conditional sign once that commitment is held constant. The size of the tactical planning prize is therefore largely set at the program-commitment stage, which makes the question of how well the prize is harvested at the daily level all the more consequential. The second supporting paper of this dissertation establishes that the tactical-operations system is not stationary: on the MSL Curiosity record, the per-target downlink cost falls as a log-linear function of cumulative targets with an elasticity of -0.223 (R-squared 0.997), implying a progress ratio of 0.857 such that each doubling of cumulative acquired targets coincides with approximately a 14.3 percent reduction in per-target downlink cost. The cost side of the information functional is therefore declining over time in a measurable, regular way, and a planner that holds the per-action cost fixed will under-allocate observations later in the mission. Both anchors point toward the same place: a planetary tactical planning environment in which the resource envelope is largely programmatic, the per-action cost structure is dynamic, and the rules governing how within-sol allocation is performed have not been subjected to an explicit information-value test.</w:t>
      </w:r>
    </w:p>
    <w:p>
      <w:pPr>
        <w:pStyle w:val="BodyText"/>
        <w:spacing w:line="480" w:lineRule="auto"/>
        <w:ind w:firstLine="720"/>
      </w:pPr>
      <w:r>
        <w:t xml:space="preserve">That last absence is the operational stake of this dissertation. NASA and JPL plan tactical sols through a deliberative human consensus process that is expert, defensible, and effective, and which has been studied directly in rover-analog field tests as a measurable artifact whose outputs can be evaluated against geologic best practice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What that process has never been benchmarked against is a formal information-value-of-collection objective of the kind that the space domain awareness (SDA) sensor tasking literature has developed for the structurally identical problem of allocating a finite observing budget across more candidate targets than can be observed</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Without such a benchmark, neither the program office nor the science operations team can answer a question that matters for every future planetary surface mission the agency funds: how much of the achievable information return does consensus tactical planning recover, and how much does it leave on the table relative to a feasibility-bounded VOI policy operating under the identical envelope,</w:t>
      </w:r>
    </w:p>
    <w:bookmarkEnd w:id="61"/>
    <w:bookmarkStart w:id="62" w:name="X345d8abde825046de8cec856a39866509393309"/>
    <w:p>
      <w:pPr>
        <w:pStyle w:val="Heading2"/>
        <w:spacing w:line="480" w:lineRule="auto"/>
      </w:pPr>
      <w:r>
        <w:t xml:space="preserve">1.2 The Gap Between the Domain Literature and the Econometric and Decision-Theoretic Method Literature</w:t>
      </w:r>
    </w:p>
    <w:p>
      <w:pPr>
        <w:pStyle w:val="FirstParagraph"/>
        <w:spacing w:line="480" w:lineRule="auto"/>
      </w:pPr>
      <w:r>
        <w:t xml:space="preserve">Three distinct literatures bracket the problem this dissertation addresses. None of them closes the gap, and the gap is the dissertation’s reason for being.</w:t>
      </w:r>
    </w:p>
    <w:p>
      <w:pPr>
        <w:pStyle w:val="BodyText"/>
        <w:spacing w:line="480" w:lineRule="auto"/>
        <w:ind w:firstLine="720"/>
      </w:pPr>
      <w:r>
        <w:t xml:space="preserve">The first literature is the SDA sensor tasking literature. It has developed the value of information formalism rigorously for the problem of allocating a finite sensor budget across more resident space objects than can be observed at any one time. Inferential-moment formulations give the value of a tasking decision a precise, computable meaning as the expected reduction in posterior uncertainty under a closed-form information functional</w:t>
      </w:r>
      <w:r>
        <w:t xml:space="preserve"> </w:t>
      </w:r>
      <w:hyperlink w:anchor="ref-1">
        <w:r>
          <w:rPr>
            <w:rStyle w:val="Hyperlink"/>
          </w:rPr>
          <w:t xml:space="preserve">[1]</w:t>
        </w:r>
      </w:hyperlink>
      <w:r>
        <w:t xml:space="preserve">. Reward-function variants incorporate target priority directly into the information functional so that the allocator may favor objects of operational consequence over objects of lower priority at the same nominal information yield</w:t>
      </w:r>
      <w:r>
        <w:t xml:space="preserve"> </w:t>
      </w:r>
      <w:hyperlink w:anchor="ref-3">
        <w:r>
          <w:rPr>
            <w:rStyle w:val="Hyperlink"/>
          </w:rPr>
          <w:t xml:space="preserve">[3]</w:t>
        </w:r>
      </w:hyperlink>
      <w:r>
        <w:t xml:space="preserve">. Sequential extensions cast the problem as a partially observable Markov decision process and compute the value of tasking actions across a planning horizon using tree-search methods that admit formal optimality conditions</w:t>
      </w:r>
      <w:r>
        <w:t xml:space="preserve"> </w:t>
      </w:r>
      <w:hyperlink w:anchor="ref-4">
        <w:r>
          <w:rPr>
            <w:rStyle w:val="Hyperlink"/>
          </w:rPr>
          <w:t xml:space="preserve">[4]</w:t>
        </w:r>
      </w:hyperlink>
      <w:r>
        <w:t xml:space="preserve">. Hypothesis-driven variants extend the framework to event-conditional cases where the operationally relevant question is not merely the reduction of posterior covariance but the resolution of a binary or multi-class hypothesis about the object</w:t>
      </w:r>
      <w:r>
        <w:t xml:space="preserve"> </w:t>
      </w:r>
      <w:hyperlink w:anchor="ref-7">
        <w:r>
          <w:rPr>
            <w:rStyle w:val="Hyperlink"/>
          </w:rPr>
          <w:t xml:space="preserve">[7]</w:t>
        </w:r>
      </w:hyperlink>
      <w:r>
        <w:t xml:space="preserve">. A nearby strand of the same literature explicitly addresses value-of-collection as the driver that lets per-target value structure the task sequence over time across a heterogeneous sensor network</w:t>
      </w:r>
      <w:r>
        <w:t xml:space="preserve"> </w:t>
      </w:r>
      <w:hyperlink w:anchor="ref-2">
        <w:r>
          <w:rPr>
            <w:rStyle w:val="Hyperlink"/>
          </w:rPr>
          <w:t xml:space="preserve">[2]</w:t>
        </w:r>
      </w:hyperlink>
      <w:r>
        <w:t xml:space="preserve">. The methodological apparatus is mature, the assumptions are explicit, and the codebase is in operational use. It has been built, however, exclusively for the orbital-object custody problem. The platform whose budget is being allocated is a ground sensor network or a space-based tasking node, not a mobile platform that consumes its own energy and downlink as it executes the plan, and the targets are resident space objects whose value is set by collision risk and custody, not by geologic context. Architectural studies in the same literature have shown that parallel-computation infrastructure can optimize SSA architectures end-to-end at scale</w:t>
      </w:r>
      <w:r>
        <w:t xml:space="preserve"> </w:t>
      </w:r>
      <w:hyperlink w:anchor="ref-11">
        <w:r>
          <w:rPr>
            <w:rStyle w:val="Hyperlink"/>
          </w:rPr>
          <w:t xml:space="preserve">[11]</w:t>
        </w:r>
      </w:hyperlink>
      <w:r>
        <w:t xml:space="preserve">, and analogous SDA station studies have demonstrated the operational reach of the framework in cislunar settings</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framework is, in short, ready for application to a new platform class. It has not been applied to a planetary surface platform.</w:t>
      </w:r>
    </w:p>
    <w:p>
      <w:pPr>
        <w:pStyle w:val="BodyText"/>
        <w:spacing w:line="480" w:lineRule="auto"/>
        <w:ind w:firstLine="720"/>
      </w:pPr>
      <w:r>
        <w:t xml:space="preserve">The second literature is the planetary tactical operations literature. It has studied the consensus planning loop on real and analog rover missions with rigor and has documented both how tactical plans are built and how their outputs can be measured. The GeoHeuristic Operational Strategies Test (GHOST) series characterizes the reconnaissance planning process as a measurable deliberative product and benchmarks the resulting plan against geologic best practice for habitability assessment</w:t>
      </w:r>
      <w:r>
        <w:t xml:space="preserve"> </w:t>
      </w:r>
      <w:hyperlink w:anchor="ref-6">
        <w:r>
          <w:rPr>
            <w:rStyle w:val="Hyperlink"/>
          </w:rPr>
          <w:t xml:space="preserve">[6]</w:t>
        </w:r>
      </w:hyperlink>
      <w:r>
        <w:t xml:space="preserve">, and a companion GHOST study evaluates sample-selection efficiency under realistic operational constraints and demonstrates that protocol refinement can save tactical sols while increasing science yield</w:t>
      </w:r>
      <w:r>
        <w:t xml:space="preserve"> </w:t>
      </w:r>
      <w:hyperlink w:anchor="ref-8">
        <w:r>
          <w:rPr>
            <w:rStyle w:val="Hyperlink"/>
          </w:rPr>
          <w:t xml:space="preserve">[8]</w:t>
        </w:r>
      </w:hyperlink>
      <w:r>
        <w:t xml:space="preserve">. Mission-overview papers for MSL Curiosity document the realized tactical loop and the science return it produced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instrument-specific operations papers for ChemCam and Mastcam provide per-instrument visibility into the per-target cost structure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Adjacent surface-mobility work for the next decade of lunar and Mars platforms develops path planning algorithms whose objective is feasibility under terrain and resource constraints</w:t>
      </w:r>
      <w:r>
        <w:t xml:space="preserve"> </w:t>
      </w:r>
      <w:hyperlink w:anchor="ref-27">
        <w:r>
          <w:rPr>
            <w:rStyle w:val="Hyperlink"/>
          </w:rPr>
          <w:t xml:space="preserve">[27]</w:t>
        </w:r>
      </w:hyperlink>
      <w:r>
        <w:t xml:space="preserve">,</w:t>
      </w:r>
      <w:r>
        <w:t xml:space="preserve"> </w:t>
      </w:r>
      <w:hyperlink w:anchor="ref-32">
        <w:r>
          <w:rPr>
            <w:rStyle w:val="Hyperlink"/>
          </w:rPr>
          <w:t xml:space="preserve">[32]</w:t>
        </w:r>
      </w:hyperlink>
      <w:r>
        <w:t xml:space="preserve">, and lunar in-situ resource utilization studies have begun to import multi-objective decision-making frameworks for design under uncertainty</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Apollo-derived analyses of astronaut traverse experience offer parallel inputs for future surface mission planning</w:t>
      </w:r>
      <w:r>
        <w:t xml:space="preserve"> </w:t>
      </w:r>
      <w:hyperlink w:anchor="ref-31">
        <w:r>
          <w:rPr>
            <w:rStyle w:val="Hyperlink"/>
          </w:rPr>
          <w:t xml:space="preserve">[31]</w:t>
        </w:r>
      </w:hyperlink>
      <w:r>
        <w:t xml:space="preserve">. What this literature has not done is to formalize the within-sol allocation problem as an explicit information-functional maximization with falsifiable predictions about the gap between the realized plan and a VOI-optimal plan operating under the identical envelope. Tactical planning is studied as a process to be improved by better protocols and better best practices, not as an estimator whose properties can be characterized against a formal information-theoretic reference.</w:t>
      </w:r>
    </w:p>
    <w:p>
      <w:pPr>
        <w:pStyle w:val="BodyText"/>
        <w:spacing w:line="480" w:lineRule="auto"/>
        <w:ind w:firstLine="720"/>
      </w:pPr>
      <w:r>
        <w:t xml:space="preserve">The third literature is the space economics literature. It has insisted, against considerable headwind, that the value of space-derived information must be estimated rather than assumed</w:t>
      </w:r>
      <w:r>
        <w:t xml:space="preserve"> </w:t>
      </w:r>
      <w:hyperlink w:anchor="ref-5">
        <w:r>
          <w:rPr>
            <w:rStyle w:val="Hyperlink"/>
          </w:rPr>
          <w:t xml:space="preserve">[5]</w:t>
        </w:r>
      </w:hyperlink>
      <w:r>
        <w:t xml:space="preserve">, and it has developed end-user perspectives on how value is generated in the New Space Economy from satellite data and downstream solutions</w:t>
      </w:r>
      <w:r>
        <w:t xml:space="preserve"> </w:t>
      </w:r>
      <w:hyperlink w:anchor="ref-28">
        <w:r>
          <w:rPr>
            <w:rStyle w:val="Hyperlink"/>
          </w:rPr>
          <w:t xml:space="preserve">[28]</w:t>
        </w:r>
      </w:hyperlink>
      <w:r>
        <w:t xml:space="preserve">. This literature operates at the level of program, industry, and end-use sector. It has not yet descended to the level of within-sol tactical decisions on a single platform, and it has not produced an estimate of the marginal information value forgone by consensus tactical planning relative to a feasibility-bounded VOI alternative.</w:t>
      </w:r>
    </w:p>
    <w:p>
      <w:pPr>
        <w:pStyle w:val="BodyText"/>
        <w:spacing w:line="480" w:lineRule="auto"/>
        <w:ind w:firstLine="720"/>
      </w:pPr>
      <w:r>
        <w:t xml:space="preserve">The gap, then, is precise. The SDA literature has the method but the wrong platform. The planetary literature has the platform but no method-level VOI benchmark. The space economics literature has the imperative to measure but operates above the tactical loop. No existing work computes the value of information of a Mars rover tactical plan as a sequential decision under a fixed resource envelope, scores both the realized human plan and a VOI-ranked plan under a common information functional, and reports the paired difference as the marginal information value forgone by consensus tactical planning. That specific quantitative comparison is the gap this dissertation closes.</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makes one falsifiable claim. It is stated here in the form that the empirical chapters will test and that the dissertation defense will defend.</w:t>
      </w:r>
    </w:p>
    <w:p>
      <w:pPr>
        <w:pStyle w:val="BodyText"/>
        <w:spacing w:line="480" w:lineRule="auto"/>
        <w:ind w:firstLine="720"/>
      </w:pPr>
      <w:r>
        <w:t xml:space="preserve">Let a tactical sol on the Mars Science Laboratory Curiosity mission be reconstructed from the publicly archived operations record as a tuple consisting of (a) the candidate action set available to the science team that day, including imaging targets, traverse legs, and contact-instrument placements; (b) the energy, downlink, and time cost vector associated with each candidate action; (c) the resource envelope binding the sol; and (d) the realized human-consensus plan that the team executed. Let cumulative information gain delivered by any plan be scored under a fixed information functional adapted from the priority-weighted reward-function formulation of the sensor tasking literature</w:t>
      </w:r>
      <w:r>
        <w:t xml:space="preserve"> </w:t>
      </w:r>
      <w:hyperlink w:anchor="ref-3">
        <w:r>
          <w:rPr>
            <w:rStyle w:val="Hyperlink"/>
          </w:rPr>
          <w:t xml:space="preserve">[3]</w:t>
        </w:r>
      </w:hyperlink>
      <w:r>
        <w:t xml:space="preserve"> </w:t>
      </w:r>
      <w:r>
        <w:t xml:space="preserve">and the value-of-collection formulation that lets per-target value structure task selection over time</w:t>
      </w:r>
      <w:r>
        <w:t xml:space="preserve"> </w:t>
      </w:r>
      <w:hyperlink w:anchor="ref-2">
        <w:r>
          <w:rPr>
            <w:rStyle w:val="Hyperlink"/>
          </w:rPr>
          <w:t xml:space="preserve">[2]</w:t>
        </w:r>
      </w:hyperlink>
      <w:r>
        <w:t xml:space="preserve">, with inferential-moment scoring used wherever closed-form information gain is tractable</w:t>
      </w:r>
      <w:r>
        <w:t xml:space="preserve"> </w:t>
      </w:r>
      <w:hyperlink w:anchor="ref-1">
        <w:r>
          <w:rPr>
            <w:rStyle w:val="Hyperlink"/>
          </w:rPr>
          <w:t xml:space="preserve">[1]</w:t>
        </w:r>
      </w:hyperlink>
      <w:r>
        <w:t xml:space="preserve">. Let the VOI-ranked plan be computed strictly on priors available at the planning epoch, using the POMDP and tree-search apparatus whose optimality conditions are established in the sensor tasking literature</w:t>
      </w:r>
      <w:r>
        <w:t xml:space="preserve"> </w:t>
      </w:r>
      <w:hyperlink w:anchor="ref-4">
        <w:r>
          <w:rPr>
            <w:rStyle w:val="Hyperlink"/>
          </w:rPr>
          <w:t xml:space="preserve">[4]</w:t>
        </w:r>
      </w:hyperlink>
      <w:r>
        <w:t xml:space="preserve">, constrained to the identical resource envelope as the realized human plan and selecting only from the identical candidate action set.</w:t>
      </w:r>
    </w:p>
    <w:p>
      <w:pPr>
        <w:pStyle w:val="BodyText"/>
        <w:spacing w:line="480" w:lineRule="auto"/>
        <w:ind w:firstLine="720"/>
      </w:pPr>
      <w:r>
        <w:t xml:space="preserve">The null hypothesis H0 is that the mean per-sol paired difference in normalized cumulative information gain between the VOI-ranked plan and the realized human plan, across the corpus of reconstructible sols, is less than or equal to zero. The alternative hypothesis H1 is that the mean paired difference is strictly greater than zero. The estimand is a single signed scalar: the marginal cumulative information value, measured under the shared functional, that is forgone by consensus tactical planning relative to a feasibility-bounded VOI policy operating under the identical envelope and candidate set. The test is a paired sign or Wilcoxon test on the per-sol differences with the magnitude reported as the forgone marginal information value named in the dissertation’s title phrase</w:t>
      </w:r>
      <w:r>
        <w:t xml:space="preserve"> </w:t>
      </w:r>
      <w:r>
        <w:t xml:space="preserve">“Quantifying the Science Co[st].”</w:t>
      </w:r>
    </w:p>
    <w:p>
      <w:pPr>
        <w:pStyle w:val="BodyText"/>
        <w:spacing w:line="480" w:lineRule="auto"/>
        <w:ind w:firstLine="720"/>
      </w:pPr>
      <w:r>
        <w:t xml:space="preserve">The claim is falsified in either of two ways. First, if the mean paired difference is not statistically distinguishable from zero across the corpus, the dissertation has produced a null result, and consensus tactical planning is shown to perform as well as the VOI policy on the shared functional under the identical envelope. Second, if the mean paired difference is negative, the dissertation has produced a falsifying result, and consensus tactical planning is shown to outperform the formal VOI policy. Either outcome is reported as published. The single estimand and single sign test discipline the contribution against the trap of producing a suite of loosely related results none of which is individually falsifiable.</w:t>
      </w:r>
    </w:p>
    <w:p>
      <w:pPr>
        <w:pStyle w:val="BodyText"/>
        <w:spacing w:line="480" w:lineRule="auto"/>
        <w:ind w:firstLine="720"/>
      </w:pPr>
      <w:r>
        <w:t xml:space="preserve">The contribution rests on three commitments that make it testable rather than rhetorical. The first commitment is the within-sol paired design, which holds the resource envelope and the candidate action set constant across the two policies, so that the difference in scored information gain is attributable to the ranking policy and not to differences in opportunity. The second commitment is the use of priors strictly available at the planning epoch, which forecloses any hindsight advantage to the VOI solver and mirrors the uninformative-prior discipline used in coordinated tasking</w:t>
      </w:r>
      <w:r>
        <w:t xml:space="preserve"> </w:t>
      </w:r>
      <w:hyperlink w:anchor="ref-4">
        <w:r>
          <w:rPr>
            <w:rStyle w:val="Hyperlink"/>
          </w:rPr>
          <w:t xml:space="preserve">[4]</w:t>
        </w:r>
      </w:hyperlink>
      <w:r>
        <w:t xml:space="preserve">. The third commitment is the use of a public, replayable corpus drawn from the NASA Planetary Data System archives for MSL Curiosity, with provenance recorded per sol, so that any reviewer can audit the candidate action set, the cost vector, the envelope, and the scoring functional on the same data the dissertation uses.</w:t>
      </w:r>
    </w:p>
    <w:bookmarkEnd w:id="63"/>
    <w:bookmarkStart w:id="64" w:name="roadmap-of-the-dissertation"/>
    <w:p>
      <w:pPr>
        <w:pStyle w:val="Heading2"/>
        <w:spacing w:line="480" w:lineRule="auto"/>
      </w:pPr>
      <w:r>
        <w:t xml:space="preserve">1.4 Roadmap of the Dissertation</w:t>
      </w:r>
    </w:p>
    <w:p>
      <w:pPr>
        <w:pStyle w:val="FirstParagraph"/>
        <w:spacing w:line="480" w:lineRule="auto"/>
      </w:pPr>
      <w:r>
        <w:t xml:space="preserve">The dissertation is organized to build the contribution in five further chapters after this one.</w:t>
      </w:r>
    </w:p>
    <w:p>
      <w:pPr>
        <w:pStyle w:val="BodyText"/>
        <w:spacing w:line="480" w:lineRule="auto"/>
        <w:ind w:firstLine="720"/>
      </w:pPr>
      <w:r>
        <w:t xml:space="preserve">Chapter 2 develops the value of information formalism for the Mars tactical planning problem. It begins from the sensor tasking literature’s inferential-moment and reward-function formulations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and the sequential POMDP and tree-search apparatus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and adapts the framework to a mobile platform whose budget is consumed by the execution of the plan rather than by the operation of a separate sensor network. The chapter specifies the information functional that will be used throughout the empirical work and grounds its priority weights in the habitability-reconnaissance value structure validated in the planetary GHOST literature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Chapter 3 reports the cross-mission econometric analysis that establishes the size of the tactical planning prize. It estimates the OLS elasticity of achieved operational sols with respect to landed mass and other publicly archived platform characteristics on a cross-section of 25 successful landed planetary surface missions drawn from the NSSDCA master catalog</w:t>
      </w:r>
      <w:r>
        <w:t xml:space="preserve"> </w:t>
      </w:r>
      <w:hyperlink w:anchor="ref-10">
        <w:r>
          <w:rPr>
            <w:rStyle w:val="Hyperlink"/>
          </w:rPr>
          <w:t xml:space="preserve">[10]</w:t>
        </w:r>
      </w:hyperlink>
      <w:r>
        <w:t xml:space="preserve"> </w:t>
      </w:r>
      <w:r>
        <w:t xml:space="preserve">and the GAO Major Project Assessment series</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The chapter reports the unit-elastic relationship between planned and achieved sols and the marginally significant conditional negative association between landed mass and achieved sols once planned duration is held constant, and it shows why the size of the resource envelope a tactical planner allocates across is dominantly programmatic.</w:t>
      </w:r>
    </w:p>
    <w:p>
      <w:pPr>
        <w:pStyle w:val="BodyText"/>
        <w:spacing w:line="480" w:lineRule="auto"/>
        <w:ind w:firstLine="720"/>
      </w:pPr>
      <w:r>
        <w:t xml:space="preserve">Chapter 4 reports the time-series experience-curve analysis on the MSL Curiosity record from Bradbury Landing through mission year eight. It estimates the log-log elasticity of per-target downlink cost with respect to cumulative targets, draws on the published mission overview and instrument-operations record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and reports the elasticity of -0.223 and progress ratio of 0.857 that anchor the cost side of the information functional for the within-sol analysis.</w:t>
      </w:r>
    </w:p>
    <w:p>
      <w:pPr>
        <w:pStyle w:val="BodyText"/>
        <w:spacing w:line="480" w:lineRule="auto"/>
        <w:ind w:firstLine="720"/>
      </w:pPr>
      <w:r>
        <w:t xml:space="preserve">Chapter 5 reports the central within-sol VOI versus consensus comparison on the reconstructed corpus. It implements the sequential VOI policy using the POMDP and tree-search apparatus</w:t>
      </w:r>
      <w:r>
        <w:t xml:space="preserve"> </w:t>
      </w:r>
      <w:hyperlink w:anchor="ref-4">
        <w:r>
          <w:rPr>
            <w:rStyle w:val="Hyperlink"/>
          </w:rPr>
          <w:t xml:space="preserve">[4]</w:t>
        </w:r>
      </w:hyperlink>
      <w:r>
        <w:t xml:space="preserve"> </w:t>
      </w:r>
      <w:r>
        <w:t xml:space="preserve">under the information functional developed in Chapter 2, scores both the realized human plan and the VOI-ranked plan under the identical envelope and candidate set, and reports the paired difference test of H0 versus H1. The chapter discusses the construct validity of the information functional against alternative weightings, the reconstruction error in the candidate set, the discipline against hindsight advantage to the VOI solver, and the external-validity bounds of a within-mission marginal value.</w:t>
      </w:r>
    </w:p>
    <w:p>
      <w:pPr>
        <w:pStyle w:val="BodyText"/>
        <w:spacing w:line="480" w:lineRule="auto"/>
        <w:ind w:firstLine="720"/>
      </w:pPr>
      <w:r>
        <w:t xml:space="preserve">Chapter 6 concludes by situating the estimated marginal information value forgone by consensus tactical planning within the broader space economics imperative to measure the value of space-derived information</w:t>
      </w:r>
      <w:r>
        <w:t xml:space="preserve"> </w:t>
      </w:r>
      <w:hyperlink w:anchor="ref-5">
        <w:r>
          <w:rPr>
            <w:rStyle w:val="Hyperlink"/>
          </w:rPr>
          <w:t xml:space="preserve">[5]</w:t>
        </w:r>
      </w:hyperlink>
      <w:r>
        <w:t xml:space="preserve">,</w:t>
      </w:r>
      <w:r>
        <w:t xml:space="preserve"> </w:t>
      </w:r>
      <w:hyperlink w:anchor="ref-28">
        <w:r>
          <w:rPr>
            <w:rStyle w:val="Hyperlink"/>
          </w:rPr>
          <w:t xml:space="preserve">[28]</w:t>
        </w:r>
      </w:hyperlink>
      <w:r>
        <w:t xml:space="preserve">, by drawing the operational implications for NASA tactical planning workforce design and for JPL’s program-level science return forecasting, and by laying out the next platforms to which the framework can be ported, including the Mars 2020 Perseverance mission, the next generation of lunar surface platforms, and the upcoming semi-autonomous navigation and path-planning systems whose objective functions can be tied directly to the value of information</w:t>
      </w:r>
      <w:r>
        <w:t xml:space="preserve"> </w:t>
      </w:r>
      <w:hyperlink w:anchor="ref-27">
        <w:r>
          <w:rPr>
            <w:rStyle w:val="Hyperlink"/>
          </w:rPr>
          <w:t xml:space="preserve">[27]</w:t>
        </w:r>
      </w:hyperlink>
      <w:r>
        <w:t xml:space="preserve">,</w:t>
      </w:r>
      <w:r>
        <w:t xml:space="preserve"> </w:t>
      </w:r>
      <w:hyperlink w:anchor="ref-32">
        <w:r>
          <w:rPr>
            <w:rStyle w:val="Hyperlink"/>
          </w:rPr>
          <w:t xml:space="preserve">[32]</w:t>
        </w:r>
      </w:hyperlink>
      <w:r>
        <w:t xml:space="preserve">.</w:t>
      </w:r>
    </w:p>
    <w:p>
      <w:pPr>
        <w:pStyle w:val="BodyText"/>
        <w:spacing w:line="480" w:lineRule="auto"/>
        <w:ind w:firstLine="720"/>
      </w:pPr>
      <w:r>
        <w:t xml:space="preserve">The dissertation closes with a single estimand defended in a single sign test on a public, replayable corpus. That discipline is, in this candidate’s submission, the form a contribution to a doctoral committee in this domain should take.</w:t>
      </w:r>
    </w:p>
    <w:bookmarkEnd w:id="64"/>
    <w:bookmarkEnd w:id="65"/>
    <w:bookmarkStart w:id="87"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The intellectual project of this dissertation requires the joining of two literatures that have, to date, developed in mutual isolation. The first is the technical literature on planetary surface operations and on the formalization of sensor and observation tasking under uncertainty. The second is the empirical-quantitative literature on the measurement of value, cost, and learning in space activity, an applied cliometric and econometric tradition that estimates parameters of space programs from archival records. The two communities address adjacent halves of the same structural problem. The technical community asks how to allocate a scarce observational budget so as to maximize expected information gain. The measurement community asks how large the budget is, what it costs to use, and how its productivity evolves over a mission. Each half is incomplete without the other, and the Mars rover tactical planning problem, which is the empirical setting for this dissertation, sits precisely at their unaddressed intersection.</w:t>
      </w:r>
    </w:p>
    <w:p>
      <w:pPr>
        <w:pStyle w:val="BodyText"/>
        <w:spacing w:line="480" w:lineRule="auto"/>
        <w:ind w:firstLine="720"/>
      </w:pPr>
      <w:r>
        <w:t xml:space="preserve">This chapter reviews each literature on its own terms, identifies where each stops, and articulates the gap that the dissertation will close. Section 2.2 surveys the technical literature on value-of-information (VOI) tasking, drawing principally on the space domain awareness (SDA) sensor-tasking tradition exemplified by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w:t>
      </w:r>
      <w:r>
        <w:t xml:space="preserve"> </w:t>
      </w:r>
      <w:hyperlink w:anchor="ref-7">
        <w:r>
          <w:rPr>
            <w:rStyle w:val="Hyperlink"/>
          </w:rPr>
          <w:t xml:space="preserve">[7]</w:t>
        </w:r>
      </w:hyperlink>
      <w:r>
        <w:t xml:space="preserve">, with adjacent treatments of architectural optimization, scene simulation, and communications infrastructure at</w:t>
      </w:r>
      <w:r>
        <w:t xml:space="preserve"> </w:t>
      </w:r>
      <w:hyperlink w:anchor="ref-11">
        <w:r>
          <w:rPr>
            <w:rStyle w:val="Hyperlink"/>
          </w:rPr>
          <w:t xml:space="preserve">[11]</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Section 2.3 surveys the planetary surface operations literature, anchored on the GeoHeuristic Operational Strategies Test (GHOST) studies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the MSL Curiosity mission overviews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the instrument-level activity papers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with related treatments of mission planning at</w:t>
      </w:r>
      <w:r>
        <w:t xml:space="preserve"> </w:t>
      </w:r>
      <w:hyperlink w:anchor="ref-27">
        <w:r>
          <w:rPr>
            <w:rStyle w:val="Hyperlink"/>
          </w:rPr>
          <w:t xml:space="preserve">[27]</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Section 2.4 turns to the cliometric and econometric methodology literature applicable to space program data, drawing on the space-economics measurement program at</w:t>
      </w:r>
      <w:r>
        <w:t xml:space="preserve"> </w:t>
      </w:r>
      <w:hyperlink w:anchor="ref-5">
        <w:r>
          <w:rPr>
            <w:rStyle w:val="Hyperlink"/>
          </w:rPr>
          <w:t xml:space="preserve">[5]</w:t>
        </w:r>
      </w:hyperlink>
      <w:r>
        <w:t xml:space="preserve">, the value-frame analysis at</w:t>
      </w:r>
      <w:r>
        <w:t xml:space="preserve"> </w:t>
      </w:r>
      <w:hyperlink w:anchor="ref-28">
        <w:r>
          <w:rPr>
            <w:rStyle w:val="Hyperlink"/>
          </w:rPr>
          <w:t xml:space="preserve">[28]</w:t>
        </w:r>
      </w:hyperlink>
      <w:r>
        <w:t xml:space="preserve">, program cost assessments at</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and archival sources at</w:t>
      </w:r>
      <w:r>
        <w:t xml:space="preserve"> </w:t>
      </w:r>
      <w:hyperlink w:anchor="ref-10">
        <w:r>
          <w:rPr>
            <w:rStyle w:val="Hyperlink"/>
          </w:rPr>
          <w:t xml:space="preserve">[10]</w:t>
        </w:r>
      </w:hyperlink>
      <w:r>
        <w:t xml:space="preserve">. Section 2.5 synthesizes the two streams, locates the gap, and frames how the empirical chapters answer it.</w:t>
      </w:r>
    </w:p>
    <w:bookmarkEnd w:id="66"/>
    <w:bookmarkStart w:id="70" w:name="Xe97053cbf9ed48bd49d8ac147bd818658b7a957"/>
    <w:p>
      <w:pPr>
        <w:pStyle w:val="Heading2"/>
        <w:spacing w:line="480" w:lineRule="auto"/>
      </w:pPr>
      <w:r>
        <w:t xml:space="preserve">2.2 The Technical Literature: Value of Information and Observation Tasking</w:t>
      </w:r>
    </w:p>
    <w:bookmarkStart w:id="67" w:name="Xef34bc5fc28906795ce9fed62658f34381c42dc"/>
    <w:p>
      <w:pPr>
        <w:pStyle w:val="Heading3"/>
        <w:spacing w:line="480" w:lineRule="auto"/>
      </w:pPr>
      <w:r>
        <w:t xml:space="preserve">2.2.1 The maturity of the sensor-tasking VOI program</w:t>
      </w:r>
    </w:p>
    <w:p>
      <w:pPr>
        <w:pStyle w:val="FirstParagraph"/>
        <w:spacing w:line="480" w:lineRule="auto"/>
      </w:pPr>
      <w:r>
        <w:t xml:space="preserve">The technical literature most relevant to the planetary tactical problem is the SDA sensor-tasking corpus, which over the last decade has converged on a unified treatment of observation selection as a decision-theoretic problem of maximizing the value of information. Vanslette and Taing</w:t>
      </w:r>
      <w:r>
        <w:t xml:space="preserve"> </w:t>
      </w:r>
      <w:hyperlink w:anchor="ref-1">
        <w:r>
          <w:rPr>
            <w:rStyle w:val="Hyperlink"/>
          </w:rPr>
          <w:t xml:space="preserve">[1]</w:t>
        </w:r>
      </w:hyperlink>
      <w:r>
        <w:t xml:space="preserve"> </w:t>
      </w:r>
      <w:r>
        <w:t xml:space="preserve">develop an inferential-moment formulation in which the reward of a candidate observation is the expected reduction in posterior uncertainty for a conjunction-relevant quantity. Their framing is essentially Bayesian and explicitly information-theoretic: the value of a tasking action is the expected divergence between the posterior obtained if the observation were taken and the prior available at the planning epoch. The contribution is twofold. First, it formalizes</w:t>
      </w:r>
      <w:r>
        <w:t xml:space="preserve"> </w:t>
      </w:r>
      <w:r>
        <w:t xml:space="preserve">“value”</w:t>
      </w:r>
      <w:r>
        <w:t xml:space="preserve"> </w:t>
      </w:r>
      <w:r>
        <w:t xml:space="preserve">as a measurable functional rather than as an analyst preference. Second, it shows that the functional can be computed under closed-form moment expressions for cases in which the underlying state evolution is amenable to Gaussian propagation. The maturity of the formulation is its principal virtue. A planner adopting</w:t>
      </w:r>
      <w:r>
        <w:t xml:space="preserve"> </w:t>
      </w:r>
      <w:hyperlink w:anchor="ref-1">
        <w:r>
          <w:rPr>
            <w:rStyle w:val="Hyperlink"/>
          </w:rPr>
          <w:t xml:space="preserve">[1]</w:t>
        </w:r>
      </w:hyperlink>
      <w:r>
        <w:t xml:space="preserve"> </w:t>
      </w:r>
      <w:r>
        <w:t xml:space="preserve">inherits a defensible objective rather than an ad hoc score.</w:t>
      </w:r>
    </w:p>
    <w:p>
      <w:pPr>
        <w:pStyle w:val="BodyText"/>
        <w:spacing w:line="480" w:lineRule="auto"/>
        <w:ind w:firstLine="720"/>
      </w:pPr>
      <w:r>
        <w:t xml:space="preserve">Gehly and Bennett</w:t>
      </w:r>
      <w:r>
        <w:t xml:space="preserve"> </w:t>
      </w:r>
      <w:hyperlink w:anchor="ref-3">
        <w:r>
          <w:rPr>
            <w:rStyle w:val="Hyperlink"/>
          </w:rPr>
          <w:t xml:space="preserve">[3]</w:t>
        </w:r>
      </w:hyperlink>
      <w:r>
        <w:t xml:space="preserve"> </w:t>
      </w:r>
      <w:r>
        <w:t xml:space="preserve">complement the inferential-moment program by addressing how analyst priorities enter the reward function. Their work demonstrates that target priorities can be incorporated into the information functional as multiplicative weights without compromising its decision-theoretic integrity. This matters for any operational adoption of the VOI formalism because it grounds the question of whether a priority-weighted information score remains coherent under sequential decisions. Gehly and Bennett answer in the affirmative for the SDA setting and provide the templates that any planetary adaptation must respect. Their treatment makes explicit that the priority weights are not a perturbation of the information functional but a structural element of it, since they reflect the analyst’s prior over which states are worth resolving.</w:t>
      </w:r>
    </w:p>
    <w:p>
      <w:pPr>
        <w:pStyle w:val="BodyText"/>
        <w:spacing w:line="480" w:lineRule="auto"/>
        <w:ind w:firstLine="720"/>
      </w:pPr>
      <w:r>
        <w:t xml:space="preserve">Fedeler, Holzinger, and Whitacre</w:t>
      </w:r>
      <w:r>
        <w:t xml:space="preserve"> </w:t>
      </w:r>
      <w:hyperlink w:anchor="ref-4">
        <w:r>
          <w:rPr>
            <w:rStyle w:val="Hyperlink"/>
          </w:rPr>
          <w:t xml:space="preserve">[4]</w:t>
        </w:r>
      </w:hyperlink>
      <w:r>
        <w:t xml:space="preserve"> </w:t>
      </w:r>
      <w:r>
        <w:t xml:space="preserve">extend the program from single-step VOI computation to sequential decision making by casting sensor tasking as a partially observable Markov decision process (POMDP) and demonstrating that tree-search methods can recover near-optimal tasking policies over finite horizons. Their contribution is the most directly portable to the Mars tactical setting, because the rover problem is intrinsically sequential: a sol’s tactical plan is not a single observation but an ordered sequence of actions under cumulative resource consumption. The optimality and application results of</w:t>
      </w:r>
      <w:r>
        <w:t xml:space="preserve"> </w:t>
      </w:r>
      <w:hyperlink w:anchor="ref-4">
        <w:r>
          <w:rPr>
            <w:rStyle w:val="Hyperlink"/>
          </w:rPr>
          <w:t xml:space="preserve">[4]</w:t>
        </w:r>
      </w:hyperlink>
      <w:r>
        <w:t xml:space="preserve"> </w:t>
      </w:r>
      <w:r>
        <w:t xml:space="preserve">establish that the tree-search machinery scales sufficiently to handle realistically sized action sets, and that the POMDP framing accommodates partial observability of underlying state, which becomes essential when the planner’s beliefs about target states are themselves uncertain.</w:t>
      </w:r>
    </w:p>
    <w:p>
      <w:pPr>
        <w:pStyle w:val="BodyText"/>
        <w:spacing w:line="480" w:lineRule="auto"/>
        <w:ind w:firstLine="720"/>
      </w:pPr>
      <w:r>
        <w:t xml:space="preserve">Dagan, Becker, and Sunberg</w:t>
      </w:r>
      <w:r>
        <w:t xml:space="preserve"> </w:t>
      </w:r>
      <w:hyperlink w:anchor="ref-7">
        <w:r>
          <w:rPr>
            <w:rStyle w:val="Hyperlink"/>
          </w:rPr>
          <w:t xml:space="preserve">[7]</w:t>
        </w:r>
      </w:hyperlink>
      <w:r>
        <w:t xml:space="preserve"> </w:t>
      </w:r>
      <w:r>
        <w:t xml:space="preserve">further refine the sequential program through a hypothesis-driven tasking formulation, in which candidate actions are scored by their expected discrimination among competing hypotheses about resident object state. The hypothesis-driven framing is conceptually significant for planetary adaptation: a Mars science team’s tactical deliberation is, in a real sense, a hypothesis-driven enterprise, since each candidate observation is assessed for its capacity to discriminate between geologic interpretations rather than for its marginal contribution to a custody update. Dagan and colleagues show that the hypothesis-driven reward generalizes the inferential-moment formulation of</w:t>
      </w:r>
      <w:r>
        <w:t xml:space="preserve"> </w:t>
      </w:r>
      <w:hyperlink w:anchor="ref-1">
        <w:r>
          <w:rPr>
            <w:rStyle w:val="Hyperlink"/>
          </w:rPr>
          <w:t xml:space="preserve">[1]</w:t>
        </w:r>
      </w:hyperlink>
      <w:r>
        <w:t xml:space="preserve"> </w:t>
      </w:r>
      <w:r>
        <w:t xml:space="preserve">and integrates with the POMDP machinery of</w:t>
      </w:r>
      <w:r>
        <w:t xml:space="preserve"> </w:t>
      </w:r>
      <w:hyperlink w:anchor="ref-4">
        <w:r>
          <w:rPr>
            <w:rStyle w:val="Hyperlink"/>
          </w:rPr>
          <w:t xml:space="preserve">[4]</w:t>
        </w:r>
      </w:hyperlink>
      <w:r>
        <w:t xml:space="preserve">, yielding a sensor-tasking architecture that is both decision-theoretically rigorous and operationally tractable.</w:t>
      </w:r>
    </w:p>
    <w:p>
      <w:pPr>
        <w:pStyle w:val="BodyText"/>
        <w:spacing w:line="480" w:lineRule="auto"/>
        <w:ind w:firstLine="720"/>
      </w:pPr>
      <w:r>
        <w:t xml:space="preserve">Reed and colleagues</w:t>
      </w:r>
      <w:r>
        <w:t xml:space="preserve"> </w:t>
      </w:r>
      <w:hyperlink w:anchor="ref-2">
        <w:r>
          <w:rPr>
            <w:rStyle w:val="Hyperlink"/>
          </w:rPr>
          <w:t xml:space="preserve">[2]</w:t>
        </w:r>
      </w:hyperlink>
      <w:r>
        <w:t xml:space="preserve"> </w:t>
      </w:r>
      <w:r>
        <w:t xml:space="preserve">occupy an adjacent but distinct position in the corpus. Their Blockchain Enabled Space Traffic Awareness (BESTA) framework treats the value of collection for each tracked object as the driver of sensor task allocation over time, and the conceptual contribution is the explicit coupling of per-target value structure to the dynamics of an evolving tasking schedule. For the planetary tactical problem, the relevance is direct: the rover’s candidate observations carry per-target value that is not uniform across the action set, and the information functional must price this heterogeneity over a sequence of sols rather than at an instant.</w:t>
      </w:r>
    </w:p>
    <w:bookmarkEnd w:id="67"/>
    <w:bookmarkStart w:id="68" w:name="X7855607e0ebf70c446933e55602360070706cb0"/>
    <w:p>
      <w:pPr>
        <w:pStyle w:val="Heading3"/>
        <w:spacing w:line="480" w:lineRule="auto"/>
      </w:pPr>
      <w:r>
        <w:t xml:space="preserve">2.2.2 Adjacent contributions in architecture, simulation, and infrastructure</w:t>
      </w:r>
    </w:p>
    <w:p>
      <w:pPr>
        <w:pStyle w:val="FirstParagraph"/>
        <w:spacing w:line="480" w:lineRule="auto"/>
      </w:pPr>
      <w:r>
        <w:t xml:space="preserve">Beyond the core VOI program, several adjacent contributions illuminate the operational context within which information-tasking decisions are made. Felten and colleagues</w:t>
      </w:r>
      <w:r>
        <w:t xml:space="preserve"> </w:t>
      </w:r>
      <w:hyperlink w:anchor="ref-11">
        <w:r>
          <w:rPr>
            <w:rStyle w:val="Hyperlink"/>
          </w:rPr>
          <w:t xml:space="preserve">[11]</w:t>
        </w:r>
      </w:hyperlink>
      <w:r>
        <w:t xml:space="preserve"> </w:t>
      </w:r>
      <w:r>
        <w:t xml:space="preserve">address the optimization of geosynchronous SSA architectures through parallel computation, and although the engineering substance concerns architecture-level design choices, the methodological logic is informative: it treats the cost of an observational architecture as a measurable parameter that can be reduced through systematic search, and it implicitly recognizes that per-unit observational cost may evolve through a learning curve, a point relevant to the cliometric strand reviewed in Section 2.4.</w:t>
      </w:r>
    </w:p>
    <w:p>
      <w:pPr>
        <w:pStyle w:val="BodyText"/>
        <w:spacing w:line="480" w:lineRule="auto"/>
        <w:ind w:firstLine="720"/>
      </w:pPr>
      <w:r>
        <w:t xml:space="preserve">Richtsmeier and colleagues</w:t>
      </w:r>
      <w:r>
        <w:t xml:space="preserve"> </w:t>
      </w:r>
      <w:hyperlink w:anchor="ref-17">
        <w:r>
          <w:rPr>
            <w:rStyle w:val="Hyperlink"/>
          </w:rPr>
          <w:t xml:space="preserve">[17]</w:t>
        </w:r>
      </w:hyperlink>
      <w:r>
        <w:t xml:space="preserve"> </w:t>
      </w:r>
      <w:r>
        <w:t xml:space="preserve">present a long-wave infrared hyperspectral and multispectral scene simulation of Mars, contributing to the technical infrastructure on which any quantitative information-functional treatment of Mars surface observations must eventually rest. The relevance is not their specific use case but their establishment of a rigorous standard for synthetic Mars scene generation. For an information functional defined over candidate Mars surface observations, the question of how to compute expected information gain in advance of the observation depends on the availability of credible forward models of the radiometric and spectral phenomena, and</w:t>
      </w:r>
      <w:r>
        <w:t xml:space="preserve"> </w:t>
      </w:r>
      <w:hyperlink w:anchor="ref-17">
        <w:r>
          <w:rPr>
            <w:rStyle w:val="Hyperlink"/>
          </w:rPr>
          <w:t xml:space="preserve">[17]</w:t>
        </w:r>
      </w:hyperlink>
      <w:r>
        <w:t xml:space="preserve"> </w:t>
      </w:r>
      <w:r>
        <w:t xml:space="preserve">is one anchor in that infrastructure.</w:t>
      </w:r>
    </w:p>
    <w:p>
      <w:pPr>
        <w:pStyle w:val="BodyText"/>
        <w:spacing w:line="480" w:lineRule="auto"/>
        <w:ind w:firstLine="720"/>
      </w:pPr>
      <w:r>
        <w:t xml:space="preserve">Osterman and colleagues</w:t>
      </w:r>
      <w:r>
        <w:t xml:space="preserve"> </w:t>
      </w:r>
      <w:hyperlink w:anchor="ref-18">
        <w:r>
          <w:rPr>
            <w:rStyle w:val="Hyperlink"/>
          </w:rPr>
          <w:t xml:space="preserve">[18]</w:t>
        </w:r>
      </w:hyperlink>
      <w:r>
        <w:t xml:space="preserve"> </w:t>
      </w:r>
      <w:r>
        <w:t xml:space="preserve">and Van Cleve and colleagues</w:t>
      </w:r>
      <w:r>
        <w:t xml:space="preserve"> </w:t>
      </w:r>
      <w:hyperlink w:anchor="ref-22">
        <w:r>
          <w:rPr>
            <w:rStyle w:val="Hyperlink"/>
          </w:rPr>
          <w:t xml:space="preserve">[22]</w:t>
        </w:r>
      </w:hyperlink>
      <w:r>
        <w:t xml:space="preserve"> </w:t>
      </w:r>
      <w:r>
        <w:t xml:space="preserve">address anthropogenic change detection on and near the Moon and the operation of the Shackleton SDA station respectively. Although the targets are lunar rather than Mars-surface, the methodological insight is portable: both treat the value of an observation as a function of its capacity to discriminate among hypotheses about state change in a low-information-yield environment, a structural feature shared with the Mars tactical setting where individual observations contribute marginally to a slowly accumulating geologic understanding.</w:t>
      </w:r>
    </w:p>
    <w:p>
      <w:pPr>
        <w:pStyle w:val="BodyText"/>
        <w:spacing w:line="480" w:lineRule="auto"/>
        <w:ind w:firstLine="720"/>
      </w:pPr>
      <w:r>
        <w:t xml:space="preserve">Geldzahler and colleagues</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w:t>
      </w:r>
      <w:r>
        <w:t xml:space="preserve">address Ka-band observation infrastructure, phased-array antenna architectures for space communication and planetary radar, and high-resolution radar for SSA. The relevance of this thread to the Mars tactical problem lies in the communications-bandwidth side of the resource envelope. Mars surface operations are constrained not only by energy and time but by downlink bandwidth, and the per-target downlink cost is, as established in the dissertation’s experience-curve analysis, a measurable parameter that evolves over a mission. The communications-infrastructure literature is the engineering anchor for that parameter.</w:t>
      </w:r>
    </w:p>
    <w:p>
      <w:pPr>
        <w:pStyle w:val="BodyText"/>
        <w:spacing w:line="480" w:lineRule="auto"/>
        <w:ind w:firstLine="720"/>
      </w:pPr>
      <w:r>
        <w:t xml:space="preserve">Scherbarth and colleagues</w:t>
      </w:r>
      <w:r>
        <w:t xml:space="preserve"> </w:t>
      </w:r>
      <w:hyperlink w:anchor="ref-23">
        <w:r>
          <w:rPr>
            <w:rStyle w:val="Hyperlink"/>
          </w:rPr>
          <w:t xml:space="preserve">[23]</w:t>
        </w:r>
      </w:hyperlink>
      <w:r>
        <w:t xml:space="preserve"> </w:t>
      </w:r>
      <w:r>
        <w:t xml:space="preserve">and Marketos</w:t>
      </w:r>
      <w:r>
        <w:t xml:space="preserve"> </w:t>
      </w:r>
      <w:hyperlink w:anchor="ref-24">
        <w:r>
          <w:rPr>
            <w:rStyle w:val="Hyperlink"/>
          </w:rPr>
          <w:t xml:space="preserve">[24]</w:t>
        </w:r>
      </w:hyperlink>
      <w:r>
        <w:t xml:space="preserve"> </w:t>
      </w:r>
      <w:r>
        <w:t xml:space="preserve">address the DSX mission and the Space Plug-and-Play Avionics standard for collaborative autonomy. These are tangential to the VOI tasking program proper but worth noting because they speak to the systems engineering tradition within which the tasking algorithms are eventually instantiated. The collaborative-autonomy framing in</w:t>
      </w:r>
      <w:r>
        <w:t xml:space="preserve"> </w:t>
      </w:r>
      <w:hyperlink w:anchor="ref-24">
        <w:r>
          <w:rPr>
            <w:rStyle w:val="Hyperlink"/>
          </w:rPr>
          <w:t xml:space="preserve">[24]</w:t>
        </w:r>
      </w:hyperlink>
      <w:r>
        <w:t xml:space="preserve"> </w:t>
      </w:r>
      <w:r>
        <w:t xml:space="preserve">in particular anticipates the broader question of how a tasking algorithm interfaces with a multi-agent operational architecture, a question of growing relevance as planetary surface campaigns move toward multi-rover and rover-orbiter constellations.</w:t>
      </w:r>
    </w:p>
    <w:bookmarkEnd w:id="68"/>
    <w:bookmarkStart w:id="69" w:name="synthesis-of-the-technical-literature"/>
    <w:p>
      <w:pPr>
        <w:pStyle w:val="Heading3"/>
        <w:spacing w:line="480" w:lineRule="auto"/>
      </w:pPr>
      <w:r>
        <w:t xml:space="preserve">2.2.3 Synthesis of the technical literature</w:t>
      </w:r>
    </w:p>
    <w:p>
      <w:pPr>
        <w:pStyle w:val="FirstParagraph"/>
        <w:spacing w:line="480" w:lineRule="auto"/>
      </w:pPr>
      <w:r>
        <w:t xml:space="preserve">The technical literature surveyed in this section has produced, over roughly a decade, a coherent and rigorous decision-theoretic apparatus for selecting observation actions under uncertainty. The apparatus is built on four pillars: (i) information-theoretic reward functionals with closed-form moment expressions where tractable, exemplified by</w:t>
      </w:r>
      <w:r>
        <w:t xml:space="preserve"> </w:t>
      </w:r>
      <w:hyperlink w:anchor="ref-1">
        <w:r>
          <w:rPr>
            <w:rStyle w:val="Hyperlink"/>
          </w:rPr>
          <w:t xml:space="preserve">[1]</w:t>
        </w:r>
      </w:hyperlink>
      <w:r>
        <w:t xml:space="preserve">; (ii) priority-weighted formulations that accommodate analyst preferences without breaking the decision-theoretic structure, as in</w:t>
      </w:r>
      <w:r>
        <w:t xml:space="preserve"> </w:t>
      </w:r>
      <w:hyperlink w:anchor="ref-3">
        <w:r>
          <w:rPr>
            <w:rStyle w:val="Hyperlink"/>
          </w:rPr>
          <w:t xml:space="preserve">[3]</w:t>
        </w:r>
      </w:hyperlink>
      <w:r>
        <w:t xml:space="preserve">; (iii) sequential POMDP and tree-search machinery that handles realistic horizons and action-set cardinalities, as in</w:t>
      </w:r>
      <w:r>
        <w:t xml:space="preserve"> </w:t>
      </w:r>
      <w:hyperlink w:anchor="ref-4">
        <w:r>
          <w:rPr>
            <w:rStyle w:val="Hyperlink"/>
          </w:rPr>
          <w:t xml:space="preserve">[4]</w:t>
        </w:r>
      </w:hyperlink>
      <w:r>
        <w:t xml:space="preserve">; and (iv) hypothesis-driven extensions that align the reward with the discriminatory objectives of the analyst, as in</w:t>
      </w:r>
      <w:r>
        <w:t xml:space="preserve"> </w:t>
      </w:r>
      <w:hyperlink w:anchor="ref-7">
        <w:r>
          <w:rPr>
            <w:rStyle w:val="Hyperlink"/>
          </w:rPr>
          <w:t xml:space="preserve">[7]</w:t>
        </w:r>
      </w:hyperlink>
      <w:r>
        <w:t xml:space="preserve">. The per-target value structure articulated by</w:t>
      </w:r>
      <w:r>
        <w:t xml:space="preserve"> </w:t>
      </w:r>
      <w:hyperlink w:anchor="ref-2">
        <w:r>
          <w:rPr>
            <w:rStyle w:val="Hyperlink"/>
          </w:rPr>
          <w:t xml:space="preserve">[2]</w:t>
        </w:r>
      </w:hyperlink>
      <w:r>
        <w:t xml:space="preserve"> </w:t>
      </w:r>
      <w:r>
        <w:t xml:space="preserve">supplies the fourth element required for application to a multi-target setting in which the value of a sequence of observations depends on the order in which targets are addressed.</w:t>
      </w:r>
    </w:p>
    <w:p>
      <w:pPr>
        <w:pStyle w:val="BodyText"/>
        <w:spacing w:line="480" w:lineRule="auto"/>
        <w:ind w:firstLine="720"/>
      </w:pPr>
      <w:r>
        <w:t xml:space="preserve">The literature has, however, developed almost exclusively within the orbital-object custody problem. The candidate actions are sensor tasks; the targets are resident space objects; the binding resource is sensor time on a ground-based or space-based asset; and the value of an observation is measured against custody, conjunction, or anomaly-detection objectives. The mobile platform problem, in which the platform itself consumes energy, time, and bandwidth as it executes a sequence of observation actions on a planetary surface, is structurally analogous but is not addressed in this body of work. None of</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or</w:t>
      </w:r>
      <w:r>
        <w:t xml:space="preserve"> </w:t>
      </w:r>
      <w:hyperlink w:anchor="ref-7">
        <w:r>
          <w:rPr>
            <w:rStyle w:val="Hyperlink"/>
          </w:rPr>
          <w:t xml:space="preserve">[7]</w:t>
        </w:r>
      </w:hyperlink>
      <w:r>
        <w:t xml:space="preserve"> </w:t>
      </w:r>
      <w:r>
        <w:t xml:space="preserve">is written with a rover in mind, and the candidate-action cost vectors that drive the resource-constrained optimization are not formulated for mobile-platform energy and traverse costs. The portability of the apparatus to the planetary tactical problem is plausible on structural grounds but is not demonstrated in the corpus.</w:t>
      </w:r>
    </w:p>
    <w:bookmarkEnd w:id="69"/>
    <w:bookmarkEnd w:id="70"/>
    <w:bookmarkStart w:id="75" w:name="X2224d8b3848072db14a8904856290aa6c2ccd38"/>
    <w:p>
      <w:pPr>
        <w:pStyle w:val="Heading2"/>
        <w:spacing w:line="480" w:lineRule="auto"/>
      </w:pPr>
      <w:r>
        <w:t xml:space="preserve">2.3 The Planetary Surface Operations Literature</w:t>
      </w:r>
    </w:p>
    <w:bookmarkStart w:id="71" w:name="Xc4ecf9f3f8b766a8e9714ae974dfe71517d1364"/>
    <w:p>
      <w:pPr>
        <w:pStyle w:val="Heading3"/>
        <w:spacing w:line="480" w:lineRule="auto"/>
      </w:pPr>
      <w:r>
        <w:t xml:space="preserve">2.3.1 The GHOST tradition and tactical evaluation</w:t>
      </w:r>
    </w:p>
    <w:p>
      <w:pPr>
        <w:pStyle w:val="FirstParagraph"/>
        <w:spacing w:line="480" w:lineRule="auto"/>
      </w:pPr>
      <w:r>
        <w:t xml:space="preserve">The planetary surface operations literature has, over the last decade, developed a parallel tradition of rigorous tactical evaluation that does not, however, formalize the underlying decision problem as a VOI optimization. The principal body of work is the GHOST series initiated by Yingst and colleagues</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w:t>
      </w:r>
      <w:r>
        <w:t xml:space="preserve">and extended in</w:t>
      </w:r>
      <w:r>
        <w:t xml:space="preserve"> </w:t>
      </w:r>
      <w:hyperlink w:anchor="ref-8">
        <w:r>
          <w:rPr>
            <w:rStyle w:val="Hyperlink"/>
          </w:rPr>
          <w:t xml:space="preserve">[8]</w:t>
        </w:r>
      </w:hyperlink>
      <w:r>
        <w:t xml:space="preserve">,</w:t>
      </w:r>
      <w:r>
        <w:t xml:space="preserve"> </w:t>
      </w:r>
      <w:hyperlink w:anchor="ref-26">
        <w:r>
          <w:rPr>
            <w:rStyle w:val="Hyperlink"/>
          </w:rPr>
          <w:t xml:space="preserve">[26]</w:t>
        </w:r>
      </w:hyperlink>
      <w:r>
        <w:t xml:space="preserve">. The 2016 study</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w:t>
      </w:r>
      <w:r>
        <w:t xml:space="preserve">establishes a controlled rover-analog environment in which a science team evaluates incoming data and iteratively builds the traverse and sampling plan as a deliberative product. The methodological contribution is to treat the realized plan as a measurable artifact whose quality can be assessed after the fact against a geologic benchmark of habitability-reconnaissance potential. The 2018 extension</w:t>
      </w:r>
      <w:r>
        <w:t xml:space="preserve"> </w:t>
      </w:r>
      <w:hyperlink w:anchor="ref-8">
        <w:r>
          <w:rPr>
            <w:rStyle w:val="Hyperlink"/>
          </w:rPr>
          <w:t xml:space="preserve">[8]</w:t>
        </w:r>
      </w:hyperlink>
      <w:r>
        <w:t xml:space="preserve">,</w:t>
      </w:r>
      <w:r>
        <w:t xml:space="preserve"> </w:t>
      </w:r>
      <w:hyperlink w:anchor="ref-26">
        <w:r>
          <w:rPr>
            <w:rStyle w:val="Hyperlink"/>
          </w:rPr>
          <w:t xml:space="preserve">[26]</w:t>
        </w:r>
      </w:hyperlink>
      <w:r>
        <w:t xml:space="preserve"> </w:t>
      </w:r>
      <w:r>
        <w:t xml:space="preserve">tests the efficiency of rover science protocols for robotic sample selection, demonstrating that protocol refinement saves sols by reducing per-target rover time while increasing science yield. This is the empirical anchor for the experience-curve hypothesis examined in the second supporting paper of this dissertation.</w:t>
      </w:r>
    </w:p>
    <w:p>
      <w:pPr>
        <w:pStyle w:val="BodyText"/>
        <w:spacing w:line="480" w:lineRule="auto"/>
        <w:ind w:firstLine="720"/>
      </w:pPr>
      <w:r>
        <w:t xml:space="preserve">The GHOST tradition is methodologically rigorous on its own terms, but it benchmarks against geologic best practice rather than against a computed VOI-optimal action sequence. The science team’s deliberation is treated as the gold standard of tactical quality, and the comparison is between alternative deliberative protocols rather than between the human plan and an information-theoretically optimal counterfactual. As a result, the GHOST corpus establishes that tactical decision quality can be measured and improved, but it does not measure the gap between consensus planning and a decision-theoretic optimum.</w:t>
      </w:r>
    </w:p>
    <w:bookmarkEnd w:id="71"/>
    <w:bookmarkStart w:id="72" w:name="X053042bae348e2c87a3a660eb88c88b9b779004"/>
    <w:p>
      <w:pPr>
        <w:pStyle w:val="Heading3"/>
        <w:spacing w:line="480" w:lineRule="auto"/>
      </w:pPr>
      <w:r>
        <w:t xml:space="preserve">2.3.2 Mission overviews and instrument-level activity records</w:t>
      </w:r>
    </w:p>
    <w:p>
      <w:pPr>
        <w:pStyle w:val="FirstParagraph"/>
        <w:spacing w:line="480" w:lineRule="auto"/>
      </w:pPr>
      <w:r>
        <w:t xml:space="preserve">The MSL Curiosity overview literature provides the operational context within which any quantitative tactical analysis on Mars must be situated. Vasavada</w:t>
      </w:r>
      <w:r>
        <w:t xml:space="preserve"> </w:t>
      </w:r>
      <w:hyperlink w:anchor="ref-12">
        <w:r>
          <w:rPr>
            <w:rStyle w:val="Hyperlink"/>
          </w:rPr>
          <w:t xml:space="preserve">[12]</w:t>
        </w:r>
      </w:hyperlink>
      <w:r>
        <w:t xml:space="preserve"> </w:t>
      </w:r>
      <w:r>
        <w:t xml:space="preserve">presents an authoritative overview of the first eight years of Curiosity surface operations, documenting the cumulative target counts, the campaign-level science return, and the operational rhythms of the tactical planning cycle. The earlier overview by Vasavada and colleagues</w:t>
      </w:r>
      <w:r>
        <w:t xml:space="preserve"> </w:t>
      </w:r>
      <w:hyperlink w:anchor="ref-13">
        <w:r>
          <w:rPr>
            <w:rStyle w:val="Hyperlink"/>
          </w:rPr>
          <w:t xml:space="preserve">[13]</w:t>
        </w:r>
      </w:hyperlink>
      <w:r>
        <w:t xml:space="preserve"> </w:t>
      </w:r>
      <w:r>
        <w:t xml:space="preserve">traces the mission from Bradbury Landing to Yellowknife Bay and establishes the early-mission baseline against which the experience-curve effect documented in the dissertation’s second supporting paper is measured. The instrument-level activity papers by Maurice and colleagues</w:t>
      </w:r>
      <w:r>
        <w:t xml:space="preserve"> </w:t>
      </w:r>
      <w:hyperlink w:anchor="ref-14">
        <w:r>
          <w:rPr>
            <w:rStyle w:val="Hyperlink"/>
          </w:rPr>
          <w:t xml:space="preserve">[14]</w:t>
        </w:r>
      </w:hyperlink>
      <w:r>
        <w:t xml:space="preserve"> </w:t>
      </w:r>
      <w:r>
        <w:t xml:space="preserve">for ChemCam and Bell and colleagues</w:t>
      </w:r>
      <w:r>
        <w:t xml:space="preserve"> </w:t>
      </w:r>
      <w:hyperlink w:anchor="ref-15">
        <w:r>
          <w:rPr>
            <w:rStyle w:val="Hyperlink"/>
          </w:rPr>
          <w:t xml:space="preserve">[15]</w:t>
        </w:r>
      </w:hyperlink>
      <w:r>
        <w:t xml:space="preserve"> </w:t>
      </w:r>
      <w:r>
        <w:t xml:space="preserve">for Mastcam document the per-instrument operations records and provide the data substrate from which per-target cost figures are reconstructed. Together</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supply the empirical record on which any quantitative claim about Mars rover tactical operations must be grounded.</w:t>
      </w:r>
    </w:p>
    <w:bookmarkEnd w:id="72"/>
    <w:bookmarkStart w:id="73" w:name="Xc9191c255219a57ebc01a60adaebc63662d36a9"/>
    <w:p>
      <w:pPr>
        <w:pStyle w:val="Heading3"/>
        <w:spacing w:line="480" w:lineRule="auto"/>
      </w:pPr>
      <w:r>
        <w:t xml:space="preserve">2.3.3 Adjacent contributions in planning, navigation, and human factors</w:t>
      </w:r>
    </w:p>
    <w:p>
      <w:pPr>
        <w:pStyle w:val="FirstParagraph"/>
        <w:spacing w:line="480" w:lineRule="auto"/>
      </w:pPr>
      <w:r>
        <w:t xml:space="preserve">Several adjacent contributions in the planetary operations literature inform the broader context of tactical decision making on extraterrestrial surfaces. Chen and colleagues</w:t>
      </w:r>
      <w:r>
        <w:t xml:space="preserve"> </w:t>
      </w:r>
      <w:hyperlink w:anchor="ref-27">
        <w:r>
          <w:rPr>
            <w:rStyle w:val="Hyperlink"/>
          </w:rPr>
          <w:t xml:space="preserve">[27]</w:t>
        </w:r>
      </w:hyperlink>
      <w:r>
        <w:t xml:space="preserve"> </w:t>
      </w:r>
      <w:r>
        <w:t xml:space="preserve">develop a path-planning algorithm for a South Pole lunar rover mission, and although the planetary context is lunar rather than Martian, the methodological contribution is informative: path planning under terrain uncertainty is a sub-problem of the broader tactical planning question, and</w:t>
      </w:r>
      <w:r>
        <w:t xml:space="preserve"> </w:t>
      </w:r>
      <w:hyperlink w:anchor="ref-27">
        <w:r>
          <w:rPr>
            <w:rStyle w:val="Hyperlink"/>
          </w:rPr>
          <w:t xml:space="preserve">[27]</w:t>
        </w:r>
      </w:hyperlink>
      <w:r>
        <w:t xml:space="preserve"> </w:t>
      </w:r>
      <w:r>
        <w:t xml:space="preserve">establishes algorithmic approaches that the dissertation’s tactical-policy analysis must be aware of when distinguishing information-acquisition decisions from navigation decisions.</w:t>
      </w:r>
    </w:p>
    <w:p>
      <w:pPr>
        <w:pStyle w:val="BodyText"/>
        <w:spacing w:line="480" w:lineRule="auto"/>
        <w:ind w:firstLine="720"/>
      </w:pPr>
      <w:r>
        <w:t xml:space="preserve">Ikeya and colleagues</w:t>
      </w:r>
      <w:r>
        <w:t xml:space="preserve"> </w:t>
      </w:r>
      <w:hyperlink w:anchor="ref-29">
        <w:r>
          <w:rPr>
            <w:rStyle w:val="Hyperlink"/>
          </w:rPr>
          <w:t xml:space="preserve">[29]</w:t>
        </w:r>
      </w:hyperlink>
      <w:r>
        <w:t xml:space="preserve"> </w:t>
      </w:r>
      <w:r>
        <w:t xml:space="preserve">and Malone and colleagues</w:t>
      </w:r>
      <w:r>
        <w:t xml:space="preserve"> </w:t>
      </w:r>
      <w:hyperlink w:anchor="ref-30">
        <w:r>
          <w:rPr>
            <w:rStyle w:val="Hyperlink"/>
          </w:rPr>
          <w:t xml:space="preserve">[30]</w:t>
        </w:r>
      </w:hyperlink>
      <w:r>
        <w:t xml:space="preserve"> </w:t>
      </w:r>
      <w:r>
        <w:t xml:space="preserve">address multi-objective decision making for flexible design and planning of lunar oxygen production facilities and the role of situational awareness in lunar in-situ resource utilization design decisions respectively. These contributions are tangential to the Mars rover tactical problem in their substantive focus but are methodologically informative because they treat planning under uncertainty as a multi-objective problem with explicit decision-theoretic structure. The situational-awareness analysis in</w:t>
      </w:r>
      <w:r>
        <w:t xml:space="preserve"> </w:t>
      </w:r>
      <w:hyperlink w:anchor="ref-30">
        <w:r>
          <w:rPr>
            <w:rStyle w:val="Hyperlink"/>
          </w:rPr>
          <w:t xml:space="preserve">[30]</w:t>
        </w:r>
      </w:hyperlink>
      <w:r>
        <w:t xml:space="preserve"> </w:t>
      </w:r>
      <w:r>
        <w:t xml:space="preserve">in particular reinforces the broader observation that planetary planning problems are increasingly being framed in terms compatible with the VOI program of Section 2.2.</w:t>
      </w:r>
    </w:p>
    <w:p>
      <w:pPr>
        <w:pStyle w:val="BodyText"/>
        <w:spacing w:line="480" w:lineRule="auto"/>
        <w:ind w:firstLine="720"/>
      </w:pPr>
      <w:r>
        <w:t xml:space="preserve">Iqbal and colleagues</w:t>
      </w:r>
      <w:r>
        <w:t xml:space="preserve"> </w:t>
      </w:r>
      <w:hyperlink w:anchor="ref-31">
        <w:r>
          <w:rPr>
            <w:rStyle w:val="Hyperlink"/>
          </w:rPr>
          <w:t xml:space="preserve">[31]</w:t>
        </w:r>
      </w:hyperlink>
      <w:r>
        <w:t xml:space="preserve"> </w:t>
      </w:r>
      <w:r>
        <w:t xml:space="preserve">analyze slopes along Apollo extravehicular activities and treat astronaut experience as input for future mission planning. The methodological logic of using realized operational records to inform future planning decisions is precisely the logic that this dissertation extends to the Mars rover case. Zurria and colleagues</w:t>
      </w:r>
      <w:r>
        <w:t xml:space="preserve"> </w:t>
      </w:r>
      <w:hyperlink w:anchor="ref-32">
        <w:r>
          <w:rPr>
            <w:rStyle w:val="Hyperlink"/>
          </w:rPr>
          <w:t xml:space="preserve">[32]</w:t>
        </w:r>
      </w:hyperlink>
      <w:r>
        <w:t xml:space="preserve"> </w:t>
      </w:r>
      <w:r>
        <w:t xml:space="preserve">present a preliminary design and performance assessment of a semi-autonomous global navigation satellite system on Mars, contributing to the broader infrastructure question of how rover position uncertainty propagates through tactical planning decisions, a sub-problem that is structurally similar to the state-uncertainty propagation addressed in the SDA VOI literature.</w:t>
      </w:r>
    </w:p>
    <w:bookmarkEnd w:id="73"/>
    <w:bookmarkStart w:id="74" w:name="Xd5d8e0b25d56660c3ab15e1e6da1c73812f8bd2"/>
    <w:p>
      <w:pPr>
        <w:pStyle w:val="Heading3"/>
        <w:spacing w:line="480" w:lineRule="auto"/>
      </w:pPr>
      <w:r>
        <w:t xml:space="preserve">2.3.4 Synthesis of the planetary operations literature</w:t>
      </w:r>
    </w:p>
    <w:p>
      <w:pPr>
        <w:pStyle w:val="FirstParagraph"/>
        <w:spacing w:line="480" w:lineRule="auto"/>
      </w:pPr>
      <w:r>
        <w:t xml:space="preserve">The planetary surface operations literature has, like the technical VOI literature reviewed in Section 2.2, developed a coherent and rigorous tradition, but the two traditions have not been joined. The GHOST corpus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w:t>
      </w:r>
      <w:r>
        <w:t xml:space="preserve">establishes the empirical methodology for tactical evaluation and documents that protocol refinement produces measurable efficiency gains. The MSL Curiosity overview corpus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documents the realized operational record at the level of detail necessary for quantitative analysis. The adjacent contributions in planning and navigation</w:t>
      </w:r>
      <w:r>
        <w:t xml:space="preserve"> </w:t>
      </w:r>
      <w:hyperlink w:anchor="ref-27">
        <w:r>
          <w:rPr>
            <w:rStyle w:val="Hyperlink"/>
          </w:rPr>
          <w:t xml:space="preserve">[27]</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w:t>
      </w:r>
      <w:r>
        <w:t xml:space="preserve">illustrate that planetary planning is increasingly being framed in multi-objective decision-theoretic terms.</w:t>
      </w:r>
    </w:p>
    <w:p>
      <w:pPr>
        <w:pStyle w:val="BodyText"/>
        <w:spacing w:line="480" w:lineRule="auto"/>
        <w:ind w:firstLine="720"/>
      </w:pPr>
      <w:r>
        <w:t xml:space="preserve">What the planetary operations literature does not do is impose an explicit information-functional objective on the tactical plan, treat the realized plan as a candidate solution to a decision-theoretic optimization problem, or compute the gap between the realized plan and a VOI-optimal counterfactual. The closest the literature comes is the protocol-efficiency analysis of</w:t>
      </w:r>
      <w:r>
        <w:t xml:space="preserve"> </w:t>
      </w:r>
      <w:hyperlink w:anchor="ref-8">
        <w:r>
          <w:rPr>
            <w:rStyle w:val="Hyperlink"/>
          </w:rPr>
          <w:t xml:space="preserve">[8]</w:t>
        </w:r>
      </w:hyperlink>
      <w:r>
        <w:t xml:space="preserve">,</w:t>
      </w:r>
      <w:r>
        <w:t xml:space="preserve"> </w:t>
      </w:r>
      <w:hyperlink w:anchor="ref-26">
        <w:r>
          <w:rPr>
            <w:rStyle w:val="Hyperlink"/>
          </w:rPr>
          <w:t xml:space="preserve">[26]</w:t>
        </w:r>
      </w:hyperlink>
      <w:r>
        <w:t xml:space="preserve">, which measures improvements in per-target efficiency through protocol refinement but does not formalize the per-target value structure that the SDA literature has standardized. The two literatures together cover the necessary methodological territory, but neither alone supports the empirical claim that the dissertation pursues.</w:t>
      </w:r>
    </w:p>
    <w:bookmarkEnd w:id="74"/>
    <w:bookmarkEnd w:id="75"/>
    <w:bookmarkStart w:id="80" w:name="X07fe73e594277fc276c6392b9242153367417e1"/>
    <w:p>
      <w:pPr>
        <w:pStyle w:val="Heading2"/>
        <w:spacing w:line="480" w:lineRule="auto"/>
      </w:pPr>
      <w:r>
        <w:t xml:space="preserve">2.4 The Cliometric and Econometric Methodology Literature</w:t>
      </w:r>
    </w:p>
    <w:bookmarkStart w:id="76" w:name="Xd197c0355f4ee4b3750d7bdf1080a6705140504"/>
    <w:p>
      <w:pPr>
        <w:pStyle w:val="Heading3"/>
        <w:spacing w:line="480" w:lineRule="auto"/>
      </w:pPr>
      <w:r>
        <w:t xml:space="preserve">2.4.1 The measurement program in space economics</w:t>
      </w:r>
    </w:p>
    <w:p>
      <w:pPr>
        <w:pStyle w:val="FirstParagraph"/>
        <w:spacing w:line="480" w:lineRule="auto"/>
      </w:pPr>
      <w:r>
        <w:t xml:space="preserve">The cliometric and econometric strand most directly relevant to the dissertation is the program for measuring economic activity in and for space. The OCEA contribution</w:t>
      </w:r>
      <w:r>
        <w:t xml:space="preserve"> </w:t>
      </w:r>
      <w:hyperlink w:anchor="ref-5">
        <w:r>
          <w:rPr>
            <w:rStyle w:val="Hyperlink"/>
          </w:rPr>
          <w:t xml:space="preserve">[5]</w:t>
        </w:r>
      </w:hyperlink>
      <w:r>
        <w:t xml:space="preserve"> </w:t>
      </w:r>
      <w:r>
        <w:t xml:space="preserve">is the canonical statement of the measurement problem: the value of scientific and economic activity in space is not assumed, it is estimated from archival records using methods adapted from the broader economic-measurement tradition. The methodological commitment of</w:t>
      </w:r>
      <w:r>
        <w:t xml:space="preserve"> </w:t>
      </w:r>
      <w:hyperlink w:anchor="ref-5">
        <w:r>
          <w:rPr>
            <w:rStyle w:val="Hyperlink"/>
          </w:rPr>
          <w:t xml:space="preserve">[5]</w:t>
        </w:r>
      </w:hyperlink>
      <w:r>
        <w:t xml:space="preserve"> </w:t>
      </w:r>
      <w:r>
        <w:t xml:space="preserve">is to treat platform-side parameters, program-side commitments, and end-user value structures as estimable quantities rather than as fixed inputs. This methodological commitment is precisely what the dissertation extends to the within-mission tactical level. The cross-mission resource-envelope analysis in the dissertation’s first supporting paper estimates a mass elasticity of achieved sols using the same methodological discipline that</w:t>
      </w:r>
      <w:r>
        <w:t xml:space="preserve"> </w:t>
      </w:r>
      <w:hyperlink w:anchor="ref-5">
        <w:r>
          <w:rPr>
            <w:rStyle w:val="Hyperlink"/>
          </w:rPr>
          <w:t xml:space="preserve">[5]</w:t>
        </w:r>
      </w:hyperlink>
      <w:r>
        <w:t xml:space="preserve"> </w:t>
      </w:r>
      <w:r>
        <w:t xml:space="preserve">applies at the program and industry levels.</w:t>
      </w:r>
    </w:p>
    <w:p>
      <w:pPr>
        <w:pStyle w:val="BodyText"/>
        <w:spacing w:line="480" w:lineRule="auto"/>
        <w:ind w:firstLine="720"/>
      </w:pPr>
      <w:r>
        <w:t xml:space="preserve">Paravano and colleagues</w:t>
      </w:r>
      <w:r>
        <w:t xml:space="preserve"> </w:t>
      </w:r>
      <w:hyperlink w:anchor="ref-28">
        <w:r>
          <w:rPr>
            <w:rStyle w:val="Hyperlink"/>
          </w:rPr>
          <w:t xml:space="preserve">[28]</w:t>
        </w:r>
      </w:hyperlink>
      <w:r>
        <w:t xml:space="preserve"> </w:t>
      </w:r>
      <w:r>
        <w:t xml:space="preserve">sharpen the value-measurement program by analyzing what value means in the new space economy from the end-users’ perspective on satellite data and solutions. The contribution is methodologically significant because it demonstrates that the value structure on the demand side of space-derived information is itself heterogeneous and estimable, and that the value functions used to drive resource-allocation decisions must be calibrated to the end-user value structures rather than imposed from the platform side. For the Mars tactical problem, the analogous discipline is to anchor the information functional’s priority weights to the value structure of the scientific community that consumes the data, rather than to impose an analyst-side weighting that may not match the realized value of the observations.</w:t>
      </w:r>
    </w:p>
    <w:bookmarkEnd w:id="76"/>
    <w:bookmarkStart w:id="77" w:name="X15d81b341aa2e4c8c7370a6cfab0fae8e65ee51"/>
    <w:p>
      <w:pPr>
        <w:pStyle w:val="Heading3"/>
        <w:spacing w:line="480" w:lineRule="auto"/>
      </w:pPr>
      <w:r>
        <w:t xml:space="preserve">2.4.2 Program cost assessment and the archival record</w:t>
      </w:r>
    </w:p>
    <w:p>
      <w:pPr>
        <w:pStyle w:val="FirstParagraph"/>
        <w:spacing w:line="480" w:lineRule="auto"/>
      </w:pPr>
      <w:r>
        <w:t xml:space="preserve">The Government Accountability Office’s series of NASA Major Project Assessments</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w:t>
      </w:r>
      <w:r>
        <w:t xml:space="preserve">supplies the program-level cost record that any cliometric analysis of planetary mission economics must engage. GAO-25-107591</w:t>
      </w:r>
      <w:r>
        <w:t xml:space="preserve"> </w:t>
      </w:r>
      <w:hyperlink w:anchor="ref-9">
        <w:r>
          <w:rPr>
            <w:rStyle w:val="Hyperlink"/>
          </w:rPr>
          <w:t xml:space="preserve">[9]</w:t>
        </w:r>
      </w:hyperlink>
      <w:r>
        <w:t xml:space="preserve"> </w:t>
      </w:r>
      <w:r>
        <w:t xml:space="preserve">is the most recent in the series and provides the methodological template for cost-baseline reconstruction across NASA’s major projects, including the Mars program. The earlier assessments referenced in</w:t>
      </w:r>
      <w:r>
        <w:t xml:space="preserve"> </w:t>
      </w:r>
      <w:hyperlink w:anchor="ref-16">
        <w:r>
          <w:rPr>
            <w:rStyle w:val="Hyperlink"/>
          </w:rPr>
          <w:t xml:space="preserve">[16]</w:t>
        </w:r>
      </w:hyperlink>
      <w:r>
        <w:t xml:space="preserve"> </w:t>
      </w:r>
      <w:r>
        <w:t xml:space="preserve">(GAO-19-262SP and GAO-21-306) document the cost trajectories of MSL Curiosity and Mars 2020 Perseverance over the course of their development and early operations. The methodological discipline of the GAO series is to treat cost as a measurable parameter that evolves over a project’s life cycle, with explicit baselines, variances, and decompositions. This discipline is the program-level analog of the within-mission cost analysis that the dissertation’s experience-curve paper applies to per-target downlink cost.</w:t>
      </w:r>
    </w:p>
    <w:p>
      <w:pPr>
        <w:pStyle w:val="BodyText"/>
        <w:spacing w:line="480" w:lineRule="auto"/>
        <w:ind w:firstLine="720"/>
      </w:pPr>
      <w:r>
        <w:t xml:space="preserve">The NSSDCA Master Catalog</w:t>
      </w:r>
      <w:r>
        <w:t xml:space="preserve"> </w:t>
      </w:r>
      <w:hyperlink w:anchor="ref-10">
        <w:r>
          <w:rPr>
            <w:rStyle w:val="Hyperlink"/>
          </w:rPr>
          <w:t xml:space="preserve">[10]</w:t>
        </w:r>
      </w:hyperlink>
      <w:r>
        <w:t xml:space="preserve"> </w:t>
      </w:r>
      <w:r>
        <w:t xml:space="preserve">supplies the archival anchor for cross-mission analysis. The catalog’s mission entries for Viking, Mars Pathfinder, Sojourner, Spirit, Opportunity, Phoenix, and the Surveyor and Lunokhod series document landed mass, planned mission duration, achieved surface tenure, instrument count, and power class with sufficient precision to support the OLS estimation reported in the dissertation’s first supporting paper. The catalog is not a methodological contribution in the cliometric sense, but it is the indispensable archival substrate on which the empirical analysis rests.</w:t>
      </w:r>
    </w:p>
    <w:bookmarkEnd w:id="77"/>
    <w:bookmarkStart w:id="78" w:name="X3ce4c178a60f0db406a1eb06493415ac09c55e6"/>
    <w:p>
      <w:pPr>
        <w:pStyle w:val="Heading3"/>
        <w:spacing w:line="480" w:lineRule="auto"/>
      </w:pPr>
      <w:r>
        <w:t xml:space="preserve">2.4.3 Learning-curve and experience-curve methodology</w:t>
      </w:r>
    </w:p>
    <w:p>
      <w:pPr>
        <w:pStyle w:val="FirstParagraph"/>
        <w:spacing w:line="480" w:lineRule="auto"/>
      </w:pPr>
      <w:r>
        <w:t xml:space="preserve">The experience-curve tradition is the second methodological pillar of the cliometric strand engaged by this dissertation. The classical experience-curve formulation, articulated in the broader industrial economics literature and adapted to space-system cost analysis in</w:t>
      </w:r>
      <w:r>
        <w:t xml:space="preserve"> </w:t>
      </w:r>
      <w:hyperlink w:anchor="ref-11">
        <w:r>
          <w:rPr>
            <w:rStyle w:val="Hyperlink"/>
          </w:rPr>
          <w:t xml:space="preserve">[11]</w:t>
        </w:r>
      </w:hyperlink>
      <w:r>
        <w:t xml:space="preserve">, holds that unit cost in a repetitive production system declines as a log-linear function of cumulative units produced. The relevance to the Mars tactical problem is that the per-target downlink cost on a rover mission is, in this framing, a unit cost in a repetitive production system whose unit is one acquired target. The application of the experience-curve methodology to MSL Curiosity reported in the dissertation’s second supporting paper estimates an elasticity of negative 0.223 and a progress ratio of approximately 0.857, parameters that are interpretable within the experience-curve tradition and that are quantitatively comparable to learning rates reported in adjacent space and high-technology settings.</w:t>
      </w:r>
    </w:p>
    <w:p>
      <w:pPr>
        <w:pStyle w:val="BodyText"/>
        <w:spacing w:line="480" w:lineRule="auto"/>
        <w:ind w:firstLine="720"/>
      </w:pPr>
      <w:r>
        <w:t xml:space="preserve">The methodological strength of the experience-curve approach is that it places minimal structure on the underlying production process while extracting a single, interpretable parameter from the archival record. The methodological weakness, as the cliometric literature acknowledges, is that the experience-curve elasticity can absorb confounding influences that are not strictly learning effects, including organizational maturation, mission-phase shifts, and changes in the binding resource. The dissertation’s second supporting paper addresses this weakness through quarterly aggregation and through explicit discussion of the alternative drivers, but the methodological vulnerability is inherited from the broader tradition.</w:t>
      </w:r>
    </w:p>
    <w:bookmarkEnd w:id="78"/>
    <w:bookmarkStart w:id="79" w:name="Xb600bdc7ed06a356d18f6398c0c7c03effe2a4b"/>
    <w:p>
      <w:pPr>
        <w:pStyle w:val="Heading3"/>
        <w:spacing w:line="480" w:lineRule="auto"/>
      </w:pPr>
      <w:r>
        <w:t xml:space="preserve">2.4.4 Synthesis of the cliometric and econometric literature</w:t>
      </w:r>
    </w:p>
    <w:p>
      <w:pPr>
        <w:pStyle w:val="FirstParagraph"/>
        <w:spacing w:line="480" w:lineRule="auto"/>
      </w:pPr>
      <w:r>
        <w:t xml:space="preserve">The cliometric and econometric literature surveyed in this section supplies the methodological apparatus for measuring program-level and mission-level parameters of space activity. The OCEA measurement program</w:t>
      </w:r>
      <w:r>
        <w:t xml:space="preserve"> </w:t>
      </w:r>
      <w:hyperlink w:anchor="ref-5">
        <w:r>
          <w:rPr>
            <w:rStyle w:val="Hyperlink"/>
          </w:rPr>
          <w:t xml:space="preserve">[5]</w:t>
        </w:r>
      </w:hyperlink>
      <w:r>
        <w:t xml:space="preserve"> </w:t>
      </w:r>
      <w:r>
        <w:t xml:space="preserve">is the conceptual anchor; the end-user value analysis at</w:t>
      </w:r>
      <w:r>
        <w:t xml:space="preserve"> </w:t>
      </w:r>
      <w:hyperlink w:anchor="ref-28">
        <w:r>
          <w:rPr>
            <w:rStyle w:val="Hyperlink"/>
          </w:rPr>
          <w:t xml:space="preserve">[28]</w:t>
        </w:r>
      </w:hyperlink>
      <w:r>
        <w:t xml:space="preserve"> </w:t>
      </w:r>
      <w:r>
        <w:t xml:space="preserve">sharpens the demand-side calibration of value functions; the GAO assessments</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w:t>
      </w:r>
      <w:r>
        <w:t xml:space="preserve">supply the program-cost record; the NSSDCA catalog</w:t>
      </w:r>
      <w:r>
        <w:t xml:space="preserve"> </w:t>
      </w:r>
      <w:hyperlink w:anchor="ref-10">
        <w:r>
          <w:rPr>
            <w:rStyle w:val="Hyperlink"/>
          </w:rPr>
          <w:t xml:space="preserve">[10]</w:t>
        </w:r>
      </w:hyperlink>
      <w:r>
        <w:t xml:space="preserve"> </w:t>
      </w:r>
      <w:r>
        <w:t xml:space="preserve">anchors the cross-mission archival substrate; and the experience-curve methodology applied in</w:t>
      </w:r>
      <w:r>
        <w:t xml:space="preserve"> </w:t>
      </w:r>
      <w:hyperlink w:anchor="ref-11">
        <w:r>
          <w:rPr>
            <w:rStyle w:val="Hyperlink"/>
          </w:rPr>
          <w:t xml:space="preserve">[11]</w:t>
        </w:r>
      </w:hyperlink>
      <w:r>
        <w:t xml:space="preserve"> </w:t>
      </w:r>
      <w:r>
        <w:t xml:space="preserve">supplies the within-mission cost-evolution framework. Together, these contributions establish that the relevant parameters of planetary mission operations, including the size of the resource envelope, the rate of cost evolution within a mission, and the structure of demand-side value, are estimable from publicly available records using methods adapted from the broader cliometric and econometric tradition.</w:t>
      </w:r>
    </w:p>
    <w:p>
      <w:pPr>
        <w:pStyle w:val="BodyText"/>
        <w:spacing w:line="480" w:lineRule="auto"/>
        <w:ind w:firstLine="720"/>
      </w:pPr>
      <w:r>
        <w:t xml:space="preserve">What the cliometric literature does not do is apply these methods at the level of within-sol tactical decisions. The measurement program of</w:t>
      </w:r>
      <w:r>
        <w:t xml:space="preserve"> </w:t>
      </w:r>
      <w:hyperlink w:anchor="ref-5">
        <w:r>
          <w:rPr>
            <w:rStyle w:val="Hyperlink"/>
          </w:rPr>
          <w:t xml:space="preserve">[5]</w:t>
        </w:r>
      </w:hyperlink>
      <w:r>
        <w:t xml:space="preserve"> </w:t>
      </w:r>
      <w:r>
        <w:t xml:space="preserve">and the value analysis of</w:t>
      </w:r>
      <w:r>
        <w:t xml:space="preserve"> </w:t>
      </w:r>
      <w:hyperlink w:anchor="ref-28">
        <w:r>
          <w:rPr>
            <w:rStyle w:val="Hyperlink"/>
          </w:rPr>
          <w:t xml:space="preserve">[28]</w:t>
        </w:r>
      </w:hyperlink>
      <w:r>
        <w:t xml:space="preserve"> </w:t>
      </w:r>
      <w:r>
        <w:t xml:space="preserve">operate at the program and industry levels. The GAO assessments</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w:t>
      </w:r>
      <w:r>
        <w:t xml:space="preserve">operate at the project level. The experience-curve methodology has been applied to platform-level production but not to within-mission tactical operations at the level of individual sol decisions. The methodological apparatus exists; its application to the Mars rover tactical problem is the dissertation’s contribution.</w:t>
      </w:r>
    </w:p>
    <w:bookmarkEnd w:id="79"/>
    <w:bookmarkEnd w:id="80"/>
    <w:bookmarkStart w:id="86" w:name="synthesis-and-identification-of-the-gap"/>
    <w:p>
      <w:pPr>
        <w:pStyle w:val="Heading2"/>
        <w:spacing w:line="480" w:lineRule="auto"/>
      </w:pPr>
      <w:r>
        <w:t xml:space="preserve">2.5 Synthesis and Identification of the Gap</w:t>
      </w:r>
    </w:p>
    <w:bookmarkStart w:id="81" w:name="X33a8f1447b4505194a9e9b448466a842be5991c"/>
    <w:p>
      <w:pPr>
        <w:pStyle w:val="Heading3"/>
        <w:spacing w:line="480" w:lineRule="auto"/>
      </w:pPr>
      <w:r>
        <w:t xml:space="preserve">2.5.1 The structural complementarity of the two literatures</w:t>
      </w:r>
    </w:p>
    <w:p>
      <w:pPr>
        <w:pStyle w:val="FirstParagraph"/>
        <w:spacing w:line="480" w:lineRule="auto"/>
      </w:pPr>
      <w:r>
        <w:t xml:space="preserve">The two bodies of work reviewed in this chapter address adjacent halves of a single problem. The technical VOI literature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w:t>
      </w:r>
      <w:r>
        <w:t xml:space="preserve">supplies a rigorous decision-theoretic apparatus for selecting observation actions under uncertainty, with the reward function defined as an information-theoretic functional weighted by analyst priorities and the action sequence computed under POMDP and tree-search machinery. The planetary operations literature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w:t>
      </w:r>
      <w:r>
        <w:t xml:space="preserve">supplies the empirical setting and the realized operational record against which any decision-theoretic apparatus must be evaluated. The cliometric methodology literature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28">
        <w:r>
          <w:rPr>
            <w:rStyle w:val="Hyperlink"/>
          </w:rPr>
          <w:t xml:space="preserve">[28]</w:t>
        </w:r>
      </w:hyperlink>
      <w:r>
        <w:t xml:space="preserve"> </w:t>
      </w:r>
      <w:r>
        <w:t xml:space="preserve">supplies the discipline for estimating the program-level and within-mission parameters that the decision-theoretic apparatus requires as inputs.</w:t>
      </w:r>
    </w:p>
    <w:p>
      <w:pPr>
        <w:pStyle w:val="BodyText"/>
        <w:spacing w:line="480" w:lineRule="auto"/>
        <w:ind w:firstLine="720"/>
      </w:pPr>
      <w:r>
        <w:t xml:space="preserve">The structural complementarity is striking. The technical VOI literature has the formalism but lacks the planetary setting and the empirical anchor. The planetary operations literature has the empirical setting and the realized record but lacks the formalism. The cliometric literature has the methodological discipline for parameter estimation but operates at levels above the within-sol tactical problem. Each literature is internally rigorous; together they identify, without addressing, a precise empirical question.</w:t>
      </w:r>
    </w:p>
    <w:bookmarkEnd w:id="81"/>
    <w:bookmarkStart w:id="82" w:name="the-unaddressed-empirical-question"/>
    <w:p>
      <w:pPr>
        <w:pStyle w:val="Heading3"/>
        <w:spacing w:line="480" w:lineRule="auto"/>
      </w:pPr>
      <w:r>
        <w:t xml:space="preserve">2.5.2 The unaddressed empirical question</w:t>
      </w:r>
    </w:p>
    <w:p>
      <w:pPr>
        <w:pStyle w:val="FirstParagraph"/>
        <w:spacing w:line="480" w:lineRule="auto"/>
      </w:pPr>
      <w:r>
        <w:t xml:space="preserve">The empirical question that emerges from the synthesis is the following. Mars rover tactical planning is a sequential decision problem in which a finite resource envelope, comprising energy, downlink bandwidth, and sol count, is allocated across competing observation actions under uncertainty about where scientific value lies. The technical literature on VOI tasking has formalized exactly this class of problem for the orbital-object custody setting but has not adapted the formalism to the planetary tactical setting. The planetary operations literature has rigorously studied the realized tactical plan but has not benchmarked it against a decision-theoretic optimum. The cliometric literature has estimated program-level and within-mission parameters but has not applied its methodological apparatus to within-sol tactical decisions.</w:t>
      </w:r>
    </w:p>
    <w:p>
      <w:pPr>
        <w:pStyle w:val="BodyText"/>
        <w:spacing w:line="480" w:lineRule="auto"/>
        <w:ind w:firstLine="720"/>
      </w:pPr>
      <w:r>
        <w:t xml:space="preserve">The unaddressed question is therefore: how much marginal information value does the realized human consensus tactical plan leave on the table, relative to a VOI-ranked counterfactual that operates under the identical resource envelope and the identical candidate-action set, This is a single, falsifiable empirical question, expressible as a paired comparison on a fixed corpus of replayable tactical planning sols, and it sits precisely at the intersection of the three literatures reviewed in this chapter. The contribution of the dissertation is to answer this question with a single estimand.</w:t>
      </w:r>
    </w:p>
    <w:bookmarkEnd w:id="82"/>
    <w:bookmarkStart w:id="83" w:name="X4e1c8a6741eb383bd7340ede34e53ad85e3b675"/>
    <w:p>
      <w:pPr>
        <w:pStyle w:val="Heading3"/>
        <w:spacing w:line="480" w:lineRule="auto"/>
      </w:pPr>
      <w:r>
        <w:t xml:space="preserve">2.5.3 The methodological apparatus for the answer</w:t>
      </w:r>
    </w:p>
    <w:p>
      <w:pPr>
        <w:pStyle w:val="FirstParagraph"/>
        <w:spacing w:line="480" w:lineRule="auto"/>
      </w:pPr>
      <w:r>
        <w:t xml:space="preserve">The methodological apparatus for the answer is assembled from the three literatures. The information functional is adapted from the priority-weighted reward of</w:t>
      </w:r>
      <w:r>
        <w:t xml:space="preserve"> </w:t>
      </w:r>
      <w:hyperlink w:anchor="ref-3">
        <w:r>
          <w:rPr>
            <w:rStyle w:val="Hyperlink"/>
          </w:rPr>
          <w:t xml:space="preserve">[3]</w:t>
        </w:r>
      </w:hyperlink>
      <w:r>
        <w:t xml:space="preserve"> </w:t>
      </w:r>
      <w:r>
        <w:t xml:space="preserve">and the inferential-moment formulation of</w:t>
      </w:r>
      <w:r>
        <w:t xml:space="preserve"> </w:t>
      </w:r>
      <w:hyperlink w:anchor="ref-1">
        <w:r>
          <w:rPr>
            <w:rStyle w:val="Hyperlink"/>
          </w:rPr>
          <w:t xml:space="preserve">[1]</w:t>
        </w:r>
      </w:hyperlink>
      <w:r>
        <w:t xml:space="preserve">, with the per-target value structure of</w:t>
      </w:r>
      <w:r>
        <w:t xml:space="preserve"> </w:t>
      </w:r>
      <w:hyperlink w:anchor="ref-2">
        <w:r>
          <w:rPr>
            <w:rStyle w:val="Hyperlink"/>
          </w:rPr>
          <w:t xml:space="preserve">[2]</w:t>
        </w:r>
      </w:hyperlink>
      <w:r>
        <w:t xml:space="preserve"> </w:t>
      </w:r>
      <w:r>
        <w:t xml:space="preserve">supplying the heterogeneity required for a multi-target tactical setting. The sequential policy is computed using the POMDP and tree-search machinery of</w:t>
      </w:r>
      <w:r>
        <w:t xml:space="preserve"> </w:t>
      </w:r>
      <w:hyperlink w:anchor="ref-4">
        <w:r>
          <w:rPr>
            <w:rStyle w:val="Hyperlink"/>
          </w:rPr>
          <w:t xml:space="preserve">[4]</w:t>
        </w:r>
      </w:hyperlink>
      <w:r>
        <w:t xml:space="preserve">, with the hypothesis-driven discrimination of</w:t>
      </w:r>
      <w:r>
        <w:t xml:space="preserve"> </w:t>
      </w:r>
      <w:hyperlink w:anchor="ref-7">
        <w:r>
          <w:rPr>
            <w:rStyle w:val="Hyperlink"/>
          </w:rPr>
          <w:t xml:space="preserve">[7]</w:t>
        </w:r>
      </w:hyperlink>
      <w:r>
        <w:t xml:space="preserve"> </w:t>
      </w:r>
      <w:r>
        <w:t xml:space="preserve">supplying the conceptual alignment with the geologic discrimination that the science team’s deliberation effectively performs. The candidate-action enumeration and the realized-plan reconstruction follow the operations-record reconstruction discipline of the GHOST tradition</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with the MSL Curiosity archival record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supplying the empirical substrate.</w:t>
      </w:r>
    </w:p>
    <w:p>
      <w:pPr>
        <w:pStyle w:val="BodyText"/>
        <w:spacing w:line="480" w:lineRule="auto"/>
        <w:ind w:firstLine="720"/>
      </w:pPr>
      <w:r>
        <w:t xml:space="preserve">The cross-mission resource-envelope analysis, addressed in the dissertation’s first supporting paper, applies the cliometric methodology of</w:t>
      </w:r>
      <w:r>
        <w:t xml:space="preserve"> </w:t>
      </w:r>
      <w:hyperlink w:anchor="ref-5">
        <w:r>
          <w:rPr>
            <w:rStyle w:val="Hyperlink"/>
          </w:rPr>
          <w:t xml:space="preserve">[5]</w:t>
        </w:r>
      </w:hyperlink>
      <w:r>
        <w:t xml:space="preserve"> </w:t>
      </w:r>
      <w:r>
        <w:t xml:space="preserve">and</w:t>
      </w:r>
      <w:r>
        <w:t xml:space="preserve"> </w:t>
      </w:r>
      <w:hyperlink w:anchor="ref-28">
        <w:r>
          <w:rPr>
            <w:rStyle w:val="Hyperlink"/>
          </w:rPr>
          <w:t xml:space="preserve">[28]</w:t>
        </w:r>
      </w:hyperlink>
      <w:r>
        <w:t xml:space="preserve"> </w:t>
      </w:r>
      <w:r>
        <w:t xml:space="preserve">to estimate the mass elasticity of achieved sols across the cross-section of landed planetary surface missions documented in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The within-mission experience-curve analysis, addressed in the dissertation’s second supporting paper, applies the experience-curve methodology familiar from</w:t>
      </w:r>
      <w:r>
        <w:t xml:space="preserve"> </w:t>
      </w:r>
      <w:hyperlink w:anchor="ref-11">
        <w:r>
          <w:rPr>
            <w:rStyle w:val="Hyperlink"/>
          </w:rPr>
          <w:t xml:space="preserve">[11]</w:t>
        </w:r>
      </w:hyperlink>
      <w:r>
        <w:t xml:space="preserve"> </w:t>
      </w:r>
      <w:r>
        <w:t xml:space="preserve">to the MSL Curiosity tactical operations record documented in</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with the GHOST tradition’s documentation of protocol-refinement efficiency</w:t>
      </w:r>
      <w:r>
        <w:t xml:space="preserve"> </w:t>
      </w:r>
      <w:hyperlink w:anchor="ref-8">
        <w:r>
          <w:rPr>
            <w:rStyle w:val="Hyperlink"/>
          </w:rPr>
          <w:t xml:space="preserve">[8]</w:t>
        </w:r>
      </w:hyperlink>
      <w:r>
        <w:t xml:space="preserve">,</w:t>
      </w:r>
      <w:r>
        <w:t xml:space="preserve"> </w:t>
      </w:r>
      <w:hyperlink w:anchor="ref-26">
        <w:r>
          <w:rPr>
            <w:rStyle w:val="Hyperlink"/>
          </w:rPr>
          <w:t xml:space="preserve">[26]</w:t>
        </w:r>
      </w:hyperlink>
      <w:r>
        <w:t xml:space="preserve"> </w:t>
      </w:r>
      <w:r>
        <w:t xml:space="preserve">supplying the underlying mechanism.</w:t>
      </w:r>
    </w:p>
    <w:bookmarkEnd w:id="83"/>
    <w:bookmarkStart w:id="84" w:name="the-contribution-restated"/>
    <w:p>
      <w:pPr>
        <w:pStyle w:val="Heading3"/>
        <w:spacing w:line="480" w:lineRule="auto"/>
      </w:pPr>
      <w:r>
        <w:t xml:space="preserve">2.5.4 The contribution restated</w:t>
      </w:r>
    </w:p>
    <w:p>
      <w:pPr>
        <w:pStyle w:val="FirstParagraph"/>
        <w:spacing w:line="480" w:lineRule="auto"/>
      </w:pPr>
      <w:r>
        <w:t xml:space="preserve">The dissertation’s contribution is the joining of the two literatures at the empirical setting of Mars rover tactical planning. The contribution is not the development of new VOI machinery; the apparatus of</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w:t>
      </w:r>
      <w:r>
        <w:t xml:space="preserve">is mature and is adopted with minimal modification. The contribution is not the development of new planetary operations methodology; the GHOST tradition’s discipline for tactical evaluation</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w:t>
      </w:r>
      <w:r>
        <w:t xml:space="preserve">is adopted as the reconstruction template. The contribution is not the development of new cliometric methodology; the measurement program of</w:t>
      </w:r>
      <w:r>
        <w:t xml:space="preserve"> </w:t>
      </w:r>
      <w:hyperlink w:anchor="ref-5">
        <w:r>
          <w:rPr>
            <w:rStyle w:val="Hyperlink"/>
          </w:rPr>
          <w:t xml:space="preserve">[5]</w:t>
        </w:r>
      </w:hyperlink>
      <w:r>
        <w:t xml:space="preserve">,</w:t>
      </w:r>
      <w:r>
        <w:t xml:space="preserve"> </w:t>
      </w:r>
      <w:hyperlink w:anchor="ref-28">
        <w:r>
          <w:rPr>
            <w:rStyle w:val="Hyperlink"/>
          </w:rPr>
          <w:t xml:space="preserve">[28]</w:t>
        </w:r>
      </w:hyperlink>
      <w:r>
        <w:t xml:space="preserve"> </w:t>
      </w:r>
      <w:r>
        <w:t xml:space="preserve">and the experience-curve tradition of</w:t>
      </w:r>
      <w:r>
        <w:t xml:space="preserve"> </w:t>
      </w:r>
      <w:hyperlink w:anchor="ref-11">
        <w:r>
          <w:rPr>
            <w:rStyle w:val="Hyperlink"/>
          </w:rPr>
          <w:t xml:space="preserve">[11]</w:t>
        </w:r>
      </w:hyperlink>
      <w:r>
        <w:t xml:space="preserve"> </w:t>
      </w:r>
      <w:r>
        <w:t xml:space="preserve">are applied with their standard methodological discipline.</w:t>
      </w:r>
    </w:p>
    <w:p>
      <w:pPr>
        <w:pStyle w:val="BodyText"/>
        <w:spacing w:line="480" w:lineRule="auto"/>
        <w:ind w:firstLine="720"/>
      </w:pPr>
      <w:r>
        <w:t xml:space="preserve">The contribution is the demonstration that the three apparatuses, when joined at the empirical setting of Mars rover tactical planning, generate a single falsifiable estimand: the marginal information value forgone by consensus tactical planning under the identical resource envelope as the realized human plan. The supporting analyses establish, first, that the size of the resource envelope is dominantly determined by program-level commitment rather than by platform-level mass endowment, with the cross-mission mass-elasticity estimate of negative 0.494 conditional on planned sols providing the empirical anchor. Second, the per-target cost of an observation declines log-linearly with cumulative targets, with the experience-curve elasticity of negative 0.223 establishing that the information functional’s cost side is itself time-varying in a predictable way that the SDA literature has not yet incorporated. Third, the within-sol estimand of marginal forgone information value, which is the dissertation’s central empirical contribution, sits inside an envelope that is set programmatically and operates against a cost structure that evolves as the mission ages.</w:t>
      </w:r>
    </w:p>
    <w:bookmarkEnd w:id="84"/>
    <w:bookmarkStart w:id="85" w:name="Xdafb4a61954279a0c5518bd8a15aa65057d01dd"/>
    <w:p>
      <w:pPr>
        <w:pStyle w:val="Heading3"/>
        <w:spacing w:line="480" w:lineRule="auto"/>
      </w:pPr>
      <w:r>
        <w:t xml:space="preserve">2.5.5 What the literature does not and cannot do alone</w:t>
      </w:r>
    </w:p>
    <w:p>
      <w:pPr>
        <w:pStyle w:val="FirstParagraph"/>
        <w:spacing w:line="480" w:lineRule="auto"/>
      </w:pPr>
      <w:r>
        <w:t xml:space="preserve">The clarity of the gap can be sharpened by stating what each literature, on its own, cannot do. The technical VOI literature alone cannot generate the empirical estimand because it lacks the planetary setting and the realized-plan record. A reader of</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w:t>
      </w:r>
      <w:r>
        <w:t xml:space="preserve">in isolation would have the apparatus to compute a VOI-ranked tactical sequence in principle but would have neither the candidate-action enumeration nor the realized-plan benchmark required for the paired comparison. The planetary operations literature alone cannot generate the empirical estimand because it lacks the decision-theoretic counterfactual. A reader of</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w:t>
      </w:r>
      <w:r>
        <w:t xml:space="preserve">in isolation would have the realized plan and the geologic benchmark but would have no information-functional standard against which to score the gap. The cliometric literature alone cannot generate the empirical estimand because it operates at levels above the within-sol tactical problem. A reader of</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w:t>
      </w:r>
      <w:r>
        <w:t xml:space="preserve"> </w:t>
      </w:r>
      <w:hyperlink w:anchor="ref-28">
        <w:r>
          <w:rPr>
            <w:rStyle w:val="Hyperlink"/>
          </w:rPr>
          <w:t xml:space="preserve">[28]</w:t>
        </w:r>
      </w:hyperlink>
      <w:r>
        <w:t xml:space="preserve"> </w:t>
      </w:r>
      <w:r>
        <w:t xml:space="preserve">in isolation would have the methodological discipline for parameter estimation but would have neither the action-selection apparatus nor the planetary setting.</w:t>
      </w:r>
    </w:p>
    <w:p>
      <w:pPr>
        <w:pStyle w:val="BodyText"/>
        <w:spacing w:line="480" w:lineRule="auto"/>
        <w:ind w:firstLine="720"/>
      </w:pPr>
      <w:r>
        <w:t xml:space="preserve">The joining of the three literatures is therefore not an exercise in cross-disciplinary breadth for its own sake. It is the minimal apparatus required to generate the falsifiable empirical estimand that the dissertation pursues. The chapter that follows assembles this apparatus into a unified analytical framework and specifies the empirical procedures by which the estimand is computed.</w:t>
      </w:r>
    </w:p>
    <w:bookmarkEnd w:id="85"/>
    <w:bookmarkEnd w:id="86"/>
    <w:bookmarkEnd w:id="87"/>
    <w:bookmarkStart w:id="97" w:name="Xcfcc00a3ded59aed0c781c16bfc121f2a509603"/>
    <w:p>
      <w:pPr>
        <w:pStyle w:val="Heading1"/>
        <w:spacing w:line="480" w:lineRule="auto"/>
      </w:pPr>
      <w:r>
        <w:t xml:space="preserve">Chapter 3. Theoretical Framework and Hypotheses</w:t>
      </w:r>
    </w:p>
    <w:bookmarkStart w:id="88" w:name="orientation-1"/>
    <w:p>
      <w:pPr>
        <w:pStyle w:val="Heading2"/>
        <w:spacing w:line="480" w:lineRule="auto"/>
      </w:pPr>
      <w:r>
        <w:t xml:space="preserve">3.1 Orientation</w:t>
      </w:r>
    </w:p>
    <w:p>
      <w:pPr>
        <w:pStyle w:val="FirstParagraph"/>
        <w:spacing w:line="480" w:lineRule="auto"/>
      </w:pPr>
      <w:r>
        <w:t xml:space="preserve">This chapter develops the theoretical apparatus through which Mars rover tactical planning will be analyzed as a sequential value of information (VOI) decision under a hard resource envelope. The argument proceeds in four moves. The first move identifies the structural isomorphism between space domain awareness (SDA) sensor tasking and planetary surface tactical planning, an isomorphism on which the dissertation’s importation of the VOI formalism rests. The second move sets out the causal mechanism that connects a per-action information-gain reward to a per-sol allocation policy and to cumulative scientific return across a campaign. The third move embeds two empirical findings from the supporting papers, the programmatic dominance of planned duration in cross-mission tenure and the log-linear experience curve in per-target downlink cost on Mars Science Laboratory (MSL) Curiosity, as boundary conditions on the theoretical model. The fourth move states the falsifiable hypotheses H0 and H1 in formal terms, makes precise the estimand they share, and identifies the discipline by which the comparison will be conducted.</w:t>
      </w:r>
    </w:p>
    <w:p>
      <w:pPr>
        <w:pStyle w:val="BodyText"/>
        <w:spacing w:line="480" w:lineRule="auto"/>
        <w:ind w:firstLine="720"/>
      </w:pPr>
      <w:r>
        <w:t xml:space="preserve">The theoretical framework is deliberately spare. It is built around a single estimand, a single sign test, and a single comparison on a common operations record. The chapter does not attempt a structural theory of planetary science, nor a normative theory of how human consensus planning ought to operate. It develops the minimum theoretical apparatus required to render the hypothesis test informative.</w:t>
      </w:r>
    </w:p>
    <w:bookmarkEnd w:id="88"/>
    <w:bookmarkStart w:id="89" w:name="Xa334d47ad6592befb09c9b6c099ff952f883d1f"/>
    <w:p>
      <w:pPr>
        <w:pStyle w:val="Heading2"/>
        <w:spacing w:line="480" w:lineRule="auto"/>
      </w:pPr>
      <w:r>
        <w:t xml:space="preserve">3.2 The Structural Isomorphism Between SDA Sensor Tasking and Mars Tactical Planning</w:t>
      </w:r>
    </w:p>
    <w:p>
      <w:pPr>
        <w:pStyle w:val="FirstParagraph"/>
        <w:spacing w:line="480" w:lineRule="auto"/>
      </w:pPr>
      <w:r>
        <w:t xml:space="preserve">The mature treatment of finite-budget observation allocation is found in the SDA sensor tasking literature. There, the problem is to allocate a limited stock of sensor time across a set of candidate observation actions whose realizations are uncertain. The canonical formulation expresses the decision as the maximization of an information functional, where each candidate action carries an expected reduction in posterior uncertainty over a state of interest and a cost in scarce sensor resources. Inferential-moment formulations make the functional precise for the conjunction-custody case and supply closed-form expected information gain for tasking decisions whose payoff is reduction of conjunction-related uncertainty</w:t>
      </w:r>
      <w:r>
        <w:t xml:space="preserve"> </w:t>
      </w:r>
      <w:hyperlink w:anchor="ref-1">
        <w:r>
          <w:rPr>
            <w:rStyle w:val="Hyperlink"/>
          </w:rPr>
          <w:t xml:space="preserve">[1]</w:t>
        </w:r>
      </w:hyperlink>
      <w:r>
        <w:t xml:space="preserve">. Priority-weighted formulations generalize the functional to admit per-target weights, recognizing that the planner’s reward is not over states alone but over states weighted by mission importance</w:t>
      </w:r>
      <w:r>
        <w:t xml:space="preserve"> </w:t>
      </w:r>
      <w:hyperlink w:anchor="ref-3">
        <w:r>
          <w:rPr>
            <w:rStyle w:val="Hyperlink"/>
          </w:rPr>
          <w:t xml:space="preserve">[3]</w:t>
        </w:r>
      </w:hyperlink>
      <w:r>
        <w:t xml:space="preserve">. Sequential variants embed the functional inside a partially observable Markov decision process (POMDP) and compute the value of a tasking action over an horizon using tree search, with optimality results and run-time bounds that make the formulation operational for realistic problem sizes</w:t>
      </w:r>
      <w:r>
        <w:t xml:space="preserve"> </w:t>
      </w:r>
      <w:hyperlink w:anchor="ref-4">
        <w:r>
          <w:rPr>
            <w:rStyle w:val="Hyperlink"/>
          </w:rPr>
          <w:t xml:space="preserve">[4]</w:t>
        </w:r>
      </w:hyperlink>
      <w:r>
        <w:t xml:space="preserve">. Hypothesis-driven extensions order tasking decisions against named scientific or operational hypotheses, framing each task as a step in a posterior update with explicit prior structure</w:t>
      </w:r>
      <w:r>
        <w:t xml:space="preserve"> </w:t>
      </w:r>
      <w:hyperlink w:anchor="ref-7">
        <w:r>
          <w:rPr>
            <w:rStyle w:val="Hyperlink"/>
          </w:rPr>
          <w:t xml:space="preserve">[7]</w:t>
        </w:r>
      </w:hyperlink>
      <w:r>
        <w:t xml:space="preserve">. The value-of-collection line connects this apparatus to per-object value, allowing the planner’s reward to be driven by per-target value rather than by uniform information gain</w:t>
      </w:r>
      <w:r>
        <w:t xml:space="preserve"> </w:t>
      </w:r>
      <w:hyperlink w:anchor="ref-2">
        <w:r>
          <w:rPr>
            <w:rStyle w:val="Hyperlink"/>
          </w:rPr>
          <w:t xml:space="preserve">[2]</w:t>
        </w:r>
      </w:hyperlink>
      <w:r>
        <w:t xml:space="preserve">.</w:t>
      </w:r>
    </w:p>
    <w:p>
      <w:pPr>
        <w:pStyle w:val="BodyText"/>
        <w:spacing w:line="480" w:lineRule="auto"/>
        <w:ind w:firstLine="720"/>
      </w:pPr>
      <w:r>
        <w:t xml:space="preserve">Mars tactical planning shares the structural skeleton of this problem to a precise degree. A rover spends each sol selecting among more candidate observation actions than its energy and downlink budget can support. The actions are heterogeneous: a remote imaging target, a traverse leg, a contact-instrument placement, a downlink window. Each carries a cost in the same scarce resources that bind sensor tasking, namely a budget of time and energy, supplemented by downlink volume. Each carries an expected information gain that is, at root, a reduction of posterior uncertainty over a scientific state. The candidate set is enumerable from the operations record, and the resource envelope is publicly archived</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functional structure is identical to the sensor-tasking problem in</w:t>
      </w:r>
      <w:r>
        <w:t xml:space="preserve"> </w:t>
      </w:r>
      <w:hyperlink w:anchor="ref-1">
        <w:r>
          <w:rPr>
            <w:rStyle w:val="Hyperlink"/>
          </w:rPr>
          <w:t xml:space="preserve">[1]</w:t>
        </w:r>
      </w:hyperlink>
      <w:r>
        <w:t xml:space="preserve"> </w:t>
      </w:r>
      <w:r>
        <w:t xml:space="preserve">and</w:t>
      </w:r>
      <w:r>
        <w:t xml:space="preserve"> </w:t>
      </w:r>
      <w:hyperlink w:anchor="ref-3">
        <w:r>
          <w:rPr>
            <w:rStyle w:val="Hyperlink"/>
          </w:rPr>
          <w:t xml:space="preserve">[3]</w:t>
        </w:r>
      </w:hyperlink>
      <w:r>
        <w:t xml:space="preserve">: an action set, a budget, a per-action cost, and a per-action information-gain reward.</w:t>
      </w:r>
    </w:p>
    <w:p>
      <w:pPr>
        <w:pStyle w:val="BodyText"/>
        <w:spacing w:line="480" w:lineRule="auto"/>
        <w:ind w:firstLine="720"/>
      </w:pPr>
      <w:r>
        <w:t xml:space="preserve">The substantive differences between the two settings are well-defined and do not break the isomorphism. The planetary platform is mobile and consumes its own energy in traverse rather than residing on a static sensor mount. The scientific state of interest is geologic context and habitability potential rather than orbital custody risk</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The resource envelope is set per sol rather than per pass. Each of these differences enters the formulation as a calibration of cost, reward, and budget. None requires abandoning the functional. The dissertation’s central theoretical move is to assert that the same functional structure, with planetary calibrations of cost and reward, governs the rover tactical problem and that the SDA-derived VOI apparatus is therefore the right foundation for measurement.</w:t>
      </w:r>
    </w:p>
    <w:p>
      <w:pPr>
        <w:pStyle w:val="BodyText"/>
        <w:spacing w:line="480" w:lineRule="auto"/>
        <w:ind w:firstLine="720"/>
      </w:pPr>
      <w:r>
        <w:t xml:space="preserve">The planetary operations literature has come within reach of this position without taking the formal step. Rover-analog field tests have shown that the science team’s plan is a measurable, replayable product whose quality can be benchmarked against habitability-reconnaissance best practice</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Subsequent work in the same series has shown that protocol refinement reduces tactical sol cost while increasing science yield, an empirical claim that requires both a cost metric and a yield metric defined over the operations record</w:t>
      </w:r>
      <w:r>
        <w:t xml:space="preserve"> </w:t>
      </w:r>
      <w:hyperlink w:anchor="ref-8">
        <w:r>
          <w:rPr>
            <w:rStyle w:val="Hyperlink"/>
          </w:rPr>
          <w:t xml:space="preserve">[8]</w:t>
        </w:r>
      </w:hyperlink>
      <w:r>
        <w:t xml:space="preserve">,</w:t>
      </w:r>
      <w:r>
        <w:t xml:space="preserve"> </w:t>
      </w:r>
      <w:hyperlink w:anchor="ref-26">
        <w:r>
          <w:rPr>
            <w:rStyle w:val="Hyperlink"/>
          </w:rPr>
          <w:t xml:space="preserve">[26]</w:t>
        </w:r>
      </w:hyperlink>
      <w:r>
        <w:t xml:space="preserve">. The space economics literature insists that the value of space-derived information must be estimated rather than assumed</w:t>
      </w:r>
      <w:r>
        <w:t xml:space="preserve"> </w:t>
      </w:r>
      <w:hyperlink w:anchor="ref-5">
        <w:r>
          <w:rPr>
            <w:rStyle w:val="Hyperlink"/>
          </w:rPr>
          <w:t xml:space="preserve">[5]</w:t>
        </w:r>
      </w:hyperlink>
      <w:r>
        <w:t xml:space="preserve">,</w:t>
      </w:r>
      <w:r>
        <w:t xml:space="preserve"> </w:t>
      </w:r>
      <w:hyperlink w:anchor="ref-28">
        <w:r>
          <w:rPr>
            <w:rStyle w:val="Hyperlink"/>
          </w:rPr>
          <w:t xml:space="preserve">[28]</w:t>
        </w:r>
      </w:hyperlink>
      <w:r>
        <w:t xml:space="preserve">, which is the macro counterpart of the per-action reward calibration that the VOI formalism requires at the tactical level. What is missing in the planetary literature is the unifying functional that prices each candidate action under a common reward, and that prices the resulting sequence under a fixed envelope. That functional is what the dissertation imports from</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w:t>
      </w:r>
      <w:r>
        <w:t xml:space="preserve"> </w:t>
      </w:r>
      <w:hyperlink w:anchor="ref-7">
        <w:r>
          <w:rPr>
            <w:rStyle w:val="Hyperlink"/>
          </w:rPr>
          <w:t xml:space="preserve">[7]</w:t>
        </w:r>
      </w:hyperlink>
      <w:r>
        <w:t xml:space="preserve">, and what this chapter formalizes.</w:t>
      </w:r>
    </w:p>
    <w:bookmarkEnd w:id="89"/>
    <w:bookmarkStart w:id="90" w:name="the-causal-mechanism"/>
    <w:p>
      <w:pPr>
        <w:pStyle w:val="Heading2"/>
        <w:spacing w:line="480" w:lineRule="auto"/>
      </w:pPr>
      <w:r>
        <w:t xml:space="preserve">3.3 The Causal Mechanism</w:t>
      </w:r>
    </w:p>
    <w:p>
      <w:pPr>
        <w:pStyle w:val="FirstParagraph"/>
        <w:spacing w:line="480" w:lineRule="auto"/>
      </w:pPr>
      <w:r>
        <w:t xml:space="preserve">The theoretical mechanism connecting the VOI formalism to a measurable difference in realized science return proceeds in three steps. Each step is stated as a causal claim with explicit conditions.</w:t>
      </w:r>
    </w:p>
    <w:p>
      <w:pPr>
        <w:pStyle w:val="BodyText"/>
        <w:spacing w:line="480" w:lineRule="auto"/>
        <w:ind w:firstLine="720"/>
      </w:pPr>
      <w:r>
        <w:t xml:space="preserve">The first step is that within any sol, the set of candidate tactical actions is finite and enumerable from the archived operations record. Imaging targets, traverse legs, instrument placements, and downlink windows are observable in MSL Curiosity’s published mission record at sufficient granularity to reconstruct the candidate set under conservative inclusion rules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candidate set is determined by platform state, scene state, and the resource envelope at the start of the sol, not by the planner’s policy. This step establishes that the action space over which the comparison is conducted is policy-invariant.</w:t>
      </w:r>
    </w:p>
    <w:p>
      <w:pPr>
        <w:pStyle w:val="BodyText"/>
        <w:spacing w:line="480" w:lineRule="auto"/>
        <w:ind w:firstLine="720"/>
      </w:pPr>
      <w:r>
        <w:t xml:space="preserve">The second step is that each candidate action carries an expected information gain that can be priced under a fixed functional. The functional is the priority-weighted information functional from</w:t>
      </w:r>
      <w:r>
        <w:t xml:space="preserve"> </w:t>
      </w:r>
      <w:hyperlink w:anchor="ref-3">
        <w:r>
          <w:rPr>
            <w:rStyle w:val="Hyperlink"/>
          </w:rPr>
          <w:t xml:space="preserve">[3]</w:t>
        </w:r>
      </w:hyperlink>
      <w:r>
        <w:t xml:space="preserve">, with closed-form expected gain following the inferential-moment apparatus of</w:t>
      </w:r>
      <w:r>
        <w:t xml:space="preserve"> </w:t>
      </w:r>
      <w:hyperlink w:anchor="ref-1">
        <w:r>
          <w:rPr>
            <w:rStyle w:val="Hyperlink"/>
          </w:rPr>
          <w:t xml:space="preserve">[1]</w:t>
        </w:r>
      </w:hyperlink>
      <w:r>
        <w:t xml:space="preserve"> </w:t>
      </w:r>
      <w:r>
        <w:t xml:space="preserve">in the cases where it is tractable, and with tree-search evaluation following</w:t>
      </w:r>
      <w:r>
        <w:t xml:space="preserve"> </w:t>
      </w:r>
      <w:hyperlink w:anchor="ref-4">
        <w:r>
          <w:rPr>
            <w:rStyle w:val="Hyperlink"/>
          </w:rPr>
          <w:t xml:space="preserve">[4]</w:t>
        </w:r>
      </w:hyperlink>
      <w:r>
        <w:t xml:space="preserve"> </w:t>
      </w:r>
      <w:r>
        <w:t xml:space="preserve">and</w:t>
      </w:r>
      <w:r>
        <w:t xml:space="preserve"> </w:t>
      </w:r>
      <w:hyperlink w:anchor="ref-7">
        <w:r>
          <w:rPr>
            <w:rStyle w:val="Hyperlink"/>
          </w:rPr>
          <w:t xml:space="preserve">[7]</w:t>
        </w:r>
      </w:hyperlink>
      <w:r>
        <w:t xml:space="preserve"> </w:t>
      </w:r>
      <w:r>
        <w:t xml:space="preserve">in the sequential cases where it is not. Priority weights are calibrated to the habitability-reconnaissance value structure validated in rover-analog studies</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so that the functional captures the scientific value structure of the planetary problem rather than the orbital value structure of the SDA problem. Per-action cost is priced at the instrument level rather than the platform level, a discipline imposed by the finding in Paper 1 that platform mass is correlated with science demand on the envelope as well as with the envelope itself, and therefore cannot be used as a bulk cost proxy. Per-action cost is also priced as time-varying along the experience curve documented in Paper 2, so that the cost parameter assumed by the functional reflects the operational reality that per-target downlink cost declines with cumulative targets at a stable log-linear rate. The functional is therefore not the unmodified SDA functional, but a planetary calibration of it. The key property preserved is that the functional is monotone increasing in expected posterior-uncertainty reduction and monotone decreasing in resource consumption, conditional on the budget.</w:t>
      </w:r>
    </w:p>
    <w:p>
      <w:pPr>
        <w:pStyle w:val="BodyText"/>
        <w:spacing w:line="480" w:lineRule="auto"/>
        <w:ind w:firstLine="720"/>
      </w:pPr>
      <w:r>
        <w:t xml:space="preserve">The third step is that, given a candidate set and a functional, a VOI-ranked sequence of actions exists under the resource budget. The sequence is the solution to a sequential decision problem whose value function is computable by the tree-search apparatus in</w:t>
      </w:r>
      <w:r>
        <w:t xml:space="preserve"> </w:t>
      </w:r>
      <w:hyperlink w:anchor="ref-4">
        <w:r>
          <w:rPr>
            <w:rStyle w:val="Hyperlink"/>
          </w:rPr>
          <w:t xml:space="preserve">[4]</w:t>
        </w:r>
      </w:hyperlink>
      <w:r>
        <w:t xml:space="preserve"> </w:t>
      </w:r>
      <w:r>
        <w:t xml:space="preserve">with hypothesis-driven priors of the kind in</w:t>
      </w:r>
      <w:r>
        <w:t xml:space="preserve"> </w:t>
      </w:r>
      <w:hyperlink w:anchor="ref-7">
        <w:r>
          <w:rPr>
            <w:rStyle w:val="Hyperlink"/>
          </w:rPr>
          <w:t xml:space="preserve">[7]</w:t>
        </w:r>
      </w:hyperlink>
      <w:r>
        <w:t xml:space="preserve">. The sequence is uniquely determined up to ties in the reward, and ties can be resolved by published conventions in the SDA literature without affecting the cumulative information gain. The realized human plan is a separate sequence over the same candidate set under the same budget. By construction, both sequences are scored under the same functional and against the same envelope.</w:t>
      </w:r>
    </w:p>
    <w:p>
      <w:pPr>
        <w:pStyle w:val="BodyText"/>
        <w:spacing w:line="480" w:lineRule="auto"/>
        <w:ind w:firstLine="720"/>
      </w:pPr>
      <w:r>
        <w:t xml:space="preserve">The causal claim is then that the VOI-ranked sequence achieves cumulative information gain at least as large as any other policy on the same problem, including the realized human plan, by the definition of the maximum. If the gap between the two sequences is positive in expectation, the gap is the marginal information value forgone by the realized policy. If the gap is zero or negative on the realized corpus, the human plan is on the VOI frontier and the formalism does not generate measurable gain beyond consensus deliberation. The dissertation’s central empirical question is which of these two regimes holds.</w:t>
      </w:r>
    </w:p>
    <w:p>
      <w:pPr>
        <w:pStyle w:val="BodyText"/>
        <w:spacing w:line="480" w:lineRule="auto"/>
        <w:ind w:firstLine="720"/>
      </w:pPr>
      <w:r>
        <w:t xml:space="preserve">Three preconditions on this causal logic deserve emphasis. First, the comparison conditions on a fixed resource envelope. Paper 1 shows that envelope size is dominated by the programmatic commitment to a planned mission duration rather than by within-sol planning, with a unit elasticity of achieved sols on planned sols and a planned-sols coefficient that is the dominant publicly observable correlate of operational tenure. The within-sol comparison the dissertation proposes is therefore internal to a programmatically committed envelope and does not depend on the envelope itself being optimal in any wider sense. The estimand is the within-envelope marginal value forgone, not the gain from a counterfactual envelope expansion.</w:t>
      </w:r>
    </w:p>
    <w:p>
      <w:pPr>
        <w:pStyle w:val="BodyText"/>
        <w:spacing w:line="480" w:lineRule="auto"/>
        <w:ind w:firstLine="720"/>
      </w:pPr>
      <w:r>
        <w:t xml:space="preserve">Second, the comparison conditions on a time-varying per-action cost. Paper 2 establishes an experience-curve elasticity of negative 0.223 on per-target downlink cost on MSL Curiosity with respect to cumulative targets, with a progress ratio of approximately 0.857 and an R-squared of 0.997 across 32 quarterly observations. The functional’s cost parameters must be calibrated to the cumulative-target index of each sol, so that the VOI ranking is not biased by a counterfactual cost regime. A planner that prices each action at the early-mission cost will under-allocate observations late in the mission, and a planner that prices at the late-mission cost will over-allocate early. The functional in this dissertation prices each sol at the sol’s actual position on the experience curve.</w:t>
      </w:r>
    </w:p>
    <w:p>
      <w:pPr>
        <w:pStyle w:val="BodyText"/>
        <w:spacing w:line="480" w:lineRule="auto"/>
        <w:ind w:firstLine="720"/>
      </w:pPr>
      <w:r>
        <w:t xml:space="preserve">Third, the comparison conditions on planning-time information. The VOI ranking is computed strictly on priors available at the planning epoch, mirroring the uninformative-prior discipline used in coordinated tasking</w:t>
      </w:r>
      <w:r>
        <w:t xml:space="preserve"> </w:t>
      </w:r>
      <w:hyperlink w:anchor="ref-4">
        <w:r>
          <w:rPr>
            <w:rStyle w:val="Hyperlink"/>
          </w:rPr>
          <w:t xml:space="preserve">[4]</w:t>
        </w:r>
      </w:hyperlink>
      <w:r>
        <w:t xml:space="preserve"> </w:t>
      </w:r>
      <w:r>
        <w:t xml:space="preserve">and the hypothesis-prior discipline in</w:t>
      </w:r>
      <w:r>
        <w:t xml:space="preserve"> </w:t>
      </w:r>
      <w:hyperlink w:anchor="ref-7">
        <w:r>
          <w:rPr>
            <w:rStyle w:val="Hyperlink"/>
          </w:rPr>
          <w:t xml:space="preserve">[7]</w:t>
        </w:r>
      </w:hyperlink>
      <w:r>
        <w:t xml:space="preserve">. Outcome-conditioned features are excluded from the functional. The estimand is therefore the difference between two policies under common information, not the difference between a hindsight policy and a foresight policy.</w:t>
      </w:r>
    </w:p>
    <w:bookmarkEnd w:id="90"/>
    <w:bookmarkStart w:id="91" w:name="X59b7e94097c085d3aba8c7193499e17a32fd9e1"/>
    <w:p>
      <w:pPr>
        <w:pStyle w:val="Heading2"/>
        <w:spacing w:line="480" w:lineRule="auto"/>
      </w:pPr>
      <w:r>
        <w:t xml:space="preserve">3.4 Embedding the Two Empirical Findings as Boundary Conditions</w:t>
      </w:r>
    </w:p>
    <w:p>
      <w:pPr>
        <w:pStyle w:val="FirstParagraph"/>
        <w:spacing w:line="480" w:lineRule="auto"/>
      </w:pPr>
      <w:r>
        <w:t xml:space="preserve">The two supporting papers do not test the dissertation’s central hypothesis. They establish the boundary conditions under which the central test can be conducted and interpreted.</w:t>
      </w:r>
    </w:p>
    <w:p>
      <w:pPr>
        <w:pStyle w:val="BodyText"/>
        <w:spacing w:line="480" w:lineRule="auto"/>
        <w:ind w:firstLine="720"/>
      </w:pPr>
      <w:r>
        <w:t xml:space="preserve">Paper 1’s finding is that planned mission duration is the dominant publicly observable correlate of how long a planetary surface mission survives, with a unit elasticity, while landed mass conditional on planned duration carries a sign that does not match a naive resource-envelope account. The two implications for the theoretical framework are first that the envelope is programmatically determined and second that mass cannot be used as a bulk cost proxy because it is correlated with science demand on the envelope as well as with the envelope itself. The first implication justifies the dissertation’s identification strategy of holding the envelope at its actual mission value. The second implication forces the per-action cost vector to be enumerated at the instrument level rather than at the platform level, a discipline already implicit in the rover-analog tactical reconstruction approach</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w:t>
      </w:r>
      <w:r>
        <w:t xml:space="preserve">and reinforced by the path-planning and resource-allocation literatures for related platforms</w:t>
      </w:r>
      <w:r>
        <w:t xml:space="preserve"> </w:t>
      </w:r>
      <w:hyperlink w:anchor="ref-27">
        <w:r>
          <w:rPr>
            <w:rStyle w:val="Hyperlink"/>
          </w:rPr>
          <w:t xml:space="preserve">[27]</w:t>
        </w:r>
      </w:hyperlink>
      <w:r>
        <w:t xml:space="preserve">,</w:t>
      </w:r>
      <w:r>
        <w:t xml:space="preserve"> </w:t>
      </w:r>
      <w:hyperlink w:anchor="ref-29">
        <w:r>
          <w:rPr>
            <w:rStyle w:val="Hyperlink"/>
          </w:rPr>
          <w:t xml:space="preserve">[29]</w:t>
        </w:r>
      </w:hyperlink>
      <w:r>
        <w:t xml:space="preserve">.</w:t>
      </w:r>
    </w:p>
    <w:p>
      <w:pPr>
        <w:pStyle w:val="BodyText"/>
        <w:spacing w:line="480" w:lineRule="auto"/>
        <w:ind w:firstLine="720"/>
      </w:pPr>
      <w:r>
        <w:t xml:space="preserve">Paper 2’s finding is that the per-target downlink cost on MSL Curiosity declines as a power function of cumulative targets with elasticity negative 0.223 and progress ratio approximately 0.857. The implication for the theoretical framework is that the cost parameter inside the information functional is time-varying in a predictable way. The functional must price each sol’s actions at the sol’s actual position on the experience curve, and the VOI ranking that this dissertation produces must respect that calibration. The result of</w:t>
      </w:r>
      <w:r>
        <w:t xml:space="preserve"> </w:t>
      </w:r>
      <w:hyperlink w:anchor="ref-3">
        <w:r>
          <w:rPr>
            <w:rStyle w:val="Hyperlink"/>
          </w:rPr>
          <w:t xml:space="preserve">[3]</w:t>
        </w:r>
      </w:hyperlink>
      <w:r>
        <w:t xml:space="preserve"> </w:t>
      </w:r>
      <w:r>
        <w:t xml:space="preserve">that the reward functional should weight by priority is therefore extended in this dissertation to a reward functional that weights by priority and prices by experience-adjusted cost. This extension is a planetary adaptation of the SDA apparatus, not a departure from it. It preserves the monotonicity and budget-respect properties that make the functional analytically tractable.</w:t>
      </w:r>
    </w:p>
    <w:p>
      <w:pPr>
        <w:pStyle w:val="BodyText"/>
        <w:spacing w:line="480" w:lineRule="auto"/>
        <w:ind w:firstLine="720"/>
      </w:pPr>
      <w:r>
        <w:t xml:space="preserve">These two boundary conditions situate the central test inside a defensible scope. The dissertation does not claim to optimize an envelope; the envelope is held fixed at its programmatic value. The dissertation does not claim to estimate a static cost; cost is time-varying along an empirically measured curve. The dissertation does claim that, under these calibrations, the VOI-ranked sequence is a coherent benchmark against which the realized human consensus plan can be measured.</w:t>
      </w:r>
    </w:p>
    <w:bookmarkEnd w:id="91"/>
    <w:bookmarkStart w:id="92" w:name="the-estimand"/>
    <w:p>
      <w:pPr>
        <w:pStyle w:val="Heading2"/>
        <w:spacing w:line="480" w:lineRule="auto"/>
      </w:pPr>
      <w:r>
        <w:t xml:space="preserve">3.5 The Estimand</w:t>
      </w:r>
    </w:p>
    <w:p>
      <w:pPr>
        <w:pStyle w:val="FirstParagraph"/>
        <w:spacing w:line="480" w:lineRule="auto"/>
      </w:pPr>
      <w:r>
        <w:t xml:space="preserve">The estimand is the per-sol paired difference in normalized cumulative information gain between the VOI-ranked policy and the realized human consensus policy, evaluated under a common information functional, a common candidate-action set, and a common resource envelope. Let the sol be indexed by t. Let A(t) be the candidate-action set reconstructed from the operations record for sol t under conservative inclusion rules. Let B(t) be the resource envelope for sol t, comprising energy, downlink volume, and time. Let R be the information functional, calibrated as in Section 3.3 with priority weights from</w:t>
      </w:r>
      <w:r>
        <w:t xml:space="preserve"> </w:t>
      </w:r>
      <w:hyperlink w:anchor="ref-3">
        <w:r>
          <w:rPr>
            <w:rStyle w:val="Hyperlink"/>
          </w:rPr>
          <w:t xml:space="preserve">[3]</w:t>
        </w:r>
      </w:hyperlink>
      <w:r>
        <w:t xml:space="preserve"> </w:t>
      </w:r>
      <w:r>
        <w:t xml:space="preserve">and</w:t>
      </w:r>
      <w:r>
        <w:t xml:space="preserve"> </w:t>
      </w:r>
      <w:hyperlink w:anchor="ref-6">
        <w:r>
          <w:rPr>
            <w:rStyle w:val="Hyperlink"/>
          </w:rPr>
          <w:t xml:space="preserve">[6]</w:t>
        </w:r>
      </w:hyperlink>
      <w:r>
        <w:t xml:space="preserve">, inferential-moment scoring from</w:t>
      </w:r>
      <w:r>
        <w:t xml:space="preserve"> </w:t>
      </w:r>
      <w:hyperlink w:anchor="ref-1">
        <w:r>
          <w:rPr>
            <w:rStyle w:val="Hyperlink"/>
          </w:rPr>
          <w:t xml:space="preserve">[1]</w:t>
        </w:r>
      </w:hyperlink>
      <w:r>
        <w:t xml:space="preserve"> </w:t>
      </w:r>
      <w:r>
        <w:t xml:space="preserve">where tractable, tree-search scoring from</w:t>
      </w:r>
      <w:r>
        <w:t xml:space="preserve"> </w:t>
      </w:r>
      <w:hyperlink w:anchor="ref-4">
        <w:r>
          <w:rPr>
            <w:rStyle w:val="Hyperlink"/>
          </w:rPr>
          <w:t xml:space="preserve">[4]</w:t>
        </w:r>
      </w:hyperlink>
      <w:r>
        <w:t xml:space="preserve"> </w:t>
      </w:r>
      <w:r>
        <w:t xml:space="preserve">and</w:t>
      </w:r>
      <w:r>
        <w:t xml:space="preserve"> </w:t>
      </w:r>
      <w:hyperlink w:anchor="ref-7">
        <w:r>
          <w:rPr>
            <w:rStyle w:val="Hyperlink"/>
          </w:rPr>
          <w:t xml:space="preserve">[7]</w:t>
        </w:r>
      </w:hyperlink>
      <w:r>
        <w:t xml:space="preserve"> </w:t>
      </w:r>
      <w:r>
        <w:t xml:space="preserve">where not, and experience-adjusted per-action cost from the curve estimated in Paper 2.</w:t>
      </w:r>
    </w:p>
    <w:p>
      <w:pPr>
        <w:pStyle w:val="BodyText"/>
        <w:spacing w:line="480" w:lineRule="auto"/>
        <w:ind w:firstLine="720"/>
      </w:pPr>
      <w:r>
        <w:t xml:space="preserve">Let policy pi-H be the realized human plan, defined as the sequence of actions executed on sol t as recorded in the archive. Let policy pi-V be the VOI-ranked sequence, defined as the solution to the sequential decision problem on A(t), B(t), R. Let G(pi, t) denote the cumulative information gain delivered by policy pi on sol t under R and B(t). The per-sol paired difference is delta(t) equal to G(pi-V, t) minus G(pi-H, t).</w:t>
      </w:r>
    </w:p>
    <w:p>
      <w:pPr>
        <w:pStyle w:val="BodyText"/>
        <w:spacing w:line="480" w:lineRule="auto"/>
        <w:ind w:firstLine="720"/>
      </w:pPr>
      <w:r>
        <w:t xml:space="preserve">The estimand is the population mean of delta(t) over the corpus of sols included in the analysis. The corpus is drawn from MSL Curiosity sols for which the operations record supports reconstruction of A(t) and B(t) under the conservative inclusion rules, as anchored in the published mission overview series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and the instrument-level activity records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estimand is a single scalar with a single sign.</w:t>
      </w:r>
    </w:p>
    <w:bookmarkEnd w:id="92"/>
    <w:bookmarkStart w:id="93" w:name="hypotheses"/>
    <w:p>
      <w:pPr>
        <w:pStyle w:val="Heading2"/>
        <w:spacing w:line="480" w:lineRule="auto"/>
      </w:pPr>
      <w:r>
        <w:t xml:space="preserve">3.6 Hypotheses</w:t>
      </w:r>
    </w:p>
    <w:p>
      <w:pPr>
        <w:pStyle w:val="FirstParagraph"/>
        <w:spacing w:line="480" w:lineRule="auto"/>
      </w:pPr>
      <w:r>
        <w:t xml:space="preserve">The hypotheses are stated in the language of the estimand.</w:t>
      </w:r>
    </w:p>
    <w:p>
      <w:pPr>
        <w:pStyle w:val="BodyText"/>
        <w:spacing w:line="480" w:lineRule="auto"/>
        <w:ind w:firstLine="720"/>
      </w:pPr>
      <w:r>
        <w:t xml:space="preserve">H0 (null). The population mean of delta(t) is less than or equal to zero. Under H0, the VOI-ranked sequence recovers no greater cumulative information gain than the realized human consensus plan, conditional on the common functional, candidate set, and envelope.</w:t>
      </w:r>
    </w:p>
    <w:p>
      <w:pPr>
        <w:pStyle w:val="BodyText"/>
        <w:spacing w:line="480" w:lineRule="auto"/>
        <w:ind w:firstLine="720"/>
      </w:pPr>
      <w:r>
        <w:t xml:space="preserve">H1 (alternative). The population mean of delta(t) is strictly greater than zero. Under H1, the VOI-ranked sequence recovers strictly greater cumulative information gain than the realized human consensus plan under the identical envelope, and the magnitude of the mean is the marginal information value forgone by consensus tactical planning over the corpus.</w:t>
      </w:r>
    </w:p>
    <w:p>
      <w:pPr>
        <w:pStyle w:val="BodyText"/>
        <w:spacing w:line="480" w:lineRule="auto"/>
        <w:ind w:firstLine="720"/>
      </w:pPr>
      <w:r>
        <w:t xml:space="preserve">Two properties of these hypotheses warrant emphasis. First, H0 and H1 partition the parameter space at zero and do not admit a region of practical equivalence. The test is a one-sided sign test on the population mean. The dissertation does not introduce a minimum effect size as a hypothesis condition. The magnitude of the effect, if H1 is supported, is reported as the estimated marginal information value forgone; the test asks only whether the mean is positive. Second, H0 admits two substantive interpretations whose distinction matters for the dissertation’s discussion. Either the realized human plan is on the VOI frontier and the formalism does not improve on consensus, or the realized human plan exploits scientific or operational knowledge that the calibrated functional fails to capture. The dissertation’s sensitivity analyses, conducted under alternative priority weightings anchored in</w:t>
      </w:r>
      <w:r>
        <w:t xml:space="preserve"> </w:t>
      </w:r>
      <w:hyperlink w:anchor="ref-6">
        <w:r>
          <w:rPr>
            <w:rStyle w:val="Hyperlink"/>
          </w:rPr>
          <w:t xml:space="preserve">[6]</w:t>
        </w:r>
      </w:hyperlink>
      <w:r>
        <w:t xml:space="preserve"> </w:t>
      </w:r>
      <w:r>
        <w:t xml:space="preserve">and</w:t>
      </w:r>
      <w:r>
        <w:t xml:space="preserve"> </w:t>
      </w:r>
      <w:hyperlink w:anchor="ref-25">
        <w:r>
          <w:rPr>
            <w:rStyle w:val="Hyperlink"/>
          </w:rPr>
          <w:t xml:space="preserve">[25]</w:t>
        </w:r>
      </w:hyperlink>
      <w:r>
        <w:t xml:space="preserve"> </w:t>
      </w:r>
      <w:r>
        <w:t xml:space="preserve">and under alternative cost calibrations consistent with the experience curve in Paper 2, are designed to distinguish these two interpretations in the event that H0 is not rejected.</w:t>
      </w:r>
    </w:p>
    <w:p>
      <w:pPr>
        <w:pStyle w:val="BodyText"/>
        <w:spacing w:line="480" w:lineRule="auto"/>
        <w:ind w:firstLine="720"/>
      </w:pPr>
      <w:r>
        <w:t xml:space="preserve">The hypotheses are falsifiable in the strict sense. A single corpus-level paired test produces a single sign on the estimand. The result is either consistent with H1, in which case the marginal information value forgone is the headline contribution, or consistent with H0, in which case the dissertation reports that consensus tactical planning is not measurably improved upon by the imported VOI formalism under any of the tested calibrations. Both outcomes are publishable. The asymmetric reporting incentive that often accompanies machine-learning-style benchmarks is avoided here by the discipline of a single estimand and a single sign test.</w:t>
      </w:r>
    </w:p>
    <w:bookmarkEnd w:id="93"/>
    <w:bookmarkStart w:id="94" w:name="auxiliary-predictions"/>
    <w:p>
      <w:pPr>
        <w:pStyle w:val="Heading2"/>
        <w:spacing w:line="480" w:lineRule="auto"/>
      </w:pPr>
      <w:r>
        <w:t xml:space="preserve">3.7 Auxiliary Predictions</w:t>
      </w:r>
    </w:p>
    <w:p>
      <w:pPr>
        <w:pStyle w:val="FirstParagraph"/>
        <w:spacing w:line="480" w:lineRule="auto"/>
      </w:pPr>
      <w:r>
        <w:t xml:space="preserve">Two auxiliary predictions follow from the theoretical framework. They are not part of the central hypothesis test and are not used to adjudicate H0 against H1. They are reported because they constrain the interpretation of the central result and supply diagnostic checks.</w:t>
      </w:r>
    </w:p>
    <w:p>
      <w:pPr>
        <w:pStyle w:val="BodyText"/>
        <w:spacing w:line="480" w:lineRule="auto"/>
        <w:ind w:firstLine="720"/>
      </w:pPr>
      <w:r>
        <w:t xml:space="preserve">The first auxiliary prediction is that the per-sol paired difference delta(t) should be larger early in the mission and smaller late in the mission, conditional on the experience curve in Paper 2. If the consensus planning loop converges on more efficient acquisition patterns as the team accumulates procedural and contextual knowledge, then the gap between the realized plan and the VOI-ranked plan should narrow as cumulative targets rise. A monotone-decreasing pattern in delta(t) along the cumulative-target index would be consistent with the joint operation of the central mechanism and the experience curve. A flat or monotone-increasing pattern would not.</w:t>
      </w:r>
    </w:p>
    <w:p>
      <w:pPr>
        <w:pStyle w:val="BodyText"/>
        <w:spacing w:line="480" w:lineRule="auto"/>
        <w:ind w:firstLine="720"/>
      </w:pPr>
      <w:r>
        <w:t xml:space="preserve">The second auxiliary prediction is that delta(t) should be larger on sols when the candidate-action set is denser, that is, when more candidate actions compete for a tighter envelope. If consensus deliberation is most likely to under-allocate when contention is acute and most likely to track the VOI frontier when contention is slack, then the gap should be increasing in the ratio of candidate-action information demand to envelope. This is the planetary analogue of the SDA observation that the value of an explicit information functional is greatest when the sensor budget is most binding</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Neither auxiliary prediction is required for the central hypothesis test. Both are reported because they tie the central result to the cost and contention structure that the theoretical framework names as relevant.</w:t>
      </w:r>
    </w:p>
    <w:bookmarkEnd w:id="94"/>
    <w:bookmarkStart w:id="95" w:name="scope-conditions"/>
    <w:p>
      <w:pPr>
        <w:pStyle w:val="Heading2"/>
        <w:spacing w:line="480" w:lineRule="auto"/>
      </w:pPr>
      <w:r>
        <w:t xml:space="preserve">3.8 Scope Conditions</w:t>
      </w:r>
    </w:p>
    <w:p>
      <w:pPr>
        <w:pStyle w:val="FirstParagraph"/>
        <w:spacing w:line="480" w:lineRule="auto"/>
      </w:pPr>
      <w:r>
        <w:t xml:space="preserve">The theoretical framework applies under three scope conditions. First, the platform is mobile and consumes its own energy in traverse, so that the resource envelope is shared between traverse cost and observation cost. The framework is calibrated to platforms of this class, including planetary surface rovers; its application to static landers is constrained by the absence of a traverse-cost line in the envelope. Second, the operations record is publicly archived at sufficient granularity to reconstruct the candidate-action set and the resource envelope for each sol included in the corpus. The framework’s empirical content depends on this discipline; sols without sufficient archival depth are excluded from the corpus, not imputed. Third, the priority-weighted information functional is anchored in a scientific value structure that the dissertation explicitly identifies, namely the habitability-reconnaissance structure validated in rover-analog field tests</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Application of the framework to a different scientific value structure, for example a sample-caching value structure of the kind implied by</w:t>
      </w:r>
      <w:r>
        <w:t xml:space="preserve"> </w:t>
      </w:r>
      <w:hyperlink w:anchor="ref-8">
        <w:r>
          <w:rPr>
            <w:rStyle w:val="Hyperlink"/>
          </w:rPr>
          <w:t xml:space="preserve">[8]</w:t>
        </w:r>
      </w:hyperlink>
      <w:r>
        <w:t xml:space="preserve"> </w:t>
      </w:r>
      <w:r>
        <w:t xml:space="preserve">and</w:t>
      </w:r>
      <w:r>
        <w:t xml:space="preserve"> </w:t>
      </w:r>
      <w:hyperlink w:anchor="ref-26">
        <w:r>
          <w:rPr>
            <w:rStyle w:val="Hyperlink"/>
          </w:rPr>
          <w:t xml:space="preserve">[26]</w:t>
        </w:r>
      </w:hyperlink>
      <w:r>
        <w:t xml:space="preserve">, would require a separate calibration of the priority weights and a separate set of robustness checks.</w:t>
      </w:r>
    </w:p>
    <w:p>
      <w:pPr>
        <w:pStyle w:val="BodyText"/>
        <w:spacing w:line="480" w:lineRule="auto"/>
        <w:ind w:firstLine="720"/>
      </w:pPr>
      <w:r>
        <w:t xml:space="preserve">These scope conditions bound the external validity of the dissertation’s result. The estimand is the within-mission marginal value forgone on MSL Curiosity under the calibrations specified above. The framework does not deliver a counterfactual claim about other rovers, other planetary surfaces, or other scientific value structures. The dissertation’s contribution is precisely a single, falsifiable estimate of one quantity on one corpus, under a theoretical framework whose moving parts are named, defended, and bounded.</w:t>
      </w:r>
    </w:p>
    <w:bookmarkEnd w:id="95"/>
    <w:bookmarkStart w:id="96" w:name="summary"/>
    <w:p>
      <w:pPr>
        <w:pStyle w:val="Heading2"/>
        <w:spacing w:line="480" w:lineRule="auto"/>
      </w:pPr>
      <w:r>
        <w:t xml:space="preserve">3.9 Summary</w:t>
      </w:r>
    </w:p>
    <w:p>
      <w:pPr>
        <w:pStyle w:val="FirstParagraph"/>
        <w:spacing w:line="480" w:lineRule="auto"/>
      </w:pPr>
      <w:r>
        <w:t xml:space="preserve">The theoretical framework imports a mature value-of-information apparatus from SDA sensor tasking</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w:t>
      </w:r>
      <w:r>
        <w:t xml:space="preserve">into Mars rover tactical planning, calibrating the per-action cost vector to the instrument level rather than the platform level on the basis of the conditional mass result in Paper 1, calibrating the cost parameters to the experience curve documented in Paper 2, and anchoring the priority weights to the habitability-reconnaissance value structure validated in rover-analog field tests</w:t>
      </w:r>
      <w:r>
        <w:t xml:space="preserve"> </w:t>
      </w:r>
      <w:hyperlink w:anchor="ref-6">
        <w:r>
          <w:rPr>
            <w:rStyle w:val="Hyperlink"/>
          </w:rPr>
          <w:t xml:space="preserve">[6]</w:t>
        </w:r>
      </w:hyperlink>
      <w:r>
        <w:t xml:space="preserve">,</w:t>
      </w:r>
      <w:r>
        <w:t xml:space="preserve"> </w:t>
      </w:r>
      <w:hyperlink w:anchor="ref-25">
        <w:r>
          <w:rPr>
            <w:rStyle w:val="Hyperlink"/>
          </w:rPr>
          <w:t xml:space="preserve">[25]</w:t>
        </w:r>
      </w:hyperlink>
      <w:r>
        <w:t xml:space="preserve">. The causal mechanism connects a per-action information-gain reward to a per-sol allocation policy and to cumulative scientific return across a campaign. The estimand is the per-sol paired difference in cumulative information gain between the VOI-ranked policy and the realized human consensus policy, evaluated on a common candidate set and a common envelope. The hypotheses H0 and H1 partition the parameter space at zero and admit a single sign test. The framework is bounded by three scope conditions on platform mobility, archival depth, and scientific value structure, and is positioned within an economic literature that treats the value of space-derived information as a measurement problem rather than an assumption</w:t>
      </w:r>
      <w:r>
        <w:t xml:space="preserve"> </w:t>
      </w:r>
      <w:hyperlink w:anchor="ref-5">
        <w:r>
          <w:rPr>
            <w:rStyle w:val="Hyperlink"/>
          </w:rPr>
          <w:t xml:space="preserve">[5]</w:t>
        </w:r>
      </w:hyperlink>
      <w:r>
        <w:t xml:space="preserve">,</w:t>
      </w:r>
      <w:r>
        <w:t xml:space="preserve"> </w:t>
      </w:r>
      <w:hyperlink w:anchor="ref-28">
        <w:r>
          <w:rPr>
            <w:rStyle w:val="Hyperlink"/>
          </w:rPr>
          <w:t xml:space="preserve">[28]</w:t>
        </w:r>
      </w:hyperlink>
      <w:r>
        <w:t xml:space="preserve">.</w:t>
      </w:r>
    </w:p>
    <w:p>
      <w:pPr>
        <w:pStyle w:val="BodyText"/>
        <w:spacing w:line="480" w:lineRule="auto"/>
        <w:ind w:firstLine="720"/>
      </w:pPr>
      <w:r>
        <w:t xml:space="preserve">The chapter that follows operationalizes this framework as the empirical strategy: the construction of the corpus, the reconstruction of the candidate-action set, the calibration of the functional, the implementation of the VOI solver, and the inference procedure under which the paired sign test is conducted.</w:t>
      </w:r>
    </w:p>
    <w:bookmarkEnd w:id="96"/>
    <w:bookmarkEnd w:id="97"/>
    <w:bookmarkStart w:id="123" w:name="chapter-4.-data-and-measurement"/>
    <w:p>
      <w:pPr>
        <w:pStyle w:val="Heading1"/>
        <w:spacing w:line="480" w:lineRule="auto"/>
      </w:pPr>
      <w:r>
        <w:t xml:space="preserve">Chapter 4. Data and Measurement</w:t>
      </w:r>
    </w:p>
    <w:bookmarkStart w:id="98" w:name="X5a2586913c6e9106d98bba557dc55b7f2620bea"/>
    <w:p>
      <w:pPr>
        <w:pStyle w:val="Heading2"/>
        <w:spacing w:line="480" w:lineRule="auto"/>
      </w:pPr>
      <w:r>
        <w:t xml:space="preserve">4.1 Orientation: What the Two Papers Measure and Why the Data Must Be Public</w:t>
      </w:r>
    </w:p>
    <w:p>
      <w:pPr>
        <w:pStyle w:val="FirstParagraph"/>
        <w:spacing w:line="480" w:lineRule="auto"/>
      </w:pPr>
      <w:r>
        <w:t xml:space="preserve">This dissertation tests a single falsifiable claim about Mars rover tactical planning, namely that a value of information (VOI) ranked action sequence recovers a measurably greater share of achievable information gain than the realized human consensus plan under an identical resource envelope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two empirical papers that support that claim do not address the within-sol planning decision directly. They address the two measurement preconditions that any within-sol VOI estimate must satisfy. Paper 1 estimates the cross-mission relationship between the resource envelope a landed platform carries to the surface and the operational tenure that envelope buys, so that the size of the prize a tactical planner is competing for can be characterized empirically rather than assumed. Paper 2 estimates the rate at which the per-target downlink cost on a single mission declines with cumulative experience, so that the cost side of any information functional can be calibrated to a time-varying parameter rather than a static one. Together the two datasets allow the dissertation’s tactical model to enter Chapter 5 with a defensible characterization of how many sols a platform earns and how the per-action cost of consuming those sols evolves.</w:t>
      </w:r>
    </w:p>
    <w:p>
      <w:pPr>
        <w:pStyle w:val="BodyText"/>
        <w:spacing w:line="480" w:lineRule="auto"/>
        <w:ind w:firstLine="720"/>
      </w:pPr>
      <w:r>
        <w:t xml:space="preserve">This chapter documents the data and measurement choices for both papers in detail sufficient for an outside reader to reproduce every variable from a primary record. Section 4.2 documents the cross-mission dataset that anchors Paper 1, including the population definition, the authoritative source for each row, the operationalization of each regressor, and the treatment of loss-on-landing cases. Section 4.3 documents the quarterly MSL Curiosity operations record that anchors Paper 2, including the unit-of-analysis decision, the construction of cumulative target counts from layered peer-reviewed sources, the per-target downlink cost construction, and the cross-checks against the NASA Planetary Data System. Section 4.4 specifies the dependent variables, independent variables, and the encoding rules used in each regression. Section 4.5 documents how each variable is constructed from its primary record, with particular attention to disaggregation rules for cases where mission-year totals are public but a quarter-by-quarter cut is not. Section 4.6 records the data-quality conventions and the audit trail that supports replication. Section 4.7 ties the measurement program back to the dissertation’s central VOI estimand and describes the data products that flow forward to the tactical model in Chapter 5.</w:t>
      </w:r>
    </w:p>
    <w:p>
      <w:pPr>
        <w:pStyle w:val="BodyText"/>
        <w:spacing w:line="480" w:lineRule="auto"/>
        <w:ind w:firstLine="720"/>
      </w:pPr>
      <w:r>
        <w:t xml:space="preserve">The discipline that runs through the chapter is that every variable used in either regression is reconstructible from a publicly archived primary record, that no proprietary or embargoed operations data is required, and that every cell in either dataset carries a per-row source citation. The dissertation makes a contribution that depends on the reviewability of its evidence; the data chapter is the place where that reviewability is made explicit.</w:t>
      </w:r>
    </w:p>
    <w:bookmarkEnd w:id="98"/>
    <w:bookmarkStart w:id="103" w:name="Xea1accbe793cbc8a34b19cf7fead00bbf72cf69"/>
    <w:p>
      <w:pPr>
        <w:pStyle w:val="Heading2"/>
        <w:spacing w:line="480" w:lineRule="auto"/>
      </w:pPr>
      <w:r>
        <w:t xml:space="preserve">4.2 Paper 1 Dataset: A Cross-Section of Landed Planetary Surface Missions</w:t>
      </w:r>
    </w:p>
    <w:bookmarkStart w:id="99" w:name="population-definition-and-inclusion-rule"/>
    <w:p>
      <w:pPr>
        <w:pStyle w:val="Heading3"/>
        <w:spacing w:line="480" w:lineRule="auto"/>
      </w:pPr>
      <w:r>
        <w:t xml:space="preserve">4.2.1 Population Definition and Inclusion Rule</w:t>
      </w:r>
    </w:p>
    <w:p>
      <w:pPr>
        <w:pStyle w:val="FirstParagraph"/>
        <w:spacing w:line="480" w:lineRule="auto"/>
      </w:pPr>
      <w:r>
        <w:t xml:space="preserve">The Paper 1 dataset is a cross-section of landed planetary surface missions for which landed mass, planned operational duration, achieved surface tenure, instrument count, and power class are publicly archived. The inclusion rule is that a mission appears in the catalogue if it attempted a soft landing on a planetary or lunar surface, if its agency or an authoritative archive has published the five variables above, and if the mission terminated before the data cutoff. The catalogue spans the population of publicly documented planetary surface landings from 1966 through 2024.</w:t>
      </w:r>
    </w:p>
    <w:p>
      <w:pPr>
        <w:pStyle w:val="BodyText"/>
        <w:spacing w:line="480" w:lineRule="auto"/>
        <w:ind w:firstLine="720"/>
      </w:pPr>
      <w:r>
        <w:t xml:space="preserve">The full catalogue contains 28 missions. Three of those missions failed on landing and recorded zero achieved sols (Mars Polar Lander, Beagle 2, Schiaparelli). They are dropped from the log-log regression because the outcome variable, the natural log of achieved sols, is undefined at zero. They are retained in the catalogue and are reported in descriptive tables, but they do not enter the estimation sample. The estimation sample is therefore N equals 25 successful landed missions, a count that is recorded explicitly in the Paper 1 prose and that is reconstructible from the data file by applying the strictly-positive-sols filter.</w:t>
      </w:r>
    </w:p>
    <w:bookmarkEnd w:id="99"/>
    <w:bookmarkStart w:id="100" w:name="authoritative-sources-by-mission-family"/>
    <w:p>
      <w:pPr>
        <w:pStyle w:val="Heading3"/>
        <w:spacing w:line="480" w:lineRule="auto"/>
      </w:pPr>
      <w:r>
        <w:t xml:space="preserve">4.2.2 Authoritative Sources by Mission Family</w:t>
      </w:r>
    </w:p>
    <w:p>
      <w:pPr>
        <w:pStyle w:val="FirstParagraph"/>
        <w:spacing w:line="480" w:lineRule="auto"/>
      </w:pPr>
      <w:r>
        <w:t xml:space="preserve">The dataset is sourced row by row to publicly citable primary records. The NASA Goddard Space Flight Center National Space Science Data Center Coordinated Archive (NSSDCA) Master Catalog supplies the canonical entries for the Surveyor series, Viking 1 and 2, Mars Pathfinder, Sojourner, the Mars Exploration Rovers Spirit and Opportunity, Phoenix, and the Soviet Lunokhod 1 and Lunokhod 2 rovers</w:t>
      </w:r>
      <w:r>
        <w:t xml:space="preserve"> </w:t>
      </w:r>
      <w:hyperlink w:anchor="ref-10">
        <w:r>
          <w:rPr>
            <w:rStyle w:val="Hyperlink"/>
          </w:rPr>
          <w:t xml:space="preserve">[10]</w:t>
        </w:r>
      </w:hyperlink>
      <w:r>
        <w:t xml:space="preserve">. The NSSDCA entries are the authoritative provenance for landing date, landed mass, planned duration, and end-of-mission date for the missions in those programs.</w:t>
      </w:r>
    </w:p>
    <w:p>
      <w:pPr>
        <w:pStyle w:val="BodyText"/>
        <w:spacing w:line="480" w:lineRule="auto"/>
        <w:ind w:firstLine="720"/>
      </w:pPr>
      <w:r>
        <w:t xml:space="preserve">For more recent NASA missions, the catalogue draws on NASA mission press kits for InSight and Mars 2020, and on the NSSDCA Master Catalog for Mars Science Laboratory Curiosity. Cost figures for Curiosity, InSight, and Perseverance are drawn from the NASA Major Project Assessment series produced by the U.S. Government Accountability Office, specifically GAO-13-276SP, GAO-19-262SP, and GAO-25-107591</w:t>
      </w:r>
      <w:r>
        <w:t xml:space="preserve"> </w:t>
      </w:r>
      <w:hyperlink w:anchor="ref-9">
        <w:r>
          <w:rPr>
            <w:rStyle w:val="Hyperlink"/>
          </w:rPr>
          <w:t xml:space="preserve">[9]</w:t>
        </w:r>
      </w:hyperlink>
      <w:r>
        <w:t xml:space="preserve">. The GAO series is the authoritative cost provenance because it audits NASA’s reported life-cycle cost at standardized program milestones.</w:t>
      </w:r>
    </w:p>
    <w:p>
      <w:pPr>
        <w:pStyle w:val="BodyText"/>
        <w:spacing w:line="480" w:lineRule="auto"/>
        <w:ind w:firstLine="720"/>
      </w:pPr>
      <w:r>
        <w:t xml:space="preserve">International missions are sourced from official agency mission summaries: CNSA for Tianwen-1 Zhurong, Chang’e 3 with Yutu, and Chang’e 4 with Yutu-2; ISRO for Chandrayaan-3 Vikram with Pragyan; JAXA for SLIM; and ESA for Schiaparelli and Beagle 2. A small minority of cost figures for international missions are flagged in the source column as illustrative where official agency cost disclosures are not publicly verifiable in dollars. Cost is not used in the primary specification, so these flags do not affect the estimated coefficients. The flag is preserved for transparency.</w:t>
      </w:r>
    </w:p>
    <w:bookmarkEnd w:id="100"/>
    <w:bookmarkStart w:id="101" w:name="X3ef25b8f935cb25c2a318d599ce6e892a81a6fb"/>
    <w:p>
      <w:pPr>
        <w:pStyle w:val="Heading3"/>
        <w:spacing w:line="480" w:lineRule="auto"/>
      </w:pPr>
      <w:r>
        <w:t xml:space="preserve">4.2.3 Unit of Analysis and the Per-Row Source Column</w:t>
      </w:r>
    </w:p>
    <w:p>
      <w:pPr>
        <w:pStyle w:val="FirstParagraph"/>
        <w:spacing w:line="480" w:lineRule="auto"/>
      </w:pPr>
      <w:r>
        <w:t xml:space="preserve">The unit of analysis is a single landed planetary surface mission. One row corresponds to one mission, indexed by an internal identifier and labelled with the agency, mission name, and landing date. Every row carries a</w:t>
      </w:r>
      <w:r>
        <w:t xml:space="preserve"> </w:t>
      </w:r>
      <w:r>
        <w:rPr>
          <w:rStyle w:val="VerbatimChar"/>
        </w:rPr>
        <w:t xml:space="preserve">source</w:t>
      </w:r>
      <w:r>
        <w:t xml:space="preserve"> </w:t>
      </w:r>
      <w:r>
        <w:t xml:space="preserve">column that records the primary archive entry or document from which the cell values are taken. For NSSDCA-sourced rows the citation is the NSSDCA mission entry</w:t>
      </w:r>
      <w:r>
        <w:t xml:space="preserve"> </w:t>
      </w:r>
      <w:hyperlink w:anchor="ref-10">
        <w:r>
          <w:rPr>
            <w:rStyle w:val="Hyperlink"/>
          </w:rPr>
          <w:t xml:space="preserve">[10]</w:t>
        </w:r>
      </w:hyperlink>
      <w:r>
        <w:t xml:space="preserve">; for GAO-sourced cost rows the citation is the specific GAO report number</w:t>
      </w:r>
      <w:r>
        <w:t xml:space="preserve"> </w:t>
      </w:r>
      <w:hyperlink w:anchor="ref-9">
        <w:r>
          <w:rPr>
            <w:rStyle w:val="Hyperlink"/>
          </w:rPr>
          <w:t xml:space="preserve">[9]</w:t>
        </w:r>
      </w:hyperlink>
      <w:r>
        <w:t xml:space="preserve">; for agency-sourced rows the citation is the agency mission summary document. Per-row sourcing is the audit mechanism that allows an outside reviewer to retrace any cell to a public primary record.</w:t>
      </w:r>
    </w:p>
    <w:bookmarkEnd w:id="101"/>
    <w:bookmarkStart w:id="102" w:name="treatment-of-loss-on-landing-cases"/>
    <w:p>
      <w:pPr>
        <w:pStyle w:val="Heading3"/>
        <w:spacing w:line="480" w:lineRule="auto"/>
      </w:pPr>
      <w:r>
        <w:t xml:space="preserve">4.2.4 Treatment of Loss-on-Landing Cases</w:t>
      </w:r>
    </w:p>
    <w:p>
      <w:pPr>
        <w:pStyle w:val="FirstParagraph"/>
        <w:spacing w:line="480" w:lineRule="auto"/>
      </w:pPr>
      <w:r>
        <w:t xml:space="preserve">Mars Polar Lander, Beagle 2, and Schiaparelli failed on landing and recorded zero achieved sols. The OLS specification is log-log on the outcome, and the natural log of zero is undefined. Two alternatives were considered. The first is to add a small positive constant to the outcome and retain the three cases; this distorts the conditional mean and contaminates the elasticity estimate with an arbitrary offset. The second is to drop the three cases and to interpret the estimated coefficients as within-success population associations rather than as predictions for the universe of attempted landings. The dissertation takes the second route. The interpretive cost is that the coefficients describe missions that succeeded in reaching the surface; this is the relevant population for the tactical model because tactical planning is a within-success activity. The decision and its interpretive scope are stated explicitly in Paper 1 and are inherited here without modification.</w:t>
      </w:r>
    </w:p>
    <w:bookmarkEnd w:id="102"/>
    <w:bookmarkEnd w:id="103"/>
    <w:bookmarkStart w:id="108" w:name="Xf55bfc3a36737411dda9eba4a7826351b32133a"/>
    <w:p>
      <w:pPr>
        <w:pStyle w:val="Heading2"/>
        <w:spacing w:line="480" w:lineRule="auto"/>
      </w:pPr>
      <w:r>
        <w:t xml:space="preserve">4.3 Paper 2 Dataset: A Quarterly Operations Record of MSL Curiosity</w:t>
      </w:r>
    </w:p>
    <w:bookmarkStart w:id="104" w:name="mission-window-and-unit-of-analysis"/>
    <w:p>
      <w:pPr>
        <w:pStyle w:val="Heading3"/>
        <w:spacing w:line="480" w:lineRule="auto"/>
      </w:pPr>
      <w:r>
        <w:t xml:space="preserve">4.3.1 Mission, Window, and Unit of Analysis</w:t>
      </w:r>
    </w:p>
    <w:p>
      <w:pPr>
        <w:pStyle w:val="FirstParagraph"/>
        <w:spacing w:line="480" w:lineRule="auto"/>
      </w:pPr>
      <w:r>
        <w:t xml:space="preserve">The Paper 2 dataset is a quarterly aggregate of the Mars Science Laboratory Curiosity operations record from Bradbury Landing (2012-08-06 UTC) through the end of mission year eight. The unit of observation is a quarter, defined as 90 sols, yielding 32 quarterly observations across the eight-year window. The choice of a quarterly unit reflects the granularity at which the principal source materials, peer-reviewed mission overviews and instrument-paper appendices, report cumulative target counts and downlink utilization. A finer sol-by-sol cut is technically available in the NASA Planetary Data System for some mission segments, but a sol-level cut is not uniformly available across the eight-year window and would introduce uneven coverage. The quarterly unit is the finest cut at which uniform coverage is achievable across the full window.</w:t>
      </w:r>
    </w:p>
    <w:p>
      <w:pPr>
        <w:pStyle w:val="BodyText"/>
        <w:spacing w:line="480" w:lineRule="auto"/>
        <w:ind w:firstLine="720"/>
      </w:pPr>
      <w:r>
        <w:t xml:space="preserve">The choice of cumulative targets as the experience index rather than cumulative sols is methodological. The experience-curve literature indexes per-unit cost by cumulative units produced, and in this setting the production unit is one acquired science target</w:t>
      </w:r>
      <w:r>
        <w:t xml:space="preserve"> </w:t>
      </w:r>
      <w:hyperlink w:anchor="ref-3">
        <w:r>
          <w:rPr>
            <w:rStyle w:val="Hyperlink"/>
          </w:rPr>
          <w:t xml:space="preserve">[3]</w:t>
        </w:r>
      </w:hyperlink>
      <w:r>
        <w:t xml:space="preserve">. Cumulative sols are reported in the dataset for descriptive purposes only and are not used in the regression.</w:t>
      </w:r>
    </w:p>
    <w:bookmarkEnd w:id="104"/>
    <w:bookmarkStart w:id="105" w:name="Xdacb5a587e2a3fea02219264195a01af33f0369"/>
    <w:p>
      <w:pPr>
        <w:pStyle w:val="Heading3"/>
        <w:spacing w:line="480" w:lineRule="auto"/>
      </w:pPr>
      <w:r>
        <w:t xml:space="preserve">4.3.2 Authoritative Sources for the Operations Record</w:t>
      </w:r>
    </w:p>
    <w:p>
      <w:pPr>
        <w:pStyle w:val="FirstParagraph"/>
        <w:spacing w:line="480" w:lineRule="auto"/>
      </w:pPr>
      <w:r>
        <w:t xml:space="preserve">The quarterly target counts and downlink cost figures are constructed from a layered set of peer-reviewed mission overview papers and NASA archives. The principal sources are the Vasavada 2022 Space Science Reviews overview of the first eight years of MSL surface operations</w:t>
      </w:r>
      <w:r>
        <w:t xml:space="preserve"> </w:t>
      </w:r>
      <w:hyperlink w:anchor="ref-12">
        <w:r>
          <w:rPr>
            <w:rStyle w:val="Hyperlink"/>
          </w:rPr>
          <w:t xml:space="preserve">[12]</w:t>
        </w:r>
      </w:hyperlink>
      <w:r>
        <w:t xml:space="preserve">, the Vasavada et al. 2014 JGR Planets overview of the Bradbury Landing to Yellowknife Bay phase</w:t>
      </w:r>
      <w:r>
        <w:t xml:space="preserve"> </w:t>
      </w:r>
      <w:hyperlink w:anchor="ref-13">
        <w:r>
          <w:rPr>
            <w:rStyle w:val="Hyperlink"/>
          </w:rPr>
          <w:t xml:space="preserve">[13]</w:t>
        </w:r>
      </w:hyperlink>
      <w:r>
        <w:t xml:space="preserve">, the Maurice et al. 2016 ChemCam activity paper in JAAS</w:t>
      </w:r>
      <w:r>
        <w:t xml:space="preserve"> </w:t>
      </w:r>
      <w:hyperlink w:anchor="ref-14">
        <w:r>
          <w:rPr>
            <w:rStyle w:val="Hyperlink"/>
          </w:rPr>
          <w:t xml:space="preserve">[14]</w:t>
        </w:r>
      </w:hyperlink>
      <w:r>
        <w:t xml:space="preserve">, the Wiens et al. 2015 Elements ChemCam paper, and the Bell et al. 2017 Earth and Space Science Mastcam instrument paper</w:t>
      </w:r>
      <w:r>
        <w:t xml:space="preserve"> </w:t>
      </w:r>
      <w:hyperlink w:anchor="ref-15">
        <w:r>
          <w:rPr>
            <w:rStyle w:val="Hyperlink"/>
          </w:rPr>
          <w:t xml:space="preserve">[15]</w:t>
        </w:r>
      </w:hyperlink>
      <w:r>
        <w:t xml:space="preserve">. Cumulative-sol and target totals are cross-checked against the MSL Analyst’s Notebook in the NASA Planetary Data System, which is the canonical archive for per-sol mission products. Planning-team-size approximations are cross-referenced from the Vasavada 2022 overview</w:t>
      </w:r>
      <w:r>
        <w:t xml:space="preserve"> </w:t>
      </w:r>
      <w:hyperlink w:anchor="ref-12">
        <w:r>
          <w:rPr>
            <w:rStyle w:val="Hyperlink"/>
          </w:rPr>
          <w:t xml:space="preserve">[12]</w:t>
        </w:r>
      </w:hyperlink>
      <w:r>
        <w:t xml:space="preserve"> </w:t>
      </w:r>
      <w:r>
        <w:t xml:space="preserve">and from the GAO Assessments of Major Projects for 2019 and 2021</w:t>
      </w:r>
      <w:r>
        <w:t xml:space="preserve"> </w:t>
      </w:r>
      <w:hyperlink w:anchor="ref-16">
        <w:r>
          <w:rPr>
            <w:rStyle w:val="Hyperlink"/>
          </w:rPr>
          <w:t xml:space="preserve">[16]</w:t>
        </w:r>
      </w:hyperlink>
      <w:r>
        <w:t xml:space="preserve">.</w:t>
      </w:r>
    </w:p>
    <w:p>
      <w:pPr>
        <w:pStyle w:val="BodyText"/>
        <w:spacing w:line="480" w:lineRule="auto"/>
        <w:ind w:firstLine="720"/>
      </w:pPr>
      <w:r>
        <w:t xml:space="preserve">The Vasavada 2022 overview is the dominant source for mission-year totals because it consolidates ChemCam, Mastcam, MAHLI, and APXS activity counts across the first eight years in a single peer-reviewed publication</w:t>
      </w:r>
      <w:r>
        <w:t xml:space="preserve"> </w:t>
      </w:r>
      <w:hyperlink w:anchor="ref-12">
        <w:r>
          <w:rPr>
            <w:rStyle w:val="Hyperlink"/>
          </w:rPr>
          <w:t xml:space="preserve">[12]</w:t>
        </w:r>
      </w:hyperlink>
      <w:r>
        <w:t xml:space="preserve">. The Maurice 2016 and Bell 2017 instrument papers supply per-instrument target counts and per-observation data volumes that allow the per-target downlink cost in megabits to be constructed from instrument-level primary records rather than from a top-line aggregate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MSL Analyst’s Notebook supplies the per-sol products that anchor the cumulative-target trajectory at the boundary between mission years.</w:t>
      </w:r>
    </w:p>
    <w:bookmarkEnd w:id="105"/>
    <w:bookmarkStart w:id="106" w:name="X6fba668e8f812e7603fb33da323df6dd1fa6974"/>
    <w:p>
      <w:pPr>
        <w:pStyle w:val="Heading3"/>
        <w:spacing w:line="480" w:lineRule="auto"/>
      </w:pPr>
      <w:r>
        <w:t xml:space="preserve">4.3.3 Disaggregation Rules and Illustrative-Cut Flags</w:t>
      </w:r>
    </w:p>
    <w:p>
      <w:pPr>
        <w:pStyle w:val="FirstParagraph"/>
        <w:spacing w:line="480" w:lineRule="auto"/>
      </w:pPr>
      <w:r>
        <w:t xml:space="preserve">In several cases mission-year totals are available in the peer-reviewed sources but a quarter-by-quarter cut is not. The dataset addresses this by linear within-mission-year disaggregation, in which the published mission-year total is allocated across the four constituent quarters in proportion to the cumulative sols accumulated in each quarter. Rows produced by this rule are flagged in the source column as illustrative. The illustrative-disaggregation share is two of 32 rows, which is well under the fifteen percent ceiling that the dataset’s data-quality convention sets. The ceiling is preserved as a guardrail against silent extrapolation. Any future expansion of the dataset that would push the illustrative share above the ceiling triggers a re-examination of the source coverage rather than additional disaggregation.</w:t>
      </w:r>
    </w:p>
    <w:bookmarkEnd w:id="106"/>
    <w:bookmarkStart w:id="107" w:name="Xcc187814afe49567f2083a08ef3b87ac11d798a"/>
    <w:p>
      <w:pPr>
        <w:pStyle w:val="Heading3"/>
        <w:spacing w:line="480" w:lineRule="auto"/>
      </w:pPr>
      <w:r>
        <w:t xml:space="preserve">4.3.4 Cross-Checks Against the Planetary Data System</w:t>
      </w:r>
    </w:p>
    <w:p>
      <w:pPr>
        <w:pStyle w:val="FirstParagraph"/>
        <w:spacing w:line="480" w:lineRule="auto"/>
      </w:pPr>
      <w:r>
        <w:t xml:space="preserve">The MSL Analyst’s Notebook in the NASA Planetary Data System is used as a cross-check at the boundaries between mission years. The cumulative target count at the end of mission year k as reported in Vasavada 2022</w:t>
      </w:r>
      <w:r>
        <w:t xml:space="preserve"> </w:t>
      </w:r>
      <w:hyperlink w:anchor="ref-12">
        <w:r>
          <w:rPr>
            <w:rStyle w:val="Hyperlink"/>
          </w:rPr>
          <w:t xml:space="preserve">[12]</w:t>
        </w:r>
      </w:hyperlink>
      <w:r>
        <w:t xml:space="preserve"> </w:t>
      </w:r>
      <w:r>
        <w:t xml:space="preserve">is verified against the cumulative count of Mastcam, ChemCam, MAHLI, and APXS products archived in the Analyst’s Notebook through the corresponding sol. Where the two counts agree to within the rounding precision of the source, the quarterly row inherits the Vasavada total. Where the two counts disagree, the disagreement is recorded and the row is sourced to the Analyst’s Notebook because it is closer to the primary record. The audit trail for each row records which of the two sources was the binding citation.</w:t>
      </w:r>
    </w:p>
    <w:bookmarkEnd w:id="107"/>
    <w:bookmarkEnd w:id="108"/>
    <w:bookmarkStart w:id="111" w:name="variables-definitions-and-coding"/>
    <w:p>
      <w:pPr>
        <w:pStyle w:val="Heading2"/>
        <w:spacing w:line="480" w:lineRule="auto"/>
      </w:pPr>
      <w:r>
        <w:t xml:space="preserve">4.4 Variables: Definitions and Coding</w:t>
      </w:r>
    </w:p>
    <w:bookmarkStart w:id="109" w:name="paper-1-variables"/>
    <w:p>
      <w:pPr>
        <w:pStyle w:val="Heading3"/>
        <w:spacing w:line="480" w:lineRule="auto"/>
      </w:pPr>
      <w:r>
        <w:t xml:space="preserve">4.4.1 Paper 1 Variables</w:t>
      </w:r>
    </w:p>
    <w:p>
      <w:pPr>
        <w:pStyle w:val="FirstParagraph"/>
        <w:spacing w:line="480" w:lineRule="auto"/>
      </w:pPr>
      <w:r>
        <w:t xml:space="preserve">The Paper 1 regression has one outcome and four regressors. All variables are defined at the mission level.</w:t>
      </w:r>
    </w:p>
    <w:p>
      <w:pPr>
        <w:pStyle w:val="BodyText"/>
        <w:spacing w:line="480" w:lineRule="auto"/>
        <w:ind w:firstLine="720"/>
      </w:pPr>
      <w:r>
        <w:t xml:space="preserve">The outcome variable is the natural log of achieved operational sols. Achieved sols is defined as the number of sols between landing and the agency-declared end of mission, sourced from NSSDCA for the NSSDCA-catalogued missions</w:t>
      </w:r>
      <w:r>
        <w:t xml:space="preserve"> </w:t>
      </w:r>
      <w:hyperlink w:anchor="ref-10">
        <w:r>
          <w:rPr>
            <w:rStyle w:val="Hyperlink"/>
          </w:rPr>
          <w:t xml:space="preserve">[10]</w:t>
        </w:r>
      </w:hyperlink>
      <w:r>
        <w:t xml:space="preserve"> </w:t>
      </w:r>
      <w:r>
        <w:t xml:space="preserve">and from agency mission summaries for the international and recent NASA missions. The natural-log transform allows the coefficient on log mass to be read as an elasticity.</w:t>
      </w:r>
    </w:p>
    <w:p>
      <w:pPr>
        <w:pStyle w:val="BodyText"/>
        <w:spacing w:line="480" w:lineRule="auto"/>
        <w:ind w:firstLine="720"/>
      </w:pPr>
      <w:r>
        <w:t xml:space="preserve">The first regressor is the natural log of landed mass in kilograms. Landed mass is the publicly archived dry mass of the lander or rover at the moment of surface contact, exclusive of cruise stage and entry-descent-landing consumables. The NSSDCA mission entry is the canonical source</w:t>
      </w:r>
      <w:r>
        <w:t xml:space="preserve"> </w:t>
      </w:r>
      <w:hyperlink w:anchor="ref-10">
        <w:r>
          <w:rPr>
            <w:rStyle w:val="Hyperlink"/>
          </w:rPr>
          <w:t xml:space="preserve">[10]</w:t>
        </w:r>
      </w:hyperlink>
      <w:r>
        <w:t xml:space="preserve">. For recent missions where the NSSDCA entry is supplemented by mission press kits, the press-kit figure is preferred only where it post-dates the NSSDCA entry and where the press kit explicitly distinguishes landed dry mass from gross entry mass.</w:t>
      </w:r>
    </w:p>
    <w:p>
      <w:pPr>
        <w:pStyle w:val="BodyText"/>
        <w:spacing w:line="480" w:lineRule="auto"/>
        <w:ind w:firstLine="720"/>
      </w:pPr>
      <w:r>
        <w:t xml:space="preserve">The second regressor is the natural log of planned mission sols. Planned sols is the agency commitment at launch, sourced from the mission press kit or, where the press kit does not state a planned sol count, from the mission overview paper. For Curiosity the planned sol count is taken from the Vasavada 2022 overview</w:t>
      </w:r>
      <w:r>
        <w:t xml:space="preserve"> </w:t>
      </w:r>
      <w:hyperlink w:anchor="ref-12">
        <w:r>
          <w:rPr>
            <w:rStyle w:val="Hyperlink"/>
          </w:rPr>
          <w:t xml:space="preserve">[12]</w:t>
        </w:r>
      </w:hyperlink>
      <w:r>
        <w:t xml:space="preserve"> </w:t>
      </w:r>
      <w:r>
        <w:t xml:space="preserve">and cross-checked against GAO-13-276SP</w:t>
      </w:r>
      <w:r>
        <w:t xml:space="preserve"> </w:t>
      </w:r>
      <w:hyperlink w:anchor="ref-9">
        <w:r>
          <w:rPr>
            <w:rStyle w:val="Hyperlink"/>
          </w:rPr>
          <w:t xml:space="preserve">[9]</w:t>
        </w:r>
      </w:hyperlink>
      <w:r>
        <w:t xml:space="preserve">. For Viking and Surveyor, NSSDCA is the source</w:t>
      </w:r>
      <w:r>
        <w:t xml:space="preserve"> </w:t>
      </w:r>
      <w:hyperlink w:anchor="ref-10">
        <w:r>
          <w:rPr>
            <w:rStyle w:val="Hyperlink"/>
          </w:rPr>
          <w:t xml:space="preserve">[10]</w:t>
        </w:r>
      </w:hyperlink>
      <w:r>
        <w:t xml:space="preserve">. The natural-log transform permits the coefficient to be read as a unit-elasticity check.</w:t>
      </w:r>
    </w:p>
    <w:p>
      <w:pPr>
        <w:pStyle w:val="BodyText"/>
        <w:spacing w:line="480" w:lineRule="auto"/>
        <w:ind w:firstLine="720"/>
      </w:pPr>
      <w:r>
        <w:t xml:space="preserve">The third regressor is the nuclear-power indicator. It takes the value one if the surface platform is powered by a radioisotope thermoelectric generator (RTG) or by radiothermal heating with electrical power supplemented from radioisotope sources, and zero otherwise. The indicator is constructed from the NSSDCA mission entry or the agency mission summary. The decision rule is binary rather than three-category because the dataset contains too few RTG platforms to support a finer split.</w:t>
      </w:r>
    </w:p>
    <w:p>
      <w:pPr>
        <w:pStyle w:val="BodyText"/>
        <w:spacing w:line="480" w:lineRule="auto"/>
        <w:ind w:firstLine="720"/>
      </w:pPr>
      <w:r>
        <w:t xml:space="preserve">The fourth regressor is the count of instruments in the surface-deployed payload. The count is the number of distinct named instruments listed in the mission’s payload section in the authoritative source. For NSSDCA-catalogued missions the count is taken from the NSSDCA payload section</w:t>
      </w:r>
      <w:r>
        <w:t xml:space="preserve"> </w:t>
      </w:r>
      <w:hyperlink w:anchor="ref-10">
        <w:r>
          <w:rPr>
            <w:rStyle w:val="Hyperlink"/>
          </w:rPr>
          <w:t xml:space="preserve">[10]</w:t>
        </w:r>
      </w:hyperlink>
      <w:r>
        <w:t xml:space="preserve">; for recent NASA missions the count is taken from the mission press kit and cross-checked against the science-team-of-record publication. Engineering housekeeping sensors are not counted; only instruments that produce science data products are counted.</w:t>
      </w:r>
    </w:p>
    <w:bookmarkEnd w:id="109"/>
    <w:bookmarkStart w:id="110" w:name="paper-2-variables"/>
    <w:p>
      <w:pPr>
        <w:pStyle w:val="Heading3"/>
        <w:spacing w:line="480" w:lineRule="auto"/>
      </w:pPr>
      <w:r>
        <w:t xml:space="preserve">4.4.2 Paper 2 Variables</w:t>
      </w:r>
    </w:p>
    <w:p>
      <w:pPr>
        <w:pStyle w:val="FirstParagraph"/>
        <w:spacing w:line="480" w:lineRule="auto"/>
      </w:pPr>
      <w:r>
        <w:t xml:space="preserve">The Paper 2 regression has one outcome and one regressor, with one auxiliary variable used for descriptive cross-checks.</w:t>
      </w:r>
    </w:p>
    <w:p>
      <w:pPr>
        <w:pStyle w:val="BodyText"/>
        <w:spacing w:line="480" w:lineRule="auto"/>
        <w:ind w:firstLine="720"/>
      </w:pPr>
      <w:r>
        <w:t xml:space="preserve">The outcome variable is the natural log of the average per-target downlink cost in megabits in the quarter. Per-target downlink cost is constructed as the quarter’s total science-data volume returned divided by the quarter’s count of science targets acquired. Science-data volume is sourced from the instrument papers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for the periods they cover and from Vasavada 2022</w:t>
      </w:r>
      <w:r>
        <w:t xml:space="preserve"> </w:t>
      </w:r>
      <w:hyperlink w:anchor="ref-12">
        <w:r>
          <w:rPr>
            <w:rStyle w:val="Hyperlink"/>
          </w:rPr>
          <w:t xml:space="preserve">[12]</w:t>
        </w:r>
      </w:hyperlink>
      <w:r>
        <w:t xml:space="preserve"> </w:t>
      </w:r>
      <w:r>
        <w:t xml:space="preserve">for periods covered only by the eight-year overview. Targets-acquired is sourced as described in section 4.3.</w:t>
      </w:r>
    </w:p>
    <w:p>
      <w:pPr>
        <w:pStyle w:val="BodyText"/>
        <w:spacing w:line="480" w:lineRule="auto"/>
        <w:ind w:firstLine="720"/>
      </w:pPr>
      <w:r>
        <w:t xml:space="preserve">The regressor is the natural log of cumulative targets acquired through the end of the quarter. Cumulative targets is the running sum of the quarterly target counts, with the cumulative trajectory anchored at the mission-year boundaries by the cross-check against the MSL Analyst’s Notebook described in section 4.3.4.</w:t>
      </w:r>
    </w:p>
    <w:p>
      <w:pPr>
        <w:pStyle w:val="BodyText"/>
        <w:spacing w:line="480" w:lineRule="auto"/>
        <w:ind w:firstLine="720"/>
      </w:pPr>
      <w:r>
        <w:t xml:space="preserve">The auxiliary variable is the approximate planning-team size per shift in the quarter, reported in the dataset for descriptive purposes and to support the discussion-section caveat that an alternative cost driver could be planning-team contraction rather than cumulative experience. Planning-team size is approximated from Vasavada 2022</w:t>
      </w:r>
      <w:r>
        <w:t xml:space="preserve"> </w:t>
      </w:r>
      <w:hyperlink w:anchor="ref-12">
        <w:r>
          <w:rPr>
            <w:rStyle w:val="Hyperlink"/>
          </w:rPr>
          <w:t xml:space="preserve">[12]</w:t>
        </w:r>
      </w:hyperlink>
      <w:r>
        <w:t xml:space="preserve"> </w:t>
      </w:r>
      <w:r>
        <w:t xml:space="preserve">and GAO Assessments of Major Projects</w:t>
      </w:r>
      <w:r>
        <w:t xml:space="preserve"> </w:t>
      </w:r>
      <w:hyperlink w:anchor="ref-16">
        <w:r>
          <w:rPr>
            <w:rStyle w:val="Hyperlink"/>
          </w:rPr>
          <w:t xml:space="preserve">[16]</w:t>
        </w:r>
      </w:hyperlink>
      <w:r>
        <w:t xml:space="preserve">.</w:t>
      </w:r>
    </w:p>
    <w:bookmarkEnd w:id="110"/>
    <w:bookmarkEnd w:id="111"/>
    <w:bookmarkStart w:id="116" w:name="construction-from-primary-records"/>
    <w:p>
      <w:pPr>
        <w:pStyle w:val="Heading2"/>
        <w:spacing w:line="480" w:lineRule="auto"/>
      </w:pPr>
      <w:r>
        <w:t xml:space="preserve">4.5 Construction From Primary Records</w:t>
      </w:r>
    </w:p>
    <w:bookmarkStart w:id="112" w:name="X8f74758fd8b15f19a21b6b1b10ae18d578c4fee"/>
    <w:p>
      <w:pPr>
        <w:pStyle w:val="Heading3"/>
        <w:spacing w:line="480" w:lineRule="auto"/>
      </w:pPr>
      <w:r>
        <w:t xml:space="preserve">4.5.1 Achieved Sols, Planned Sols, and Landed Mass</w:t>
      </w:r>
    </w:p>
    <w:p>
      <w:pPr>
        <w:pStyle w:val="FirstParagraph"/>
        <w:spacing w:line="480" w:lineRule="auto"/>
      </w:pPr>
      <w:r>
        <w:t xml:space="preserve">For each mission in the Paper 1 catalogue, achieved sols is computed as the difference in sols between the agency-declared end-of-mission date and the landing date. End-of-mission dates for NSSDCA-catalogued missions are taken directly from the NSSDCA entry</w:t>
      </w:r>
      <w:r>
        <w:t xml:space="preserve"> </w:t>
      </w:r>
      <w:hyperlink w:anchor="ref-10">
        <w:r>
          <w:rPr>
            <w:rStyle w:val="Hyperlink"/>
          </w:rPr>
          <w:t xml:space="preserve">[10]</w:t>
        </w:r>
      </w:hyperlink>
      <w:r>
        <w:t xml:space="preserve">. For Curiosity the end-of-mission date is the data-cutoff date for Paper 1 and is held to the published Vasavada 2022 horizon</w:t>
      </w:r>
      <w:r>
        <w:t xml:space="preserve"> </w:t>
      </w:r>
      <w:hyperlink w:anchor="ref-12">
        <w:r>
          <w:rPr>
            <w:rStyle w:val="Hyperlink"/>
          </w:rPr>
          <w:t xml:space="preserve">[12]</w:t>
        </w:r>
      </w:hyperlink>
      <w:r>
        <w:t xml:space="preserve">. For Lunokhod 1 and Lunokhod 2, NSSDCA is the binding source for end-of-mission dates</w:t>
      </w:r>
      <w:r>
        <w:t xml:space="preserve"> </w:t>
      </w:r>
      <w:hyperlink w:anchor="ref-10">
        <w:r>
          <w:rPr>
            <w:rStyle w:val="Hyperlink"/>
          </w:rPr>
          <w:t xml:space="preserve">[10]</w:t>
        </w:r>
      </w:hyperlink>
      <w:r>
        <w:t xml:space="preserve">.</w:t>
      </w:r>
    </w:p>
    <w:p>
      <w:pPr>
        <w:pStyle w:val="BodyText"/>
        <w:spacing w:line="480" w:lineRule="auto"/>
        <w:ind w:firstLine="720"/>
      </w:pPr>
      <w:r>
        <w:t xml:space="preserve">Planned sols is constructed from the agency commitment at launch as documented in the mission press kit or the mission overview paper. Where multiple agency documents report different planned-sol values, the binding value is the one recorded in the mission overview paper of record. The construction discipline is that planned sols must be the figure the agency committed to at launch, not the figure the agency announced after an extended-mission decision.</w:t>
      </w:r>
    </w:p>
    <w:p>
      <w:pPr>
        <w:pStyle w:val="BodyText"/>
        <w:spacing w:line="480" w:lineRule="auto"/>
        <w:ind w:firstLine="720"/>
      </w:pPr>
      <w:r>
        <w:t xml:space="preserve">Landed mass is the NSSDCA-archived dry mass of the surface platform at the moment of surface contact. Where the NSSDCA entry distinguishes landed dry mass from gross entry mass, the dry mass is used. Where the entry does not distinguish, the binding figure is the mass that the entry’s payload section sums to.</w:t>
      </w:r>
    </w:p>
    <w:bookmarkEnd w:id="112"/>
    <w:bookmarkStart w:id="113" w:name="cumulative-target-counts-for-msl"/>
    <w:p>
      <w:pPr>
        <w:pStyle w:val="Heading3"/>
        <w:spacing w:line="480" w:lineRule="auto"/>
      </w:pPr>
      <w:r>
        <w:t xml:space="preserve">4.5.2 Cumulative Target Counts for MSL</w:t>
      </w:r>
    </w:p>
    <w:p>
      <w:pPr>
        <w:pStyle w:val="FirstParagraph"/>
        <w:spacing w:line="480" w:lineRule="auto"/>
      </w:pPr>
      <w:r>
        <w:t xml:space="preserve">Cumulative target counts for MSL Curiosity are constructed by summing the quarterly target acquisitions across Mastcam, ChemCam, MAHLI, and APXS, with each instrument’s contribution traced to its instrument paper of record</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for the periods those papers cover. For periods covered only by the Vasavada 2022 overview</w:t>
      </w:r>
      <w:r>
        <w:t xml:space="preserve"> </w:t>
      </w:r>
      <w:hyperlink w:anchor="ref-12">
        <w:r>
          <w:rPr>
            <w:rStyle w:val="Hyperlink"/>
          </w:rPr>
          <w:t xml:space="preserve">[12]</w:t>
        </w:r>
      </w:hyperlink>
      <w:r>
        <w:t xml:space="preserve">, the cumulative total is taken from the overview’s instrument-activity tables. The cumulative-target trajectory at mission-year boundaries is then cross-checked against the MSL Analyst’s Notebook in the NASA Planetary Data System as described in section 4.3.4. Where the cross-check returns a discrepancy, the binding source for the boundary value is the Analyst’s Notebook, which is the closer primary record. The quarterly increments inside a mission year are then re-scaled so that they sum to the binding boundary value, preserving consistency across the boundary.</w:t>
      </w:r>
    </w:p>
    <w:bookmarkEnd w:id="113"/>
    <w:bookmarkStart w:id="114" w:name="per-target-downlink-cost"/>
    <w:p>
      <w:pPr>
        <w:pStyle w:val="Heading3"/>
        <w:spacing w:line="480" w:lineRule="auto"/>
      </w:pPr>
      <w:r>
        <w:t xml:space="preserve">4.5.3 Per-Target Downlink Cost</w:t>
      </w:r>
    </w:p>
    <w:p>
      <w:pPr>
        <w:pStyle w:val="FirstParagraph"/>
        <w:spacing w:line="480" w:lineRule="auto"/>
      </w:pPr>
      <w:r>
        <w:t xml:space="preserve">The per-target downlink cost in megabits in a quarter is the quotient of the quarter’s returned science data volume and the quarter’s acquired target count. Returned science data volume is constructed from the instrument papers’ reported per-observation data volumes multiplied by the instrument’s target count in the quarter</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summed across the four primary instruments. For periods where the instrument papers do not cover the quarter, the data volume is sourced from the Vasavada 2022 overview</w:t>
      </w:r>
      <w:r>
        <w:t xml:space="preserve"> </w:t>
      </w:r>
      <w:hyperlink w:anchor="ref-12">
        <w:r>
          <w:rPr>
            <w:rStyle w:val="Hyperlink"/>
          </w:rPr>
          <w:t xml:space="preserve">[12]</w:t>
        </w:r>
      </w:hyperlink>
      <w:r>
        <w:t xml:space="preserve">. The construction discipline is that the per-target cost is a quotient of two independently sourced quantities, both anchored to peer-reviewed publications, and that the audit trail records both numerator and denominator separately. This allows a reviewer to recompute the per-target cost from the primary records rather than accepting the dataset’s quotient on faith.</w:t>
      </w:r>
    </w:p>
    <w:bookmarkEnd w:id="114"/>
    <w:bookmarkStart w:id="115" w:name="planning-team-size"/>
    <w:p>
      <w:pPr>
        <w:pStyle w:val="Heading3"/>
        <w:spacing w:line="480" w:lineRule="auto"/>
      </w:pPr>
      <w:r>
        <w:t xml:space="preserve">4.5.4 Planning-Team Size</w:t>
      </w:r>
    </w:p>
    <w:p>
      <w:pPr>
        <w:pStyle w:val="FirstParagraph"/>
        <w:spacing w:line="480" w:lineRule="auto"/>
      </w:pPr>
      <w:r>
        <w:t xml:space="preserve">Planning-team size per shift is the headcount of the science and engineering staff on a single tactical shift, approximated from the Vasavada 2022 overview’s description of the planning cycle</w:t>
      </w:r>
      <w:r>
        <w:t xml:space="preserve"> </w:t>
      </w:r>
      <w:hyperlink w:anchor="ref-12">
        <w:r>
          <w:rPr>
            <w:rStyle w:val="Hyperlink"/>
          </w:rPr>
          <w:t xml:space="preserve">[12]</w:t>
        </w:r>
      </w:hyperlink>
      <w:r>
        <w:t xml:space="preserve"> </w:t>
      </w:r>
      <w:r>
        <w:t xml:space="preserve">and cross-referenced against the GAO Assessments of Major Projects’ staffing tables</w:t>
      </w:r>
      <w:r>
        <w:t xml:space="preserve"> </w:t>
      </w:r>
      <w:hyperlink w:anchor="ref-16">
        <w:r>
          <w:rPr>
            <w:rStyle w:val="Hyperlink"/>
          </w:rPr>
          <w:t xml:space="preserve">[16]</w:t>
        </w:r>
      </w:hyperlink>
      <w:r>
        <w:t xml:space="preserve">. The figure is reported as an approximation in the dataset because the underlying agency records do not publish a shift-by-shift headcount over the eight-year window. The variable is not used in the primary regression; it is reported as descriptive context and as the basis for the alternative-driver caveat in Paper 2.</w:t>
      </w:r>
    </w:p>
    <w:bookmarkEnd w:id="115"/>
    <w:bookmarkEnd w:id="116"/>
    <w:bookmarkStart w:id="121" w:name="data-quality-audit-trail-and-replication"/>
    <w:p>
      <w:pPr>
        <w:pStyle w:val="Heading2"/>
        <w:spacing w:line="480" w:lineRule="auto"/>
      </w:pPr>
      <w:r>
        <w:t xml:space="preserve">4.6 Data Quality, Audit Trail, and Replication</w:t>
      </w:r>
    </w:p>
    <w:bookmarkStart w:id="117" w:name="the-source-column-as-audit-mechanism"/>
    <w:p>
      <w:pPr>
        <w:pStyle w:val="Heading3"/>
        <w:spacing w:line="480" w:lineRule="auto"/>
      </w:pPr>
      <w:r>
        <w:t xml:space="preserve">4.6.1 The</w:t>
      </w:r>
      <w:r>
        <w:t xml:space="preserve"> </w:t>
      </w:r>
      <w:r>
        <w:rPr>
          <w:rStyle w:val="VerbatimChar"/>
        </w:rPr>
        <w:t xml:space="preserve">source</w:t>
      </w:r>
      <w:r>
        <w:t xml:space="preserve"> </w:t>
      </w:r>
      <w:r>
        <w:t xml:space="preserve">Column as Audit Mechanism</w:t>
      </w:r>
    </w:p>
    <w:p>
      <w:pPr>
        <w:pStyle w:val="FirstParagraph"/>
        <w:spacing w:line="480" w:lineRule="auto"/>
      </w:pPr>
      <w:r>
        <w:t xml:space="preserve">Both datasets carry a per-row</w:t>
      </w:r>
      <w:r>
        <w:t xml:space="preserve"> </w:t>
      </w:r>
      <w:r>
        <w:rPr>
          <w:rStyle w:val="VerbatimChar"/>
        </w:rPr>
        <w:t xml:space="preserve">source</w:t>
      </w:r>
      <w:r>
        <w:t xml:space="preserve"> </w:t>
      </w:r>
      <w:r>
        <w:t xml:space="preserve">column. For Paper 1 the column records the primary archive entry, GAO report number, or agency mission summary that supports the row’s cell values. For Paper 2 the column records the peer-reviewed mission paper, the instrument paper, or the MSL Analyst’s Notebook segment that supports the row’s quarterly values. The discipline is that no cell is constructed without a citation in the row’s source column.</w:t>
      </w:r>
    </w:p>
    <w:bookmarkEnd w:id="117"/>
    <w:bookmarkStart w:id="118" w:name="Xa63707e9d09357a05229e7563d777fde4d60879"/>
    <w:p>
      <w:pPr>
        <w:pStyle w:val="Heading3"/>
        <w:spacing w:line="480" w:lineRule="auto"/>
      </w:pPr>
      <w:r>
        <w:t xml:space="preserve">4.6.2 Illustrative Flags and the Fifteen Percent Ceiling</w:t>
      </w:r>
    </w:p>
    <w:p>
      <w:pPr>
        <w:pStyle w:val="FirstParagraph"/>
        <w:spacing w:line="480" w:lineRule="auto"/>
      </w:pPr>
      <w:r>
        <w:t xml:space="preserve">Two categories of cells are flagged as illustrative. The first is the cost cells for a small minority of international missions in the Paper 1 catalogue where official agency cost disclosures are not publicly verifiable in dollars; these flags do not affect the estimated coefficients because cost is not used in the primary specification. The second is the quarterly rows in the Paper 2 dataset that are produced by linear within-mission-year disaggregation; the disaggregation share is two of 32 rows, comfortably under the fifteen percent ceiling.</w:t>
      </w:r>
    </w:p>
    <w:bookmarkEnd w:id="118"/>
    <w:bookmarkStart w:id="119" w:name="the-configuration-file-and-the-data-file"/>
    <w:p>
      <w:pPr>
        <w:pStyle w:val="Heading3"/>
        <w:spacing w:line="480" w:lineRule="auto"/>
      </w:pPr>
      <w:r>
        <w:t xml:space="preserve">4.6.3 The Configuration File and the Data File</w:t>
      </w:r>
    </w:p>
    <w:p>
      <w:pPr>
        <w:pStyle w:val="FirstParagraph"/>
        <w:spacing w:line="480" w:lineRule="auto"/>
      </w:pPr>
      <w:r>
        <w:t xml:space="preserve">The Paper 1 dataset is recorded with variable definitions and per-variable sources in a</w:t>
      </w:r>
      <w:r>
        <w:t xml:space="preserve"> </w:t>
      </w:r>
      <w:r>
        <w:rPr>
          <w:rStyle w:val="VerbatimChar"/>
        </w:rPr>
        <w:t xml:space="preserve">config.json</w:t>
      </w:r>
      <w:r>
        <w:t xml:space="preserve"> </w:t>
      </w:r>
      <w:r>
        <w:t xml:space="preserve">file that accompanies the data file. The Paper 2 dataset is recorded in</w:t>
      </w:r>
      <w:r>
        <w:t xml:space="preserve"> </w:t>
      </w:r>
      <w:r>
        <w:rPr>
          <w:rStyle w:val="VerbatimChar"/>
        </w:rPr>
        <w:t xml:space="preserve">data.csv</w:t>
      </w:r>
      <w:r>
        <w:t xml:space="preserve"> </w:t>
      </w:r>
      <w:r>
        <w:t xml:space="preserve">with one row per quarter and a final column citing each row’s source. Both files are versioned with the paper’s working copy and are replayed by the replication scripts that produce the regression output.</w:t>
      </w:r>
    </w:p>
    <w:bookmarkEnd w:id="119"/>
    <w:bookmarkStart w:id="120" w:name="hindsight-discipline"/>
    <w:p>
      <w:pPr>
        <w:pStyle w:val="Heading3"/>
        <w:spacing w:line="480" w:lineRule="auto"/>
      </w:pPr>
      <w:r>
        <w:t xml:space="preserve">4.6.4 Hindsight Discipline</w:t>
      </w:r>
    </w:p>
    <w:p>
      <w:pPr>
        <w:pStyle w:val="FirstParagraph"/>
        <w:spacing w:line="480" w:lineRule="auto"/>
      </w:pPr>
      <w:r>
        <w:t xml:space="preserve">Both datasets are constructed to avoid contaminating the estimates with information that was not available at the time of the relevant decision. For Paper 1 this means that planned sols is the agency commitment at launch, not the post-extension figure. For Paper 2 this means that cumulative targets at the end of a quarter is the count as recorded against that quarter’s tactical-planning epoch, not a count back-revised after a later instrument-paper publication. The same discipline is the basis for the dissertation’s central tactical-model design choice, which is that the VOI policy must be computed strictly on priors available at the planning epoch and may not exploit outcome-conditioned features</w:t>
      </w:r>
      <w:r>
        <w:t xml:space="preserve"> </w:t>
      </w:r>
      <w:hyperlink w:anchor="ref-4">
        <w:r>
          <w:rPr>
            <w:rStyle w:val="Hyperlink"/>
          </w:rPr>
          <w:t xml:space="preserve">[4]</w:t>
        </w:r>
      </w:hyperlink>
      <w:r>
        <w:t xml:space="preserve">.</w:t>
      </w:r>
    </w:p>
    <w:bookmarkEnd w:id="120"/>
    <w:bookmarkEnd w:id="121"/>
    <w:bookmarkStart w:id="122" w:name="X97b4218981b26bb4506ca2c036bbc85dbd2290c"/>
    <w:p>
      <w:pPr>
        <w:pStyle w:val="Heading2"/>
        <w:spacing w:line="480" w:lineRule="auto"/>
      </w:pPr>
      <w:r>
        <w:t xml:space="preserve">4.7 From the Two Datasets to the Tactical Model</w:t>
      </w:r>
    </w:p>
    <w:p>
      <w:pPr>
        <w:pStyle w:val="FirstParagraph"/>
        <w:spacing w:line="480" w:lineRule="auto"/>
      </w:pPr>
      <w:r>
        <w:t xml:space="preserve">The two empirical datasets prepare the way for the tactical model in Chapter 5 by supplying defensible characterizations of the two parameters that any VOI estimate on a single sol requires. From Paper 1 the dissertation learns that planned mission duration is the dominant publicly observable correlate of how long a platform survives on the surface, with a coefficient on log planned sols close to unit elasticity, and that landed mass conditional on planned duration carries a sign that does not match a naive resource-envelope account. The implication is that the per-action energy and downlink prices used inside the tactical model’s information functional must be calibrated to platform-specific demand on the envelope, not to bulk mass, and that the candidate-action cost vector must be enumerated at the level of individual instrument operations rather than aggregate platform mass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The operations-record reconstruction approach used in the rover-analog tactical-evaluation literature provides the discipline for that enumeration</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From Paper 2 the dissertation learns that the per-target downlink cost on MSL Curiosity declines as a power function of cumulative targets with an elasticity of negative 0.223 and a progress ratio of about 0.857. The implication is that the cost parameter inside the tactical model’s information functional is not a static input; it is a declining function of cumulative acquisition. A planner that holds this cost fixed will under-allocate observations later in the mission. The tactical model in Chapter 5 will therefore index per-action cost to the cumulative-target trajectory recovered in Paper 2 and will report sensitivity of the marginal-information-value estimate to alternative progress-ratio assumptions.</w:t>
      </w:r>
    </w:p>
    <w:p>
      <w:pPr>
        <w:pStyle w:val="BodyText"/>
        <w:spacing w:line="480" w:lineRule="auto"/>
        <w:ind w:firstLine="720"/>
      </w:pPr>
      <w:r>
        <w:t xml:space="preserve">The data products that flow forward to Chapter 5 are the Paper 1 estimation sample of 25 successful landed missions, the Paper 2 quarterly operations record of 32 observations across eight years of MSL surface operations, and the cumulative-target trajectory and per-target cost trajectory that the Paper 2 record yields. The tactical model also draws on the candidate-action enumeration discipline from the rover-analog literature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w:t>
      </w:r>
      <w:r>
        <w:t xml:space="preserve">and on the value-of-collection formulation from the sensor-tasking literature that lets per-target value drive task selection over time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space-economics framing that motivates the measurement program in the first place, the position that the value of scientific activity in and for space must be estimated rather than assumed</w:t>
      </w:r>
      <w:r>
        <w:t xml:space="preserve"> </w:t>
      </w:r>
      <w:hyperlink w:anchor="ref-5">
        <w:r>
          <w:rPr>
            <w:rStyle w:val="Hyperlink"/>
          </w:rPr>
          <w:t xml:space="preserve">[5]</w:t>
        </w:r>
      </w:hyperlink>
      <w:r>
        <w:t xml:space="preserve">, is the bridge between the within-mission measurement work documented here and the program-level claim that the dissertation closes with.</w:t>
      </w:r>
    </w:p>
    <w:p>
      <w:pPr>
        <w:pStyle w:val="BodyText"/>
        <w:spacing w:line="480" w:lineRule="auto"/>
        <w:ind w:firstLine="720"/>
      </w:pPr>
      <w:r>
        <w:t xml:space="preserve">The discipline that closes this chapter is the same discipline that opens it: every variable in either dataset is reconstructible from a publicly archived primary record, every cell carries a per-row source citation, and every disaggregation is flagged. The reviewability of the evidence is the precondition for the falsifiability of the central claim.</w:t>
      </w:r>
    </w:p>
    <w:bookmarkEnd w:id="122"/>
    <w:bookmarkEnd w:id="123"/>
    <w:bookmarkStart w:id="142" w:name="chapter-5.-methods-and-identification"/>
    <w:p>
      <w:pPr>
        <w:pStyle w:val="Heading1"/>
        <w:spacing w:line="480" w:lineRule="auto"/>
      </w:pPr>
      <w:r>
        <w:t xml:space="preserve">Chapter 5. Methods and Identification</w:t>
      </w:r>
    </w:p>
    <w:bookmarkStart w:id="124" w:name="overview-of-the-estimation-program"/>
    <w:p>
      <w:pPr>
        <w:pStyle w:val="Heading2"/>
        <w:spacing w:line="480" w:lineRule="auto"/>
      </w:pPr>
      <w:r>
        <w:t xml:space="preserve">5.1 Overview of the Estimation Program</w:t>
      </w:r>
    </w:p>
    <w:p>
      <w:pPr>
        <w:pStyle w:val="FirstParagraph"/>
        <w:spacing w:line="480" w:lineRule="auto"/>
      </w:pPr>
      <w:r>
        <w:t xml:space="preserve">Chapter 5 specifies the empirical machinery that produces the dissertation’s single falsifiable estimand: the per-sol paired difference in cumulative scored information gain between a value-of-information (VOI) ranked tactical action sequence and the realized human consensus plan, computed under an identical resource envelope on the Mars Science Laboratory (MSL) Curiosity operations record. The chapter is organized around three obligations that the dissertation imposes on itself. The first is to state the estimators with enough precision that the paired comparison is reproducible from the archived inputs alone. The second is to state the identification strategy in terms that bind the difference in scored information gain to the difference in ranking policy rather than to differences in opportunity, capability, or hindsight. The third is to enumerate the threats to validity that could overturn the inference and to bound each threat with a concrete, ex ante mitigation that is auditable from the operations record.</w:t>
      </w:r>
    </w:p>
    <w:p>
      <w:pPr>
        <w:pStyle w:val="BodyText"/>
        <w:spacing w:line="480" w:lineRule="auto"/>
        <w:ind w:firstLine="720"/>
      </w:pPr>
      <w:r>
        <w:t xml:space="preserve">The three obligations are met by three coupled designs. Estimation is built on a per-sol paired comparison with HC1 robust inference at the aggregate level, paralleling the design discipline used to recover the mass elasticity of achieved sols in Paper 1 and the experience-curve elasticity of per-target downlink cost in Paper 2. Identification rests on a within-sol design that holds the candidate-action menu and the resource envelope fixed and varies only the ranking policy. Threat-bounding is organized around four pre-specified categories: construct validity of the information functional, reconstruction error in the candidate set, hindsight advantage to the solver, and external validity of the within-mission marginal. Each category is paired with a concrete mitigation, and several mitigations are operationalized as falsifiable robustness checks that the dissertation commits to running and reporting whether or not they support the headline result.</w:t>
      </w:r>
    </w:p>
    <w:bookmarkEnd w:id="124"/>
    <w:bookmarkStart w:id="125" w:name="estimands-and-notation"/>
    <w:p>
      <w:pPr>
        <w:pStyle w:val="Heading2"/>
        <w:spacing w:line="480" w:lineRule="auto"/>
      </w:pPr>
      <w:r>
        <w:t xml:space="preserve">5.2 Estimands and Notation</w:t>
      </w:r>
    </w:p>
    <w:p>
      <w:pPr>
        <w:pStyle w:val="FirstParagraph"/>
        <w:spacing w:line="480" w:lineRule="auto"/>
      </w:pPr>
      <w:r>
        <w:t xml:space="preserve">Let s index a sol in the corpus of replayable MSL Curiosity tactical planning sols, with s = 1, …, S. For each sol the operations record yields the realized executed plan and the energy, downlink volume, and sol-count constraints actually in force at the planning epoch. Denote the resource envelope on sol s by E(s) = (E_energy(s), E_downlink(s), E_sol(s)). Let A(s) denote the enumerated candidate-action set on sol s, where each candidate action a in A(s) carries a per-action cost vector c(a) = (c_energy(a), c_downlink(a), c_sol(a)) and a scored information gain g(a; θ) under a fixed information functional with parameter vector θ. The realized plan is a feasible ordered subset π_H(s) ⊂ A(s) selected by the science team; the VOI-ranked plan is a feasible ordered subset π_V(s) ⊂ A(s) selected by the dissertation’s policy under the same E(s).</w:t>
      </w:r>
    </w:p>
    <w:p>
      <w:pPr>
        <w:pStyle w:val="BodyText"/>
        <w:spacing w:line="480" w:lineRule="auto"/>
        <w:ind w:firstLine="720"/>
      </w:pPr>
      <w:r>
        <w:t xml:space="preserve">The per-sol scored information gain of a plan π is G(π; θ) = Σ_{a ∈ π} g(a; θ), where the sum is taken over the executed sequence subject to the budget Σ_{a ∈ π} c(a) ≤ E(s) componentwise. The paired difference on sol s is Δ(s; θ) = G(π_V(s); θ) − G(π_H(s); θ), normalized within sol by dividing by an upper-bound information gain on the same A(s) and E(s) (the relaxed-budget unconstrained maximum), yielding a unit-free quantity δ(s; θ) ∈ [−1, 1].</w:t>
      </w:r>
    </w:p>
    <w:p>
      <w:pPr>
        <w:pStyle w:val="BodyText"/>
        <w:spacing w:line="480" w:lineRule="auto"/>
        <w:ind w:firstLine="720"/>
      </w:pPr>
      <w:r>
        <w:t xml:space="preserve">The primary estimand is the population mean of δ(s; θ) across the corpus, Δ̄ = E[δ(s; θ)]. The null hypothesis is H0: Δ̄ ≤ 0; the alternative is H1: Δ̄ &gt; 0. The dissertation reports both a sign test on the per-sol paired differences and a one-sided Wilcoxon signed-rank statistic, mirroring the inference posture taken in Paper 1’s robust OLS reporting and Paper 2’s log-log inference. The point estimate of Δ̄ is reported with a HC1 robust standard error computed from the per-sol paired sample, and the magnitude is reported as the marginal information value forgone by consensus planning, which is the quantity named in the dissertation title.</w:t>
      </w:r>
    </w:p>
    <w:bookmarkEnd w:id="125"/>
    <w:bookmarkStart w:id="130" w:name="estimators"/>
    <w:p>
      <w:pPr>
        <w:pStyle w:val="Heading2"/>
        <w:spacing w:line="480" w:lineRule="auto"/>
      </w:pPr>
      <w:r>
        <w:t xml:space="preserve">5.3 Estimators</w:t>
      </w:r>
    </w:p>
    <w:bookmarkStart w:id="126" w:name="the-information-functional"/>
    <w:p>
      <w:pPr>
        <w:pStyle w:val="Heading3"/>
        <w:spacing w:line="480" w:lineRule="auto"/>
      </w:pPr>
      <w:r>
        <w:t xml:space="preserve">5.3.1 The Information Functional</w:t>
      </w:r>
    </w:p>
    <w:p>
      <w:pPr>
        <w:pStyle w:val="FirstParagraph"/>
        <w:spacing w:line="480" w:lineRule="auto"/>
      </w:pPr>
      <w:r>
        <w:t xml:space="preserve">The scored information gain g(a; θ) is computed from an information functional adapted from the priority-weighted sensor-tasking reward formulation</w:t>
      </w:r>
      <w:r>
        <w:t xml:space="preserve"> </w:t>
      </w:r>
      <w:hyperlink w:anchor="ref-3">
        <w:r>
          <w:rPr>
            <w:rStyle w:val="Hyperlink"/>
          </w:rPr>
          <w:t xml:space="preserve">[3]</w:t>
        </w:r>
      </w:hyperlink>
      <w:r>
        <w:t xml:space="preserve"> </w:t>
      </w:r>
      <w:r>
        <w:t xml:space="preserve">and the value-of-collection construction in which per-target value drives sensor tasks over time as a decision process</w:t>
      </w:r>
      <w:r>
        <w:t xml:space="preserve"> </w:t>
      </w:r>
      <w:hyperlink w:anchor="ref-2">
        <w:r>
          <w:rPr>
            <w:rStyle w:val="Hyperlink"/>
          </w:rPr>
          <w:t xml:space="preserve">[2]</w:t>
        </w:r>
      </w:hyperlink>
      <w:r>
        <w:t xml:space="preserve">. The functional has two components. The first is an inferential-moment information gain term, in the spirit of conjunction-based sensor tasking under inferential moments</w:t>
      </w:r>
      <w:r>
        <w:t xml:space="preserve"> </w:t>
      </w:r>
      <w:hyperlink w:anchor="ref-1">
        <w:r>
          <w:rPr>
            <w:rStyle w:val="Hyperlink"/>
          </w:rPr>
          <w:t xml:space="preserve">[1]</w:t>
        </w:r>
      </w:hyperlink>
      <w:r>
        <w:t xml:space="preserve">, which closes a tractable form for the expected reduction in posterior uncertainty associated with an observation under a Gaussian belief over the target’s geologic state vector. The second is a target-priority weighting that scales the inferential gain by a habitability-relevance weight anchored to the rover-analog field-test value structure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functional is</w:t>
      </w:r>
    </w:p>
    <w:p>
      <w:pPr>
        <w:pStyle w:val="BodyText"/>
        <w:spacing w:line="480" w:lineRule="auto"/>
        <w:ind w:firstLine="720"/>
      </w:pPr>
      <w:r>
        <w:t xml:space="preserve">g(a; θ) = w(a; θ_w) · I(a; θ_I),</w:t>
      </w:r>
    </w:p>
    <w:p>
      <w:pPr>
        <w:pStyle w:val="BodyText"/>
        <w:spacing w:line="480" w:lineRule="auto"/>
        <w:ind w:firstLine="720"/>
      </w:pPr>
      <w:r>
        <w:t xml:space="preserve">where I(a; θ_I) is the inferential-moment gain under the Gaussian-belief parameterization with parameters θ_I, and w(a; θ_w) is the priority weight with parameters θ_w. The composite parameter vector is θ = (θ_I, θ_w). Calibration of θ_w is anchored to the habitability-reconnaissance rubric the GeoHeuristic Operational Strategies tests used to score field-team plans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and θ_I is calibrated to the dispersion structure of archived observation residuals. The dissertation does not estimate θ; it pre-specifies θ from these two anchors before computing any δ(s; θ) value.</w:t>
      </w:r>
    </w:p>
    <w:bookmarkEnd w:id="126"/>
    <w:bookmarkStart w:id="127" w:name="the-sequential-voi-policy"/>
    <w:p>
      <w:pPr>
        <w:pStyle w:val="Heading3"/>
        <w:spacing w:line="480" w:lineRule="auto"/>
      </w:pPr>
      <w:r>
        <w:t xml:space="preserve">5.3.2 The Sequential VOI Policy</w:t>
      </w:r>
    </w:p>
    <w:p>
      <w:pPr>
        <w:pStyle w:val="FirstParagraph"/>
        <w:spacing w:line="480" w:lineRule="auto"/>
      </w:pPr>
      <w:r>
        <w:t xml:space="preserve">The VOI-ranked plan π_V(s) is produced by a partially observable Markov decision process (POMDP) solver of the form validated in tree-search sensor-tasking work</w:t>
      </w:r>
      <w:r>
        <w:t xml:space="preserve"> </w:t>
      </w:r>
      <w:hyperlink w:anchor="ref-4">
        <w:r>
          <w:rPr>
            <w:rStyle w:val="Hyperlink"/>
          </w:rPr>
          <w:t xml:space="preserve">[4]</w:t>
        </w:r>
      </w:hyperlink>
      <w:r>
        <w:t xml:space="preserve">, with the optimality and convergence properties of tree-search POMDP planners taken as the dissertation’s licensure for using a one-step lookahead Monte Carlo tree search at the daily horizon. The state is the planner’s belief over the geologic value of each candidate target on A(s); the action space is A(s) itself together with a</w:t>
      </w:r>
      <w:r>
        <w:t xml:space="preserve"> </w:t>
      </w:r>
      <w:r>
        <w:t xml:space="preserve">“defer”</w:t>
      </w:r>
      <w:r>
        <w:t xml:space="preserve"> </w:t>
      </w:r>
      <w:r>
        <w:t xml:space="preserve">action; the observation model is the imaging or spectroscopy noise distribution archived for the instrument used; the reward is g(a; θ); and the cost constraint is E(s). The discount factor is set to one within a sol and is left for future work across sols.</w:t>
      </w:r>
    </w:p>
    <w:p>
      <w:pPr>
        <w:pStyle w:val="BodyText"/>
        <w:spacing w:line="480" w:lineRule="auto"/>
        <w:ind w:firstLine="720"/>
      </w:pPr>
      <w:r>
        <w:t xml:space="preserve">For the solver, the dissertation uses one-step lookahead Monte Carlo tree search with a fixed simulation budget per sol, expanding the tree along the highest-VOI candidate and logging the search policy for reproducibility. The use of tree-search POMDP methods at this scale is established</w:t>
      </w:r>
      <w:r>
        <w:t xml:space="preserve"> </w:t>
      </w:r>
      <w:hyperlink w:anchor="ref-4">
        <w:r>
          <w:rPr>
            <w:rStyle w:val="Hyperlink"/>
          </w:rPr>
          <w:t xml:space="preserve">[4]</w:t>
        </w:r>
      </w:hyperlink>
      <w:r>
        <w:t xml:space="preserve">; hypothesis-driven tree-search formulations are emerging in the same literature</w:t>
      </w:r>
      <w:r>
        <w:t xml:space="preserve"> </w:t>
      </w:r>
      <w:hyperlink w:anchor="ref-7">
        <w:r>
          <w:rPr>
            <w:rStyle w:val="Hyperlink"/>
          </w:rPr>
          <w:t xml:space="preserve">[7]</w:t>
        </w:r>
      </w:hyperlink>
      <w:r>
        <w:t xml:space="preserve"> </w:t>
      </w:r>
      <w:r>
        <w:t xml:space="preserve">and are out of scope for this dissertation but recorded as the natural sequential extension once the cross-sol horizon is opened.</w:t>
      </w:r>
    </w:p>
    <w:bookmarkEnd w:id="127"/>
    <w:bookmarkStart w:id="128" w:name="the-realized-plan"/>
    <w:p>
      <w:pPr>
        <w:pStyle w:val="Heading3"/>
        <w:spacing w:line="480" w:lineRule="auto"/>
      </w:pPr>
      <w:r>
        <w:t xml:space="preserve">5.3.3 The Realized Plan</w:t>
      </w:r>
    </w:p>
    <w:p>
      <w:pPr>
        <w:pStyle w:val="FirstParagraph"/>
        <w:spacing w:line="480" w:lineRule="auto"/>
      </w:pPr>
      <w:r>
        <w:t xml:space="preserve">The realized plan π_H(s) is reconstructed from the NASA Planetary Data System (PDS) Geosciences and Imaging Node archives for MSL Curiosity, using the operations-record reconstruction posture validated in rover-analog tactical evaluation</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archive provides per-sol Mastcam and ChemCam observation records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traverse and engineering telemetry sufficient to identify each action’s energy and downlink cost, and the mission-overview anchors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required to bound the per-sol candidate menu. The reconstruction is restricted to sols where the archive is complete enough to identify both the executed action sequence and at least one rejected candidate, so that the candidate set A(s) is non-degenerate.</w:t>
      </w:r>
    </w:p>
    <w:bookmarkEnd w:id="128"/>
    <w:bookmarkStart w:id="129" w:name="paired-scoring-and-aggregation"/>
    <w:p>
      <w:pPr>
        <w:pStyle w:val="Heading3"/>
        <w:spacing w:line="480" w:lineRule="auto"/>
      </w:pPr>
      <w:r>
        <w:t xml:space="preserve">5.3.4 Paired Scoring and Aggregation</w:t>
      </w:r>
    </w:p>
    <w:p>
      <w:pPr>
        <w:pStyle w:val="FirstParagraph"/>
        <w:spacing w:line="480" w:lineRule="auto"/>
      </w:pPr>
      <w:r>
        <w:t xml:space="preserve">For each sol s in the corpus, the dissertation computes G(π_H(s); θ) and G(π_V(s); θ) under the identical functional and envelope, computes Δ(s; θ) and δ(s; θ), and stores both alongside the per-sol metadata for audit. Aggregation across the corpus produces three reported quantities. First, the mean paired difference Δ̄ with HC1 robust standard error. Second, the sign test on δ(s; θ). Third, the one-sided Wilcoxon signed-rank statistic on δ(s; θ). The HC1 robust posture is consistent with the inference posture used in Paper 1’s mass-elasticity regression and in Paper 2’s log-log experience-curve regression. The choice of a sign and rank test alongside the parametric mean test is a deliberate concession to the small-corpus realities documented in Paper 1, where 25 successful landed missions produced informative but underpowered conditional coefficients on mass, power, and instrument count.</w:t>
      </w:r>
    </w:p>
    <w:bookmarkEnd w:id="129"/>
    <w:bookmarkEnd w:id="130"/>
    <w:bookmarkStart w:id="134" w:name="identification-strategy"/>
    <w:p>
      <w:pPr>
        <w:pStyle w:val="Heading2"/>
        <w:spacing w:line="480" w:lineRule="auto"/>
      </w:pPr>
      <w:r>
        <w:t xml:space="preserve">5.4 Identification Strategy</w:t>
      </w:r>
    </w:p>
    <w:bookmarkStart w:id="131" w:name="the-within-sol-paired-design"/>
    <w:p>
      <w:pPr>
        <w:pStyle w:val="Heading3"/>
        <w:spacing w:line="480" w:lineRule="auto"/>
      </w:pPr>
      <w:r>
        <w:t xml:space="preserve">5.4.1 The Within-Sol Paired Design</w:t>
      </w:r>
    </w:p>
    <w:p>
      <w:pPr>
        <w:pStyle w:val="FirstParagraph"/>
        <w:spacing w:line="480" w:lineRule="auto"/>
      </w:pPr>
      <w:r>
        <w:t xml:space="preserve">The identification target is the difference in scored information gain attributable to the ranking policy. The within-sol paired design holds the resource envelope E(s) and the candidate-action set A(s) fixed across the two policies and varies only the policy that selects from A(s) under E(s). Because both π_H(s) and π_V(s) draw from the same A(s) under the same E(s), any difference in G(π; θ) is mechanically attributable to the difference in policy and to the difference in policy alone. This is the rover-tactical analog of a paired controlled comparison: the planner is the treatment, the opportunity set and the budget are the held-fixed environment, and the per-sol outcome is the scored information gain under a pre-specified functional.</w:t>
      </w:r>
    </w:p>
    <w:p>
      <w:pPr>
        <w:pStyle w:val="BodyText"/>
        <w:spacing w:line="480" w:lineRule="auto"/>
        <w:ind w:firstLine="720"/>
      </w:pPr>
      <w:r>
        <w:t xml:space="preserve">This identification posture inherits its discipline from two earlier results in the dissertation. Paper 1 established that the resource envelope a Mars mission carries to the surface is dominantly set by program commitment rather than by within-sol planning, with a unit-elastic relationship between planned and achieved sols on a 25-mission cross-section. That finding licenses the dissertation’s decision to hold the envelope at its actual mission value rather than to optimize over the envelope: the envelope is fixed at the program-commitment stage and the planner allocates inside it. Paper 2 established that the per-action cost parameter assumed by VOI sensor-tasking formulations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is itself a declining function of cumulative targets, with a −0.223 elasticity and a 0.857 progress ratio on 32 quarterly observations. That finding obliges the dissertation to time-stamp the cost vector c(a) at the planning epoch of sol s rather than to use a static cost parameter, which the per-sol reconstruction discipline accomplishes by design.</w:t>
      </w:r>
    </w:p>
    <w:bookmarkEnd w:id="131"/>
    <w:bookmarkStart w:id="132" w:name="the-source-of-variation"/>
    <w:p>
      <w:pPr>
        <w:pStyle w:val="Heading3"/>
        <w:spacing w:line="480" w:lineRule="auto"/>
      </w:pPr>
      <w:r>
        <w:t xml:space="preserve">5.4.2 The Source of Variation</w:t>
      </w:r>
    </w:p>
    <w:p>
      <w:pPr>
        <w:pStyle w:val="FirstParagraph"/>
        <w:spacing w:line="480" w:lineRule="auto"/>
      </w:pPr>
      <w:r>
        <w:t xml:space="preserve">The exogeneity of the policy contrast is structural rather than statistical. The realized plan π_H(s) is the output of a deliberative science-team process documented at length in the rover-analog literature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w:t>
      </w:r>
      <w:r>
        <w:t xml:space="preserve">and operationalized in the MSL mission overviews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VOI-ranked plan π_V(s) is the output of a pre-specified POMDP policy</w:t>
      </w:r>
      <w:r>
        <w:t xml:space="preserve"> </w:t>
      </w:r>
      <w:hyperlink w:anchor="ref-4">
        <w:r>
          <w:rPr>
            <w:rStyle w:val="Hyperlink"/>
          </w:rPr>
          <w:t xml:space="preserve">[4]</w:t>
        </w:r>
      </w:hyperlink>
      <w:r>
        <w:t xml:space="preserve">. Both policies are deterministic functions of A(s), E(s), and the priors available at the planning epoch. Because A(s) and E(s) are held identical and the priors are restricted to the planning-epoch information set (see Section 5.5.3), the difference δ(s; θ) is a deterministic functional of the difference in policy under the same information.</w:t>
      </w:r>
    </w:p>
    <w:p>
      <w:pPr>
        <w:pStyle w:val="BodyText"/>
        <w:spacing w:line="480" w:lineRule="auto"/>
        <w:ind w:firstLine="720"/>
      </w:pPr>
      <w:r>
        <w:t xml:space="preserve">This structural exogeneity is what allows the paired design to deliver a per-sol estimate of the marginal information value forgone by consensus planning. The estimand is not a counterfactual prediction of what an arbitrary alternative planner would have produced; it is a measurement of the gap between the realized plan and a pre-specified POMDP-VOI policy on the same opportunity set under the same budget under the same priors. The dissertation reports this gap as a within-mission marginal, in line with the within-success scope limit Paper 1 adopted on the cross-mission sample.</w:t>
      </w:r>
    </w:p>
    <w:bookmarkEnd w:id="132"/>
    <w:bookmarkStart w:id="133" w:name="X05dc33bed76484ae33d4e8dc01224db669a2dd2"/>
    <w:p>
      <w:pPr>
        <w:pStyle w:val="Heading3"/>
        <w:spacing w:line="480" w:lineRule="auto"/>
      </w:pPr>
      <w:r>
        <w:t xml:space="preserve">5.4.3 Why the Paired Difference Is the Right Estimand</w:t>
      </w:r>
    </w:p>
    <w:p>
      <w:pPr>
        <w:pStyle w:val="FirstParagraph"/>
        <w:spacing w:line="480" w:lineRule="auto"/>
      </w:pPr>
      <w:r>
        <w:t xml:space="preserve">A non-paired design that compared the average G(π_H(s); θ) on one corpus to the average G(π_V(s); θ) on a different corpus would confound the policy difference with differences in opportunity, budget, and instrument availability across sols. The paired design eliminates the between-sol variation in opportunity and budget by construction. It also eliminates the between-mission variation in platform capability that Paper 1 documented as the dominant source of cross-mission variance in achieved sols, since both policies are evaluated on the same MSL Curiosity record. The remaining variation is the variation the dissertation wishes to estimate.</w:t>
      </w:r>
    </w:p>
    <w:p>
      <w:pPr>
        <w:pStyle w:val="BodyText"/>
        <w:spacing w:line="480" w:lineRule="auto"/>
        <w:ind w:firstLine="720"/>
      </w:pPr>
      <w:r>
        <w:t xml:space="preserve">The space-economics literature reinforces why the paired estimand is the right one: the value of scientific activity generated in and for space must be measured against a defensible counterfactual rather than assumed</w:t>
      </w:r>
      <w:r>
        <w:t xml:space="preserve"> </w:t>
      </w:r>
      <w:hyperlink w:anchor="ref-5">
        <w:r>
          <w:rPr>
            <w:rStyle w:val="Hyperlink"/>
          </w:rPr>
          <w:t xml:space="preserve">[5]</w:t>
        </w:r>
      </w:hyperlink>
      <w:r>
        <w:t xml:space="preserve">, and the paired counterfactual within the same sol on the same archive is the most defensible counterfactual available at the operational scale on which this dissertation works.</w:t>
      </w:r>
    </w:p>
    <w:bookmarkEnd w:id="133"/>
    <w:bookmarkEnd w:id="134"/>
    <w:bookmarkStart w:id="140"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dissertation pre-specifies four threats to validity and binds each with a concrete, ex ante mitigation. The pre-specification is the discipline that prevents the threats from being adjudicated retrospectively against the headline result.</w:t>
      </w:r>
    </w:p>
    <w:bookmarkStart w:id="135" w:name="Xfd961e313b251599525451e737cac13b5603047"/>
    <w:p>
      <w:pPr>
        <w:pStyle w:val="Heading3"/>
        <w:spacing w:line="480" w:lineRule="auto"/>
      </w:pPr>
      <w:r>
        <w:t xml:space="preserve">5.5.1 Construct Validity of the Information Functional</w:t>
      </w:r>
    </w:p>
    <w:p>
      <w:pPr>
        <w:pStyle w:val="FirstParagraph"/>
        <w:spacing w:line="480" w:lineRule="auto"/>
      </w:pPr>
      <w:r>
        <w:t xml:space="preserve">The first threat is that the scored information gain g(a; θ) does not capture the geologic value that the realized plan was attempting to acquire. If the borrowed sensor-tasking functional</w:t>
      </w:r>
      <w:r>
        <w:t xml:space="preserve"> </w:t>
      </w:r>
      <w:hyperlink w:anchor="ref-3">
        <w:r>
          <w:rPr>
            <w:rStyle w:val="Hyperlink"/>
          </w:rPr>
          <w:t xml:space="preserve">[3]</w:t>
        </w:r>
      </w:hyperlink>
      <w:r>
        <w:t xml:space="preserve"> </w:t>
      </w:r>
      <w:r>
        <w:t xml:space="preserve">mismeasures geologic value, the paired difference δ(s; θ) measures the wrong quantity and the test is invalid regardless of its sign.</w:t>
      </w:r>
    </w:p>
    <w:p>
      <w:pPr>
        <w:pStyle w:val="BodyText"/>
        <w:spacing w:line="480" w:lineRule="auto"/>
        <w:ind w:firstLine="720"/>
      </w:pPr>
      <w:r>
        <w:t xml:space="preserve">The bound is fourfold. First, the priority weight w(a; θ_w) is anchored to the habitability-reconnaissance value structure validated in two rover-analog GeoHeuristic field tests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so the geologic value structure that the human team is known to prioritize is the same structure the functional rewards. Second, the dissertation reports sensitivity of δ(s; θ) to three alternative parameterizations of θ_w (a uniform-priority baseline, a habitability-only baseline, and a balanced habitability-plus-sample-collection baseline), and the headline result is reported only if its sign is invariant across the three. Third, the inferential-moment gain term I(a; θ_I) is the same functional form used in the sensor-tasking literature</w:t>
      </w:r>
      <w:r>
        <w:t xml:space="preserve"> </w:t>
      </w:r>
      <w:hyperlink w:anchor="ref-1">
        <w:r>
          <w:rPr>
            <w:rStyle w:val="Hyperlink"/>
          </w:rPr>
          <w:t xml:space="preserve">[1]</w:t>
        </w:r>
      </w:hyperlink>
      <w:r>
        <w:t xml:space="preserve"> </w:t>
      </w:r>
      <w:r>
        <w:t xml:space="preserve">from which the dissertation imports its analytic apparatus, and its calibration is documented from observation-residual archives that are independently citable. Fourth, all per-sol δ(s; θ) values are stored with their θ for audit so that any future reviewer can recompute the headline test under an alternative θ of their own choosing.</w:t>
      </w:r>
    </w:p>
    <w:bookmarkEnd w:id="135"/>
    <w:bookmarkStart w:id="136" w:name="Xc3b11396ebbaed59186d5a4e568e85daead4bf5"/>
    <w:p>
      <w:pPr>
        <w:pStyle w:val="Heading3"/>
        <w:spacing w:line="480" w:lineRule="auto"/>
      </w:pPr>
      <w:r>
        <w:t xml:space="preserve">5.5.2 Reconstruction Error in the Candidate Set</w:t>
      </w:r>
    </w:p>
    <w:p>
      <w:pPr>
        <w:pStyle w:val="FirstParagraph"/>
        <w:spacing w:line="480" w:lineRule="auto"/>
      </w:pPr>
      <w:r>
        <w:t xml:space="preserve">The second threat is that A(s) reconstructed from the PDS archive is not the same A(s) the science team faced at the planning epoch. If the team considered candidate actions that the archive does not preserve, or rejected candidates that the archive does not record, the paired difference is biased by the omission. This is the same operations-record completeness concern that the rover-analog tactical-evaluation literature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w:t>
      </w:r>
      <w:r>
        <w:t xml:space="preserve">has had to address, and the dissertation inherits the same posture.</w:t>
      </w:r>
    </w:p>
    <w:p>
      <w:pPr>
        <w:pStyle w:val="BodyText"/>
        <w:spacing w:line="480" w:lineRule="auto"/>
        <w:ind w:firstLine="720"/>
      </w:pPr>
      <w:r>
        <w:t xml:space="preserve">The bound is threefold. First, the corpus is restricted to sols where the archive is most complete, using a pre-specified completeness rule that requires the archive to identify the executed sequence, at least one rejected imaging target, at least one rejected ChemCam target, and the traverse plan in force. Second, the dissertation reports the headline test under a conservative candidate-set assumption in which any candidate the archive cannot confirm is excluded from A(s), tightening the opportunity set in a direction that disadvantages the VOI-ranked plan rather than the human plan. Third, the per-sol candidate set is logged with its source citations and is auditable from the PDS products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and the mission-overview anchors.</w:t>
      </w:r>
    </w:p>
    <w:bookmarkEnd w:id="136"/>
    <w:bookmarkStart w:id="137" w:name="hindsight-advantage-to-the-voi-solver"/>
    <w:p>
      <w:pPr>
        <w:pStyle w:val="Heading3"/>
        <w:spacing w:line="480" w:lineRule="auto"/>
      </w:pPr>
      <w:r>
        <w:t xml:space="preserve">5.5.3 Hindsight Advantage to the VOI Solver</w:t>
      </w:r>
    </w:p>
    <w:p>
      <w:pPr>
        <w:pStyle w:val="FirstParagraph"/>
        <w:spacing w:line="480" w:lineRule="auto"/>
      </w:pPr>
      <w:r>
        <w:t xml:space="preserve">The third threat is that the POMDP solver, scoring against an archive in which outcomes are known, may exploit information that was not available at the planning epoch. If the solver effectively peeks at the realized outcome, the headline difference δ(s; θ) is upward-biased toward the alternative hypothesis and the test is invalid in the direction the dissertation hopes will be confirmed.</w:t>
      </w:r>
    </w:p>
    <w:p>
      <w:pPr>
        <w:pStyle w:val="BodyText"/>
        <w:spacing w:line="480" w:lineRule="auto"/>
        <w:ind w:firstLine="720"/>
      </w:pPr>
      <w:r>
        <w:t xml:space="preserve">The bound is fourfold. First, the VOI policy is computed strictly on priors available at the planning epoch of sol s, mirroring the uninformative-prior discipline used in tree-search POMDP sensor tasking</w:t>
      </w:r>
      <w:r>
        <w:t xml:space="preserve"> </w:t>
      </w:r>
      <w:hyperlink w:anchor="ref-4">
        <w:r>
          <w:rPr>
            <w:rStyle w:val="Hyperlink"/>
          </w:rPr>
          <w:t xml:space="preserve">[4]</w:t>
        </w:r>
      </w:hyperlink>
      <w:r>
        <w:t xml:space="preserve">. Second, all features used as inputs to g(a; θ) are pre-specified and audited against the planning-epoch information set, with any outcome-conditioned feature excluded by construction. Third, the dissertation reports the headline test under a deliberately blinded variant of the solver in which the prior over geologic value is initialized to the same uninformative prior that the science team had access to at the planning epoch, and the headline is reported only if its sign is preserved under the blinded variant. Fourth, the dissertation pre-registers the solver’s hyperparameters (simulation budget, tree depth, exploration constant) before any δ(s; θ) is computed, and any post-hoc retuning is reported as a sensitivity rather than as the primary specification.</w:t>
      </w:r>
    </w:p>
    <w:bookmarkEnd w:id="137"/>
    <w:bookmarkStart w:id="138" w:name="X610846bc78dea66d4b1b62d75677eaa77fa545a"/>
    <w:p>
      <w:pPr>
        <w:pStyle w:val="Heading3"/>
        <w:spacing w:line="480" w:lineRule="auto"/>
      </w:pPr>
      <w:r>
        <w:t xml:space="preserve">5.5.4 External Validity of the Within-Mission Marginal</w:t>
      </w:r>
    </w:p>
    <w:p>
      <w:pPr>
        <w:pStyle w:val="FirstParagraph"/>
        <w:spacing w:line="480" w:lineRule="auto"/>
      </w:pPr>
      <w:r>
        <w:t xml:space="preserve">The fourth threat is that the result, even if internally valid on the MSL Curiosity corpus, does not generalize to other rover platforms, other campaign phases, or future planetary surface missions. Paper 1 explicitly bounded its cross-mission inference to the within-success population, and the present dissertation inherits a parallel scope limit.</w:t>
      </w:r>
    </w:p>
    <w:p>
      <w:pPr>
        <w:pStyle w:val="BodyText"/>
        <w:spacing w:line="480" w:lineRule="auto"/>
        <w:ind w:firstLine="720"/>
      </w:pPr>
      <w:r>
        <w:t xml:space="preserve">The bound is threefold. First, the estimand is framed as a within-mission marginal information value forgone by consensus planning on MSL Curiosity, not as a counterfactual prediction of what consensus planning forgoes on an arbitrary platform. Second, the dissertation reports stratified estimates of δ(s; θ) across mission years and across campaign phases so that any heterogeneity in the marginal across the mission timeline is visible. Third, the dissertation explicitly does not estimate a generalization parameter and instead reports the within-mission marginal as the falsifiable estimand, leaving cross-platform generalization as an explicitly out-of-scope extension.</w:t>
      </w:r>
    </w:p>
    <w:bookmarkEnd w:id="138"/>
    <w:bookmarkStart w:id="139" w:name="two-additional-threats-worth-naming"/>
    <w:p>
      <w:pPr>
        <w:pStyle w:val="Heading3"/>
        <w:spacing w:line="480" w:lineRule="auto"/>
      </w:pPr>
      <w:r>
        <w:t xml:space="preserve">5.5.5 Two Additional Threats Worth Naming</w:t>
      </w:r>
    </w:p>
    <w:p>
      <w:pPr>
        <w:pStyle w:val="FirstParagraph"/>
        <w:spacing w:line="480" w:lineRule="auto"/>
      </w:pPr>
      <w:r>
        <w:t xml:space="preserve">Two further threats are worth naming even though they are second-order to the four above. The first is the small-corpus concern. The aggregate inference rests on S per-sol paired observations, and the dissertation acknowledges that S is bounded above by the completeness rule in Section 5.5.2. The sign and Wilcoxon tests are reported alongside the parametric mean test specifically because they are robust to the small-S regime that the corpus may inhabit. The second is the cost-vector time-variation concern that Paper 2 documented. Because the per-target downlink cost falls at a 14.3 percent rate per doubling of cumulative targets on this very platform, the cost vector c(a) is time-stamped at the planning epoch of sol s rather than treated as a static parameter; this discipline is recorded in Section 5.3.3 and is the dissertation’s principal concession to the empirical finding in Paper 2.</w:t>
      </w:r>
    </w:p>
    <w:bookmarkEnd w:id="139"/>
    <w:bookmarkEnd w:id="140"/>
    <w:bookmarkStart w:id="141" w:name="what-the-chapter-has-established"/>
    <w:p>
      <w:pPr>
        <w:pStyle w:val="Heading2"/>
        <w:spacing w:line="480" w:lineRule="auto"/>
      </w:pPr>
      <w:r>
        <w:t xml:space="preserve">5.6 What the Chapter Has Established</w:t>
      </w:r>
    </w:p>
    <w:p>
      <w:pPr>
        <w:pStyle w:val="FirstParagraph"/>
        <w:spacing w:line="480" w:lineRule="auto"/>
      </w:pPr>
      <w:r>
        <w:t xml:space="preserve">The chapter has specified the per-sol paired estimator, the sequential POMDP-VOI policy, the priority-weighted inferential-moment information functional, the within-sol paired identification design, and the four pre-specified threats to validity with their concrete bounds. The estimator is auditable from the PDS archive; the identification rests on holding the candidate menu and the resource envelope fixed and varying only the ranking policy; the threats are bounded by anchoring the functional to validated rover-analog value structures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by restricting the corpus to sols with complete operations records, by pre-specifying the solver on the planning-epoch information set</w:t>
      </w:r>
      <w:r>
        <w:t xml:space="preserve"> </w:t>
      </w:r>
      <w:hyperlink w:anchor="ref-4">
        <w:r>
          <w:rPr>
            <w:rStyle w:val="Hyperlink"/>
          </w:rPr>
          <w:t xml:space="preserve">[4]</w:t>
        </w:r>
      </w:hyperlink>
      <w:r>
        <w:t xml:space="preserve">, and by framing the estimand as a within-mission marginal. The chapter has not yet executed the paired comparison; that execution is the work of Chapter 6, which applies the machinery developed here to the MSL Curiosity corpus, reports δ(s; θ) at the per-sol level, and aggregates to the single sign test on Δ̄ that the dissertation’s H0 / H1 contrast requires. The space-economics insistence that the value of space-derived information must be measured rather than presumed</w:t>
      </w:r>
      <w:r>
        <w:t xml:space="preserve"> </w:t>
      </w:r>
      <w:hyperlink w:anchor="ref-5">
        <w:r>
          <w:rPr>
            <w:rStyle w:val="Hyperlink"/>
          </w:rPr>
          <w:t xml:space="preserve">[5]</w:t>
        </w:r>
      </w:hyperlink>
      <w:r>
        <w:t xml:space="preserve"> </w:t>
      </w:r>
      <w:r>
        <w:t xml:space="preserve">is the larger discipline that organizes both this chapter and the one to follow.</w:t>
      </w:r>
    </w:p>
    <w:bookmarkEnd w:id="141"/>
    <w:bookmarkEnd w:id="142"/>
    <w:bookmarkStart w:id="159"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estimators that anchor the dissertation. The first paper estimates the cross-mission relationship between the resource envelope a planetary surface mission carries to the surface and the operational tenure that envelope buys, using ordinary least squares with HC1 robust standard errors over twenty-five landed planetary surface missions. The second paper estimates a log-log learning curve on the Mars Science Laboratory Curiosity tactical-operations record from Bradbury Landing through the end of mission year eight, fit on thirty-two quarterly observations. Both estimands feed the central value-of-information construction laid out in the prospectus and in the tactical model developed earlier in the dissertation. The intent of this chapter is to report the realized coefficients exactly as the estimator returned them, to interpret their substantive meaning at the level of magnitude and not merely sign, and to draw out the bearings of each result for the sequential tactical-planning model that follows in Chapter 7. The accompanying tabular displays, formulas, and figures are pulled forward into Appendix A so the present chapter can stay close to the prose of interpretation.</w:t>
      </w:r>
    </w:p>
    <w:bookmarkStart w:id="150" w:name="X5ed0cb09eaf171c2917182e378cdf7b7ce16f0b"/>
    <w:p>
      <w:pPr>
        <w:pStyle w:val="Heading2"/>
        <w:spacing w:line="480" w:lineRule="auto"/>
      </w:pPr>
      <w:r>
        <w:t xml:space="preserve">6.1 Paper 1: Mass Elasticity of Achieved Operational Sols</w:t>
      </w:r>
    </w:p>
    <w:p>
      <w:pPr>
        <w:pStyle w:val="FirstParagraph"/>
        <w:spacing w:line="480" w:lineRule="auto"/>
      </w:pPr>
      <w:r>
        <w:t xml:space="preserve">The first estimator is an ordinary least squares regression of the natural log of achieved operational sols on the natural log of landed mass, the natural log of planned mission sols, a binary indicator for radioisotope or radiothermal power, and the count of instruments in the surface-deployed payload. The specification is fit on twenty-five missions, the population of publicly documented planetary surface landings that recorded at least one successful surface sol; the three loss-on-landing cases (Mars Polar Lander, Beagle 2, Schiaparelli) are dropped because the log outcome is undefined at zero achieved sols. Standard errors are HC1 robust to accommodate heteroskedasticity across program eras and platform classes</w:t>
      </w:r>
      <w:r>
        <w:t xml:space="preserve"> </w:t>
      </w:r>
      <w:hyperlink w:anchor="ref-10">
        <w:r>
          <w:rPr>
            <w:rStyle w:val="Hyperlink"/>
          </w:rPr>
          <w:t xml:space="preserve">[10]</w:t>
        </w:r>
      </w:hyperlink>
      <w:r>
        <w:t xml:space="preserve">.</w:t>
      </w:r>
    </w:p>
    <w:bookmarkStart w:id="143" w:name="joint-fit-and-diagnostic-quality"/>
    <w:p>
      <w:pPr>
        <w:pStyle w:val="Heading3"/>
        <w:spacing w:line="480" w:lineRule="auto"/>
      </w:pPr>
      <w:r>
        <w:t xml:space="preserve">6.1.1 Joint Fit and Diagnostic Quality</w:t>
      </w:r>
    </w:p>
    <w:p>
      <w:pPr>
        <w:pStyle w:val="FirstParagraph"/>
        <w:spacing w:line="480" w:lineRule="auto"/>
      </w:pPr>
      <w:r>
        <w:t xml:space="preserve">The joint fit is strong for a four-regressor cross-section of this size. The model returns an R-squared of 0.6738 and an adjusted R-squared of 0.6085. The F statistic is 14.132 with an F p-value of 1.246 times ten to the minus five, comfortably rejecting the joint null that the coefficients on the four regressors are simultaneously zero. The gap between R-squared and adjusted R-squared, about six and a half percentage points on twenty-five observations and four regressors, is consistent with no overfit and no single regressor that is carrying the entire explanatory weight by chance. The reading is that a substantial majority, just over two thirds, of the cross-mission variation in log achieved sols is accounted for by the four publicly observable engineering and programmatic variables in the specification.</w:t>
      </w:r>
    </w:p>
    <w:p>
      <w:pPr>
        <w:pStyle w:val="BodyText"/>
        <w:spacing w:line="480" w:lineRule="auto"/>
        <w:ind w:firstLine="720"/>
      </w:pPr>
      <w:r>
        <w:t xml:space="preserve">This is a non-trivial finding in its own right. The planetary surface mission population is sparse, heterogeneous in agency, era, target body, and platform class, and is observed only at the level of mission summaries and archive records. That the four-regressor specification recovers two thirds of the log variance in operational tenure means the structure that the value-of-information framework presumes, namely that the size of the tactical-planning prize is dominantly set by a small number of observable program and engineering parameters, is empirically defensible at the cross-mission level.</w:t>
      </w:r>
    </w:p>
    <w:bookmarkEnd w:id="143"/>
    <w:bookmarkStart w:id="144" w:name="X65977605015013e5d42d305c24b4631a82aaaf2"/>
    <w:p>
      <w:pPr>
        <w:pStyle w:val="Heading3"/>
        <w:spacing w:line="480" w:lineRule="auto"/>
      </w:pPr>
      <w:r>
        <w:t xml:space="preserve">6.1.2 Planned Sols: Unit Elasticity with High Significance</w:t>
      </w:r>
    </w:p>
    <w:p>
      <w:pPr>
        <w:pStyle w:val="FirstParagraph"/>
        <w:spacing w:line="480" w:lineRule="auto"/>
      </w:pPr>
      <w:r>
        <w:t xml:space="preserve">The coefficient on the log of planned mission sols is 1.031 with a robust standard error of 0.226 and a p-value at the conventional zero threshold returned by the estimator. The implied t-statistic is 4.563, well above any tabulated critical value for the residual degrees of freedom in this sample. The point estimate is, to three significant digits, unit elastic. A one percent increase in the planned mission duration is associated with a 1.03 percent increase in achieved operational sols, conditional on landed mass, the nuclear-power indicator, and the instrument count.</w:t>
      </w:r>
    </w:p>
    <w:p>
      <w:pPr>
        <w:pStyle w:val="BodyText"/>
        <w:spacing w:line="480" w:lineRule="auto"/>
        <w:ind w:firstLine="720"/>
      </w:pPr>
      <w:r>
        <w:t xml:space="preserve">The substantive reading is the cleanest in the regression. Programs that committed to longer planned campaigns delivered longer realized campaigns, in tight proportion to the commitment. The unit-elasticity point estimate is the central finding of paper one. It is consistent with the SDA sensor-tasking literature’s observation that the binding resource in a tasking problem is the platform’s own time and the campaign’s own horizon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rather than any single instantaneous capability. Programmatic commitment to a horizon is, in this cross-section, the strongest publicly observable predictor of the horizon that is actually achieved.</w:t>
      </w:r>
    </w:p>
    <w:p>
      <w:pPr>
        <w:pStyle w:val="BodyText"/>
        <w:spacing w:line="480" w:lineRule="auto"/>
        <w:ind w:firstLine="720"/>
      </w:pPr>
      <w:r>
        <w:t xml:space="preserve">For the dissertation’s tactical model, the unit elasticity reinforces a methodological choice made in the prospectus and codified in Chapter 4. The within-sol value-of-information comparison holds the resource envelope fixed at the actual mission value, a design that would be brittle if the envelope were itself a noisy or weakly determined quantity. The 1.031 elasticity, statistically distinguishable from zero at any conventional level, says the envelope is in fact tightly anchored to the program commitment. Conditioning on the realized envelope is therefore conditioning on a parameter that the program has substantially fixed, not on a stochastic outcome that mimics tactical performance.</w:t>
      </w:r>
    </w:p>
    <w:bookmarkEnd w:id="144"/>
    <w:bookmarkStart w:id="145" w:name="X6d90645e5ba9af4dda56fc3f42879a67e47cd43"/>
    <w:p>
      <w:pPr>
        <w:pStyle w:val="Heading3"/>
        <w:spacing w:line="480" w:lineRule="auto"/>
      </w:pPr>
      <w:r>
        <w:t xml:space="preserve">6.1.3 Landed Mass: Negative Conditional Elasticity at the Margin of Significance</w:t>
      </w:r>
    </w:p>
    <w:p>
      <w:pPr>
        <w:pStyle w:val="FirstParagraph"/>
        <w:spacing w:line="480" w:lineRule="auto"/>
      </w:pPr>
      <w:r>
        <w:t xml:space="preserve">The coefficient on the log of landed mass is minus 0.494 with a robust standard error of 0.257 and a p-value of 0.055. The implied t-statistic is about minus 1.920. The estimate sits marginally outside the conventional five percent threshold and comfortably inside the ten percent threshold; under the one-sided alternative motivated by the resource-envelope hypothesis, the p-value would be still smaller, but the analysis preserves the two-sided convention.</w:t>
      </w:r>
    </w:p>
    <w:p>
      <w:pPr>
        <w:pStyle w:val="BodyText"/>
        <w:spacing w:line="480" w:lineRule="auto"/>
        <w:ind w:firstLine="720"/>
      </w:pPr>
      <w:r>
        <w:t xml:space="preserve">Two features of this coefficient deserve careful interpretation. The first is its sign. The directional expectation laid out in Section 2 of paper one is positive: a larger envelope should buy more sols of opportunity. The realized sign is negative. The second is its magnitude. A point estimate of minus 0.494 means that, conditional on the other regressors, a one percent increase in landed mass is associated with roughly a half percent decrease in achieved operational sols.</w:t>
      </w:r>
    </w:p>
    <w:p>
      <w:pPr>
        <w:pStyle w:val="BodyText"/>
        <w:spacing w:line="480" w:lineRule="auto"/>
        <w:ind w:firstLine="720"/>
      </w:pPr>
      <w:r>
        <w:t xml:space="preserve">The most defensible reading of the conditional negative association, advanced in the discussion of paper one and reaffirmed here, is that the planned-sols control absorbs the part of the mass-sol relationship that reflects program ambition. Heavy platforms tend to be platforms with long planned campaigns; once that ambition is held constant, the remaining mass variation reflects missions whose extra kilograms went into instrumentation, articulation, and surface complexity rather than into longevity. The conditional negative coefficient is therefore not a refutation of the envelope hypothesis. It is a refinement of it. Mass is not a free proxy for the resource envelope available to a tactical planner; it is correlated with science demand on that envelope as well as with the envelope itself.</w:t>
      </w:r>
    </w:p>
    <w:p>
      <w:pPr>
        <w:pStyle w:val="BodyText"/>
        <w:spacing w:line="480" w:lineRule="auto"/>
        <w:ind w:firstLine="720"/>
      </w:pPr>
      <w:r>
        <w:t xml:space="preserve">This refinement is consequential for the value-of-information formulation. The information functional adapted from the sensor-tasking literature</w:t>
      </w:r>
      <w:r>
        <w:t xml:space="preserve"> </w:t>
      </w:r>
      <w:hyperlink w:anchor="ref-3">
        <w:r>
          <w:rPr>
            <w:rStyle w:val="Hyperlink"/>
          </w:rPr>
          <w:t xml:space="preserve">[3]</w:t>
        </w:r>
      </w:hyperlink>
      <w:r>
        <w:t xml:space="preserve"> </w:t>
      </w:r>
      <w:r>
        <w:t xml:space="preserve">prices each candidate action against the remaining envelope. If the analyst were tempted to read landed mass directly as the size of the envelope, the conditional negative elasticity would warn against it. The dissertation’s tactical model accordingly prices candidate actions at the level of individual instrument operations, with per-action energy and downlink costs drawn from instrument specifications rather than from any bulk platform parameter. The minus 0.494 conditional elasticity gives that design choice an empirical anchor.</w:t>
      </w:r>
    </w:p>
    <w:bookmarkEnd w:id="145"/>
    <w:bookmarkStart w:id="146" w:name="X70b71ca6274030854742bf04b5a3374cdfb8e1c"/>
    <w:p>
      <w:pPr>
        <w:pStyle w:val="Heading3"/>
        <w:spacing w:line="480" w:lineRule="auto"/>
      </w:pPr>
      <w:r>
        <w:t xml:space="preserve">6.1.4 Nuclear Power: Positive Sign, Statistically Indistinguishable from Zero</w:t>
      </w:r>
    </w:p>
    <w:p>
      <w:pPr>
        <w:pStyle w:val="FirstParagraph"/>
        <w:spacing w:line="480" w:lineRule="auto"/>
      </w:pPr>
      <w:r>
        <w:t xml:space="preserve">The coefficient on the nuclear-power indicator is 0.426 with a robust standard error of 0.702 and a p-value of 0.544. The sign is positive, consistent with the engineering expectation that radioisotope and radiothermal power platforms outlast solar and battery platforms across the relevant duration range. The magnitude implies that, conditional on the other regressors, a nuclear-powered platform is associated with about a forty-three percent higher mean log of achieved sols than a non-nuclear platform, but the standard error of 0.702 is large enough that this association cannot be distinguished from zero on this sample.</w:t>
      </w:r>
    </w:p>
    <w:p>
      <w:pPr>
        <w:pStyle w:val="BodyText"/>
        <w:spacing w:line="480" w:lineRule="auto"/>
        <w:ind w:firstLine="720"/>
      </w:pPr>
      <w:r>
        <w:t xml:space="preserve">The null finding on the nuclear indicator is structurally informative rather than disappointing. The sample contains only a small number of radioisotope and radiothermal platforms relative to a large number of short-duration solar landers, and the conditional effect of power class is substantially absorbed by the log of planned sols. Programs that committed to long planned campaigns are also the programs that selected nuclear power; once the planned horizon is in the regression, the marginal contribution of the power class is identified off the residual variation in power within planned-horizon bins, which is sparse. The implication for the tactical model is consistent with the implication drawn from the mass coefficient. Power class is not a free proxy for the within-sol resource envelope. The tactical model prices candidate actions against the actual sol budget the platform has earned, not against the budget a power class would predict in isolation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bookmarkEnd w:id="146"/>
    <w:bookmarkStart w:id="147" w:name="instrument-count-positive-sign-imprecise"/>
    <w:p>
      <w:pPr>
        <w:pStyle w:val="Heading3"/>
        <w:spacing w:line="480" w:lineRule="auto"/>
      </w:pPr>
      <w:r>
        <w:t xml:space="preserve">6.1.5 Instrument Count: Positive Sign, Imprecise</w:t>
      </w:r>
    </w:p>
    <w:p>
      <w:pPr>
        <w:pStyle w:val="FirstParagraph"/>
        <w:spacing w:line="480" w:lineRule="auto"/>
      </w:pPr>
      <w:r>
        <w:t xml:space="preserve">The coefficient on the count of surface-deployed instruments is 0.124 with a robust standard error of 0.0996 and a p-value of 0.215. The point estimate suggests that, conditional on the other regressors, each additional instrument is associated with about a twelve and a half percent increase in achieved log sols, but the standard error is large enough that the association cannot be distinguished from zero on this sample.</w:t>
      </w:r>
    </w:p>
    <w:p>
      <w:pPr>
        <w:pStyle w:val="BodyText"/>
        <w:spacing w:line="480" w:lineRule="auto"/>
        <w:ind w:firstLine="720"/>
      </w:pPr>
      <w:r>
        <w:t xml:space="preserve">The instrument count enters the specification as a control for payload breadth rather than as a hypothesis-bearing regressor, and the result is read accordingly. The point estimate is positive, which is consistent with the joint program tendency for instrument-rich platforms to be platforms with long planned campaigns and the engineering resources to sustain a broad payload. The imprecision is the binding feature of the result. The dissertation’s tactical model treats payload breadth as exogenous to the within-sol VOI comparison and conditions on the realized instrument set; the 0.124 coefficient and its imprecision validate that conditioning rather than challenge it.</w:t>
      </w:r>
    </w:p>
    <w:bookmarkEnd w:id="147"/>
    <w:bookmarkStart w:id="148" w:name="constant-term"/>
    <w:p>
      <w:pPr>
        <w:pStyle w:val="Heading3"/>
        <w:spacing w:line="480" w:lineRule="auto"/>
      </w:pPr>
      <w:r>
        <w:t xml:space="preserve">6.1.6 Constant Term</w:t>
      </w:r>
    </w:p>
    <w:p>
      <w:pPr>
        <w:pStyle w:val="FirstParagraph"/>
        <w:spacing w:line="480" w:lineRule="auto"/>
      </w:pPr>
      <w:r>
        <w:t xml:space="preserve">The constant is 3.453 with a robust standard error of 1.390 and a p-value of 0.013. It is statistically distinguishable from zero at the conventional five percent level. The interpretation is the conditional log mean of achieved sols for a hypothetical mission at the regressor baseline (low landed mass on the log scale, short planned campaign on the log scale, non-nuclear power, lightly instrumented). The exponentiated baseline is about thirty-two sols, which sits in the expected order of magnitude for short-duration historical solar landers in the sample and serves as a sanity check on the joint specification rather than as a structural parameter.</w:t>
      </w:r>
    </w:p>
    <w:bookmarkEnd w:id="148"/>
    <w:bookmarkStart w:id="149" w:name="synthesis-of-paper-1"/>
    <w:p>
      <w:pPr>
        <w:pStyle w:val="Heading3"/>
        <w:spacing w:line="480" w:lineRule="auto"/>
      </w:pPr>
      <w:r>
        <w:t xml:space="preserve">6.1.7 Synthesis of Paper 1</w:t>
      </w:r>
    </w:p>
    <w:p>
      <w:pPr>
        <w:pStyle w:val="FirstParagraph"/>
        <w:spacing w:line="480" w:lineRule="auto"/>
      </w:pPr>
      <w:r>
        <w:t xml:space="preserve">The paper-one results decompose cleanly into one strong finding, one substantively important conditional finding, and two informative null results. The strong finding is unit-elastic planned sols. The substantively important finding is the conditional negative mass elasticity, which refines rather than refutes the envelope hypothesis. The null results on power class and instrument count are structurally consistent with the sample composition and with the absorption of those features by the planned-sols control. Together the four coefficients explain about two thirds of the log variance in operational tenure and give the dissertation an empirical foundation for the within-sol tactical analysis that follows: the size of the tactical-planning prize is dominantly programmatic; mass-side proxies carry science demand as well as longevity; and the tactical model is right to price candidate actions at the instrument level under the realized envelope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bookmarkEnd w:id="149"/>
    <w:bookmarkEnd w:id="150"/>
    <w:bookmarkStart w:id="156" w:name="X40d431412597667e0ff12b17cbe1cbcc19860cf"/>
    <w:p>
      <w:pPr>
        <w:pStyle w:val="Heading2"/>
        <w:spacing w:line="480" w:lineRule="auto"/>
      </w:pPr>
      <w:r>
        <w:t xml:space="preserve">6.2 Paper 2: Experience Curve in MSL Curiosity Tactical Operations</w:t>
      </w:r>
    </w:p>
    <w:p>
      <w:pPr>
        <w:pStyle w:val="FirstParagraph"/>
        <w:spacing w:line="480" w:lineRule="auto"/>
      </w:pPr>
      <w:r>
        <w:t xml:space="preserve">The second estimator is a log-log learning-curve regression of average per-target downlink cost on cumulative science targets, fit on thirty-two quarterly observations of the Mars Science Laboratory Curiosity tactical-operations record from Bradbury Landing through the end of mission year eight. Standard errors are HC1 robust. The estimator returns the experience-curve elasticity directly and computes the implied progress ratio as two raised to that elasticity. The data span is wide, with cumulative targets ranging from twelve at the early end to one thousand six hundred and six at the late end, more than two orders of magnitude, which is the right regime for log-linear estimation</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p>
    <w:bookmarkStart w:id="151" w:name="X94cfb1ab9661f4832a33343643f4fb83acb15dc"/>
    <w:p>
      <w:pPr>
        <w:pStyle w:val="Heading3"/>
        <w:spacing w:line="480" w:lineRule="auto"/>
      </w:pPr>
      <w:r>
        <w:t xml:space="preserve">6.2.1 Joint Fit and the Quality of the Log-Linear Approximation</w:t>
      </w:r>
    </w:p>
    <w:p>
      <w:pPr>
        <w:pStyle w:val="FirstParagraph"/>
        <w:spacing w:line="480" w:lineRule="auto"/>
      </w:pPr>
      <w:r>
        <w:t xml:space="preserve">The fit is exceptional. The R-squared is 0.99700 on thirty-two observations. The estimator returns a value of 0.9969974582 to its native precision; rounded to four significant digits the R-squared is 0.9970. The log-linear functional form, with cumulative targets as the production index, accounts for more than ninety-nine and a half percent of the log variance in per-target downlink cost across eight years of surface operations.</w:t>
      </w:r>
    </w:p>
    <w:p>
      <w:pPr>
        <w:pStyle w:val="BodyText"/>
        <w:spacing w:line="480" w:lineRule="auto"/>
        <w:ind w:firstLine="720"/>
      </w:pPr>
      <w:r>
        <w:t xml:space="preserve">This degree of fit is the first substantive finding of paper two, prior to any inspection of the coefficient. It says that the cost dynamics of the MSL Curiosity tactical loop are, to a very good approximation, governed by a single log-linear relationship in cumulative acquisitions across the entire eight-year horizon. There is no evidence of regime change, no evidence of a structural break in the per-target cost trajectory, and no evidence that the log-linear functional form is a poor characterization of the data-generating process. For the value-of-information formulation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which presumes per-action cost is a well-characterized parameter of the planner, this is a strong positive signal. The cost parameter is not noisy and is not opaque; it is the trajectory of a single learning curve.</w:t>
      </w:r>
    </w:p>
    <w:bookmarkEnd w:id="151"/>
    <w:bookmarkStart w:id="152" w:name="experience-curve-elasticity"/>
    <w:p>
      <w:pPr>
        <w:pStyle w:val="Heading3"/>
        <w:spacing w:line="480" w:lineRule="auto"/>
      </w:pPr>
      <w:r>
        <w:t xml:space="preserve">6.2.2 Experience-Curve Elasticity</w:t>
      </w:r>
    </w:p>
    <w:p>
      <w:pPr>
        <w:pStyle w:val="FirstParagraph"/>
        <w:spacing w:line="480" w:lineRule="auto"/>
      </w:pPr>
      <w:r>
        <w:t xml:space="preserve">The coefficient on the natural log of cumulative targets is minus 0.223 with a robust standard error of 0.0026 and a p-value at the conventional zero threshold returned by the estimator. The implied t-statistic, given the very small standard error, is approximately minus 85.8. The estimator returns the point estimate to native precision as minus 0.22295490 and the standard error as 0.0025984; the four-significant-digit summary is minus 0.2230 and 0.002598. The elasticity is statistically distinguishable from zero at any conventional level by an unusually wide margin.</w:t>
      </w:r>
    </w:p>
    <w:p>
      <w:pPr>
        <w:pStyle w:val="BodyText"/>
        <w:spacing w:line="480" w:lineRule="auto"/>
        <w:ind w:firstLine="720"/>
      </w:pPr>
      <w:r>
        <w:t xml:space="preserve">The substantive interpretation runs through the progress ratio. The estimator returns the progress ratio as 0.85681, that is, two raised to the minus 0.223 elasticity. Rounded to three significant digits, the progress ratio is 0.857. When cumulative science targets double, the per-target downlink cost falls to approximately eighty-five and seven tenths of a percent of its prior level. Equivalently, each doubling of cumulative targets is associated with about a fourteen and three tenths percent reduction in per-target downlink cost. Over the full data span from twelve to one thousand six hundred and six cumulative targets, that span is approximately seven doublings, and the cumulative implied decline in per-target cost is the progress ratio raised to that doubling count, a multiplicative compounding that explains most of the observed range in average per-target downlink cost across the eight-year record</w:t>
      </w:r>
      <w:r>
        <w:t xml:space="preserve"> </w:t>
      </w:r>
      <w:hyperlink w:anchor="ref-12">
        <w:r>
          <w:rPr>
            <w:rStyle w:val="Hyperlink"/>
          </w:rPr>
          <w:t xml:space="preserve">[12]</w:t>
        </w:r>
      </w:hyperlink>
      <w:r>
        <w:t xml:space="preserve">.</w:t>
      </w:r>
    </w:p>
    <w:p>
      <w:pPr>
        <w:pStyle w:val="BodyText"/>
        <w:spacing w:line="480" w:lineRule="auto"/>
        <w:ind w:firstLine="720"/>
      </w:pPr>
      <w:r>
        <w:t xml:space="preserve">The minus 0.223 elasticity falls on the lower end of the experience-curve rates reported in industrial production, where rates in the minus 0.30 to minus 0.50 range are common for high-volume manufacturing. It is in line with rates observed in low-volume, knowledge-intensive operations, which is the right reference class for a science-team-driven tactical loop in which the production unit is one acquired science target and the production system is a joint human-rover deliberation</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satellite-system experience curve cited in</w:t>
      </w:r>
      <w:r>
        <w:t xml:space="preserve"> </w:t>
      </w:r>
      <w:hyperlink w:anchor="ref-11">
        <w:r>
          <w:rPr>
            <w:rStyle w:val="Hyperlink"/>
          </w:rPr>
          <w:t xml:space="preserve">[11]</w:t>
        </w:r>
      </w:hyperlink>
      <w:r>
        <w:t xml:space="preserve"> </w:t>
      </w:r>
      <w:r>
        <w:t xml:space="preserve">sits in a similar regime. The MSL Curiosity rate is therefore neither anomalous nor trivial; it is a regular, statistically tight experience effect at a rate that the broader learning-curve literature would recognize as plausible for the operational class.</w:t>
      </w:r>
    </w:p>
    <w:bookmarkEnd w:id="152"/>
    <w:bookmarkStart w:id="153" w:name="constant-term-1"/>
    <w:p>
      <w:pPr>
        <w:pStyle w:val="Heading3"/>
        <w:spacing w:line="480" w:lineRule="auto"/>
      </w:pPr>
      <w:r>
        <w:t xml:space="preserve">6.2.3 Constant Term</w:t>
      </w:r>
    </w:p>
    <w:p>
      <w:pPr>
        <w:pStyle w:val="FirstParagraph"/>
        <w:spacing w:line="480" w:lineRule="auto"/>
      </w:pPr>
      <w:r>
        <w:t xml:space="preserve">The constant in the log-log specification is 4.434 with a robust standard error of 0.017 and a p-value at the conventional zero threshold returned by the estimator. The four-significant-digit summary is 4.434 and 0.01700. The substantive interpretation is the log of the initial per-target downlink cost at the implicit baseline of one cumulative target. Exponentiated, the implied initial per-target cost is about eighty-four megabits per target, which is consistent with the order of magnitude of early-mission per-target downlink costs documented across the Mastcam and ChemCam instrument papers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and with the broader mission overview</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very small standard error on the constant indicates that the intercept is identified essentially without play, a feature of the tight log-linear fit and the wide range of cumulative targets in the data.</w:t>
      </w:r>
    </w:p>
    <w:bookmarkEnd w:id="153"/>
    <w:bookmarkStart w:id="154" w:name="Xb3b7681cddd19aa8b9db2ac4d8e6283bdf8a56a"/>
    <w:p>
      <w:pPr>
        <w:pStyle w:val="Heading3"/>
        <w:spacing w:line="480" w:lineRule="auto"/>
      </w:pPr>
      <w:r>
        <w:t xml:space="preserve">6.2.4 The Null Hypothesis is Rejected with Margin</w:t>
      </w:r>
    </w:p>
    <w:p>
      <w:pPr>
        <w:pStyle w:val="FirstParagraph"/>
        <w:spacing w:line="480" w:lineRule="auto"/>
      </w:pPr>
      <w:r>
        <w:t xml:space="preserve">The hypothesis stated in Section 2 of paper two is that the experience-curve elasticity is negative and statistically distinguishable from zero. The realized elasticity of minus 0.223, with a robust standard error of 0.0026 implying a t-statistic of approximately minus 85.8 and a p-value at the conventional zero threshold, rejects the null of zero elasticity with an unusually wide margin. The rejection is not a delicate result. It is a structural feature of the MSL Curiosity tactical-operations record across eight years and one thousand six hundred and six cumulative science targets</w:t>
      </w:r>
      <w:r>
        <w:t xml:space="preserve"> </w:t>
      </w:r>
      <w:hyperlink w:anchor="ref-12">
        <w:r>
          <w:rPr>
            <w:rStyle w:val="Hyperlink"/>
          </w:rPr>
          <w:t xml:space="preserve">[12]</w:t>
        </w:r>
      </w:hyperlink>
      <w:r>
        <w:t xml:space="preserve">.</w:t>
      </w:r>
    </w:p>
    <w:p>
      <w:pPr>
        <w:pStyle w:val="BodyText"/>
        <w:spacing w:line="480" w:lineRule="auto"/>
        <w:ind w:firstLine="720"/>
      </w:pPr>
      <w:r>
        <w:t xml:space="preserve">This rejection has two immediate readings for the dissertation. The first is direct: the per-action cost parameter assumed by the value-of-information sensor-tasking formulations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is not a static input in the MSL Curiosity tactical loop. It is a declining function of cumulative acquisition at a stable, log-linear rate. A planner that holds this cost fixed at any mission epoch will systematically misprice candidate actions later in the mission, in the direction of underweighting the lower-cost late-mission acquisitions. The dissertation’s tactical model accordingly admits a time-varying cost parameter rather than a static per-action cost.</w:t>
      </w:r>
    </w:p>
    <w:p>
      <w:pPr>
        <w:pStyle w:val="BodyText"/>
        <w:spacing w:line="480" w:lineRule="auto"/>
        <w:ind w:firstLine="720"/>
      </w:pPr>
      <w:r>
        <w:t xml:space="preserve">The second reading is methodological. The rover-analog observation that protocol refinement saves tactical sols</w:t>
      </w:r>
      <w:r>
        <w:t xml:space="preserve"> </w:t>
      </w:r>
      <w:hyperlink w:anchor="ref-8">
        <w:r>
          <w:rPr>
            <w:rStyle w:val="Hyperlink"/>
          </w:rPr>
          <w:t xml:space="preserve">[8]</w:t>
        </w:r>
      </w:hyperlink>
      <w:r>
        <w:t xml:space="preserve"> </w:t>
      </w:r>
      <w:r>
        <w:t xml:space="preserve">is reproduced at the scale of a real flight mission and is quantitatively regular over more than two orders of magnitude in cumulative targets. The analog literature observed the mechanism in controlled field tests; the flight record confirms it at scale and identifies the rate at which it operates.</w:t>
      </w:r>
    </w:p>
    <w:bookmarkEnd w:id="154"/>
    <w:bookmarkStart w:id="155" w:name="synthesis-of-paper-2"/>
    <w:p>
      <w:pPr>
        <w:pStyle w:val="Heading3"/>
        <w:spacing w:line="480" w:lineRule="auto"/>
      </w:pPr>
      <w:r>
        <w:t xml:space="preserve">6.2.5 Synthesis of Paper 2</w:t>
      </w:r>
    </w:p>
    <w:p>
      <w:pPr>
        <w:pStyle w:val="FirstParagraph"/>
        <w:spacing w:line="480" w:lineRule="auto"/>
      </w:pPr>
      <w:r>
        <w:t xml:space="preserve">The paper-two results are a single, tightly identified finding with consequential implications. The elasticity of per-target downlink cost on cumulative science targets is minus 0.223, with a robust standard error of 0.0026 and an R-squared of 0.997. The implied progress ratio is 0.857, that is, a fourteen and three tenths percent fall in per-target downlink cost per doubling of cumulative targets. The hypothesis of zero elasticity is rejected with margin. The functional form is stable across the eight-year span, and the constant of 4.434 anchors the curve at a defensible initial per-target cost. The paper delivers what its title promises: an experience curve in Mars rover tactical operations, with a quantitative elasticity and a rejected null</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p>
    <w:bookmarkEnd w:id="155"/>
    <w:bookmarkEnd w:id="156"/>
    <w:bookmarkStart w:id="157" w:name="Xa58895cd078a3c993fe10af28dec057c4841cb7"/>
    <w:p>
      <w:pPr>
        <w:pStyle w:val="Heading2"/>
        <w:spacing w:line="480" w:lineRule="auto"/>
      </w:pPr>
      <w:r>
        <w:t xml:space="preserve">6.3 Joint Interpretation of the Two Estimands</w:t>
      </w:r>
    </w:p>
    <w:p>
      <w:pPr>
        <w:pStyle w:val="FirstParagraph"/>
        <w:spacing w:line="480" w:lineRule="auto"/>
      </w:pPr>
      <w:r>
        <w:t xml:space="preserve">The two estimators answer two different questions at two different levels of aggregation, and the interpretation of the dissertation rests on bringing the two answers together. Paper one is cross-sectional and asks how big the sol budget tends to be on a typical landed planetary surface mission as a function of publicly observable engineering and programmatic variables. Paper two is longitudinal and asks how the per-target cost of allocating that budget evolves on a single platform as the mission accumulates experience.</w:t>
      </w:r>
    </w:p>
    <w:p>
      <w:pPr>
        <w:pStyle w:val="BodyText"/>
        <w:spacing w:line="480" w:lineRule="auto"/>
        <w:ind w:firstLine="720"/>
      </w:pPr>
      <w:r>
        <w:t xml:space="preserve">Taken together, the two results give the dissertation a quantitative account of both terms in the science-return product the prospectus identifies. The first term is the size of the sol budget, dominantly set by the program commitment with unit elasticity on the planned horizon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The second term is the per-action cost of allocating that budget, declining at a 14.3 percent rate per doubling of cumulative acquisitions on a flight mission that resembles the platform the tactical model studies. The value of information acquired across a planetary surface campaign is the product of these two terms.</w:t>
      </w:r>
    </w:p>
    <w:p>
      <w:pPr>
        <w:pStyle w:val="BodyText"/>
        <w:spacing w:line="480" w:lineRule="auto"/>
        <w:ind w:firstLine="720"/>
      </w:pPr>
      <w:r>
        <w:t xml:space="preserve">The paper-one and paper-two findings also align on a methodological point that matters for Chapter 7. The conditional negative mass elasticity in paper one warns that bulk platform parameters are not free proxies for the within-sol resource envelope, and the declining per-target cost in paper two warns that the per-action cost parameter is not a static input. Both warnings push the tactical model in the same direction: away from coarse, time-invariant platform proxies and toward an instrument-level, time-varying cost vector calibrated to the realized operations record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sensor-tasking value-of-information formulation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is the natural home for that cost vector, and the dissertation’s tactical model adopts it accordingly.</w:t>
      </w:r>
    </w:p>
    <w:p>
      <w:pPr>
        <w:pStyle w:val="BodyText"/>
        <w:spacing w:line="480" w:lineRule="auto"/>
        <w:ind w:firstLine="720"/>
      </w:pPr>
      <w:r>
        <w:t xml:space="preserve">The results bear on the broader space-economics motivation as well. The reference framing in</w:t>
      </w:r>
      <w:r>
        <w:t xml:space="preserve"> </w:t>
      </w:r>
      <w:hyperlink w:anchor="ref-5">
        <w:r>
          <w:rPr>
            <w:rStyle w:val="Hyperlink"/>
          </w:rPr>
          <w:t xml:space="preserve">[5]</w:t>
        </w:r>
      </w:hyperlink>
      <w:r>
        <w:t xml:space="preserve"> </w:t>
      </w:r>
      <w:r>
        <w:t xml:space="preserve">insists that the value of scientific and economic activity in and for space is an active measurement problem, and the two estimators here contribute two specific, replicable measurements: a unit-elastic relationship between programmatic commitment and realized operational tenure on landed planetary surface missions, and a log-linear experience curve in per-target downlink cost on the MSL Curiosity tactical loop. Neither measurement was previously isolated in the planetary operations literature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both are necessary inputs to a credible within-sol value-of-information comparison.</w:t>
      </w:r>
    </w:p>
    <w:bookmarkEnd w:id="157"/>
    <w:bookmarkStart w:id="158" w:name="what-the-results-do-not-show"/>
    <w:p>
      <w:pPr>
        <w:pStyle w:val="Heading2"/>
        <w:spacing w:line="480" w:lineRule="auto"/>
      </w:pPr>
      <w:r>
        <w:t xml:space="preserve">6.4 What the Results Do Not Show</w:t>
      </w:r>
    </w:p>
    <w:p>
      <w:pPr>
        <w:pStyle w:val="FirstParagraph"/>
        <w:spacing w:line="480" w:lineRule="auto"/>
      </w:pPr>
      <w:r>
        <w:t xml:space="preserve">A rigorous interpretation also requires explicit notice of what the realized coefficients do not establish. Paper one does not identify a structural model of platform reliability. The conditional negative mass elasticity is consistent with the science-demand interpretation advanced in Section 6.1.3, but it is also consistent with mass-correlated platform complexity that consumes longevity through engineering failure modes not parameterized in the specification. The dissertation does not claim to distinguish those mechanisms. The relevant point for Chapter 7 is the methodological discipline the result imposes on the tactical model, not a causal account of mass-driven reliability.</w:t>
      </w:r>
    </w:p>
    <w:p>
      <w:pPr>
        <w:pStyle w:val="BodyText"/>
        <w:spacing w:line="480" w:lineRule="auto"/>
        <w:ind w:firstLine="720"/>
      </w:pPr>
      <w:r>
        <w:t xml:space="preserve">Paper two does not, on its own, decompose the experience curve into technical learning, organizational learning, and route effects. The minus 0.223 elasticity is consistent with all three mechanisms operating in combination, and the data do not separately identify their contributions. The progress ratio of 0.857 is the joint rate at which the three mechanisms together drive per-target cost down with cumulative acquisition. The dissertation’s tactical model uses the joint rate as a calibration anchor for the time-varying cost parameter, not as a mechanistic claim about which form of learning is doing the work.</w:t>
      </w:r>
    </w:p>
    <w:p>
      <w:pPr>
        <w:pStyle w:val="BodyText"/>
        <w:spacing w:line="480" w:lineRule="auto"/>
        <w:ind w:firstLine="720"/>
      </w:pPr>
      <w:r>
        <w:t xml:space="preserve">Neither estimator addresses the within-sol counterfactual that the tactical model itself constructs. That construction is the work of Chapter 7. The two estimators here establish the cross-sectional and longitudinal structure on which the within-sol value-of-information comparison rests: that the sol budget is dominantly programmatic and tightly anchored, and that the per-action cost parameter is a declining log-linear function of cumulative acquisition at a measurable rate. With those two anchors in hand, the within-sol comparison can proceed against a defensible cost model and a defensible envelope, both calibrated to the realized operations record rather than to assumed or unmeasured parameters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2">
        <w:r>
          <w:rPr>
            <w:rStyle w:val="Hyperlink"/>
          </w:rPr>
          <w:t xml:space="preserve">[12]</w:t>
        </w:r>
      </w:hyperlink>
      <w:r>
        <w:t xml:space="preserve">.</w:t>
      </w:r>
    </w:p>
    <w:bookmarkEnd w:id="158"/>
    <w:bookmarkEnd w:id="159"/>
    <w:bookmarkStart w:id="167" w:name="X21322cb5e29cbf4eb576afddcad42f86ace4e0d"/>
    <w:p>
      <w:pPr>
        <w:pStyle w:val="Heading1"/>
        <w:spacing w:line="480" w:lineRule="auto"/>
      </w:pPr>
      <w:r>
        <w:t xml:space="preserve">Chapter 7. Discussion and Governance Implications</w:t>
      </w:r>
    </w:p>
    <w:bookmarkStart w:id="160" w:name="Xaa80861844c306de32416487ad1a4ea005ab9d8"/>
    <w:p>
      <w:pPr>
        <w:pStyle w:val="Heading2"/>
        <w:spacing w:line="480" w:lineRule="auto"/>
      </w:pPr>
      <w:r>
        <w:t xml:space="preserve">7.1 Restatement of What the Dissertation Has and Has Not Shown</w:t>
      </w:r>
    </w:p>
    <w:p>
      <w:pPr>
        <w:pStyle w:val="FirstParagraph"/>
        <w:spacing w:line="480" w:lineRule="auto"/>
      </w:pPr>
      <w:r>
        <w:t xml:space="preserve">This dissertation set out to test a single falsifiable claim: that a value of information (VOI) ranked tactical action sequence, constrained to the actual mission resource envelope of a Mars surface platform, recovers strictly greater cumulative information gain than the realized human consensus plan on a common, replayable operations record</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chapters preceding this one developed the conceptual import from the sensor tasking literature, constructed the candidate-action enumeration from Mars Science Laboratory (MSL) Curiosity Planetary Data System archives, defined the information functional under priority weights anchored to habitability reconnaissance value</w:t>
      </w:r>
      <w:r>
        <w:t xml:space="preserve"> </w:t>
      </w:r>
      <w:hyperlink w:anchor="ref-6">
        <w:r>
          <w:rPr>
            <w:rStyle w:val="Hyperlink"/>
          </w:rPr>
          <w:t xml:space="preserve">[6]</w:t>
        </w:r>
      </w:hyperlink>
      <w:r>
        <w:t xml:space="preserve">, and reported the paired sign test on the corpus. Two supporting empirical chapters bracketed the central test from above and below. The first established the cross-mission mass elasticity of achieved sols and located the dominant correlate of operational tenure in agency-committed planned duration rather than platform endowment. The second documented a stable log-linear experience curve in per-target downlink cost on MSL Curiosity, with a progress ratio of approximately 0.857 across an order of magnitude in cumulative targets</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p>
    <w:p>
      <w:pPr>
        <w:pStyle w:val="BodyText"/>
        <w:spacing w:line="480" w:lineRule="auto"/>
        <w:ind w:firstLine="720"/>
      </w:pPr>
      <w:r>
        <w:t xml:space="preserve">What this dissertation has shown is not that consensus planning is wrong. It is that consensus planning has been operating without a measurement against which its allocative quality can be priced, and that when such a measurement is constructed on the mission’s own archived record, the marginal information value forgone is positive in sign and bounded in magnitude. The contribution is therefore diagnostic, not prescriptive. It identifies a previously unquantified science cost of the existing planning process and offers a sequential VOI framework that NASA program management and JPL flight operations can evaluate, adapt, or reject on its measured terms. This chapter discusses what the three findings mean together for program management and JPL decision-making, identifies the limitations that bound the inferences, and proposes the next research that the framework now enables.</w:t>
      </w:r>
    </w:p>
    <w:bookmarkEnd w:id="160"/>
    <w:bookmarkStart w:id="161"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most consequential finding for the NASA program management audience is not the within-sol VOI gap. It is the cross-mission result that achieved operational tenure is dominated, at unit elasticity, by planned mission duration after holding mass, power class, and instrument count fixed. Programs that committed to longer planned campaigns delivered, in tight proportion to that commitment, more sols of surface operations. Landed mass, the engineering proxy traditionally taken as the cleanest publicly archived index of the combined energy, thermal, and structural envelope, carried a conditional negative sign once planned sols were absorbed by the regression. The substantive reading is that the resource envelope a tactical planner allocates across is, in the cross-section of historical planetary surface missions, dominantly a programmatic variable rather than an engineering one. This reframes how the agency should think about the production function of planetary science return.</w:t>
      </w:r>
    </w:p>
    <w:p>
      <w:pPr>
        <w:pStyle w:val="BodyText"/>
        <w:spacing w:line="480" w:lineRule="auto"/>
        <w:ind w:firstLine="720"/>
      </w:pPr>
      <w:r>
        <w:t xml:space="preserve">For NASA program management this has three implications. First, the size of the tactical planning prize is fixed at the program-commitment stage. A VOI planner choosing among candidate observation actions on a Mars sol is allocating across an opportunity set whose total cardinality has been substantially set far above the planning cycle, at the project-confirmation gate and at each subsequent extended-mission decision point. The mass elasticity finding implies that program decisions about planned duration are first-order determinants of cumulative science return, and that the within-sol allocation problem this dissertation analyzes is a second-order optimization sitting inside a much larger commitment. Project portfolios that prioritize platform mass as a proxy for science capacity are pricing the wrong variable. Project portfolios that prioritize planned-duration commitment, and that fund the operational tenure required to honor it, are pricing the variable that the cross-mission record identifies as binding.</w:t>
      </w:r>
    </w:p>
    <w:p>
      <w:pPr>
        <w:pStyle w:val="BodyText"/>
        <w:spacing w:line="480" w:lineRule="auto"/>
        <w:ind w:firstLine="720"/>
      </w:pPr>
      <w:r>
        <w:t xml:space="preserve">Second, the conditional negative mass coefficient indicates that heavier platforms carry more science demand on the envelope, not just more envelope. This is consistent with the engineering reality that mass growth on planetary surface missions has historically gone into instrumentation breadth, deployable mechanisms, and sample-handling complexity rather than into longevity-supporting systems. From a program management standpoint the implication is that growth in instrumented capability does not buy proportional growth in operational tenure, and that the marginal sol of a more instrumented platform is more contested than the marginal sol of a leaner one. The per-action energy and downlink prices used inside a VOI reward function must therefore be calibrated to platform-specific demand on the envelope rather than to bulk mass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At the program level this argues for explicit accounting of the implied per-sol contention rate of any new payload proposal, and for an evaluation criterion in mission concept review that asks not only whether a payload can be flown within the mass and power allocation, but whether it can be operated within the realized sol budget that the cross-mission record predicts the program will buy.</w:t>
      </w:r>
    </w:p>
    <w:p>
      <w:pPr>
        <w:pStyle w:val="BodyText"/>
        <w:spacing w:line="480" w:lineRule="auto"/>
        <w:ind w:firstLine="720"/>
      </w:pPr>
      <w:r>
        <w:t xml:space="preserve">Third, the experience curve result tells program management that the cost side of the tactical reward function is itself a declining function of mission age. The MSL Curiosity record shows a 14.3 percent reduction in per-target downlink cost per doubling of cumulative targets, sustained across eight years and 1606 cumulative targets</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The implication is that science return forecasting on long-duration platforms should not hold the per-action cost parameter fixed. The Government Accountability Office (GAO) Major Project Assessment series, which serves as the principal external instrument for tracking NASA program performance against baseline, does not currently isolate this regular fall in per-action cost as a feature of mission performance</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The experience-curve coefficient estimated here is a citable, replicable parameter that program managers can use to refine extended-mission science return forecasts and to set quantitative baselines for new platforms whose planning workforce will pass through the same learning regime. A NASA program management practice that treated the experience-curve elasticity as a routine output of extended-mission review would convert a currently implicit asset, the accumulated procedural knowledge of the planning system, into an explicit, citable input to forward planning.</w:t>
      </w:r>
    </w:p>
    <w:p>
      <w:pPr>
        <w:pStyle w:val="BodyText"/>
        <w:spacing w:line="480" w:lineRule="auto"/>
        <w:ind w:firstLine="720"/>
      </w:pPr>
      <w:r>
        <w:t xml:space="preserve">Taken together these three findings argue for a program management posture in which planned duration is treated as the principal lever of cumulative science return, in which platform-mass growth is evaluated against its implied contention rate on the realized sol budget, and in which experience-curve learning is priced into long-horizon forecasts. None of these postures requires the agency to adopt the within-sol VOI ranking apparatus that the dissertation tested. They are independently supported by the cross-mission and the longitudinal-operations findings, and they would have implications for project portfolio management even in the absence of any change to tactical planning practice.</w:t>
      </w:r>
    </w:p>
    <w:bookmarkEnd w:id="161"/>
    <w:bookmarkStart w:id="162"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The implications for JPL tactical decision-making are tighter, more specific, and more contingent. The dissertation’s central paired sign test was designed to measure, not to replace, the consensus planning process. The result that the VOI-ranked sequence recovers a positive and bounded marginal information value above the realized human plan is consistent with the SDA literature’s finding that information-functional ranking outperforms unmeasured heuristic allocation on tasking problems with structurally similar resource and uncertainty profiles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It is also consistent with the rover-analog operations literature, which has documented that protocol refinement can save tactical sols by reducing per-target rover time while increasing science yield</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result is therefore not surprising in direction, but it is novel in being computed against a real, archived flight record rather than against a field analog.</w:t>
      </w:r>
    </w:p>
    <w:p>
      <w:pPr>
        <w:pStyle w:val="BodyText"/>
        <w:spacing w:line="480" w:lineRule="auto"/>
        <w:ind w:firstLine="720"/>
      </w:pPr>
      <w:r>
        <w:t xml:space="preserve">For JPL decision-making the question is what to do with this finding. Three postures are defensible.</w:t>
      </w:r>
    </w:p>
    <w:p>
      <w:pPr>
        <w:pStyle w:val="BodyText"/>
        <w:spacing w:line="480" w:lineRule="auto"/>
        <w:ind w:firstLine="720"/>
      </w:pPr>
      <w:r>
        <w:t xml:space="preserve">The first is to treat the VOI framework as a tactical decision support layer rather than as a planning automation. In this posture, the within-sol candidate-action enumeration, the information functional, and the sequential ranking are computed in advance of the science team’s deliberation and presented as one input among several. The science team retains plan authorship. The VOI ranking serves as a structured second opinion that highlights candidate actions whose information value, under the priority-weighted functional adapted from the sensor-tasking reward</w:t>
      </w:r>
      <w:r>
        <w:t xml:space="preserve"> </w:t>
      </w:r>
      <w:hyperlink w:anchor="ref-3">
        <w:r>
          <w:rPr>
            <w:rStyle w:val="Hyperlink"/>
          </w:rPr>
          <w:t xml:space="preserve">[3]</w:t>
        </w:r>
      </w:hyperlink>
      <w:r>
        <w:t xml:space="preserve"> </w:t>
      </w:r>
      <w:r>
        <w:t xml:space="preserve">and the value-of-collection formulation that lets per-target value drive task selection over time</w:t>
      </w:r>
      <w:r>
        <w:t xml:space="preserve"> </w:t>
      </w:r>
      <w:hyperlink w:anchor="ref-2">
        <w:r>
          <w:rPr>
            <w:rStyle w:val="Hyperlink"/>
          </w:rPr>
          <w:t xml:space="preserve">[2]</w:t>
        </w:r>
      </w:hyperlink>
      <w:r>
        <w:t xml:space="preserve">, exceeds that of the actions the team is converging toward. This posture preserves the deliberative quality and contextual judgment of the consensus process, treats the VOI output as advisory, and converts the dissertation’s measurement into an operational instrument that the team can use, override, or reject on each sol. It is the posture most consistent with the field’s accumulated experience that tactical decision quality benefits from human geologic context, and it is the posture least likely to introduce regressions on margins the functional does not capture.</w:t>
      </w:r>
    </w:p>
    <w:p>
      <w:pPr>
        <w:pStyle w:val="BodyText"/>
        <w:spacing w:line="480" w:lineRule="auto"/>
        <w:ind w:firstLine="720"/>
      </w:pPr>
      <w:r>
        <w:t xml:space="preserve">The second posture is to use the VOI framework as a retrospective auditing instrument rather than as a forward-planning instrument. In this posture, the candidate-action enumeration is constructed after each sol and the realized plan is scored against the VOI-ranked alternative on the same functional. The output is not a recommendation but a measurement of the forgone marginal information value of the day’s plan. Aggregated over the campaign, this measurement constitutes a quantitative quality-of-planning signal that JPL flight operations can monitor over time, that extended-mission proposals can cite as evidence of planning system performance, and that GAO Major Project Assessment cycles can incorporate as a real, replicable feature of mission execution</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This posture has the lowest operational risk and the slowest path to science benefit. It is the posture most consistent with the dissertation’s claim to have provided a diagnostic, not a prescriptive, contribution.</w:t>
      </w:r>
    </w:p>
    <w:p>
      <w:pPr>
        <w:pStyle w:val="BodyText"/>
        <w:spacing w:line="480" w:lineRule="auto"/>
        <w:ind w:firstLine="720"/>
      </w:pPr>
      <w:r>
        <w:t xml:space="preserve">The third posture is to integrate the VOI ranking into the tactical loop as a constrained autonomous prefilter on candidate actions, with human authority retained over plan commitment. This is the posture most consistent with how the SDA community has moved sensor tasking from human-in-the-loop deliberation toward POMDP and tree-search formulations</w:t>
      </w:r>
      <w:r>
        <w:t xml:space="preserve"> </w:t>
      </w:r>
      <w:hyperlink w:anchor="ref-4">
        <w:r>
          <w:rPr>
            <w:rStyle w:val="Hyperlink"/>
          </w:rPr>
          <w:t xml:space="preserve">[4]</w:t>
        </w:r>
      </w:hyperlink>
      <w:r>
        <w:t xml:space="preserve">, and it is the posture under which the dissertation’s measured marginal information value would be most fully realized. It is also the posture with the highest operational risk, the largest validation burden, and the greatest interaction with the safety and reviewability requirements of flight operations. It would require an extended period of shadow operation, in which the VOI prefilter ran in parallel with the realized planning process and its outputs were compared sol by sol before any of its rankings were given operational authority. It would require explicit treatment of the hindsight discipline noted in the dissertation’s threats-to-validity discussion, since a prefilter that exploited any outcome-conditioned features would be unsound for forward planning regardless of how favorable its retrospective scoring appeared</w:t>
      </w:r>
      <w:r>
        <w:t xml:space="preserve"> </w:t>
      </w:r>
      <w:hyperlink w:anchor="ref-4">
        <w:r>
          <w:rPr>
            <w:rStyle w:val="Hyperlink"/>
          </w:rPr>
          <w:t xml:space="preserve">[4]</w:t>
        </w:r>
      </w:hyperlink>
      <w:r>
        <w:t xml:space="preserve">. And it would require a careful accounting of the construct-validity question raised by the borrowed functional: the priority weights anchored to habitability reconnaissance value</w:t>
      </w:r>
      <w:r>
        <w:t xml:space="preserve"> </w:t>
      </w:r>
      <w:hyperlink w:anchor="ref-6">
        <w:r>
          <w:rPr>
            <w:rStyle w:val="Hyperlink"/>
          </w:rPr>
          <w:t xml:space="preserve">[6]</w:t>
        </w:r>
      </w:hyperlink>
      <w:r>
        <w:t xml:space="preserve"> </w:t>
      </w:r>
      <w:r>
        <w:t xml:space="preserve">are defensible for the geologic reconnaissance class of operations, but their adequacy across the full breadth of MSL Curiosity activities, and a fortiori across other mission classes, is an open empirical question.</w:t>
      </w:r>
    </w:p>
    <w:p>
      <w:pPr>
        <w:pStyle w:val="BodyText"/>
        <w:spacing w:line="480" w:lineRule="auto"/>
        <w:ind w:firstLine="720"/>
      </w:pPr>
      <w:r>
        <w:t xml:space="preserve">JPL decision-making is not bound to choose among these three postures in the abstract. The defensible path is to begin with the retrospective auditing posture, which generates the operational evidence needed to evaluate the advisory and prefilter postures on the platform’s own data. Under this path, the dissertation’s contribution to JPL operations is, in the first instance, a measurement instrument; the question of whether the instrument becomes part of forward planning is one that the operational evidence will settle on terms the flight operations community owns.</w:t>
      </w:r>
    </w:p>
    <w:p>
      <w:pPr>
        <w:pStyle w:val="BodyText"/>
        <w:spacing w:line="480" w:lineRule="auto"/>
        <w:ind w:firstLine="720"/>
      </w:pPr>
      <w:r>
        <w:t xml:space="preserve">A further JPL implication follows from the experience-curve finding. The 0.857 progress ratio implies that per-target downlink cost late in mission is materially lower than per-target downlink cost early in mission</w:t>
      </w:r>
      <w:r>
        <w:t xml:space="preserve"> </w:t>
      </w:r>
      <w:hyperlink w:anchor="ref-12">
        <w:r>
          <w:rPr>
            <w:rStyle w:val="Hyperlink"/>
          </w:rPr>
          <w:t xml:space="preserve">[12]</w:t>
        </w:r>
      </w:hyperlink>
      <w:r>
        <w:t xml:space="preserve">. A VOI planner that holds the per-action cost parameter fixed will under-allocate observations in the later stages of a campaign relative to the actual cost the platform is paying. The practical consequence for JPL is that any operational integration of the VOI framework should index the per-action cost vector to cumulative target count, not to a static price list. This is a small technical requirement with a large operational implication: it converts the experience-curve result from a descriptive feature of mission performance into a calibration input for the planning instrument.</w:t>
      </w:r>
    </w:p>
    <w:bookmarkEnd w:id="162"/>
    <w:bookmarkStart w:id="163" w:name="X8669537f4f3a47ca87fcb1e4ebec5a8b9406a7b"/>
    <w:p>
      <w:pPr>
        <w:pStyle w:val="Heading2"/>
        <w:spacing w:line="480" w:lineRule="auto"/>
      </w:pPr>
      <w:r>
        <w:t xml:space="preserve">7.4 Implications for the Broader Planetary Science Enterprise</w:t>
      </w:r>
    </w:p>
    <w:p>
      <w:pPr>
        <w:pStyle w:val="FirstParagraph"/>
        <w:spacing w:line="480" w:lineRule="auto"/>
      </w:pPr>
      <w:r>
        <w:t xml:space="preserve">The dissertation’s findings have implications beyond the MSL Curiosity record on which the central test was computed. The mass elasticity result is a cross-mission, cross-program statement about the production function of planetary surface science. It speaks to mission concept proposers, to the planetary science decadal survey process insofar as that process weighs platform endowment against planned-duration commitment, and to international partner programs whose landed platforms enter the same cross-section. The conditional negative sign on landed mass, once planned sols are held constant, is a result that any planetary surface mission planning at the conceptual stage should be aware of, because it implies that the conventional engineering trade between mass and capability does not translate cleanly into a trade between mass and operational tenure.</w:t>
      </w:r>
    </w:p>
    <w:p>
      <w:pPr>
        <w:pStyle w:val="BodyText"/>
        <w:spacing w:line="480" w:lineRule="auto"/>
        <w:ind w:firstLine="720"/>
      </w:pPr>
      <w:r>
        <w:t xml:space="preserve">The experience-curve result has analogous implications for the design of new mission planning workforces. The MSL Curiosity record indicates that a science-team-and-rover tactical loop functions as a low-volume, knowledge-intensive production system whose unit cost falls in a stable log-linear pattern with cumulative output. The mechanism, refinement of protocol and convergence on efficient acquisition patterns</w:t>
      </w:r>
      <w:r>
        <w:t xml:space="preserve"> </w:t>
      </w:r>
      <w:hyperlink w:anchor="ref-8">
        <w:r>
          <w:rPr>
            <w:rStyle w:val="Hyperlink"/>
          </w:rPr>
          <w:t xml:space="preserve">[8]</w:t>
        </w:r>
      </w:hyperlink>
      <w:r>
        <w:t xml:space="preserve">, is one that new missions can be expected to reproduce. The implication for mission planning is that the staffing model for tactical operations should be designed to retain procedural memory across the campaign, since the experience curve is the asset that the staffing model is building. Workforce turnover, planning tool churn, and procedural documentation policy are program-management variables that price directly against the slope of the experience curve, and they deserve to be managed with that leverage in view.</w:t>
      </w:r>
    </w:p>
    <w:p>
      <w:pPr>
        <w:pStyle w:val="BodyText"/>
        <w:spacing w:line="480" w:lineRule="auto"/>
        <w:ind w:firstLine="720"/>
      </w:pPr>
      <w:r>
        <w:t xml:space="preserve">The dissertation also speaks to the space economics literature that motivated parts of the framing. That literature has insisted that the value of space-derived information must be estimated rather than assumed</w:t>
      </w:r>
      <w:r>
        <w:t xml:space="preserve"> </w:t>
      </w:r>
      <w:hyperlink w:anchor="ref-5">
        <w:r>
          <w:rPr>
            <w:rStyle w:val="Hyperlink"/>
          </w:rPr>
          <w:t xml:space="preserve">[5]</w:t>
        </w:r>
      </w:hyperlink>
      <w:r>
        <w:t xml:space="preserve">, and that estimation is an active and consequential measurement problem. The dissertation’s contribution is to extend the estimation discipline downward from the program and industry levels at which the space-economics literature has operated to the tactical level at which a single sol’s allocation is committed. The result that the within-sol marginal information value of consensus planning is positive in sign and bounded in magnitude is a measurement that the space-economics framework calls for and that the planetary operations community had not previously supplied.</w:t>
      </w:r>
    </w:p>
    <w:bookmarkEnd w:id="163"/>
    <w:bookmarkStart w:id="164" w:name="limitations"/>
    <w:p>
      <w:pPr>
        <w:pStyle w:val="Heading2"/>
        <w:spacing w:line="480" w:lineRule="auto"/>
      </w:pPr>
      <w:r>
        <w:t xml:space="preserve">7.5 Limitations</w:t>
      </w:r>
    </w:p>
    <w:p>
      <w:pPr>
        <w:pStyle w:val="FirstParagraph"/>
        <w:spacing w:line="480" w:lineRule="auto"/>
      </w:pPr>
      <w:r>
        <w:t xml:space="preserve">The dissertation’s limitations bound the inferences and define the scope of generalization. They fall into three groups.</w:t>
      </w:r>
    </w:p>
    <w:p>
      <w:pPr>
        <w:pStyle w:val="BodyText"/>
        <w:spacing w:line="480" w:lineRule="auto"/>
        <w:ind w:firstLine="720"/>
      </w:pPr>
      <w:r>
        <w:t xml:space="preserve">The first group concerns the construct validity of the information functional. The functional is adapted from a sensor-tasking reward in which target priority is incorporated into an information-gain objective</w:t>
      </w:r>
      <w:r>
        <w:t xml:space="preserve"> </w:t>
      </w:r>
      <w:hyperlink w:anchor="ref-3">
        <w:r>
          <w:rPr>
            <w:rStyle w:val="Hyperlink"/>
          </w:rPr>
          <w:t xml:space="preserve">[3]</w:t>
        </w:r>
      </w:hyperlink>
      <w:r>
        <w:t xml:space="preserve">, with the value-of-collection extension that lets per-target value drive selection across time</w:t>
      </w:r>
      <w:r>
        <w:t xml:space="preserve"> </w:t>
      </w:r>
      <w:hyperlink w:anchor="ref-2">
        <w:r>
          <w:rPr>
            <w:rStyle w:val="Hyperlink"/>
          </w:rPr>
          <w:t xml:space="preserve">[2]</w:t>
        </w:r>
      </w:hyperlink>
      <w:r>
        <w:t xml:space="preserve">. The adaptation imports priority weights anchored to habitability reconnaissance value</w:t>
      </w:r>
      <w:r>
        <w:t xml:space="preserve"> </w:t>
      </w:r>
      <w:hyperlink w:anchor="ref-6">
        <w:r>
          <w:rPr>
            <w:rStyle w:val="Hyperlink"/>
          </w:rPr>
          <w:t xml:space="preserve">[6]</w:t>
        </w:r>
      </w:hyperlink>
      <w:r>
        <w:t xml:space="preserve">, a defensible anchor for the geologic reconnaissance class of operations but one whose adequacy across the full breadth of tactical activities is an open empirical question. If the functional does not capture the geologic value the science team is, in fact, optimizing for, the paired comparison measures the wrong quantity. The dissertation reports sensitivity to alternative weightings as a partial mitigation, but the construct-validity question is not closed. A functional that incorporated explicit geologic context, structural and stratigraphic relationships among candidate targets, and the situational awareness considerations recently studied in adjacent settings</w:t>
      </w:r>
      <w:r>
        <w:t xml:space="preserve"> </w:t>
      </w:r>
      <w:hyperlink w:anchor="ref-30">
        <w:r>
          <w:rPr>
            <w:rStyle w:val="Hyperlink"/>
          </w:rPr>
          <w:t xml:space="preserve">[30]</w:t>
        </w:r>
      </w:hyperlink>
      <w:r>
        <w:t xml:space="preserve"> </w:t>
      </w:r>
      <w:r>
        <w:t xml:space="preserve">would represent a substantive refinement.</w:t>
      </w:r>
    </w:p>
    <w:p>
      <w:pPr>
        <w:pStyle w:val="BodyText"/>
        <w:spacing w:line="480" w:lineRule="auto"/>
        <w:ind w:firstLine="720"/>
      </w:pPr>
      <w:r>
        <w:t xml:space="preserve">The second group concerns the reconstruction of the candidate-action set. The candidate set is inferred from archived PDS products and may omit actions the team considered but rejected. The dissertation restricted its corpus to sols on which the operations record was most complete and reported results under conservative assumptions about the candidate set, but the residual reconstruction error is a real limit on the precision of the paired estimate. A future extension that integrated the MSL Analyst’s Notebook with structured planning-meeting records would tighten this estimate. A further reconstruction concern is that the functional’s per-action cost vector is taken from archived downlink and energy consumption rather than from the planning-time cost estimates the team actually faced. The experience-curve result implies that the realized cost differs from the planning-time cost in a structured way</w:t>
      </w:r>
      <w:r>
        <w:t xml:space="preserve"> </w:t>
      </w:r>
      <w:hyperlink w:anchor="ref-12">
        <w:r>
          <w:rPr>
            <w:rStyle w:val="Hyperlink"/>
          </w:rPr>
          <w:t xml:space="preserve">[12]</w:t>
        </w:r>
      </w:hyperlink>
      <w:r>
        <w:t xml:space="preserve">, and a future extension that priced candidate actions at planning-time estimates would address this directly.</w:t>
      </w:r>
    </w:p>
    <w:p>
      <w:pPr>
        <w:pStyle w:val="BodyText"/>
        <w:spacing w:line="480" w:lineRule="auto"/>
        <w:ind w:firstLine="720"/>
      </w:pPr>
      <w:r>
        <w:t xml:space="preserve">The third group concerns external validity. The central paired sign test was computed on a single rover’s archive, MSL Curiosity. The mass elasticity result was estimated on a cross-section of 25 successful landed missions, a sample sufficient to detect a unit-elastic planned-sols effect but underpowered against the smaller effects associated with mass, power class, and instrumentation breadth. The experience-curve result was estimated on the same MSL Curiosity record. The dissertation frames its central estimand as a within-mission marginal value and bounds its generalization claim accordingly, but the question of whether the VOI gap, the mass conditional sign, and the experience-curve slope reproduce on other platforms, on other mission classes, and on extended-mission phases is an open one. The loss-on-landing exclusion that drops three failed missions from the cross-section is an additional truncation that further constrains the conditional inference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Two further limitations bear mentioning. The hindsight discipline required of the VOI policy, in which the solver is constrained to priors available at the planning epoch and excluded from outcome-conditioned features, mirrors the discipline used in coordinated tasking work</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but its operational instantiation in the dissertation’s solver is a deliberate engineering choice whose conservativeness can be debated. A more permissive instantiation would raise the apparent VOI gap and would also raise the question of whether the gap reflects forward-planning value or hindsight advantage. A second further limitation is that the dissertation’s framing treats the tactical planning loop as a closed allocation problem under a fixed envelope, abstracting from the upstream interactions with strategic and supratactical planning cycles that, in flight operations, partially shape the candidate set the tactical team faces. A fuller treatment would require explicit modeling of the multi-cycle planning architecture.</w:t>
      </w:r>
    </w:p>
    <w:bookmarkEnd w:id="164"/>
    <w:bookmarkStart w:id="165" w:name="future-research"/>
    <w:p>
      <w:pPr>
        <w:pStyle w:val="Heading2"/>
        <w:spacing w:line="480" w:lineRule="auto"/>
      </w:pPr>
      <w:r>
        <w:t xml:space="preserve">7.6 Future Research</w:t>
      </w:r>
    </w:p>
    <w:p>
      <w:pPr>
        <w:pStyle w:val="FirstParagraph"/>
        <w:spacing w:line="480" w:lineRule="auto"/>
      </w:pPr>
      <w:r>
        <w:t xml:space="preserve">The dissertation’s framework enables a focused research program. Four directions are immediate.</w:t>
      </w:r>
    </w:p>
    <w:p>
      <w:pPr>
        <w:pStyle w:val="BodyText"/>
        <w:spacing w:line="480" w:lineRule="auto"/>
        <w:ind w:firstLine="720"/>
      </w:pPr>
      <w:r>
        <w:t xml:space="preserve">The first is the extension of the paired sign test to other platforms. Mars 2020 Perseverance has been generating an archived operations record since 2021 whose breadth, payload composition, and sample-handling activities differ materially from MSL Curiosity. A replication of the within-sol VOI test on the Perseverance record would address the external-validity concern directly and would provide a second, independent estimate of the marginal information value forgone by consensus planning</w:t>
      </w:r>
      <w:r>
        <w:t xml:space="preserve"> </w:t>
      </w:r>
      <w:hyperlink w:anchor="ref-9">
        <w:r>
          <w:rPr>
            <w:rStyle w:val="Hyperlink"/>
          </w:rPr>
          <w:t xml:space="preserve">[9]</w:t>
        </w:r>
      </w:hyperlink>
      <w:r>
        <w:t xml:space="preserve">. The Chang’e 4 Yutu-2 and Chandrayaan-3 Pragyan operations records provide further independent platforms on which the test is well posed, subject to the public availability of comparable per-sol operations products</w:t>
      </w:r>
      <w:r>
        <w:t xml:space="preserve"> </w:t>
      </w:r>
      <w:hyperlink w:anchor="ref-10">
        <w:r>
          <w:rPr>
            <w:rStyle w:val="Hyperlink"/>
          </w:rPr>
          <w:t xml:space="preserve">[10]</w:t>
        </w:r>
      </w:hyperlink>
      <w:r>
        <w:t xml:space="preserve">.</w:t>
      </w:r>
    </w:p>
    <w:p>
      <w:pPr>
        <w:pStyle w:val="BodyText"/>
        <w:spacing w:line="480" w:lineRule="auto"/>
        <w:ind w:firstLine="720"/>
      </w:pPr>
      <w:r>
        <w:t xml:space="preserve">The second is the extension of the information functional to incorporate explicit geologic context and structural relationships among candidate targets. The current functional treats targets as priority-weighted units; a functional that priced the marginal information value of a target conditional on what has already been observed in the local stratigraphic and morphologic context would represent a substantive theoretical advance. The Apollo extravehicular activity literature, which has examined how astronaut experience and situational awareness condition the value of in-situ decisions</w:t>
      </w:r>
      <w:r>
        <w:t xml:space="preserve"> </w:t>
      </w:r>
      <w:hyperlink w:anchor="ref-31">
        <w:r>
          <w:rPr>
            <w:rStyle w:val="Hyperlink"/>
          </w:rPr>
          <w:t xml:space="preserve">[31]</w:t>
        </w:r>
      </w:hyperlink>
      <w:r>
        <w:t xml:space="preserve">, offers a conceptual foundation for this extension that the planetary rover literature has not yet integrated.</w:t>
      </w:r>
    </w:p>
    <w:p>
      <w:pPr>
        <w:pStyle w:val="BodyText"/>
        <w:spacing w:line="480" w:lineRule="auto"/>
        <w:ind w:firstLine="720"/>
      </w:pPr>
      <w:r>
        <w:t xml:space="preserve">The third direction is the integration of the experience-curve calibration into the VOI framework itself. The current dissertation treats the experience curve as a feature of the mission-level cost structure documented in a supporting empirical chapter, but the framework’s per-action cost vector is not yet calibrated to cumulative target count in the main test. A revision that indexed the per-action cost vector to the experience-curve slope would tighten the paired comparison and would also produce, as a byproduct, a forecast of the marginal information value that the VOI framework would deliver on extended-mission phases. This is the direction most directly responsive to the JPL operational interest in extended-mission planning and is the direction in which the dissertation’s three findings are most fully integrated.</w:t>
      </w:r>
    </w:p>
    <w:p>
      <w:pPr>
        <w:pStyle w:val="BodyText"/>
        <w:spacing w:line="480" w:lineRule="auto"/>
        <w:ind w:firstLine="720"/>
      </w:pPr>
      <w:r>
        <w:t xml:space="preserve">The fourth direction is the extension of the framework to lunar and to in-situ resource utilization operations. Recent work on lunar rover path planning</w:t>
      </w:r>
      <w:r>
        <w:t xml:space="preserve"> </w:t>
      </w:r>
      <w:hyperlink w:anchor="ref-27">
        <w:r>
          <w:rPr>
            <w:rStyle w:val="Hyperlink"/>
          </w:rPr>
          <w:t xml:space="preserve">[27]</w:t>
        </w:r>
      </w:hyperlink>
      <w:r>
        <w:t xml:space="preserve"> </w:t>
      </w:r>
      <w:r>
        <w:t xml:space="preserve">and on flexible design for oxygen production facilities under uncertainty</w:t>
      </w:r>
      <w:r>
        <w:t xml:space="preserve"> </w:t>
      </w:r>
      <w:hyperlink w:anchor="ref-29">
        <w:r>
          <w:rPr>
            <w:rStyle w:val="Hyperlink"/>
          </w:rPr>
          <w:t xml:space="preserve">[29]</w:t>
        </w:r>
      </w:hyperlink>
      <w:r>
        <w:t xml:space="preserve"> </w:t>
      </w:r>
      <w:r>
        <w:t xml:space="preserve">indicates that the value-of-information apparatus has natural application beyond the Mars rover tactical loop. The lunar in-situ situational-awareness work</w:t>
      </w:r>
      <w:r>
        <w:t xml:space="preserve"> </w:t>
      </w:r>
      <w:hyperlink w:anchor="ref-30">
        <w:r>
          <w:rPr>
            <w:rStyle w:val="Hyperlink"/>
          </w:rPr>
          <w:t xml:space="preserve">[30]</w:t>
        </w:r>
      </w:hyperlink>
      <w:r>
        <w:t xml:space="preserve"> </w:t>
      </w:r>
      <w:r>
        <w:t xml:space="preserve">is a further adjacent setting in which the dissertation’s framing is well posed. The navigation and timing infrastructure work on a semi-autonomous global navigation satellite system for Mars</w:t>
      </w:r>
      <w:r>
        <w:t xml:space="preserve"> </w:t>
      </w:r>
      <w:hyperlink w:anchor="ref-32">
        <w:r>
          <w:rPr>
            <w:rStyle w:val="Hyperlink"/>
          </w:rPr>
          <w:t xml:space="preserve">[32]</w:t>
        </w:r>
      </w:hyperlink>
      <w:r>
        <w:t xml:space="preserve"> </w:t>
      </w:r>
      <w:r>
        <w:t xml:space="preserve">is a complementary line that, by reducing the navigation uncertainty contribution to the candidate-action cost vector, would change the structure of the tactical allocation problem in ways that the dissertation’s framework can characterize.</w:t>
      </w:r>
    </w:p>
    <w:p>
      <w:pPr>
        <w:pStyle w:val="BodyText"/>
        <w:spacing w:line="480" w:lineRule="auto"/>
        <w:ind w:firstLine="720"/>
      </w:pPr>
      <w:r>
        <w:t xml:space="preserve">Beyond these four immediate directions, the framework supports a longer-horizon research agenda that connects the within-sol tactical loop to the program-level and end-user-value perspectives that the space economics literature has developed. The end-user perspective on the value of satellite data and solutions</w:t>
      </w:r>
      <w:r>
        <w:t xml:space="preserve"> </w:t>
      </w:r>
      <w:hyperlink w:anchor="ref-28">
        <w:r>
          <w:rPr>
            <w:rStyle w:val="Hyperlink"/>
          </w:rPr>
          <w:t xml:space="preserve">[28]</w:t>
        </w:r>
      </w:hyperlink>
      <w:r>
        <w:t xml:space="preserve"> </w:t>
      </w:r>
      <w:r>
        <w:t xml:space="preserve">and the broader OCEA framing of the space economy</w:t>
      </w:r>
      <w:r>
        <w:t xml:space="preserve"> </w:t>
      </w:r>
      <w:hyperlink w:anchor="ref-5">
        <w:r>
          <w:rPr>
            <w:rStyle w:val="Hyperlink"/>
          </w:rPr>
          <w:t xml:space="preserve">[5]</w:t>
        </w:r>
      </w:hyperlink>
      <w:r>
        <w:t xml:space="preserve"> </w:t>
      </w:r>
      <w:r>
        <w:t xml:space="preserve">together establish that the value of information acquired in and for space is a measurement problem that runs from the per-sol tactical decision to the program-level cumulative return. The dissertation has contributed an estimate at the tactical end of that chain. The longer-horizon research agenda is to connect the two ends quantitatively, so that the marginal information value of a sol’s allocation can be priced in units commensurable with the program-level value the agency reports to its sponsors and the user-level value the data ultimately delivers.</w:t>
      </w:r>
    </w:p>
    <w:bookmarkEnd w:id="165"/>
    <w:bookmarkStart w:id="166" w:name="closing"/>
    <w:p>
      <w:pPr>
        <w:pStyle w:val="Heading2"/>
        <w:spacing w:line="480" w:lineRule="auto"/>
      </w:pPr>
      <w:r>
        <w:t xml:space="preserve">7.7 Closing</w:t>
      </w:r>
    </w:p>
    <w:p>
      <w:pPr>
        <w:pStyle w:val="FirstParagraph"/>
        <w:spacing w:line="480" w:lineRule="auto"/>
      </w:pPr>
      <w:r>
        <w:t xml:space="preserve">The dissertation has approached Mars rover tactical planning from a posture of measured respect for the consensus process and methodical curiosity about what that process has not been measured against. The findings are that the planned mission duration dominates cross-mission operational tenure, that landed mass conditional on that duration carries science demand as well as longevity, that per-target downlink cost falls in a stable log-linear pattern as the planning system accumulates experience, and that a VOI-ranked tactical action sequence recovers a positive and bounded marginal information value above the realized human consensus plan on the common operations record. None of these findings discredits the consensus process. Together they price a science cost that the planetary operations community has not previously had a measurement against. The contribution this chapter has discussed is the conversion of that measurement into program-management posture, into JPL decision-making options, and into a focused research program that the framework now enables. The dissertation closes with the recommendation that NASA program management treat planned-duration commitment as the principal lever of cumulative science return, that JPL flight operations adopt the VOI framework first as a retrospective auditing instrument and only later, on the evidence its operation generates, as a forward-planning instrument, and that the planetary science enterprise extend the measurement discipline established here to the platforms and the mission classes on which the framework is now well posed.</w:t>
      </w:r>
    </w:p>
    <w:bookmarkEnd w:id="166"/>
    <w:bookmarkEnd w:id="167"/>
    <w:bookmarkStart w:id="221" w:name="chapter-8.-conclusion"/>
    <w:p>
      <w:pPr>
        <w:pStyle w:val="Heading1"/>
        <w:spacing w:line="480" w:lineRule="auto"/>
      </w:pPr>
      <w:r>
        <w:t xml:space="preserve">Chapter 8. Conclusion</w:t>
      </w:r>
    </w:p>
    <w:bookmarkStart w:id="168" w:name="restatement-of-the-problem"/>
    <w:p>
      <w:pPr>
        <w:pStyle w:val="Heading2"/>
        <w:spacing w:line="480" w:lineRule="auto"/>
      </w:pPr>
      <w:r>
        <w:t xml:space="preserve">8.1 Restatement of the Problem</w:t>
      </w:r>
    </w:p>
    <w:p>
      <w:pPr>
        <w:pStyle w:val="FirstParagraph"/>
        <w:spacing w:line="480" w:lineRule="auto"/>
      </w:pPr>
      <w:r>
        <w:t xml:space="preserve">This dissertation set out to answer a question that the planetary operations community has long treated as a matter of expert consensus rather than measurement: when a Mars rover science team commits a tactical plan, how much information value is left on the table relative to what the same resource envelope could in principle deliver, The question is not a critique of the science teams that have steered Curiosity and its predecessors across thousands of sols. It is a recognition that the daily tactical loop has, until now, lacked an explicit decision-theoretic apparatus against which its output can be scored. The space surveillance community has, over the past decade, built exactly such an apparatus for the structurally identical problem of allocating a finite sensor budget across more candidate observations than can be served</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dissertation imported that apparatus into planetary tactical operations, adapted it to the sol-bounded resource envelope of a mobile surface platform, and tested whether a value of information (VOI) ranked sequence of actions recovers a strictly greater share of the achievable science return than the realized human consensus plan, holding the resource envelope and the candidate action set fixed</w:t>
      </w:r>
      <w:r>
        <w:t xml:space="preserve"> </w:t>
      </w:r>
      <w:hyperlink w:anchor="ref-6">
        <w:r>
          <w:rPr>
            <w:rStyle w:val="Hyperlink"/>
          </w:rPr>
          <w:t xml:space="preserve">[6]</w:t>
        </w:r>
      </w:hyperlink>
      <w:r>
        <w:t xml:space="preserve">.</w:t>
      </w:r>
    </w:p>
    <w:p>
      <w:pPr>
        <w:pStyle w:val="BodyText"/>
        <w:spacing w:line="480" w:lineRule="auto"/>
        <w:ind w:firstLine="720"/>
      </w:pPr>
      <w:r>
        <w:t xml:space="preserve">The estimand was deliberately narrow. A single falsifiable claim, expressed as a within-sol paired comparison on a publicly archived corpus of Mars Science Laboratory operations records, anchored the entire program of work. The null held that consensus planning was already extracting the full information value available under the daily envelope. The alternative held that a VOI-ranked policy, scored under an identical information functional and resource envelope, would recover measurably more cumulative information gain. The contribution of the dissertation is the estimate that resolves that comparison, together with the supporting empirical apparatus that makes the estimate interpretable and the conditions that bound its generalization.</w:t>
      </w:r>
    </w:p>
    <w:bookmarkEnd w:id="168"/>
    <w:bookmarkStart w:id="169" w:name="synthesis-of-the-argument"/>
    <w:p>
      <w:pPr>
        <w:pStyle w:val="Heading2"/>
        <w:spacing w:line="480" w:lineRule="auto"/>
      </w:pPr>
      <w:r>
        <w:t xml:space="preserve">8.2 Synthesis of the Argument</w:t>
      </w:r>
    </w:p>
    <w:p>
      <w:pPr>
        <w:pStyle w:val="FirstParagraph"/>
        <w:spacing w:line="480" w:lineRule="auto"/>
      </w:pPr>
      <w:r>
        <w:t xml:space="preserve">The argument of the dissertation proceeded in three interlocking steps, each of which was the subject of a research paper, and each of which now resolves into a piece of the closing synthesis.</w:t>
      </w:r>
    </w:p>
    <w:p>
      <w:pPr>
        <w:pStyle w:val="BodyText"/>
        <w:spacing w:line="480" w:lineRule="auto"/>
        <w:ind w:firstLine="720"/>
      </w:pPr>
      <w:r>
        <w:t xml:space="preserve">The first step was to characterize the prize. Before asking how well a tactical planner allocates within a sol, the dissertation needed a defensible quantitative account of the size of the opportunity set the planner is allocating across. The first research paper estimated the cross-mission relationship between landed mass, planned mission duration, power class, and instrument count on one side, and achieved operational sols on the other, across a population of 25 successful planetary surface missions for which the relevant data are publicly archived</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6">
        <w:r>
          <w:rPr>
            <w:rStyle w:val="Hyperlink"/>
          </w:rPr>
          <w:t xml:space="preserve">[16]</w:t>
        </w:r>
      </w:hyperlink>
      <w:r>
        <w:t xml:space="preserve">. The dominant finding was that planned mission duration is essentially unit elastic with respect to achieved sols, with a coefficient of approximately 1.03 and a p-value below one in ten thousand. Programs that committed to longer campaigns delivered correspondingly longer campaigns, in tight proportion to the commitment. The conditional coefficient on landed mass was negative and marginally significant. The interpretation that survived scrutiny was that mass is not a clean proxy for the available resource envelope, because heavier platforms carry more science demand on the envelope as well as more energy and thermal support. This finding has a direct consequence for the dissertation’s central model. It means the tactical planner is allocating inside an envelope whose total size is dominantly fixed at the program-commitment stage, which in turn means that the within-sol identification strategy of holding the envelope fixed at its actual mission value is not a restrictive assumption but a description of how the cross-section actually works.</w:t>
      </w:r>
    </w:p>
    <w:p>
      <w:pPr>
        <w:pStyle w:val="BodyText"/>
        <w:spacing w:line="480" w:lineRule="auto"/>
        <w:ind w:firstLine="720"/>
      </w:pPr>
      <w:r>
        <w:t xml:space="preserve">The second step was to characterize the cost. The second research paper estimated a log-log experience curve in per-target downlink cost on the Mars Science Laboratory Curiosity tactical operations record, using a quarterly aggregate spanning 32 observations from Bradbury Landing through the end of mission year eight</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estimated elasticity of per-target downlink cost with respect to cumulative targets acquired was negative 0.223, with an implied progress ratio of approximately 0.857. The result was both highly significant and substantively orderly: each doubling of cumulative targets acquired was associated with a fall of approximately fourteen percent in the per-target downlink cost. The finding reproduces, at the scale of a real flight mission and across an order of magnitude in cumulative targets, the rover-analog observation that protocol refinement can save tactical sols by reducing per-target rover time while increasing science yield</w:t>
      </w:r>
      <w:r>
        <w:t xml:space="preserve"> </w:t>
      </w:r>
      <w:hyperlink w:anchor="ref-8">
        <w:r>
          <w:rPr>
            <w:rStyle w:val="Hyperlink"/>
          </w:rPr>
          <w:t xml:space="preserve">[8]</w:t>
        </w:r>
      </w:hyperlink>
      <w:r>
        <w:t xml:space="preserve">,</w:t>
      </w:r>
      <w:r>
        <w:t xml:space="preserve"> </w:t>
      </w:r>
      <w:hyperlink w:anchor="ref-26">
        <w:r>
          <w:rPr>
            <w:rStyle w:val="Hyperlink"/>
          </w:rPr>
          <w:t xml:space="preserve">[26]</w:t>
        </w:r>
      </w:hyperlink>
      <w:r>
        <w:t xml:space="preserve">. It also documents a feature of the planetary tactical loop that the sensor tasking literature has not addressed in its planetary application: the per-action cost parameter assumed by the information functional is not a static input on this class of platform. It is a declining function of cumulative acquisition, and a planner that holds it fixed will systematically under-allocate observations in the late mission.</w:t>
      </w:r>
    </w:p>
    <w:p>
      <w:pPr>
        <w:pStyle w:val="BodyText"/>
        <w:spacing w:line="480" w:lineRule="auto"/>
        <w:ind w:firstLine="720"/>
      </w:pPr>
      <w:r>
        <w:t xml:space="preserve">The third step was the central comparison itself. With the size of the prize quantified at the program level and the cost side of the information functional disciplined by a measured experience curve, the dissertation could pose the within-sol comparison without smuggling in unmeasured assumptions about either the envelope or the per-action cost. The candidate action set for each sol in the corpus was reconstructed from the NASA Planetary Data System archive of Mastcam, ChemCam, and traverse products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with energy and downlink costs assigned at the instrument operation level rather than at the platform level, consistent with the discipline the first paper’s results demanded. The information functional was adapted from the priority-weighted reward formulation in</w:t>
      </w:r>
      <w:r>
        <w:t xml:space="preserve"> </w:t>
      </w:r>
      <w:hyperlink w:anchor="ref-3">
        <w:r>
          <w:rPr>
            <w:rStyle w:val="Hyperlink"/>
          </w:rPr>
          <w:t xml:space="preserve">[3]</w:t>
        </w:r>
      </w:hyperlink>
      <w:r>
        <w:t xml:space="preserve"> </w:t>
      </w:r>
      <w:r>
        <w:t xml:space="preserve">and the value-of-collection construction in</w:t>
      </w:r>
      <w:r>
        <w:t xml:space="preserve"> </w:t>
      </w:r>
      <w:hyperlink w:anchor="ref-2">
        <w:r>
          <w:rPr>
            <w:rStyle w:val="Hyperlink"/>
          </w:rPr>
          <w:t xml:space="preserve">[2]</w:t>
        </w:r>
      </w:hyperlink>
      <w:r>
        <w:t xml:space="preserve">, with sequential ranking computed under a partially observable Markov decision process formulation of the kind validated in</w:t>
      </w:r>
      <w:r>
        <w:t xml:space="preserve"> </w:t>
      </w:r>
      <w:hyperlink w:anchor="ref-4">
        <w:r>
          <w:rPr>
            <w:rStyle w:val="Hyperlink"/>
          </w:rPr>
          <w:t xml:space="preserve">[4]</w:t>
        </w:r>
      </w:hyperlink>
      <w:r>
        <w:t xml:space="preserve"> </w:t>
      </w:r>
      <w:r>
        <w:t xml:space="preserve">and the hypothesis-driven extension in</w:t>
      </w:r>
      <w:r>
        <w:t xml:space="preserve"> </w:t>
      </w:r>
      <w:hyperlink w:anchor="ref-7">
        <w:r>
          <w:rPr>
            <w:rStyle w:val="Hyperlink"/>
          </w:rPr>
          <w:t xml:space="preserve">[7]</w:t>
        </w:r>
      </w:hyperlink>
      <w:r>
        <w:t xml:space="preserve">. The realized human plan and the VOI-ranked plan were scored under the identical functional and the identical envelope, sol by sol, and the paired difference was aggregated across the corpus. The headline finding was that the VOI-ranked policy recovers strictly greater cumulative information gain than the realized consensus plan, with the paired difference signed in the predicted direction across the majority of sols in the corpus and a magnitude that is meaningful relative to the realized information gain on those sols. The null is rejected on the sign test, and the magnitude is reported as the marginal information value forgone by consensus tactical planning under the operative envelope.</w:t>
      </w:r>
    </w:p>
    <w:p>
      <w:pPr>
        <w:pStyle w:val="BodyText"/>
        <w:spacing w:line="480" w:lineRule="auto"/>
        <w:ind w:firstLine="720"/>
      </w:pPr>
      <w:r>
        <w:t xml:space="preserve">The three findings cohere into a single argument. The prize is large and is set by program commitment. The cost of acquiring information falls predictably with experience. Within the envelope that program commitment defines, consensus tactical planning does not exhaust the information value available at the resource frontier, and the gap between the realized plan and the VOI-ranked policy is measurable, signed, and not small.</w:t>
      </w:r>
    </w:p>
    <w:bookmarkEnd w:id="169"/>
    <w:bookmarkStart w:id="170" w:name="contribution-to-knowledge"/>
    <w:p>
      <w:pPr>
        <w:pStyle w:val="Heading2"/>
        <w:spacing w:line="480" w:lineRule="auto"/>
      </w:pPr>
      <w:r>
        <w:t xml:space="preserve">8.3 Contribution to Knowledge</w:t>
      </w:r>
    </w:p>
    <w:p>
      <w:pPr>
        <w:pStyle w:val="FirstParagraph"/>
        <w:spacing w:line="480" w:lineRule="auto"/>
      </w:pPr>
      <w:r>
        <w:t xml:space="preserve">The dissertation contributes to three literatures that have until now operated in disciplinary isolation.</w:t>
      </w:r>
    </w:p>
    <w:p>
      <w:pPr>
        <w:pStyle w:val="BodyText"/>
        <w:spacing w:line="480" w:lineRule="auto"/>
        <w:ind w:firstLine="720"/>
      </w:pPr>
      <w:r>
        <w:t xml:space="preserve">To the sensor tasking and value of information literature in space domain awareness, the dissertation contributes the first end-to-end application of the information functional apparatus to a mobile surface platform whose binding resource is its own time and energy rather than a ground sensor network’s pointing budget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inferential-moment and POMDP formulations developed for orbital-object custody are shown to transfer, with appropriate cost-side discipline, to a problem in which the candidate actions are imaging targets, traverse legs, and instrument placements rather than telescope dwells. The dissertation also documents that the per-action cost parameter assumed by the sensor tasking literature is not static on this class of platform, and offers the experience-curve elasticity as a measured anchor for the cost side of future information functionals applied to surface operations.</w:t>
      </w:r>
    </w:p>
    <w:p>
      <w:pPr>
        <w:pStyle w:val="BodyText"/>
        <w:spacing w:line="480" w:lineRule="auto"/>
        <w:ind w:firstLine="720"/>
      </w:pPr>
      <w:r>
        <w:t xml:space="preserve">To the planetary operations literature, the dissertation contributes the first quantitative comparison of a realized consensus tactical plan against an explicit information-value-optimal alternative on a common operations record. The GeoHeuristic Operational Strategies tests have established that the realized plan is a measurable artifact and that its quality can be assessed after the fact</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The dissertation extends that line of work by supplying the explicit information-gain objective against which the realized plan can be scored, by reporting the magnitude of the gap, and by identifying the sols on which the gap is largest. The finding is offered not as a recommendation that consensus planning be replaced, but as a measurement of where in the tactical cycle additional decision support would have the largest expected return.</w:t>
      </w:r>
    </w:p>
    <w:p>
      <w:pPr>
        <w:pStyle w:val="BodyText"/>
        <w:spacing w:line="480" w:lineRule="auto"/>
        <w:ind w:firstLine="720"/>
      </w:pPr>
      <w:r>
        <w:t xml:space="preserve">To the space economics literature, the dissertation contributes a within-mission, sol-level instantiation of the broader insistence that the value of space-derived information must be estimated rather than assumed</w:t>
      </w:r>
      <w:r>
        <w:t xml:space="preserve"> </w:t>
      </w:r>
      <w:hyperlink w:anchor="ref-5">
        <w:r>
          <w:rPr>
            <w:rStyle w:val="Hyperlink"/>
          </w:rPr>
          <w:t xml:space="preserve">[5]</w:t>
        </w:r>
      </w:hyperlink>
      <w:r>
        <w:t xml:space="preserve">,</w:t>
      </w:r>
      <w:r>
        <w:t xml:space="preserve"> </w:t>
      </w:r>
      <w:hyperlink w:anchor="ref-28">
        <w:r>
          <w:rPr>
            <w:rStyle w:val="Hyperlink"/>
          </w:rPr>
          <w:t xml:space="preserve">[28]</w:t>
        </w:r>
      </w:hyperlink>
      <w:r>
        <w:t xml:space="preserve">. The macro-level program of estimating the value of economic activity in and for space has, until now, lacked a micro-level companion that quantifies the value of a single tactical decision under a fixed resource budget. The dissertation supplies one such companion, expressed in units that are directly compatible with the program-level value accounting the space economics community has developed.</w:t>
      </w:r>
    </w:p>
    <w:p>
      <w:pPr>
        <w:pStyle w:val="BodyText"/>
        <w:spacing w:line="480" w:lineRule="auto"/>
        <w:ind w:firstLine="720"/>
      </w:pPr>
      <w:r>
        <w:t xml:space="preserve">The dissertation also contributes a methodological discipline that may transfer to adjacent surface-operations problems. The two prior empirical papers, on the resource envelope and the experience curve, are not ornamental. They are the disciplinary preconditions for the central comparison. Any future attempt to apply an information-value framework to lunar surface operations, to the path planning literature for a South Pole rover</w:t>
      </w:r>
      <w:r>
        <w:t xml:space="preserve"> </w:t>
      </w:r>
      <w:hyperlink w:anchor="ref-27">
        <w:r>
          <w:rPr>
            <w:rStyle w:val="Hyperlink"/>
          </w:rPr>
          <w:t xml:space="preserve">[27]</w:t>
        </w:r>
      </w:hyperlink>
      <w:r>
        <w:t xml:space="preserve">, or to ISRU oxygen production scheduling under uncertainty</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w:t>
      </w:r>
      <w:r>
        <w:t xml:space="preserve">will face the same two preconditions: the analyst must quantify the envelope the planner is allocating across, and the analyst must discipline the cost side of the information functional with a measured rather than assumed cost structure. The dissertation offers a worked example of how to satisfy both preconditions before estimating the comparison of interest.</w:t>
      </w:r>
    </w:p>
    <w:bookmarkEnd w:id="170"/>
    <w:bookmarkStart w:id="171" w:name="limits-of-the-claim"/>
    <w:p>
      <w:pPr>
        <w:pStyle w:val="Heading2"/>
        <w:spacing w:line="480" w:lineRule="auto"/>
      </w:pPr>
      <w:r>
        <w:t xml:space="preserve">8.4 Limits of the Claim</w:t>
      </w:r>
    </w:p>
    <w:p>
      <w:pPr>
        <w:pStyle w:val="FirstParagraph"/>
        <w:spacing w:line="480" w:lineRule="auto"/>
      </w:pPr>
      <w:r>
        <w:t xml:space="preserve">The dissertation has been careful, throughout, to bound the claim it makes. Three boundaries deserve restatement here.</w:t>
      </w:r>
    </w:p>
    <w:p>
      <w:pPr>
        <w:pStyle w:val="BodyText"/>
        <w:spacing w:line="480" w:lineRule="auto"/>
        <w:ind w:firstLine="720"/>
      </w:pPr>
      <w:r>
        <w:t xml:space="preserve">The first is external validity. The estimand is a within-mission marginal information value computed on a single rover’s archive. The generalization from Curiosity to Perseverance, or from Mars surface operations to lunar surface operations</w:t>
      </w:r>
      <w:r>
        <w:t xml:space="preserve"> </w:t>
      </w:r>
      <w:hyperlink w:anchor="ref-27">
        <w:r>
          <w:rPr>
            <w:rStyle w:val="Hyperlink"/>
          </w:rPr>
          <w:t xml:space="preserve">[27]</w:t>
        </w:r>
      </w:hyperlink>
      <w:r>
        <w:t xml:space="preserve">,</w:t>
      </w:r>
      <w:r>
        <w:t xml:space="preserve"> </w:t>
      </w:r>
      <w:hyperlink w:anchor="ref-31">
        <w:r>
          <w:rPr>
            <w:rStyle w:val="Hyperlink"/>
          </w:rPr>
          <w:t xml:space="preserve">[31]</w:t>
        </w:r>
      </w:hyperlink>
      <w:r>
        <w:t xml:space="preserve">, or to a semi-autonomous global navigation context</w:t>
      </w:r>
      <w:r>
        <w:t xml:space="preserve"> </w:t>
      </w:r>
      <w:hyperlink w:anchor="ref-32">
        <w:r>
          <w:rPr>
            <w:rStyle w:val="Hyperlink"/>
          </w:rPr>
          <w:t xml:space="preserve">[32]</w:t>
        </w:r>
      </w:hyperlink>
      <w:r>
        <w:t xml:space="preserve">, is a matter for future work and is not licensed by the result. The dissertation’s contribution is the discipline of the comparison and the magnitude of the gap on the corpus on which it was computed, not a universal claim about consensus planning.</w:t>
      </w:r>
    </w:p>
    <w:p>
      <w:pPr>
        <w:pStyle w:val="BodyText"/>
        <w:spacing w:line="480" w:lineRule="auto"/>
        <w:ind w:firstLine="720"/>
      </w:pPr>
      <w:r>
        <w:t xml:space="preserve">The second is the construct validity of the information functional. The functional adapted from</w:t>
      </w:r>
      <w:r>
        <w:t xml:space="preserve"> </w:t>
      </w:r>
      <w:hyperlink w:anchor="ref-3">
        <w:r>
          <w:rPr>
            <w:rStyle w:val="Hyperlink"/>
          </w:rPr>
          <w:t xml:space="preserve">[3]</w:t>
        </w:r>
      </w:hyperlink>
      <w:r>
        <w:t xml:space="preserve"> </w:t>
      </w:r>
      <w:r>
        <w:t xml:space="preserve">and</w:t>
      </w:r>
      <w:r>
        <w:t xml:space="preserve"> </w:t>
      </w:r>
      <w:hyperlink w:anchor="ref-2">
        <w:r>
          <w:rPr>
            <w:rStyle w:val="Hyperlink"/>
          </w:rPr>
          <w:t xml:space="preserve">[2]</w:t>
        </w:r>
      </w:hyperlink>
      <w:r>
        <w:t xml:space="preserve"> </w:t>
      </w:r>
      <w:r>
        <w:t xml:space="preserve">is one of several defensible operationalizations of science return. The sensitivity of the headline magnitude to alternative priority weightings was reported in the empirical chapters, and the sign of the paired difference was robust across the weightings examined. The construct nevertheless remains a construct, and a science team may reasonably hold that aspects of geologic value are not captured by any information functional of this family. The dissertation addresses this concern by anchoring the priority weights to the habitability-reconnaissance value structure validated in the planetary field tests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but it does not claim to have closed it.</w:t>
      </w:r>
    </w:p>
    <w:p>
      <w:pPr>
        <w:pStyle w:val="BodyText"/>
        <w:spacing w:line="480" w:lineRule="auto"/>
        <w:ind w:firstLine="720"/>
      </w:pPr>
      <w:r>
        <w:t xml:space="preserve">The third is the hindsight discipline. A solver scoring against archived outcomes can, if not constrained, exploit information unavailable at the planning epoch. The dissertation computed the VOI policy strictly on priors available at the planning epoch and excluded outcome-conditioned features, mirroring the uninformative-prior discipline used in coordinated tasking</w:t>
      </w:r>
      <w:r>
        <w:t xml:space="preserve"> </w:t>
      </w:r>
      <w:hyperlink w:anchor="ref-4">
        <w:r>
          <w:rPr>
            <w:rStyle w:val="Hyperlink"/>
          </w:rPr>
          <w:t xml:space="preserve">[4]</w:t>
        </w:r>
      </w:hyperlink>
      <w:r>
        <w:t xml:space="preserve">. The result is therefore a fair comparison under a strict counterfactual, not a measurement of how well the consensus team could have done with hindsight.</w:t>
      </w:r>
    </w:p>
    <w:p>
      <w:pPr>
        <w:pStyle w:val="BodyText"/>
        <w:spacing w:line="480" w:lineRule="auto"/>
        <w:ind w:firstLine="720"/>
      </w:pPr>
      <w:r>
        <w:t xml:space="preserve">These limits are real, and they bound the inferential reach of the result. They do not erode the central claim. Within the bounds the dissertation has been explicit about, the gap between the realized consensus plan and the VOI-ranked policy is measured, signed, and reported.</w:t>
      </w:r>
    </w:p>
    <w:bookmarkEnd w:id="171"/>
    <w:bookmarkStart w:id="172" w:name="X6b9637d09713dc7189495d84f26297225de70d4"/>
    <w:p>
      <w:pPr>
        <w:pStyle w:val="Heading2"/>
        <w:spacing w:line="480" w:lineRule="auto"/>
      </w:pPr>
      <w:r>
        <w:t xml:space="preserve">8.5 Implications for Practice and Future Work</w:t>
      </w:r>
    </w:p>
    <w:p>
      <w:pPr>
        <w:pStyle w:val="FirstParagraph"/>
        <w:spacing w:line="480" w:lineRule="auto"/>
      </w:pPr>
      <w:r>
        <w:t xml:space="preserve">The most direct practical implication is that the planetary tactical loop would benefit from an explicit information-gain ranking as a decision aid alongside the science team deliberation, not as a replacement for it. The sols on which the dissertation’s measured gap is largest are sols on which decision support carries the largest expected information return, and those sols are now identifiable in advance of the planning cycle. A second implication, drawn from the experience curve in the second paper, is that late-mission tactical planning should price per-target costs at their current rather than their early-mission level, because the cost structure has been measured to fall by approximately fourteen percent per doubling of cumulative targets</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A third implication, drawn from the cross-mission regression in the first paper, is that program commitments to planned mission duration are the dominant publicly observable correlate of operational tenure, which is the determinant of the size of the prize a tactical planner is competing for. Program-level decisions about planned campaign length are, in this sense, the largest single lever on the total information value a surface mission will deliver</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6">
        <w:r>
          <w:rPr>
            <w:rStyle w:val="Hyperlink"/>
          </w:rPr>
          <w:t xml:space="preserve">[16]</w:t>
        </w:r>
      </w:hyperlink>
      <w:r>
        <w:t xml:space="preserve">.</w:t>
      </w:r>
    </w:p>
    <w:p>
      <w:pPr>
        <w:pStyle w:val="BodyText"/>
        <w:spacing w:line="480" w:lineRule="auto"/>
        <w:ind w:firstLine="720"/>
      </w:pPr>
      <w:r>
        <w:t xml:space="preserve">Future work should extend the comparison to additional archives as they become publicly available, particularly the Mars 2020 Perseverance record and the lunar surface records emerging from the Chang’e, Chandrayaan, and SLIM missions</w:t>
      </w:r>
      <w:r>
        <w:t xml:space="preserve"> </w:t>
      </w:r>
      <w:hyperlink w:anchor="ref-27">
        <w:r>
          <w:rPr>
            <w:rStyle w:val="Hyperlink"/>
          </w:rPr>
          <w:t xml:space="preserve">[27]</w:t>
        </w:r>
      </w:hyperlink>
      <w:r>
        <w:t xml:space="preserve">. The methodological discipline of measuring the envelope and the cost side before computing the comparison should travel with the framework. Future work should also consider the path planning literature</w:t>
      </w:r>
      <w:r>
        <w:t xml:space="preserve"> </w:t>
      </w:r>
      <w:hyperlink w:anchor="ref-27">
        <w:r>
          <w:rPr>
            <w:rStyle w:val="Hyperlink"/>
          </w:rPr>
          <w:t xml:space="preserve">[27]</w:t>
        </w:r>
      </w:hyperlink>
      <w:r>
        <w:t xml:space="preserve"> </w:t>
      </w:r>
      <w:r>
        <w:t xml:space="preserve">and the situational awareness literature for surface operations</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 </w:t>
      </w:r>
      <w:r>
        <w:t xml:space="preserve">as natural extensions of the candidate action set, and should explore whether the experience curve documented on Curiosity is reproduced on other platforms or whether it is a Curiosity-specific feature of the science team and the operations cadence.</w:t>
      </w:r>
    </w:p>
    <w:bookmarkEnd w:id="172"/>
    <w:bookmarkStart w:id="173" w:name="closing-statement"/>
    <w:p>
      <w:pPr>
        <w:pStyle w:val="Heading2"/>
        <w:spacing w:line="480" w:lineRule="auto"/>
      </w:pPr>
      <w:r>
        <w:t xml:space="preserve">8.6 Closing Statement</w:t>
      </w:r>
    </w:p>
    <w:p>
      <w:pPr>
        <w:pStyle w:val="FirstParagraph"/>
        <w:spacing w:line="480" w:lineRule="auto"/>
      </w:pPr>
      <w:r>
        <w:t xml:space="preserve">The Mars rover tactical planning loop is, at its core, an information acquisition problem under a hard resource budget. That recognition is not new in the planetary community. What this dissertation contributes is the explicit decision-theoretic apparatus under which the loop can be measured, the discipline of measuring the envelope and the cost side before computing the comparison of interest, and the resulting estimate of the marginal information value left on the table by consensus planning under the operative envelope. The estimate is a single number with a single interpretation, computed on a publicly archived corpus that any reviewer can replicate. It does not displace the expertise of the science teams that have steered Curiosity across more than a decade of surface operations. It complements that expertise with a measurement the field has not previously had, and it points to where additional decision support would have the largest expected return. The value of information acquired across a planetary surface campaign is, as the space economics literature has argued at the program level</w:t>
      </w:r>
      <w:r>
        <w:t xml:space="preserve"> </w:t>
      </w:r>
      <w:hyperlink w:anchor="ref-5">
        <w:r>
          <w:rPr>
            <w:rStyle w:val="Hyperlink"/>
          </w:rPr>
          <w:t xml:space="preserve">[5]</w:t>
        </w:r>
      </w:hyperlink>
      <w:r>
        <w:t xml:space="preserve">,</w:t>
      </w:r>
      <w:r>
        <w:t xml:space="preserve"> </w:t>
      </w:r>
      <w:hyperlink w:anchor="ref-28">
        <w:r>
          <w:rPr>
            <w:rStyle w:val="Hyperlink"/>
          </w:rPr>
          <w:t xml:space="preserve">[28]</w:t>
        </w:r>
      </w:hyperlink>
      <w:r>
        <w:t xml:space="preserve">, the product of the per-sol decisions a tactical planner makes and the number of sols the program has committed to operating. Both terms matter, the second is the larger, and within the envelope the second term defines, the first term admits a measurable gap that consensus planning has not yet closed. Closing that gap, sol by sol, is the work the framework presented in this dissertation is built to support.</w:t>
      </w:r>
    </w:p>
    <w:bookmarkEnd w:id="173"/>
    <w:bookmarkStart w:id="220" w:name="references"/>
    <w:p>
      <w:pPr>
        <w:pStyle w:val="Heading2"/>
        <w:spacing w:line="480" w:lineRule="auto"/>
      </w:pPr>
      <w:r>
        <w:t xml:space="preserve">References</w:t>
      </w:r>
    </w:p>
    <w:p>
      <w:pPr>
        <w:pStyle w:val="FirstParagraph"/>
        <w:spacing w:line="480" w:lineRule="auto"/>
      </w:pPr>
      <w:bookmarkStart w:id="174" w:name="ref-1"/>
      <w:bookmarkEnd w:id="174"/>
      <w:r>
        <w:t xml:space="preserve">1. K. Vanslette and R. Taing,</w:t>
      </w:r>
      <w:r>
        <w:t xml:space="preserve"> </w:t>
      </w:r>
      <w:r>
        <w:t xml:space="preserve">“Toward Optimal Conjunction-Based Sensor Tasking using Inferential Moments,”</w:t>
      </w:r>
      <w:r>
        <w:t xml:space="preserve"> </w:t>
      </w:r>
      <w:r>
        <w:t xml:space="preserve">Proc. Advanced Maui Optical and Space Surveillance Technologies (AMOS) Conference, 2023. doi:</w:t>
      </w:r>
      <w:r>
        <w:t xml:space="preserve"> </w:t>
      </w:r>
      <w:hyperlink r:id="rId175">
        <w:r>
          <w:rPr>
            <w:rStyle w:val="Hyperlink"/>
          </w:rPr>
          <w:t xml:space="preserve">10.64861/PEUU1014</w:t>
        </w:r>
      </w:hyperlink>
    </w:p>
    <w:p>
      <w:pPr>
        <w:pStyle w:val="BodyText"/>
        <w:spacing w:line="480" w:lineRule="auto"/>
        <w:ind w:firstLine="720"/>
      </w:pPr>
      <w:bookmarkStart w:id="176" w:name="ref-2"/>
      <w:bookmarkEnd w:id="176"/>
      <w:r>
        <w:t xml:space="preserve">2. H. Reed, N. Dailey, B. Carden, and D. Bryson,</w:t>
      </w:r>
      <w:r>
        <w:t xml:space="preserve"> </w:t>
      </w:r>
      <w:r>
        <w:t xml:space="preserve">“Blockchain Enabled Space Traffic Awareness (BESTA): Automated Comparison of SSA to Agreed Behavior for Discovery of Anomalous Behavior,”</w:t>
      </w:r>
      <w:r>
        <w:t xml:space="preserve"> </w:t>
      </w:r>
      <w:r>
        <w:t xml:space="preserve">Proc. Advanced Maui Optical and Space Surveillance Technologies (AMOS) Conference, 2020.</w:t>
      </w:r>
    </w:p>
    <w:p>
      <w:pPr>
        <w:pStyle w:val="BodyText"/>
        <w:spacing w:line="480" w:lineRule="auto"/>
        <w:ind w:firstLine="720"/>
      </w:pPr>
      <w:bookmarkStart w:id="177" w:name="ref-3"/>
      <w:bookmarkEnd w:id="177"/>
      <w:r>
        <w:t xml:space="preserve">3. S. Gehly and J. Bennett,</w:t>
      </w:r>
      <w:r>
        <w:t xml:space="preserve"> </w:t>
      </w:r>
      <w:r>
        <w:t xml:space="preserve">“Incorporating Target Priorities in the Sensor Tasking Reward Function,”</w:t>
      </w:r>
      <w:r>
        <w:t xml:space="preserve"> </w:t>
      </w:r>
      <w:r>
        <w:t xml:space="preserve">Proc. Advanced Maui Optical and Space Surveillance Technologies (AMOS) Conference, 2016.</w:t>
      </w:r>
    </w:p>
    <w:p>
      <w:pPr>
        <w:pStyle w:val="BodyText"/>
        <w:spacing w:line="480" w:lineRule="auto"/>
        <w:ind w:firstLine="720"/>
      </w:pPr>
      <w:bookmarkStart w:id="178" w:name="ref-4"/>
      <w:bookmarkEnd w:id="178"/>
      <w:r>
        <w:t xml:space="preserve">4. S. Fedeler, M. Holzinger, and W. Whitacre,</w:t>
      </w:r>
      <w:r>
        <w:t xml:space="preserve"> </w:t>
      </w:r>
      <w:r>
        <w:t xml:space="preserve">“Optimality and Application of Tree Search Methods for POMDP-based Sensor Tasking,”</w:t>
      </w:r>
      <w:r>
        <w:t xml:space="preserve"> </w:t>
      </w:r>
      <w:r>
        <w:t xml:space="preserve">Proc. Advanced Maui Optical and Space Surveillance Technologies (AMOS) Conference, 2020.</w:t>
      </w:r>
    </w:p>
    <w:p>
      <w:pPr>
        <w:pStyle w:val="BodyText"/>
        <w:spacing w:line="480" w:lineRule="auto"/>
        <w:ind w:firstLine="720"/>
      </w:pPr>
      <w:bookmarkStart w:id="179" w:name="ref-5"/>
      <w:bookmarkEnd w:id="179"/>
      <w:r>
        <w:t xml:space="preserve">5. Institute for Defense Analyses Science and Technology Policy Institute,</w:t>
      </w:r>
      <w:r>
        <w:t xml:space="preserve"> </w:t>
      </w:r>
      <w:r>
        <w:t xml:space="preserve">“OCEA: Forecasting the Space Economy, Estimating the Value of Economic Activities in and for Space,”</w:t>
      </w:r>
      <w:r>
        <w:t xml:space="preserve"> </w:t>
      </w:r>
      <w:r>
        <w:t xml:space="preserve">Space Economy Papers corpus (SD08).</w:t>
      </w:r>
    </w:p>
    <w:p>
      <w:pPr>
        <w:pStyle w:val="BodyText"/>
        <w:spacing w:line="480" w:lineRule="auto"/>
        <w:ind w:firstLine="720"/>
      </w:pPr>
      <w:bookmarkStart w:id="180" w:name="ref-6"/>
      <w:bookmarkEnd w:id="180"/>
      <w:r>
        <w:t xml:space="preserve">6.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t xml:space="preserve">Acta Astronautica, vol. 132, 2016. doi:</w:t>
      </w:r>
      <w:r>
        <w:t xml:space="preserve"> </w:t>
      </w:r>
      <w:hyperlink r:id="rId181">
        <w:r>
          <w:rPr>
            <w:rStyle w:val="Hyperlink"/>
          </w:rPr>
          <w:t xml:space="preserve">10.1016/j.actaastro.2016.12.018</w:t>
        </w:r>
      </w:hyperlink>
    </w:p>
    <w:p>
      <w:pPr>
        <w:pStyle w:val="BodyText"/>
        <w:spacing w:line="480" w:lineRule="auto"/>
        <w:ind w:firstLine="720"/>
      </w:pPr>
      <w:bookmarkStart w:id="182" w:name="ref-7"/>
      <w:bookmarkEnd w:id="182"/>
      <w:r>
        <w:t xml:space="preserve">7. O. Dagan, T. Becker, and Z. Sunberg,</w:t>
      </w:r>
      <w:r>
        <w:t xml:space="preserve"> </w:t>
      </w:r>
      <w:r>
        <w:t xml:space="preserve">“Hypothesis-Driven Sensor Tasking for Space Domain Awareness,”</w:t>
      </w:r>
      <w:r>
        <w:t xml:space="preserve"> </w:t>
      </w:r>
      <w:r>
        <w:t xml:space="preserve">Proc. Advanced Maui Optical and Space Surveillance Technologies (AMOS) Conference, 2025, doi:</w:t>
      </w:r>
      <w:r>
        <w:t xml:space="preserve"> </w:t>
      </w:r>
      <w:hyperlink r:id="rId183">
        <w:r>
          <w:rPr>
            <w:rStyle w:val="Hyperlink"/>
          </w:rPr>
          <w:t xml:space="preserve">10.64861/JHKF6115</w:t>
        </w:r>
      </w:hyperlink>
    </w:p>
    <w:p>
      <w:pPr>
        <w:pStyle w:val="BodyText"/>
        <w:spacing w:line="480" w:lineRule="auto"/>
        <w:ind w:firstLine="720"/>
      </w:pPr>
      <w:bookmarkStart w:id="184" w:name="ref-8"/>
      <w:bookmarkEnd w:id="184"/>
      <w:r>
        <w:t xml:space="preserve">8. R. A. Yingst et al.,</w:t>
      </w:r>
      <w:r>
        <w:t xml:space="preserve"> </w:t>
      </w:r>
      <w:r>
        <w:t xml:space="preserve">“Testing the efficiency of rover science protocols for robotic sample selection: A GeoHeuristic Operational Strategies Test,”</w:t>
      </w:r>
      <w:r>
        <w:t xml:space="preserve"> </w:t>
      </w:r>
      <w:r>
        <w:t xml:space="preserve">Acta Astronautica, vol. 146, 2018, doi:</w:t>
      </w:r>
      <w:r>
        <w:t xml:space="preserve"> </w:t>
      </w:r>
      <w:hyperlink r:id="rId185">
        <w:r>
          <w:rPr>
            <w:rStyle w:val="Hyperlink"/>
          </w:rPr>
          <w:t xml:space="preserve">10.1016/j.actaastro.2018.02.029</w:t>
        </w:r>
      </w:hyperlink>
    </w:p>
    <w:p>
      <w:pPr>
        <w:pStyle w:val="BodyText"/>
        <w:spacing w:line="480" w:lineRule="auto"/>
        <w:ind w:firstLine="720"/>
      </w:pPr>
      <w:bookmarkStart w:id="186" w:name="ref-9"/>
      <w:bookmarkEnd w:id="186"/>
      <w:r>
        <w:t xml:space="preserve">9. U.S. Government Accountability Office, NASA Major Project Assessment, GAO-25-107591, 2025.</w:t>
      </w:r>
    </w:p>
    <w:p>
      <w:pPr>
        <w:pStyle w:val="BodyText"/>
        <w:spacing w:line="480" w:lineRule="auto"/>
        <w:ind w:firstLine="720"/>
      </w:pPr>
      <w:bookmarkStart w:id="187" w:name="ref-10"/>
      <w:bookmarkEnd w:id="187"/>
      <w:r>
        <w:t xml:space="preserve">10. NASA Goddard Space Flight Center, National Space Science Data Center Coordinated Archive (NSSDCA) Master Catalog, mission entries for Viking 1 and 2, Mars Pathfinder, Sojourner, Spirit, Opportunity, Phoenix, Surveyor series, Lunokhod 1 and 2.</w:t>
      </w:r>
    </w:p>
    <w:p>
      <w:pPr>
        <w:pStyle w:val="BodyText"/>
        <w:spacing w:line="480" w:lineRule="auto"/>
        <w:ind w:firstLine="720"/>
      </w:pPr>
      <w:bookmarkStart w:id="188" w:name="ref-11"/>
      <w:bookmarkEnd w:id="188"/>
      <w:r>
        <w:t xml:space="preserve">11. M. Felten, J. Colombi, R. Cobb, and D. Meyer,</w:t>
      </w:r>
      <w:r>
        <w:t xml:space="preserve"> </w:t>
      </w:r>
      <w:r>
        <w:t xml:space="preserve">“Optimization of Geosynchronous Space Situational Awareness Architectures using Parallel Computation,”</w:t>
      </w:r>
      <w:r>
        <w:t xml:space="preserve"> </w:t>
      </w:r>
      <w:r>
        <w:t xml:space="preserve">Proc. Advanced Maui Optical and Space Surveillance Technologies (AMOS) Conference, 2018.</w:t>
      </w:r>
    </w:p>
    <w:p>
      <w:pPr>
        <w:pStyle w:val="BodyText"/>
        <w:spacing w:line="480" w:lineRule="auto"/>
        <w:ind w:firstLine="720"/>
      </w:pPr>
      <w:bookmarkStart w:id="189" w:name="ref-12"/>
      <w:bookmarkEnd w:id="189"/>
      <w:r>
        <w:t xml:space="preserve">12. A. R. Vasavada,</w:t>
      </w:r>
      <w:r>
        <w:t xml:space="preserve"> </w:t>
      </w:r>
      <w:r>
        <w:t xml:space="preserve">“Mission overview and scientific contributions from the Mars Science Laboratory Curiosity rover after eight years of surface operations,”</w:t>
      </w:r>
      <w:r>
        <w:t xml:space="preserve"> </w:t>
      </w:r>
      <w:r>
        <w:t xml:space="preserve">Space Science Reviews, vol. 218, 2022. doi:</w:t>
      </w:r>
      <w:r>
        <w:t xml:space="preserve"> </w:t>
      </w:r>
      <w:hyperlink r:id="rId190">
        <w:r>
          <w:rPr>
            <w:rStyle w:val="Hyperlink"/>
          </w:rPr>
          <w:t xml:space="preserve">10.1007/s11214-022-00882-7</w:t>
        </w:r>
      </w:hyperlink>
    </w:p>
    <w:p>
      <w:pPr>
        <w:pStyle w:val="BodyText"/>
        <w:spacing w:line="480" w:lineRule="auto"/>
        <w:ind w:firstLine="720"/>
      </w:pPr>
      <w:bookmarkStart w:id="191" w:name="ref-13"/>
      <w:bookmarkEnd w:id="191"/>
      <w:r>
        <w:t xml:space="preserve">13. A. R. Vasavada et al.,</w:t>
      </w:r>
      <w:r>
        <w:t xml:space="preserve"> </w:t>
      </w:r>
      <w:r>
        <w:t xml:space="preserve">“Overview of the Mars Science Laboratory mission: Bradbury Landing to Yellowknife Bay,”</w:t>
      </w:r>
      <w:r>
        <w:t xml:space="preserve"> </w:t>
      </w:r>
      <w:r>
        <w:t xml:space="preserve">JGR Planets, vol. 119, no. 6, 2014. doi:</w:t>
      </w:r>
      <w:r>
        <w:t xml:space="preserve"> </w:t>
      </w:r>
      <w:hyperlink r:id="rId192">
        <w:r>
          <w:rPr>
            <w:rStyle w:val="Hyperlink"/>
          </w:rPr>
          <w:t xml:space="preserve">10.1002/2014JE004622</w:t>
        </w:r>
      </w:hyperlink>
    </w:p>
    <w:p>
      <w:pPr>
        <w:pStyle w:val="BodyText"/>
        <w:spacing w:line="480" w:lineRule="auto"/>
        <w:ind w:firstLine="720"/>
      </w:pPr>
      <w:bookmarkStart w:id="193" w:name="ref-14"/>
      <w:bookmarkEnd w:id="193"/>
      <w:r>
        <w:t xml:space="preserve">14. S. Maurice et al.,</w:t>
      </w:r>
      <w:r>
        <w:t xml:space="preserve"> </w:t>
      </w:r>
      <w:r>
        <w:t xml:space="preserve">“ChemCam activities and discoveries during the nominal mission of the Mars Science Laboratory in Gale crater, Mars,”</w:t>
      </w:r>
      <w:r>
        <w:t xml:space="preserve"> </w:t>
      </w:r>
      <w:r>
        <w:t xml:space="preserve">JAAS, vol. 31, 2016. doi:</w:t>
      </w:r>
      <w:r>
        <w:t xml:space="preserve"> </w:t>
      </w:r>
      <w:hyperlink r:id="rId194">
        <w:r>
          <w:rPr>
            <w:rStyle w:val="Hyperlink"/>
          </w:rPr>
          <w:t xml:space="preserve">10.1039/C5JA00417A</w:t>
        </w:r>
      </w:hyperlink>
    </w:p>
    <w:p>
      <w:pPr>
        <w:pStyle w:val="BodyText"/>
        <w:spacing w:line="480" w:lineRule="auto"/>
        <w:ind w:firstLine="720"/>
      </w:pPr>
      <w:bookmarkStart w:id="195" w:name="ref-15"/>
      <w:bookmarkEnd w:id="195"/>
      <w:r>
        <w:t xml:space="preserve">15. J. F. Bell III et al.,</w:t>
      </w:r>
      <w:r>
        <w:t xml:space="preserve"> </w:t>
      </w:r>
      <w:r>
        <w:t xml:space="preserve">“The Mars Science Laboratory Curiosity rover Mastcam instruments,”</w:t>
      </w:r>
      <w:r>
        <w:t xml:space="preserve"> </w:t>
      </w:r>
      <w:r>
        <w:t xml:space="preserve">Earth and Space Science, vol. 4, 2017. doi:</w:t>
      </w:r>
      <w:r>
        <w:t xml:space="preserve"> </w:t>
      </w:r>
      <w:hyperlink r:id="rId196">
        <w:r>
          <w:rPr>
            <w:rStyle w:val="Hyperlink"/>
          </w:rPr>
          <w:t xml:space="preserve">10.1002/2016EA000219</w:t>
        </w:r>
      </w:hyperlink>
    </w:p>
    <w:p>
      <w:pPr>
        <w:pStyle w:val="BodyText"/>
        <w:spacing w:line="480" w:lineRule="auto"/>
        <w:ind w:firstLine="720"/>
      </w:pPr>
      <w:bookmarkStart w:id="197" w:name="ref-16"/>
      <w:bookmarkEnd w:id="197"/>
      <w:r>
        <w:t xml:space="preserve">16. Government Accountability Office,</w:t>
      </w:r>
      <w:r>
        <w:t xml:space="preserve"> </w:t>
      </w:r>
      <w:r>
        <w:t xml:space="preserve">“NASA: Assessments of Major Projects,”</w:t>
      </w:r>
      <w:r>
        <w:t xml:space="preserve"> </w:t>
      </w:r>
      <w:r>
        <w:t xml:space="preserve">GAO-19-262SP, 2019; GAO-21-306, 2021.</w:t>
      </w:r>
    </w:p>
    <w:p>
      <w:pPr>
        <w:pStyle w:val="BodyText"/>
        <w:spacing w:line="480" w:lineRule="auto"/>
        <w:ind w:firstLine="720"/>
      </w:pPr>
      <w:bookmarkStart w:id="198" w:name="ref-17"/>
      <w:bookmarkEnd w:id="198"/>
      <w:r>
        <w:t xml:space="preserve">17. Steven Richtsmeier (Spectral Sciences, Inc.), Robert Sundberg (Spectral Sciences, Inc.), Raymond Haren (AFRL/SNJT), Frank O. Clark (AFRL/VSBT). LWIR Hyperspectral and Multispectral Scene Simulation of Mars (2006).</w:t>
      </w:r>
    </w:p>
    <w:p>
      <w:pPr>
        <w:pStyle w:val="BodyText"/>
        <w:spacing w:line="480" w:lineRule="auto"/>
        <w:ind w:firstLine="720"/>
      </w:pPr>
      <w:bookmarkStart w:id="199" w:name="ref-18"/>
      <w:bookmarkEnd w:id="199"/>
      <w:r>
        <w:t xml:space="preserve">18. David P. Osterman, Ball Aerospace; Jeffrey E.Van Cleve, Ball Aerospace; Anna Lawitzke, Ball Aerospace; Jacob D. Griesbach, Ball Aerospace; Christopher J. Grant, Ball Aerospace; Colleen Olson, Ball Aerospace. Anthropogenic Change Detection On and Close to the Moon for Space Domain Awareness (2022).</w:t>
      </w:r>
    </w:p>
    <w:p>
      <w:pPr>
        <w:pStyle w:val="BodyText"/>
        <w:spacing w:line="480" w:lineRule="auto"/>
        <w:ind w:firstLine="720"/>
      </w:pPr>
      <w:bookmarkStart w:id="200" w:name="ref-19"/>
      <w:bookmarkEnd w:id="200"/>
      <w:r>
        <w:t xml:space="preserve">19. Barry Geldzahler (NASA Headquarters), Marc Seibert (NASA Kennedy Space Center), Michael Miller (NASA Kennedy Space Center), Victor Vilnrotter (Jet Propulsion Laboratory), Philip Tsao (Jet Propulsion Laboratory). KaBOOM- Ka Band Objects: Observation and Monitoring (2012).</w:t>
      </w:r>
    </w:p>
    <w:p>
      <w:pPr>
        <w:pStyle w:val="BodyText"/>
        <w:spacing w:line="480" w:lineRule="auto"/>
        <w:ind w:firstLine="720"/>
      </w:pPr>
      <w:bookmarkStart w:id="201" w:name="ref-20"/>
      <w:bookmarkEnd w:id="201"/>
      <w:r>
        <w:t xml:space="preserve">20. Dr. Barry Geldzahler, NASA Headquarters, Chris Bershad, NASA Kennedy Space Center, Robert Brown, NASA Kennedy Space Center, Rachel Cox, NASA Kennedy Space Center, Richard Hoblitzell, NASA Kennedy Space Center, John Kiriazes, NASA Kennedy Space Center, Bruce Ledford, NASA Kennedy Space Center, Michael Miller, NASA Kennedy Space Center, Gary Woods, NASA Kennedy Space Center, Timothy Cornish, Jet Propulsion Laboratory, Dr. Larry D Addario, Jet Propulsion Laboratory, Dr. Faramaz Davarian, Jet Propulsion Laboratory, Dennis Lee, Jet Propulsion Laboratory, David Morabito, Jet Propulsion Laboratory, Philip Tsao, Jet Propulsion Laboratory, Jason Soloff, NASA Johnson Space Flight Center, Dr. Ken Church, Sciperio Inc., Dr. Paul Deffenbaugh, Sciperio Inc., Keith Abernethy, Southern Research Inc., William Anderson, Southern Research Inc., John Collier, Southern Research Inc., Greg Wellen, Southern Research Inc.. A Phased Array of Widely Separated Antennas for Space Communication and Planetary Radar (2017).</w:t>
      </w:r>
    </w:p>
    <w:p>
      <w:pPr>
        <w:pStyle w:val="BodyText"/>
        <w:spacing w:line="480" w:lineRule="auto"/>
        <w:ind w:firstLine="720"/>
      </w:pPr>
      <w:bookmarkStart w:id="202" w:name="ref-21"/>
      <w:bookmarkEnd w:id="202"/>
      <w:r>
        <w:t xml:space="preserve">21. Barry Geldzahler (NASA), Dr. Larry D Addario (Jet Propulsion Laboratory), Melanie Ott (NASA Goddard Space Flight Center), Rick Birr (NASA Kennedy Space Center), Gary Woods (NASA Kennedy Space Center), Michael Miller (NASA Kennedy Space Center). High Resolution Radar for NASA and Space Situational Awareness for Observation and Monitoring (2014).</w:t>
      </w:r>
    </w:p>
    <w:p>
      <w:pPr>
        <w:pStyle w:val="BodyText"/>
        <w:spacing w:line="480" w:lineRule="auto"/>
        <w:ind w:firstLine="720"/>
      </w:pPr>
      <w:bookmarkStart w:id="203" w:name="ref-22"/>
      <w:bookmarkEnd w:id="203"/>
      <w:r>
        <w:t xml:space="preserve">22.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w:t>
      </w:r>
    </w:p>
    <w:p>
      <w:pPr>
        <w:pStyle w:val="BodyText"/>
        <w:spacing w:line="480" w:lineRule="auto"/>
        <w:ind w:firstLine="720"/>
      </w:pPr>
      <w:bookmarkStart w:id="204" w:name="ref-23"/>
      <w:bookmarkEnd w:id="204"/>
      <w:r>
        <w:t xml:space="preserve">23. Mark Scherbarth (AFRL), Durand Smith (ARES Corporation), Aaron Adler (ARES Corporation), Janet Stuart (ATA Aerospace), Greg Ginet (Massachusetts Institute of Technology, Lincoln Laboratory). AFRL’s Demonstration and Science Experiments (DSX) Mission (2009).</w:t>
      </w:r>
    </w:p>
    <w:p>
      <w:pPr>
        <w:pStyle w:val="BodyText"/>
        <w:spacing w:line="480" w:lineRule="auto"/>
        <w:ind w:firstLine="720"/>
      </w:pPr>
      <w:bookmarkStart w:id="205" w:name="ref-24"/>
      <w:bookmarkEnd w:id="205"/>
      <w:r>
        <w:t xml:space="preserve">24. Louis Marketos, Design_Net Engineering. Leveraging the Space Plug-and-Play Avionics (SPA) Standard to Enable Constellation-level Collaborative Autonomy (2009).</w:t>
      </w:r>
    </w:p>
    <w:p>
      <w:pPr>
        <w:pStyle w:val="BodyText"/>
        <w:spacing w:line="480" w:lineRule="auto"/>
        <w:ind w:firstLine="720"/>
      </w:pPr>
      <w:bookmarkStart w:id="206" w:name="ref-25"/>
      <w:bookmarkEnd w:id="206"/>
      <w:r>
        <w:t xml:space="preserve">25. R. A. Yingst; J. A. Berger; B. A. Cohen; B. M. Hynek; M. E. Schmidt. Determining best practices in reconnoitering sites for habitability potential on Mars using a semi-autonomous rover: A GeoHeuristic Operational Strategies Test (2016). doi:</w:t>
      </w:r>
      <w:r>
        <w:t xml:space="preserve"> </w:t>
      </w:r>
      <w:hyperlink r:id="rId181">
        <w:r>
          <w:rPr>
            <w:rStyle w:val="Hyperlink"/>
          </w:rPr>
          <w:t xml:space="preserve">10.1016/j.actaastro.2016.12.018</w:t>
        </w:r>
      </w:hyperlink>
    </w:p>
    <w:p>
      <w:pPr>
        <w:pStyle w:val="BodyText"/>
        <w:spacing w:line="480" w:lineRule="auto"/>
        <w:ind w:firstLine="720"/>
      </w:pPr>
      <w:bookmarkStart w:id="207" w:name="ref-26"/>
      <w:bookmarkEnd w:id="207"/>
      <w:r>
        <w:t xml:space="preserve">26. R. A. Yingst; Julie K. Bartley; Thomas C. Chidsey; B. A. Cohen; Geoffrey J. Gilleaudeau; B. M. Hynek; Linda C. Kah; M. E. Minitti; R. M. E. Williams; Sarah R. Black; J. Gemperline; Ruby L. Schaufler; Rebecca J. Thomas. Testing the efficiency of rover science protocols for robotic sample selection: A GeoHeuristic Operational Strategies Test (2018). doi:</w:t>
      </w:r>
      <w:r>
        <w:t xml:space="preserve"> </w:t>
      </w:r>
      <w:hyperlink r:id="rId185">
        <w:r>
          <w:rPr>
            <w:rStyle w:val="Hyperlink"/>
          </w:rPr>
          <w:t xml:space="preserve">10.1016/j.actaastro.2018.02.029</w:t>
        </w:r>
      </w:hyperlink>
    </w:p>
    <w:p>
      <w:pPr>
        <w:pStyle w:val="BodyText"/>
        <w:spacing w:line="480" w:lineRule="auto"/>
        <w:ind w:firstLine="720"/>
      </w:pPr>
      <w:bookmarkStart w:id="208" w:name="ref-27"/>
      <w:bookmarkEnd w:id="208"/>
      <w:r>
        <w:t xml:space="preserve">27. F. Chen; Natasha Jackson; Pierre Allard; Giovanni Beltrame. Path planning algorithm for a South Pole lunar rover mission (2025). doi:</w:t>
      </w:r>
      <w:r>
        <w:t xml:space="preserve"> </w:t>
      </w:r>
      <w:hyperlink r:id="rId209">
        <w:r>
          <w:rPr>
            <w:rStyle w:val="Hyperlink"/>
          </w:rPr>
          <w:t xml:space="preserve">10.1016/j.actaastro.2025.07.059</w:t>
        </w:r>
      </w:hyperlink>
    </w:p>
    <w:p>
      <w:pPr>
        <w:pStyle w:val="BodyText"/>
        <w:spacing w:line="480" w:lineRule="auto"/>
        <w:ind w:firstLine="720"/>
      </w:pPr>
      <w:bookmarkStart w:id="210" w:name="ref-28"/>
      <w:bookmarkEnd w:id="210"/>
      <w:r>
        <w:t xml:space="preserve">28. Alessandro Paravano; Giorgio Locatelli; Paolo Trucco. What is value in the New Space Economy? The end-users’ perspective on satellite data and solutions (2023). doi:</w:t>
      </w:r>
      <w:r>
        <w:t xml:space="preserve"> </w:t>
      </w:r>
      <w:hyperlink r:id="rId211">
        <w:r>
          <w:rPr>
            <w:rStyle w:val="Hyperlink"/>
          </w:rPr>
          <w:t xml:space="preserve">10.1016/j.actaastro.2023.05.001</w:t>
        </w:r>
      </w:hyperlink>
    </w:p>
    <w:p>
      <w:pPr>
        <w:pStyle w:val="BodyText"/>
        <w:spacing w:line="480" w:lineRule="auto"/>
        <w:ind w:firstLine="720"/>
      </w:pPr>
      <w:bookmarkStart w:id="212" w:name="ref-29"/>
      <w:bookmarkEnd w:id="212"/>
      <w:r>
        <w:t xml:space="preserve">29. Kosuke Ikeya; Michel‐Alexandre Cardin; J.J. Cilliers; Stanley Starr; Kathryn Hadler. Multi-objective decision-making for flexible design and planning of oxygen production facilities in an uncertain lunar environment (2025). doi:</w:t>
      </w:r>
      <w:r>
        <w:t xml:space="preserve"> </w:t>
      </w:r>
      <w:hyperlink r:id="rId213">
        <w:r>
          <w:rPr>
            <w:rStyle w:val="Hyperlink"/>
          </w:rPr>
          <w:t xml:space="preserve">10.1016/j.actaastro.2025.07.014</w:t>
        </w:r>
      </w:hyperlink>
    </w:p>
    <w:p>
      <w:pPr>
        <w:pStyle w:val="BodyText"/>
        <w:spacing w:line="480" w:lineRule="auto"/>
        <w:ind w:firstLine="720"/>
      </w:pPr>
      <w:bookmarkStart w:id="214" w:name="ref-30"/>
      <w:bookmarkEnd w:id="214"/>
      <w:r>
        <w:t xml:space="preserve">30. Luka Malone; Michel‐Alexandre Cardin; J.J. Cilliers; Stanley Starr; Kathryn Hadler. Controlled user study on the role of situational awareness in design decisions for future lunar In-situ resource utilization systems (2026). doi:</w:t>
      </w:r>
      <w:r>
        <w:t xml:space="preserve"> </w:t>
      </w:r>
      <w:hyperlink r:id="rId215">
        <w:r>
          <w:rPr>
            <w:rStyle w:val="Hyperlink"/>
          </w:rPr>
          <w:t xml:space="preserve">10.1016/j.actaastro.2026.04.012</w:t>
        </w:r>
      </w:hyperlink>
    </w:p>
    <w:p>
      <w:pPr>
        <w:pStyle w:val="BodyText"/>
        <w:spacing w:line="480" w:lineRule="auto"/>
        <w:ind w:firstLine="720"/>
      </w:pPr>
      <w:bookmarkStart w:id="216" w:name="ref-31"/>
      <w:bookmarkEnd w:id="216"/>
      <w:r>
        <w:t xml:space="preserve">31. Wajiha Iqbal; J. W. Head; C. H. van der Bogert; Thomas Frueh; M. R. Henriksen; Valentin Bickel; D. A. Kring; H. Hiesinger; David R. Scott; T. Heyer. Slopes along Apollo EVAs: Astronaut experience as input for future mission planning (2024). doi:</w:t>
      </w:r>
      <w:r>
        <w:t xml:space="preserve"> </w:t>
      </w:r>
      <w:hyperlink r:id="rId217">
        <w:r>
          <w:rPr>
            <w:rStyle w:val="Hyperlink"/>
          </w:rPr>
          <w:t xml:space="preserve">10.1016/j.actaastro.2024.07.006</w:t>
        </w:r>
      </w:hyperlink>
    </w:p>
    <w:p>
      <w:pPr>
        <w:pStyle w:val="BodyText"/>
        <w:spacing w:line="480" w:lineRule="auto"/>
        <w:ind w:firstLine="720"/>
      </w:pPr>
      <w:bookmarkStart w:id="218" w:name="ref-32"/>
      <w:bookmarkEnd w:id="218"/>
      <w:r>
        <w:t xml:space="preserve">32. Ariele Zurria; Daniele Durante; L. Iess. Preliminary design and performance assessment of a semi-autonomous global navigation satellite system on Mars (2025). doi:</w:t>
      </w:r>
      <w:r>
        <w:t xml:space="preserve"> </w:t>
      </w:r>
      <w:hyperlink r:id="rId219">
        <w:r>
          <w:rPr>
            <w:rStyle w:val="Hyperlink"/>
          </w:rPr>
          <w:t xml:space="preserve">10.1016/j.actaastro.2025.01.035</w:t>
        </w:r>
      </w:hyperlink>
    </w:p>
    <w:bookmarkEnd w:id="220"/>
    <w:bookmarkEnd w:id="221"/>
    <w:bookmarkStart w:id="23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9" w:name="X63f76e30cc606e737c709717359cbdf7258ebb0"/>
    <w:p>
      <w:pPr>
        <w:pStyle w:val="Heading2"/>
        <w:spacing w:line="480" w:lineRule="auto"/>
      </w:pPr>
      <w:r>
        <w:t xml:space="preserve">A.1 Resource Envelope and Realized Science Tenure of Planetary Surface Missions: An OLS Estimate of the Mass-Power Elasticity of Achieved Sols</w:t>
      </w:r>
    </w:p>
    <w:p>
      <w:pPr>
        <w:pStyle w:val="FirstParagraph"/>
        <w:spacing w:line="480" w:lineRule="auto"/>
      </w:pPr>
      <m:oMathPara>
        <m:oMathParaPr>
          <m:jc m:val="center"/>
        </m:oMathParaPr>
        <m:oMath>
          <m:r>
            <m:rPr>
              <m:sty m:val="p"/>
            </m:rPr>
            <m:t>log</m:t>
          </m:r>
          <m:r>
            <m:rPr>
              <m:sty m:val="p"/>
            </m:rPr>
            <m:t>(</m:t>
          </m:r>
          <m:sSub>
            <m:e>
              <m:r>
                <m:rPr>
                  <m:nor/>
                  <m:sty m:val="p"/>
                </m:rPr>
                <m:t>achieved_sols</m:t>
              </m:r>
            </m:e>
            <m:sub>
              <m:r>
                <m:t>i</m:t>
              </m:r>
            </m:sub>
          </m:sSub>
          <m:r>
            <m:rPr>
              <m:sty m:val="p"/>
            </m:rPr>
            <m:t>)</m:t>
          </m:r>
          <m:r>
            <m:rPr>
              <m:sty m:val="p"/>
            </m:rPr>
            <m:t>=</m:t>
          </m:r>
          <m:sSub>
            <m:e>
              <m:r>
                <m:t>β</m:t>
              </m:r>
            </m:e>
            <m:sub>
              <m:r>
                <m:t>0</m:t>
              </m:r>
            </m:sub>
          </m:sSub>
          <m:r>
            <m:rPr>
              <m:sty m:val="p"/>
            </m:rPr>
            <m:t>+</m:t>
          </m:r>
          <m:sSub>
            <m:e>
              <m:r>
                <m:t>β</m:t>
              </m:r>
            </m:e>
            <m:sub>
              <m:r>
                <m:t>1</m:t>
              </m:r>
            </m:sub>
          </m:sSub>
          <m:r>
            <m:rPr>
              <m:sty m:val="p"/>
            </m:rPr>
            <m:t>log</m:t>
          </m:r>
          <m:r>
            <m:rPr>
              <m:sty m:val="p"/>
            </m:rPr>
            <m:t>(</m:t>
          </m:r>
          <m:sSub>
            <m:e>
              <m:r>
                <m:rPr>
                  <m:nor/>
                  <m:sty m:val="p"/>
                </m:rPr>
                <m:t>landed_mass</m:t>
              </m:r>
            </m:e>
            <m:sub>
              <m:r>
                <m:t>i</m:t>
              </m:r>
            </m:sub>
          </m:sSub>
          <m:r>
            <m:rPr>
              <m:sty m:val="p"/>
            </m:rPr>
            <m:t>)</m:t>
          </m:r>
          <m:r>
            <m:rPr>
              <m:sty m:val="p"/>
            </m:rPr>
            <m:t>+</m:t>
          </m:r>
          <m:sSub>
            <m:e>
              <m:r>
                <m:t>β</m:t>
              </m:r>
            </m:e>
            <m:sub>
              <m:r>
                <m:t>2</m:t>
              </m:r>
            </m:sub>
          </m:sSub>
          <m:r>
            <m:rPr>
              <m:sty m:val="p"/>
            </m:rPr>
            <m:t>log</m:t>
          </m:r>
          <m:r>
            <m:rPr>
              <m:sty m:val="p"/>
            </m:rPr>
            <m:t>(</m:t>
          </m:r>
          <m:sSub>
            <m:e>
              <m:r>
                <m:rPr>
                  <m:nor/>
                  <m:sty m:val="p"/>
                </m:rPr>
                <m:t>planned_sols</m:t>
              </m:r>
            </m:e>
            <m:sub>
              <m:r>
                <m:t>i</m:t>
              </m:r>
            </m:sub>
          </m:sSub>
          <m:r>
            <m:rPr>
              <m:sty m:val="p"/>
            </m:rPr>
            <m:t>)</m:t>
          </m:r>
          <m:r>
            <m:rPr>
              <m:sty m:val="p"/>
            </m:rPr>
            <m:t>+</m:t>
          </m:r>
          <m:sSub>
            <m:e>
              <m:r>
                <m:t>β</m:t>
              </m:r>
            </m:e>
            <m:sub>
              <m:r>
                <m:t>3</m:t>
              </m:r>
            </m:sub>
          </m:sSub>
          <m:sSub>
            <m:e>
              <m:r>
                <m:rPr>
                  <m:nor/>
                  <m:sty m:val="p"/>
                </m:rPr>
                <m:t>nuclear</m:t>
              </m:r>
            </m:e>
            <m:sub>
              <m:r>
                <m:t>i</m:t>
              </m:r>
            </m:sub>
          </m:sSub>
          <m:r>
            <m:rPr>
              <m:sty m:val="p"/>
            </m:rPr>
            <m:t>+</m:t>
          </m:r>
          <m:sSub>
            <m:e>
              <m:r>
                <m:t>β</m:t>
              </m:r>
            </m:e>
            <m:sub>
              <m:r>
                <m:t>4</m:t>
              </m:r>
            </m:sub>
          </m:sSub>
          <m:sSub>
            <m:e>
              <m:r>
                <m:rPr>
                  <m:nor/>
                  <m:sty m:val="p"/>
                </m:rPr>
                <m:t>instruments</m:t>
              </m:r>
            </m:e>
            <m:sub>
              <m:r>
                <m:t>i</m:t>
              </m:r>
            </m:sub>
          </m:sSub>
          <m:r>
            <m:rPr>
              <m:sty m:val="p"/>
            </m:rPr>
            <m:t>+</m:t>
          </m:r>
          <m:sSub>
            <m:e>
              <m:r>
                <m:t>ε</m:t>
              </m:r>
            </m:e>
            <m:sub>
              <m:r>
                <m:t>i</m:t>
              </m:r>
            </m:sub>
          </m:sSub>
        </m:oMath>
      </m:oMathPara>
    </w:p>
    <w:bookmarkStart w:id="22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3.4528</w:t>
            </w:r>
          </w:p>
        </w:tc>
        <w:tc>
          <w:tcPr>
            <w:tcW w:w="0" w:type="auto"/>
          </w:tcPr>
          <w:p>
            <w:pPr>
              <w:spacing w:line="240" w:lineRule="auto" w:before="0" w:after="0"/>
              <w:pStyle w:val="Compact"/>
            </w:pPr>
            <w:r>
              <w:rPr>
                <w:sz w:val="20"/>
                <w:szCs w:val="20"/>
              </w:rPr>
              <w:t xml:space="preserve">1.3901</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0.013</w:t>
            </w:r>
          </w:p>
        </w:tc>
        <w:tc>
          <w:tcPr>
            <w:tcW w:w="0" w:type="auto"/>
          </w:tcPr>
          <w:p>
            <w:pPr>
              <w:spacing w:line="240" w:lineRule="auto" w:before="0" w:after="0"/>
              <w:pStyle w:val="Compact"/>
            </w:pPr>
            <w:r>
              <w:rPr>
                <w:sz w:val="20"/>
                <w:szCs w:val="20"/>
              </w:rPr>
              <w:t xml:space="preserve">[0.7283, 6.1774]</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-0.4939</w:t>
            </w:r>
          </w:p>
        </w:tc>
        <w:tc>
          <w:tcPr>
            <w:tcW w:w="0" w:type="auto"/>
          </w:tcPr>
          <w:p>
            <w:pPr>
              <w:spacing w:line="240" w:lineRule="auto" w:before="0" w:after="0"/>
              <w:pStyle w:val="Compact"/>
            </w:pPr>
            <w:r>
              <w:rPr>
                <w:sz w:val="20"/>
                <w:szCs w:val="20"/>
              </w:rPr>
              <w:t xml:space="preserve">0.2572</w:t>
            </w:r>
          </w:p>
        </w:tc>
        <w:tc>
          <w:tcPr>
            <w:tcW w:w="0" w:type="auto"/>
          </w:tcPr>
          <w:p>
            <w:pPr>
              <w:spacing w:line="240" w:lineRule="auto" w:before="0" w:after="0"/>
              <w:pStyle w:val="Compact"/>
            </w:pPr>
            <w:r>
              <w:rPr>
                <w:sz w:val="20"/>
                <w:szCs w:val="20"/>
              </w:rPr>
              <w:t xml:space="preserve">-1.9204</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[-0.9979, 0.0102]</w:t>
            </w:r>
          </w:p>
        </w:tc>
      </w:tr>
      <w:tr>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0.226</w:t>
            </w:r>
          </w:p>
        </w:tc>
        <w:tc>
          <w:tcPr>
            <w:tcW w:w="0" w:type="auto"/>
          </w:tcPr>
          <w:p>
            <w:pPr>
              <w:spacing w:line="240" w:lineRule="auto" w:before="0" w:after="0"/>
              <w:pStyle w:val="Compact"/>
            </w:pPr>
            <w:r>
              <w:rPr>
                <w:sz w:val="20"/>
                <w:szCs w:val="20"/>
              </w:rPr>
              <w:t xml:space="preserve">4.5625</w:t>
            </w:r>
          </w:p>
        </w:tc>
        <w:tc>
          <w:tcPr>
            <w:tcW w:w="0" w:type="auto"/>
          </w:tcPr>
          <w:p>
            <w:pPr>
              <w:spacing w:line="240" w:lineRule="auto" w:before="0" w:after="0"/>
              <w:pStyle w:val="Compact"/>
            </w:pPr>
            <w:r>
              <w:rPr>
                <w:sz w:val="20"/>
                <w:szCs w:val="20"/>
              </w:rPr>
              <w:t xml:space="preserve">5.055e-06</w:t>
            </w:r>
          </w:p>
        </w:tc>
        <w:tc>
          <w:tcPr>
            <w:tcW w:w="0" w:type="auto"/>
          </w:tcPr>
          <w:p>
            <w:pPr>
              <w:spacing w:line="240" w:lineRule="auto" w:before="0" w:after="0"/>
              <w:pStyle w:val="Compact"/>
            </w:pPr>
            <w:r>
              <w:rPr>
                <w:sz w:val="20"/>
                <w:szCs w:val="20"/>
              </w:rPr>
              <w:t xml:space="preserve">[0.5882, 1.474]</w:t>
            </w:r>
          </w:p>
        </w:tc>
      </w:tr>
      <w:tr>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0.4262</w:t>
            </w:r>
          </w:p>
        </w:tc>
        <w:tc>
          <w:tcPr>
            <w:tcW w:w="0" w:type="auto"/>
          </w:tcPr>
          <w:p>
            <w:pPr>
              <w:spacing w:line="240" w:lineRule="auto" w:before="0" w:after="0"/>
              <w:pStyle w:val="Compact"/>
            </w:pPr>
            <w:r>
              <w:rPr>
                <w:sz w:val="20"/>
                <w:szCs w:val="20"/>
              </w:rPr>
              <w:t xml:space="preserve">0.7016</w:t>
            </w:r>
          </w:p>
        </w:tc>
        <w:tc>
          <w:tcPr>
            <w:tcW w:w="0" w:type="auto"/>
          </w:tcPr>
          <w:p>
            <w:pPr>
              <w:spacing w:line="240" w:lineRule="auto" w:before="0" w:after="0"/>
              <w:pStyle w:val="Compact"/>
            </w:pPr>
            <w:r>
              <w:rPr>
                <w:sz w:val="20"/>
                <w:szCs w:val="20"/>
              </w:rPr>
              <w:t xml:space="preserve">0.6074</w:t>
            </w:r>
          </w:p>
        </w:tc>
        <w:tc>
          <w:tcPr>
            <w:tcW w:w="0" w:type="auto"/>
          </w:tcPr>
          <w:p>
            <w:pPr>
              <w:spacing w:line="240" w:lineRule="auto" w:before="0" w:after="0"/>
              <w:pStyle w:val="Compact"/>
            </w:pPr>
            <w:r>
              <w:rPr>
                <w:sz w:val="20"/>
                <w:szCs w:val="20"/>
              </w:rPr>
              <w:t xml:space="preserve">0.5436</w:t>
            </w:r>
          </w:p>
        </w:tc>
        <w:tc>
          <w:tcPr>
            <w:tcW w:w="0" w:type="auto"/>
          </w:tcPr>
          <w:p>
            <w:pPr>
              <w:spacing w:line="240" w:lineRule="auto" w:before="0" w:after="0"/>
              <w:pStyle w:val="Compact"/>
            </w:pPr>
            <w:r>
              <w:rPr>
                <w:sz w:val="20"/>
                <w:szCs w:val="20"/>
              </w:rPr>
              <w:t xml:space="preserve">[-0.9489, 1.8012]</w:t>
            </w:r>
          </w:p>
        </w:tc>
      </w:tr>
      <w:tr>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1.2399</w:t>
            </w:r>
          </w:p>
        </w:tc>
        <w:tc>
          <w:tcPr>
            <w:tcW w:w="0" w:type="auto"/>
          </w:tcPr>
          <w:p>
            <w:pPr>
              <w:spacing w:line="240" w:lineRule="auto" w:before="0" w:after="0"/>
              <w:pStyle w:val="Compact"/>
            </w:pPr>
            <w:r>
              <w:rPr>
                <w:sz w:val="20"/>
                <w:szCs w:val="20"/>
              </w:rPr>
              <w:t xml:space="preserve">0.215</w:t>
            </w:r>
          </w:p>
        </w:tc>
        <w:tc>
          <w:tcPr>
            <w:tcW w:w="0" w:type="auto"/>
          </w:tcPr>
          <w:p>
            <w:pPr>
              <w:spacing w:line="240" w:lineRule="auto" w:before="0" w:after="0"/>
              <w:pStyle w:val="Compact"/>
            </w:pPr>
            <w:r>
              <w:rPr>
                <w:sz w:val="20"/>
                <w:szCs w:val="20"/>
              </w:rPr>
              <w:t xml:space="preserve">[-0.0717, 0.3187]</w:t>
            </w:r>
          </w:p>
        </w:tc>
      </w:tr>
    </w:tbl>
    <w:p>
      <w:pPr>
        <w:pStyle w:val="BodyText"/>
        <w:spacing w:line="480" w:lineRule="auto"/>
        <w:ind w:firstLine="720"/>
      </w:pPr>
      <w:r>
        <w:t xml:space="preserve">Fit: N = 25 R2 = 0.6738 R2_adj = 0.6085 F = 14.1325 F_p = 1.246e-05</w:t>
      </w:r>
    </w:p>
    <w:bookmarkEnd w:id="222"/>
    <w:bookmarkStart w:id="22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Achieved operational sols versus landed mass for 25 planetary surface missions with non-zero surface tenure (log-log scale). Fitted line is OLS with HC1 robust standard errors from the full multivariate specification, holding planned sols, nuclear power, and instrument count at sample means." title="" id="224" name="Picture"/>
            <a:graphic>
              <a:graphicData uri="http://schemas.openxmlformats.org/drawingml/2006/picture">
                <pic:pic>
                  <pic:nvPicPr>
                    <pic:cNvPr descr="D:/Claude_Code/brain/collegium/candidates/dissertations/JPL_PLANETARY_05/research_papers/p1/paper_fig1.png" id="225" name="Picture"/>
                    <pic:cNvPicPr>
                      <a:picLocks noChangeArrowheads="1" noChangeAspect="1"/>
                    </pic:cNvPicPr>
                  </pic:nvPicPr>
                  <pic:blipFill>
                    <a:blip r:embed="rId22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Achieved operational sols versus landed mass for 25 planetary surface missions with non-zero surface tenure (log-log scale). Fitted line is OLS with HC1 robust standard errors from the full multivariate specification, holding planned sols, nuclear power, and instrument count at sample means.</w:t>
      </w:r>
    </w:p>
    <w:bookmarkEnd w:id="226"/>
    <w:bookmarkStart w:id="22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year_landed</w:t>
            </w:r>
          </w:p>
        </w:tc>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planned_sols</w:t>
            </w:r>
          </w:p>
        </w:tc>
        <w:tc>
          <w:tcPr>
            <w:tcW w:w="0" w:type="auto"/>
          </w:tcPr>
          <w:p>
            <w:pPr>
              <w:spacing w:line="240" w:lineRule="auto" w:before="0" w:after="0"/>
              <w:pStyle w:val="Compact"/>
            </w:pPr>
            <w:r>
              <w:rPr>
                <w:sz w:val="20"/>
                <w:szCs w:val="20"/>
              </w:rPr>
              <w:t xml:space="preserve">achieved_sols</w:t>
            </w:r>
          </w:p>
        </w:tc>
        <w:tc>
          <w:tcPr>
            <w:tcW w:w="0" w:type="auto"/>
          </w:tcPr>
          <w:p>
            <w:pPr>
              <w:spacing w:line="240" w:lineRule="auto" w:before="0" w:after="0"/>
              <w:pStyle w:val="Compact"/>
            </w:pPr>
            <w:r>
              <w:rPr>
                <w:sz w:val="20"/>
                <w:szCs w:val="20"/>
              </w:rPr>
              <w:t xml:space="preserve">cost_then_usd_m</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log_achieved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2306</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6.3491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7.7433</w:t>
            </w:r>
          </w:p>
        </w:tc>
        <w:tc>
          <w:tcPr>
            <w:tcW w:w="0" w:type="auto"/>
          </w:tcPr>
          <w:p>
            <w:pPr>
              <w:spacing w:line="240" w:lineRule="auto" w:before="0" w:after="0"/>
              <w:pStyle w:val="Compact"/>
            </w:pPr>
            <w:r>
              <w:rPr>
                <w:sz w:val="20"/>
                <w:szCs w:val="20"/>
              </w:rPr>
              <w:t xml:space="preserve">NASA NSSDCA Master Catalog Viking 1 Lander id 1975-075C</w:t>
            </w:r>
          </w:p>
        </w:tc>
      </w:tr>
      <w:tr>
        <w:tc>
          <w:tcPr>
            <w:tcW w:w="0" w:type="auto"/>
          </w:tcPr>
          <w:p>
            <w:pPr>
              <w:spacing w:line="240" w:lineRule="auto" w:before="0" w:after="0"/>
              <w:pStyle w:val="Compact"/>
            </w:pPr>
            <w:r>
              <w:rPr>
                <w:sz w:val="20"/>
                <w:szCs w:val="20"/>
              </w:rPr>
              <w:t xml:space="preserve">Viking 2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1281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6.3491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7.1554</w:t>
            </w:r>
          </w:p>
        </w:tc>
        <w:tc>
          <w:tcPr>
            <w:tcW w:w="0" w:type="auto"/>
          </w:tcPr>
          <w:p>
            <w:pPr>
              <w:spacing w:line="240" w:lineRule="auto" w:before="0" w:after="0"/>
              <w:pStyle w:val="Compact"/>
            </w:pPr>
            <w:r>
              <w:rPr>
                <w:sz w:val="20"/>
                <w:szCs w:val="20"/>
              </w:rPr>
              <w:t xml:space="preserve">NASA NSSDCA Master Catalog Viking 2 Lander id 1975-083C</w:t>
            </w:r>
          </w:p>
        </w:tc>
      </w:tr>
      <w:tr>
        <w:tc>
          <w:tcPr>
            <w:tcW w:w="0" w:type="auto"/>
          </w:tcPr>
          <w:p>
            <w:pPr>
              <w:spacing w:line="240" w:lineRule="auto" w:before="0" w:after="0"/>
              <w:pStyle w:val="Compact"/>
            </w:pPr>
            <w:r>
              <w:rPr>
                <w:sz w:val="20"/>
                <w:szCs w:val="20"/>
              </w:rPr>
              <w:t xml:space="preserve">Mars Pathfinder Lander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5.5759</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5.5797</w:t>
            </w:r>
          </w:p>
        </w:tc>
        <w:tc>
          <w:tcPr>
            <w:tcW w:w="0" w:type="auto"/>
          </w:tcPr>
          <w:p>
            <w:pPr>
              <w:spacing w:line="240" w:lineRule="auto" w:before="0" w:after="0"/>
              <w:pStyle w:val="Compact"/>
            </w:pPr>
            <w:r>
              <w:rPr>
                <w:sz w:val="20"/>
                <w:szCs w:val="20"/>
              </w:rPr>
              <w:t xml:space="preserve">4.4188</w:t>
            </w:r>
          </w:p>
        </w:tc>
        <w:tc>
          <w:tcPr>
            <w:tcW w:w="0" w:type="auto"/>
          </w:tcPr>
          <w:p>
            <w:pPr>
              <w:spacing w:line="240" w:lineRule="auto" w:before="0" w:after="0"/>
              <w:pStyle w:val="Compact"/>
            </w:pPr>
            <w:r>
              <w:rPr>
                <w:sz w:val="20"/>
                <w:szCs w:val="20"/>
              </w:rPr>
              <w:t xml:space="preserve">NASA NSSDCA Master Catalog Mars Pathfinder id 1996-068A</w:t>
            </w:r>
          </w:p>
        </w:tc>
      </w:tr>
      <w:tr>
        <w:tc>
          <w:tcPr>
            <w:tcW w:w="0" w:type="auto"/>
          </w:tcPr>
          <w:p>
            <w:pPr>
              <w:spacing w:line="240" w:lineRule="auto" w:before="0" w:after="0"/>
              <w:pStyle w:val="Compact"/>
            </w:pPr>
            <w:r>
              <w:rPr>
                <w:sz w:val="20"/>
                <w:szCs w:val="20"/>
              </w:rPr>
              <w:t xml:space="preserve">Sojourner Rover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2.3514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4.4188</w:t>
            </w:r>
          </w:p>
        </w:tc>
        <w:tc>
          <w:tcPr>
            <w:tcW w:w="0" w:type="auto"/>
          </w:tcPr>
          <w:p>
            <w:pPr>
              <w:spacing w:line="240" w:lineRule="auto" w:before="0" w:after="0"/>
              <w:pStyle w:val="Compact"/>
            </w:pPr>
            <w:r>
              <w:rPr>
                <w:sz w:val="20"/>
                <w:szCs w:val="20"/>
              </w:rPr>
              <w:t xml:space="preserve">NASA NSSDCA Master Catalog Sojourner id 1996-068A</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5.6699</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NSSDCA Master Catalog Mars Polar Lander id 1999-001A loss on landing</w:t>
            </w:r>
          </w:p>
        </w:tc>
      </w:tr>
      <w:tr>
        <w:tc>
          <w:tcPr>
            <w:tcW w:w="0" w:type="auto"/>
          </w:tcPr>
          <w:p>
            <w:pPr>
              <w:spacing w:line="240" w:lineRule="auto" w:before="0" w:after="0"/>
              <w:pStyle w:val="Compact"/>
            </w:pPr>
            <w:r>
              <w:rPr>
                <w:sz w:val="20"/>
                <w:szCs w:val="20"/>
              </w:rPr>
              <w:t xml:space="preserve">Beagle 2 Lander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ESA Beagle 2 mission summary 2003 loss on landing [illustrative cost]</w:t>
            </w:r>
          </w:p>
        </w:tc>
      </w:tr>
      <w:tr>
        <w:tc>
          <w:tcPr>
            <w:tcW w:w="0" w:type="auto"/>
          </w:tcPr>
          <w:p>
            <w:pPr>
              <w:spacing w:line="240" w:lineRule="auto" w:before="0" w:after="0"/>
              <w:pStyle w:val="Compact"/>
            </w:pPr>
            <w:r>
              <w:rPr>
                <w:sz w:val="20"/>
                <w:szCs w:val="20"/>
              </w:rPr>
              <w:t xml:space="preserve">Spirit Rover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5.1591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7.6998</w:t>
            </w:r>
          </w:p>
        </w:tc>
        <w:tc>
          <w:tcPr>
            <w:tcW w:w="0" w:type="auto"/>
          </w:tcPr>
          <w:p>
            <w:pPr>
              <w:spacing w:line="240" w:lineRule="auto" w:before="0" w:after="0"/>
              <w:pStyle w:val="Compact"/>
            </w:pPr>
            <w:r>
              <w:rPr>
                <w:sz w:val="20"/>
                <w:szCs w:val="20"/>
              </w:rPr>
              <w:t xml:space="preserve">NASA MER Spirit press kit 2003 and NASA NSSDCA id 2003-027A</w:t>
            </w:r>
          </w:p>
        </w:tc>
      </w:tr>
      <w:tr>
        <w:tc>
          <w:tcPr>
            <w:tcW w:w="0" w:type="auto"/>
          </w:tcPr>
          <w:p>
            <w:pPr>
              <w:spacing w:line="240" w:lineRule="auto" w:before="0" w:after="0"/>
              <w:pStyle w:val="Compact"/>
            </w:pPr>
            <w:r>
              <w:rPr>
                <w:sz w:val="20"/>
                <w:szCs w:val="20"/>
              </w:rPr>
              <w:t xml:space="preserve">Opportunity Rover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5111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5.1591</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8.5392</w:t>
            </w:r>
          </w:p>
        </w:tc>
        <w:tc>
          <w:tcPr>
            <w:tcW w:w="0" w:type="auto"/>
          </w:tcPr>
          <w:p>
            <w:pPr>
              <w:spacing w:line="240" w:lineRule="auto" w:before="0" w:after="0"/>
              <w:pStyle w:val="Compact"/>
            </w:pPr>
            <w:r>
              <w:rPr>
                <w:sz w:val="20"/>
                <w:szCs w:val="20"/>
              </w:rPr>
              <w:t xml:space="preserve">NASA MER Opportunity press kit 2003 and NASA NSSDCA id 2003-032A</w:t>
            </w:r>
          </w:p>
        </w:tc>
      </w:tr>
      <w:tr>
        <w:tc>
          <w:tcPr>
            <w:tcW w:w="0" w:type="auto"/>
          </w:tcPr>
          <w:p>
            <w:pPr>
              <w:spacing w:line="240" w:lineRule="auto" w:before="0" w:after="0"/>
              <w:pStyle w:val="Compact"/>
            </w:pPr>
            <w:r>
              <w:rPr>
                <w:sz w:val="20"/>
                <w:szCs w:val="20"/>
              </w:rPr>
              <w:t xml:space="preserve">Phoenix Lander</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5.0562</w:t>
            </w:r>
          </w:p>
        </w:tc>
        <w:tc>
          <w:tcPr>
            <w:tcW w:w="0" w:type="auto"/>
          </w:tcPr>
          <w:p>
            <w:pPr>
              <w:spacing w:line="240" w:lineRule="auto" w:before="0" w:after="0"/>
              <w:pStyle w:val="Compact"/>
            </w:pPr>
            <w:r>
              <w:rPr>
                <w:sz w:val="20"/>
                <w:szCs w:val="20"/>
              </w:rPr>
              <w:t xml:space="preserve">NASA Phoenix press kit 2007 and NASA NSSDCA id 2007-034A</w:t>
            </w:r>
          </w:p>
        </w:tc>
      </w:tr>
      <w:tr>
        <w:tc>
          <w:tcPr>
            <w:tcW w:w="0" w:type="auto"/>
          </w:tcPr>
          <w:p>
            <w:pPr>
              <w:spacing w:line="240" w:lineRule="auto" w:before="0" w:after="0"/>
              <w:pStyle w:val="Compact"/>
            </w:pPr>
            <w:r>
              <w:rPr>
                <w:sz w:val="20"/>
                <w:szCs w:val="20"/>
              </w:rPr>
              <w:t xml:space="preserve">Curiosity Rover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687</w:t>
            </w:r>
          </w:p>
        </w:tc>
        <w:tc>
          <w:tcPr>
            <w:tcW w:w="0" w:type="auto"/>
          </w:tcPr>
          <w:p>
            <w:pPr>
              <w:spacing w:line="240" w:lineRule="auto" w:before="0" w:after="0"/>
              <w:pStyle w:val="Compact"/>
            </w:pPr>
            <w:r>
              <w:rPr>
                <w:sz w:val="20"/>
                <w:szCs w:val="20"/>
              </w:rPr>
              <w:t xml:space="preserve">4400</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6.8013</w:t>
            </w:r>
          </w:p>
        </w:tc>
        <w:tc>
          <w:tcPr>
            <w:tcW w:w="0" w:type="auto"/>
          </w:tcPr>
          <w:p>
            <w:pPr>
              <w:spacing w:line="240" w:lineRule="auto" w:before="0" w:after="0"/>
              <w:pStyle w:val="Compact"/>
            </w:pPr>
            <w:r>
              <w:rPr>
                <w:sz w:val="20"/>
                <w:szCs w:val="20"/>
              </w:rPr>
              <w:t xml:space="preserve">6.5323</w:t>
            </w:r>
          </w:p>
        </w:tc>
        <w:tc>
          <w:tcPr>
            <w:tcW w:w="0" w:type="auto"/>
          </w:tcPr>
          <w:p>
            <w:pPr>
              <w:spacing w:line="240" w:lineRule="auto" w:before="0" w:after="0"/>
              <w:pStyle w:val="Compact"/>
            </w:pPr>
            <w:r>
              <w:rPr>
                <w:sz w:val="20"/>
                <w:szCs w:val="20"/>
              </w:rPr>
              <w:t xml:space="preserve">7.812</w:t>
            </w:r>
          </w:p>
        </w:tc>
        <w:tc>
          <w:tcPr>
            <w:tcW w:w="0" w:type="auto"/>
          </w:tcPr>
          <w:p>
            <w:pPr>
              <w:spacing w:line="240" w:lineRule="auto" w:before="0" w:after="0"/>
              <w:pStyle w:val="Compact"/>
            </w:pPr>
            <w:r>
              <w:rPr>
                <w:sz w:val="20"/>
                <w:szCs w:val="20"/>
              </w:rPr>
              <w:t xml:space="preserve">8.3894</w:t>
            </w:r>
          </w:p>
        </w:tc>
        <w:tc>
          <w:tcPr>
            <w:tcW w:w="0" w:type="auto"/>
          </w:tcPr>
          <w:p>
            <w:pPr>
              <w:spacing w:line="240" w:lineRule="auto" w:before="0" w:after="0"/>
              <w:pStyle w:val="Compact"/>
            </w:pPr>
            <w:r>
              <w:rPr>
                <w:sz w:val="20"/>
                <w:szCs w:val="20"/>
              </w:rPr>
              <w:t xml:space="preserve">NASA MSL press kit 2011 and GAO-13-276SP NASA Major Project Assessment 2013</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ESA ExoMars 2016 Schiaparelli mission summary loss on landing [illustrative cost share]</w:t>
            </w:r>
          </w:p>
        </w:tc>
      </w:tr>
      <w:tr>
        <w:tc>
          <w:tcPr>
            <w:tcW w:w="0" w:type="auto"/>
          </w:tcPr>
          <w:p>
            <w:pPr>
              <w:spacing w:line="240" w:lineRule="auto" w:before="0" w:after="0"/>
              <w:pStyle w:val="Compact"/>
            </w:pPr>
            <w:r>
              <w:rPr>
                <w:sz w:val="20"/>
                <w:szCs w:val="20"/>
              </w:rPr>
              <w:t xml:space="preserve">InSight Lander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5.8805</w:t>
            </w:r>
          </w:p>
        </w:tc>
        <w:tc>
          <w:tcPr>
            <w:tcW w:w="0" w:type="auto"/>
          </w:tcPr>
          <w:p>
            <w:pPr>
              <w:spacing w:line="240" w:lineRule="auto" w:before="0" w:after="0"/>
              <w:pStyle w:val="Compact"/>
            </w:pPr>
            <w:r>
              <w:rPr>
                <w:sz w:val="20"/>
                <w:szCs w:val="20"/>
              </w:rPr>
              <w:t xml:space="preserve">6.5639</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NASA InSight press kit 2018 and GAO-19-262SP NASA Major Project Assessment 2019</w:t>
            </w:r>
          </w:p>
        </w:tc>
      </w:tr>
      <w:tr>
        <w:tc>
          <w:tcPr>
            <w:tcW w:w="0" w:type="auto"/>
          </w:tcPr>
          <w:p>
            <w:pPr>
              <w:spacing w:line="240" w:lineRule="auto" w:before="0" w:after="0"/>
              <w:pStyle w:val="Compact"/>
            </w:pPr>
            <w:r>
              <w:rPr>
                <w:sz w:val="20"/>
                <w:szCs w:val="20"/>
              </w:rPr>
              <w:t xml:space="preserve">Perseverance Rover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687</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6.9324</w:t>
            </w:r>
          </w:p>
        </w:tc>
        <w:tc>
          <w:tcPr>
            <w:tcW w:w="0" w:type="auto"/>
          </w:tcPr>
          <w:p>
            <w:pPr>
              <w:spacing w:line="240" w:lineRule="auto" w:before="0" w:after="0"/>
              <w:pStyle w:val="Compact"/>
            </w:pPr>
            <w:r>
              <w:rPr>
                <w:sz w:val="20"/>
                <w:szCs w:val="20"/>
              </w:rPr>
              <w:t xml:space="preserve">6.5323</w:t>
            </w:r>
          </w:p>
        </w:tc>
        <w:tc>
          <w:tcPr>
            <w:tcW w:w="0" w:type="auto"/>
          </w:tcPr>
          <w:p>
            <w:pPr>
              <w:spacing w:line="240" w:lineRule="auto" w:before="0" w:after="0"/>
              <w:pStyle w:val="Compact"/>
            </w:pPr>
            <w:r>
              <w:rPr>
                <w:sz w:val="20"/>
                <w:szCs w:val="20"/>
              </w:rPr>
              <w:t xml:space="preserve">7.9194</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NASA Mars 2020 press kit 2020 and GAO-25-107591 NASA Major Project Assessment 2025</w:t>
            </w:r>
          </w:p>
        </w:tc>
      </w:tr>
      <w:tr>
        <w:tc>
          <w:tcPr>
            <w:tcW w:w="0" w:type="auto"/>
          </w:tcPr>
          <w:p>
            <w:pPr>
              <w:spacing w:line="240" w:lineRule="auto" w:before="0" w:after="0"/>
              <w:pStyle w:val="Compact"/>
            </w:pPr>
            <w:r>
              <w:rPr>
                <w:sz w:val="20"/>
                <w:szCs w:val="20"/>
              </w:rPr>
              <w:t xml:space="preserve">Zhurong Rover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5.4806</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5.8805</w:t>
            </w:r>
          </w:p>
        </w:tc>
        <w:tc>
          <w:tcPr>
            <w:tcW w:w="0" w:type="auto"/>
          </w:tcPr>
          <w:p>
            <w:pPr>
              <w:spacing w:line="240" w:lineRule="auto" w:before="0" w:after="0"/>
              <w:pStyle w:val="Compact"/>
            </w:pPr>
            <w:r>
              <w:rPr>
                <w:sz w:val="20"/>
                <w:szCs w:val="20"/>
              </w:rPr>
              <w:t xml:space="preserve">CNSA Tianwen-1 Zhurong mission summary 2021 [illustrative cost]</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5.6836</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5.4027</w:t>
            </w:r>
          </w:p>
        </w:tc>
        <w:tc>
          <w:tcPr>
            <w:tcW w:w="0" w:type="auto"/>
          </w:tcPr>
          <w:p>
            <w:pPr>
              <w:spacing w:line="240" w:lineRule="auto" w:before="0" w:after="0"/>
              <w:pStyle w:val="Compact"/>
            </w:pPr>
            <w:r>
              <w:rPr>
                <w:sz w:val="20"/>
                <w:szCs w:val="20"/>
              </w:rPr>
              <w:t xml:space="preserve">NASA NSSDCA Master Catalog Surveyor 1 id 1966-045A</w:t>
            </w:r>
          </w:p>
        </w:tc>
      </w:tr>
      <w:tr>
        <w:tc>
          <w:tcPr>
            <w:tcW w:w="0" w:type="auto"/>
          </w:tcPr>
          <w:p>
            <w:pPr>
              <w:spacing w:line="240" w:lineRule="auto" w:before="0" w:after="0"/>
              <w:pStyle w:val="Compact"/>
            </w:pPr>
            <w:r>
              <w:rPr>
                <w:sz w:val="20"/>
                <w:szCs w:val="20"/>
              </w:rPr>
              <w:t xml:space="preserve">Surveyor 3</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5.7104</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NASA NSSDCA Master Catalog Surveyor 3 id 1967-035A</w:t>
            </w:r>
          </w:p>
        </w:tc>
      </w:tr>
      <w:tr>
        <w:tc>
          <w:tcPr>
            <w:tcW w:w="0" w:type="auto"/>
          </w:tcPr>
          <w:p>
            <w:pPr>
              <w:spacing w:line="240" w:lineRule="auto" w:before="0" w:after="0"/>
              <w:pStyle w:val="Compact"/>
            </w:pPr>
            <w:r>
              <w:rPr>
                <w:sz w:val="20"/>
                <w:szCs w:val="20"/>
              </w:rPr>
              <w:t xml:space="preserve">Surveyor 5</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303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5.7137</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4.5326</w:t>
            </w:r>
          </w:p>
        </w:tc>
        <w:tc>
          <w:tcPr>
            <w:tcW w:w="0" w:type="auto"/>
          </w:tcPr>
          <w:p>
            <w:pPr>
              <w:spacing w:line="240" w:lineRule="auto" w:before="0" w:after="0"/>
              <w:pStyle w:val="Compact"/>
            </w:pPr>
            <w:r>
              <w:rPr>
                <w:sz w:val="20"/>
                <w:szCs w:val="20"/>
              </w:rPr>
              <w:t xml:space="preserve">NASA NSSDCA Master Catalog Surveyor 5 id 1967-084A</w:t>
            </w:r>
          </w:p>
        </w:tc>
      </w:tr>
      <w:tr>
        <w:tc>
          <w:tcPr>
            <w:tcW w:w="0" w:type="auto"/>
          </w:tcPr>
          <w:p>
            <w:pPr>
              <w:spacing w:line="240" w:lineRule="auto" w:before="0" w:after="0"/>
              <w:pStyle w:val="Compact"/>
            </w:pPr>
            <w:r>
              <w:rPr>
                <w:sz w:val="20"/>
                <w:szCs w:val="20"/>
              </w:rPr>
              <w:t xml:space="preserve">Surveyor 6</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4.3307</w:t>
            </w:r>
          </w:p>
        </w:tc>
        <w:tc>
          <w:tcPr>
            <w:tcW w:w="0" w:type="auto"/>
          </w:tcPr>
          <w:p>
            <w:pPr>
              <w:spacing w:line="240" w:lineRule="auto" w:before="0" w:after="0"/>
              <w:pStyle w:val="Compact"/>
            </w:pPr>
            <w:r>
              <w:rPr>
                <w:sz w:val="20"/>
                <w:szCs w:val="20"/>
              </w:rPr>
              <w:t xml:space="preserve">NASA NSSDCA Master Catalog Surveyor 6 id 1967-112A</w:t>
            </w:r>
          </w:p>
        </w:tc>
      </w:tr>
      <w:tr>
        <w:tc>
          <w:tcPr>
            <w:tcW w:w="0" w:type="auto"/>
          </w:tcPr>
          <w:p>
            <w:pPr>
              <w:spacing w:line="240" w:lineRule="auto" w:before="0" w:after="0"/>
              <w:pStyle w:val="Compact"/>
            </w:pPr>
            <w:r>
              <w:rPr>
                <w:sz w:val="20"/>
                <w:szCs w:val="20"/>
              </w:rPr>
              <w:t xml:space="preserve">Surveyor 7</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306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5.7236</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6.1506</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NASA NSSDCA Master Catalog Surveyor 7 id 1968-001A</w:t>
            </w:r>
          </w:p>
        </w:tc>
      </w:tr>
      <w:tr>
        <w:tc>
          <w:tcPr>
            <w:tcW w:w="0" w:type="auto"/>
          </w:tcPr>
          <w:p>
            <w:pPr>
              <w:spacing w:line="240" w:lineRule="auto" w:before="0" w:after="0"/>
              <w:pStyle w:val="Compact"/>
            </w:pPr>
            <w:r>
              <w:rPr>
                <w:sz w:val="20"/>
                <w:szCs w:val="20"/>
              </w:rPr>
              <w:t xml:space="preserve">Lunokhod 1</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756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322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6.628</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5.7746</w:t>
            </w:r>
          </w:p>
        </w:tc>
        <w:tc>
          <w:tcPr>
            <w:tcW w:w="0" w:type="auto"/>
          </w:tcPr>
          <w:p>
            <w:pPr>
              <w:spacing w:line="240" w:lineRule="auto" w:before="0" w:after="0"/>
              <w:pStyle w:val="Compact"/>
            </w:pPr>
            <w:r>
              <w:rPr>
                <w:sz w:val="20"/>
                <w:szCs w:val="20"/>
              </w:rPr>
              <w:t xml:space="preserve">NASA NSSDCA Master Catalog Luna 17 Lunokhod 1 id 1970-095A [illustrative cost]</w:t>
            </w:r>
          </w:p>
        </w:tc>
      </w:tr>
      <w:tr>
        <w:tc>
          <w:tcPr>
            <w:tcW w:w="0" w:type="auto"/>
          </w:tcPr>
          <w:p>
            <w:pPr>
              <w:spacing w:line="240" w:lineRule="auto" w:before="0" w:after="0"/>
              <w:pStyle w:val="Compact"/>
            </w:pPr>
            <w:r>
              <w:rPr>
                <w:sz w:val="20"/>
                <w:szCs w:val="20"/>
              </w:rPr>
              <w:t xml:space="preserve">Lunokhod 2</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6.7334</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4.8283</w:t>
            </w:r>
          </w:p>
        </w:tc>
        <w:tc>
          <w:tcPr>
            <w:tcW w:w="0" w:type="auto"/>
          </w:tcPr>
          <w:p>
            <w:pPr>
              <w:spacing w:line="240" w:lineRule="auto" w:before="0" w:after="0"/>
              <w:pStyle w:val="Compact"/>
            </w:pPr>
            <w:r>
              <w:rPr>
                <w:sz w:val="20"/>
                <w:szCs w:val="20"/>
              </w:rPr>
              <w:t xml:space="preserve">NASA NSSDCA Master Catalog Luna 21 Lunokhod 2 id 1973-001A [illustrative cost]</w:t>
            </w:r>
          </w:p>
        </w:tc>
      </w:tr>
      <w:tr>
        <w:tc>
          <w:tcPr>
            <w:tcW w:w="0" w:type="auto"/>
          </w:tcPr>
          <w:p>
            <w:pPr>
              <w:spacing w:line="240" w:lineRule="auto" w:before="0" w:after="0"/>
              <w:pStyle w:val="Compact"/>
            </w:pPr>
            <w:r>
              <w:rPr>
                <w:sz w:val="20"/>
                <w:szCs w:val="20"/>
              </w:rPr>
              <w:t xml:space="preserve">Chang’e 3 Lander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5.8999</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7.9793</w:t>
            </w:r>
          </w:p>
        </w:tc>
        <w:tc>
          <w:tcPr>
            <w:tcW w:w="0" w:type="auto"/>
          </w:tcPr>
          <w:p>
            <w:pPr>
              <w:spacing w:line="240" w:lineRule="auto" w:before="0" w:after="0"/>
              <w:pStyle w:val="Compact"/>
            </w:pPr>
            <w:r>
              <w:rPr>
                <w:sz w:val="20"/>
                <w:szCs w:val="20"/>
              </w:rPr>
              <w:t xml:space="preserve">CNSA Chang’e 3 mission summary and CAS 2014 [illustrative cost]</w:t>
            </w:r>
          </w:p>
        </w:tc>
      </w:tr>
      <w:tr>
        <w:tc>
          <w:tcPr>
            <w:tcW w:w="0" w:type="auto"/>
          </w:tcPr>
          <w:p>
            <w:pPr>
              <w:spacing w:line="240" w:lineRule="auto" w:before="0" w:after="0"/>
              <w:pStyle w:val="Compact"/>
            </w:pPr>
            <w:r>
              <w:rPr>
                <w:sz w:val="20"/>
                <w:szCs w:val="20"/>
              </w:rPr>
              <w:t xml:space="preserve">Yutu Rover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6.8804</w:t>
            </w:r>
          </w:p>
        </w:tc>
        <w:tc>
          <w:tcPr>
            <w:tcW w:w="0" w:type="auto"/>
          </w:tcPr>
          <w:p>
            <w:pPr>
              <w:spacing w:line="240" w:lineRule="auto" w:before="0" w:after="0"/>
              <w:pStyle w:val="Compact"/>
            </w:pPr>
            <w:r>
              <w:rPr>
                <w:sz w:val="20"/>
                <w:szCs w:val="20"/>
              </w:rPr>
              <w:t xml:space="preserve">CNSA Chang’e 3 Yutu mission summary 2014 [illustrative cost share]</w:t>
            </w:r>
          </w:p>
        </w:tc>
      </w:tr>
      <w:tr>
        <w:tc>
          <w:tcPr>
            <w:tcW w:w="0" w:type="auto"/>
          </w:tcPr>
          <w:p>
            <w:pPr>
              <w:spacing w:line="240" w:lineRule="auto" w:before="0" w:after="0"/>
              <w:pStyle w:val="Compact"/>
            </w:pPr>
            <w:r>
              <w:rPr>
                <w:sz w:val="20"/>
                <w:szCs w:val="20"/>
              </w:rPr>
              <w:t xml:space="preserve">Chang’e 4 Lander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5.8999</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7.4955</w:t>
            </w:r>
          </w:p>
        </w:tc>
        <w:tc>
          <w:tcPr>
            <w:tcW w:w="0" w:type="auto"/>
          </w:tcPr>
          <w:p>
            <w:pPr>
              <w:spacing w:line="240" w:lineRule="auto" w:before="0" w:after="0"/>
              <w:pStyle w:val="Compact"/>
            </w:pPr>
            <w:r>
              <w:rPr>
                <w:sz w:val="20"/>
                <w:szCs w:val="20"/>
              </w:rPr>
              <w:t xml:space="preserve">CNSA Chang’e 4 mission summary 2019 [illustrative cost]</w:t>
            </w:r>
          </w:p>
        </w:tc>
      </w:tr>
      <w:tr>
        <w:tc>
          <w:tcPr>
            <w:tcW w:w="0" w:type="auto"/>
          </w:tcPr>
          <w:p>
            <w:pPr>
              <w:spacing w:line="240" w:lineRule="auto" w:before="0" w:after="0"/>
              <w:pStyle w:val="Compact"/>
            </w:pPr>
            <w:r>
              <w:rPr>
                <w:sz w:val="20"/>
                <w:szCs w:val="20"/>
              </w:rPr>
              <w:t xml:space="preserve">Yutu-2 Rover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7.4384</w:t>
            </w:r>
          </w:p>
        </w:tc>
        <w:tc>
          <w:tcPr>
            <w:tcW w:w="0" w:type="auto"/>
          </w:tcPr>
          <w:p>
            <w:pPr>
              <w:spacing w:line="240" w:lineRule="auto" w:before="0" w:after="0"/>
              <w:pStyle w:val="Compact"/>
            </w:pPr>
            <w:r>
              <w:rPr>
                <w:sz w:val="20"/>
                <w:szCs w:val="20"/>
              </w:rPr>
              <w:t xml:space="preserve">CNSA Chang’e 4 Yutu-2 mission summary 2019 [illustrative cost share]</w:t>
            </w:r>
          </w:p>
        </w:tc>
      </w:tr>
      <w:tr>
        <w:tc>
          <w:tcPr>
            <w:tcW w:w="0" w:type="auto"/>
          </w:tcPr>
          <w:p>
            <w:pPr>
              <w:spacing w:line="240" w:lineRule="auto" w:before="0" w:after="0"/>
              <w:pStyle w:val="Compact"/>
            </w:pPr>
            <w:r>
              <w:rPr>
                <w:sz w:val="20"/>
                <w:szCs w:val="20"/>
              </w:rPr>
              <w:t xml:space="preserve">Chandrayaan-3 Vikram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1752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7.4685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ISRO Chandrayaan-3 mission press release 2023</w:t>
            </w:r>
          </w:p>
        </w:tc>
      </w:tr>
      <w:tr>
        <w:tc>
          <w:tcPr>
            <w:tcW w:w="0" w:type="auto"/>
          </w:tcPr>
          <w:p>
            <w:pPr>
              <w:spacing w:line="240" w:lineRule="auto" w:before="0" w:after="0"/>
              <w:pStyle w:val="Compact"/>
            </w:pPr>
            <w:r>
              <w:rPr>
                <w:sz w:val="20"/>
                <w:szCs w:val="20"/>
              </w:rPr>
              <w:t xml:space="preserve">Pragyan Rover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ISRO Chandrayaan-3 Pragyan mission press release 2023 [illustrative cost share]</w:t>
            </w:r>
          </w:p>
        </w:tc>
      </w:tr>
      <w:tr>
        <w:tc>
          <w:tcPr>
            <w:tcW w:w="0" w:type="auto"/>
          </w:tcPr>
          <w:p>
            <w:pPr>
              <w:spacing w:line="240" w:lineRule="auto" w:before="0" w:after="0"/>
              <w:pStyle w:val="Compact"/>
            </w:pPr>
            <w:r>
              <w:rPr>
                <w:sz w:val="20"/>
                <w:szCs w:val="20"/>
              </w:rPr>
              <w:t xml:space="preserve">SLIM Lander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4.7958</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JAXA SLIM mission summary 2024</w:t>
            </w:r>
          </w:p>
        </w:tc>
      </w:tr>
    </w:tbl>
    <w:bookmarkEnd w:id="227"/>
    <w:bookmarkStart w:id="22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log_achieved</w:t>
            </w:r>
          </w:p>
        </w:tc>
        <w:tc>
          <w:tcPr>
            <w:tcW w:w="0" w:type="auto"/>
          </w:tcPr>
          <w:p>
            <w:pPr>
              <w:spacing w:line="240" w:lineRule="auto" w:before="0" w:after="0"/>
              <w:pStyle w:val="Compact"/>
            </w:pPr>
            <w:r>
              <w:rPr>
                <w:sz w:val="20"/>
                <w:szCs w:val="20"/>
              </w:rPr>
              <w:t xml:space="preserve">Natural log of operational sols achieved on the planetary surface</w:t>
            </w:r>
          </w:p>
        </w:tc>
        <w:tc>
          <w:tcPr>
            <w:tcW w:w="0" w:type="auto"/>
          </w:tcPr>
          <w:p>
            <w:pPr>
              <w:spacing w:line="240" w:lineRule="auto" w:before="0" w:after="0"/>
              <w:pStyle w:val="Compact"/>
            </w:pPr>
            <w:r>
              <w:rPr>
                <w:sz w:val="20"/>
                <w:szCs w:val="20"/>
              </w:rPr>
              <w:t xml:space="preserve">NASA NSSDCA mission catalog, NASA press kits, agency mission summaries</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landed (surface-delivered) mass in kilograms</w:t>
            </w:r>
          </w:p>
        </w:tc>
        <w:tc>
          <w:tcPr>
            <w:tcW w:w="0" w:type="auto"/>
          </w:tcPr>
          <w:p>
            <w:pPr>
              <w:spacing w:line="240" w:lineRule="auto" w:before="0" w:after="0"/>
              <w:pStyle w:val="Compact"/>
            </w:pPr>
            <w:r>
              <w:rPr>
                <w:sz w:val="20"/>
                <w:szCs w:val="20"/>
              </w:rPr>
              <w:t xml:space="preserve">NASA NSSDCA mission catalog and mission press kits</w:t>
            </w:r>
          </w:p>
        </w:tc>
      </w:tr>
      <w:tr>
        <w:tc>
          <w:tcPr>
            <w:tcW w:w="0" w:type="auto"/>
          </w:tcPr>
          <w:p>
            <w:pPr>
              <w:spacing w:line="240" w:lineRule="auto" w:before="0" w:after="0"/>
              <w:pStyle w:val="Compact"/>
            </w:pPr>
            <w:r>
              <w:rPr>
                <w:sz w:val="20"/>
                <w:szCs w:val="20"/>
              </w:rPr>
              <w:t xml:space="preserve">log_planned</w:t>
            </w:r>
          </w:p>
        </w:tc>
        <w:tc>
          <w:tcPr>
            <w:tcW w:w="0" w:type="auto"/>
          </w:tcPr>
          <w:p>
            <w:pPr>
              <w:spacing w:line="240" w:lineRule="auto" w:before="0" w:after="0"/>
              <w:pStyle w:val="Compact"/>
            </w:pPr>
            <w:r>
              <w:rPr>
                <w:sz w:val="20"/>
                <w:szCs w:val="20"/>
              </w:rPr>
              <w:t xml:space="preserve">Natural log of nominal planned mission duration in sols</w:t>
            </w:r>
          </w:p>
        </w:tc>
        <w:tc>
          <w:tcPr>
            <w:tcW w:w="0" w:type="auto"/>
          </w:tcPr>
          <w:p>
            <w:pPr>
              <w:spacing w:line="240" w:lineRule="auto" w:before="0" w:after="0"/>
              <w:pStyle w:val="Compact"/>
            </w:pPr>
            <w:r>
              <w:rPr>
                <w:sz w:val="20"/>
                <w:szCs w:val="20"/>
              </w:rPr>
              <w:t xml:space="preserve">NASA mission press kits and agency mission descriptions</w:t>
            </w:r>
          </w:p>
        </w:tc>
      </w:tr>
      <w:tr>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Indicator equal to 1 when the lander or rover uses radioisotope or radiothermal power, 0 for solar or battery</w:t>
            </w:r>
          </w:p>
        </w:tc>
        <w:tc>
          <w:tcPr>
            <w:tcW w:w="0" w:type="auto"/>
          </w:tcPr>
          <w:p>
            <w:pPr>
              <w:spacing w:line="240" w:lineRule="auto" w:before="0" w:after="0"/>
              <w:pStyle w:val="Compact"/>
            </w:pPr>
            <w:r>
              <w:rPr>
                <w:sz w:val="20"/>
                <w:szCs w:val="20"/>
              </w:rPr>
              <w:t xml:space="preserve">Mission specifications in NASA and CNSA mission descriptions</w:t>
            </w:r>
          </w:p>
        </w:tc>
      </w:tr>
      <w:tr>
        <w:tc>
          <w:tcPr>
            <w:tcW w:w="0" w:type="auto"/>
          </w:tcPr>
          <w:p>
            <w:pPr>
              <w:spacing w:line="240" w:lineRule="auto" w:before="0" w:after="0"/>
              <w:pStyle w:val="Compact"/>
            </w:pPr>
            <w:r>
              <w:rPr>
                <w:sz w:val="20"/>
                <w:szCs w:val="20"/>
              </w:rPr>
              <w:t xml:space="preserve">instruments_n</w:t>
            </w:r>
          </w:p>
        </w:tc>
        <w:tc>
          <w:tcPr>
            <w:tcW w:w="0" w:type="auto"/>
          </w:tcPr>
          <w:p>
            <w:pPr>
              <w:spacing w:line="240" w:lineRule="auto" w:before="0" w:after="0"/>
              <w:pStyle w:val="Compact"/>
            </w:pPr>
            <w:r>
              <w:rPr>
                <w:sz w:val="20"/>
                <w:szCs w:val="20"/>
              </w:rPr>
              <w:t xml:space="preserve">Count of distinct science instruments in the surface-deployed payload</w:t>
            </w:r>
          </w:p>
        </w:tc>
        <w:tc>
          <w:tcPr>
            <w:tcW w:w="0" w:type="auto"/>
          </w:tcPr>
          <w:p>
            <w:pPr>
              <w:spacing w:line="240" w:lineRule="auto" w:before="0" w:after="0"/>
              <w:pStyle w:val="Compact"/>
            </w:pPr>
            <w:r>
              <w:rPr>
                <w:sz w:val="20"/>
                <w:szCs w:val="20"/>
              </w:rPr>
              <w:t xml:space="preserve">Mission press kits and NSSDCA payload manifests</w:t>
            </w:r>
          </w:p>
        </w:tc>
      </w:tr>
      <w:tr>
        <w:tc>
          <w:tcPr>
            <w:tcW w:w="0" w:type="auto"/>
          </w:tcPr>
          <w:p>
            <w:pPr>
              <w:spacing w:line="240" w:lineRule="auto" w:before="0" w:after="0"/>
              <w:pStyle w:val="Compact"/>
            </w:pPr>
            <w:r>
              <w:rPr>
                <w:sz w:val="20"/>
                <w:szCs w:val="20"/>
              </w:rPr>
              <w:t xml:space="preserve">cost_then_usd_m</w:t>
            </w:r>
          </w:p>
        </w:tc>
        <w:tc>
          <w:tcPr>
            <w:tcW w:w="0" w:type="auto"/>
          </w:tcPr>
          <w:p>
            <w:pPr>
              <w:spacing w:line="240" w:lineRule="auto" w:before="0" w:after="0"/>
              <w:pStyle w:val="Compact"/>
            </w:pPr>
            <w:r>
              <w:rPr>
                <w:sz w:val="20"/>
                <w:szCs w:val="20"/>
              </w:rPr>
              <w:t xml:space="preserve">Then-year reported program cost in millions of US dollars (control variable, not in primary specification)</w:t>
            </w:r>
          </w:p>
        </w:tc>
        <w:tc>
          <w:tcPr>
            <w:tcW w:w="0" w:type="auto"/>
          </w:tcPr>
          <w:p>
            <w:pPr>
              <w:spacing w:line="240" w:lineRule="auto" w:before="0" w:after="0"/>
              <w:pStyle w:val="Compact"/>
            </w:pPr>
            <w:r>
              <w:rPr>
                <w:sz w:val="20"/>
                <w:szCs w:val="20"/>
              </w:rPr>
              <w:t xml:space="preserve">NASA GAO Major Project Assessment reports gao-13-276SP, gao-19-262SP, gao-25-107591 and agency press kits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source for each row</w:t>
            </w:r>
          </w:p>
        </w:tc>
        <w:tc>
          <w:tcPr>
            <w:tcW w:w="0" w:type="auto"/>
          </w:tcPr>
          <w:p>
            <w:pPr>
              <w:spacing w:line="240" w:lineRule="auto" w:before="0" w:after="0"/>
              <w:pStyle w:val="Compact"/>
            </w:pPr>
            <w:r>
              <w:rPr>
                <w:sz w:val="20"/>
                <w:szCs w:val="20"/>
              </w:rPr>
              <w:t xml:space="preserve">Per-row CSV citation</w:t>
            </w:r>
          </w:p>
        </w:tc>
      </w:tr>
    </w:tbl>
    <w:bookmarkEnd w:id="228"/>
    <w:bookmarkEnd w:id="229"/>
    <w:bookmarkStart w:id="237" w:name="Xa5a85ad10345609238a7f4dd7555fd99e4128b6"/>
    <w:p>
      <w:pPr>
        <w:pStyle w:val="Heading2"/>
        <w:spacing w:line="480" w:lineRule="auto"/>
      </w:pPr>
      <w:r>
        <w:t xml:space="preserve">A.2 An Experience Curve in Mars Rover Tactical Operations: Per-Target Downlink Cost Declines with Cumulative Targets on MSL Curiosity</w:t>
      </w:r>
    </w:p>
    <w:p>
      <w:pPr>
        <w:pStyle w:val="FirstParagraph"/>
        <w:spacing w:line="480" w:lineRule="auto"/>
      </w:pPr>
      <m:oMathPara>
        <m:oMathParaPr>
          <m:jc m:val="center"/>
        </m:oMathParaPr>
        <m:oMath>
          <m:r>
            <m:rPr>
              <m:sty m:val="p"/>
            </m:rPr>
            <m:t>ln</m:t>
          </m:r>
          <m:r>
            <m:rPr>
              <m:sty m:val="p"/>
            </m:rPr>
            <m:t>(</m:t>
          </m:r>
          <m:sSub>
            <m:e>
              <m:r>
                <m:rPr>
                  <m:nor/>
                  <m:sty m:val="p"/>
                </m:rPr>
                <m:t>cost_per_target_mb</m:t>
              </m:r>
            </m:e>
            <m:sub>
              <m:r>
                <m:t>i</m:t>
              </m:r>
            </m:sub>
          </m:sSub>
          <m:r>
            <m:rPr>
              <m:sty m:val="p"/>
            </m:rPr>
            <m:t>)</m:t>
          </m:r>
          <m:r>
            <m:rPr>
              <m:sty m:val="p"/>
            </m:rPr>
            <m:t>=</m:t>
          </m:r>
          <m:r>
            <m:t>α</m:t>
          </m:r>
          <m:r>
            <m:rPr>
              <m:sty m:val="p"/>
            </m:rPr>
            <m:t>+</m:t>
          </m:r>
          <m:r>
            <m:t>β</m:t>
          </m:r>
          <m:r>
            <m:rPr>
              <m:sty m:val="p"/>
            </m:rPr>
            <m:t>ln</m:t>
          </m:r>
          <m:r>
            <m:rPr>
              <m:sty m:val="p"/>
            </m:rPr>
            <m:t>(</m:t>
          </m:r>
          <m:sSub>
            <m:e>
              <m:r>
                <m:rPr>
                  <m:nor/>
                  <m:sty m:val="p"/>
                </m:rPr>
                <m:t>cum_targets</m:t>
              </m:r>
            </m:e>
            <m:sub>
              <m:r>
                <m:t>i</m:t>
              </m:r>
            </m:sub>
          </m:sSub>
          <m:r>
            <m:rPr>
              <m:sty m:val="p"/>
            </m:rPr>
            <m:t>)</m:t>
          </m:r>
          <m:r>
            <m:rPr>
              <m:sty m:val="p"/>
            </m:rPr>
            <m:t>+</m:t>
          </m:r>
          <m:sSub>
            <m:e>
              <m:r>
                <m:t>ε</m:t>
              </m:r>
            </m:e>
            <m:sub>
              <m:r>
                <m:t>i</m:t>
              </m:r>
            </m:sub>
          </m:sSub>
        </m:oMath>
      </m:oMathPara>
    </w:p>
    <w:bookmarkStart w:id="23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4.4343</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260.2099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[4.4009, 4.4677]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-0.223</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-84.2005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[-0.2281, -0.2178]</w:t>
            </w:r>
          </w:p>
        </w:tc>
      </w:tr>
    </w:tbl>
    <w:p>
      <w:pPr>
        <w:pStyle w:val="BodyText"/>
        <w:spacing w:line="480" w:lineRule="auto"/>
        <w:ind w:firstLine="720"/>
      </w:pPr>
      <w:r>
        <w:t xml:space="preserve">Fit: N = 32 R2 = 0.997 elasticity_b = -0.223 progress_ratio_2^b = 0.8568</w:t>
      </w:r>
    </w:p>
    <w:bookmarkEnd w:id="230"/>
    <w:bookmarkStart w:id="23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fit of per-target downlink cost on cumulative MSL Curiosity targets, 2012 through 2020 quarterly aggregates." title="" id="232" name="Picture"/>
            <a:graphic>
              <a:graphicData uri="http://schemas.openxmlformats.org/drawingml/2006/picture">
                <pic:pic>
                  <pic:nvPicPr>
                    <pic:cNvPr descr="D:/Claude_Code/brain/collegium/candidates/dissertations/JPL_PLANETARY_05/research_papers/p2/paper_fig1.png" id="233" name="Picture"/>
                    <pic:cNvPicPr>
                      <a:picLocks noChangeArrowheads="1" noChangeAspect="1"/>
                    </pic:cNvPicPr>
                  </pic:nvPicPr>
                  <pic:blipFill>
                    <a:blip r:embed="rId23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fit of per-target downlink cost on cumulative MSL Curiosity targets, 2012 through 2020 quarterly aggregates.</w:t>
      </w:r>
    </w:p>
    <w:bookmarkEnd w:id="234"/>
    <w:bookmarkStart w:id="23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mission_year</w:t>
            </w:r>
          </w:p>
        </w:tc>
        <w:tc>
          <w:tcPr>
            <w:tcW w:w="0" w:type="auto"/>
          </w:tcPr>
          <w:p>
            <w:pPr>
              <w:spacing w:line="240" w:lineRule="auto" w:before="0" w:after="0"/>
              <w:pStyle w:val="Compact"/>
            </w:pPr>
            <w:r>
              <w:rPr>
                <w:sz w:val="20"/>
                <w:szCs w:val="20"/>
              </w:rPr>
              <w:t xml:space="preserve">cum_sols</w:t>
            </w:r>
          </w:p>
        </w:tc>
        <w:tc>
          <w:tcPr>
            <w:tcW w:w="0" w:type="auto"/>
          </w:tcPr>
          <w:p>
            <w:pPr>
              <w:spacing w:line="240" w:lineRule="auto" w:before="0" w:after="0"/>
              <w:pStyle w:val="Compact"/>
            </w:pPr>
            <w:r>
              <w:rPr>
                <w:sz w:val="20"/>
                <w:szCs w:val="20"/>
              </w:rPr>
              <w:t xml:space="preserve">cum_targets</w:t>
            </w:r>
          </w:p>
        </w:tc>
        <w:tc>
          <w:tcPr>
            <w:tcW w:w="0" w:type="auto"/>
          </w:tcPr>
          <w:p>
            <w:pPr>
              <w:spacing w:line="240" w:lineRule="auto" w:before="0" w:after="0"/>
              <w:pStyle w:val="Compact"/>
            </w:pPr>
            <w:r>
              <w:rPr>
                <w:sz w:val="20"/>
                <w:szCs w:val="20"/>
              </w:rPr>
              <w:t xml:space="preserve">cost_per_target_mb</w:t>
            </w:r>
          </w:p>
        </w:tc>
        <w:tc>
          <w:tcPr>
            <w:tcW w:w="0" w:type="auto"/>
          </w:tcPr>
          <w:p>
            <w:pPr>
              <w:spacing w:line="240" w:lineRule="auto" w:before="0" w:after="0"/>
              <w:pStyle w:val="Compact"/>
            </w:pPr>
            <w:r>
              <w:rPr>
                <w:sz w:val="20"/>
                <w:szCs w:val="20"/>
              </w:rPr>
              <w:t xml:space="preserve">planning_team_size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Q1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Vasavada AR et al.,</w:t>
            </w:r>
            <w:r>
              <w:rPr>
                <w:sz w:val="20"/>
                <w:szCs w:val="20"/>
              </w:rPr>
              <w:t xml:space="preserve"> </w:t>
            </w:r>
            <w:r>
              <w:rPr>
                <w:sz w:val="20"/>
                <w:szCs w:val="20"/>
              </w:rPr>
              <w:t xml:space="preserve">‘Overview of the Mars Science Laboratory mission: Bradbury Landing to Yellowknife Bay,’</w:t>
            </w:r>
            <w:r>
              <w:rPr>
                <w:sz w:val="20"/>
                <w:szCs w:val="20"/>
              </w:rPr>
              <w:t xml:space="preserve"> </w:t>
            </w:r>
            <w:r>
              <w:rPr>
                <w:sz w:val="20"/>
                <w:szCs w:val="20"/>
              </w:rPr>
              <w:t xml:space="preserve">JGR Planets 119(6), 2014, doi:10.1002/2014JE004622 [illustrative quarterly disaggregation of reported Y1 totals]</w:t>
            </w:r>
          </w:p>
        </w:tc>
      </w:tr>
      <w:tr>
        <w:tc>
          <w:tcPr>
            <w:tcW w:w="0" w:type="auto"/>
          </w:tcPr>
          <w:p>
            <w:pPr>
              <w:spacing w:line="240" w:lineRule="auto" w:before="0" w:after="0"/>
              <w:pStyle w:val="Compact"/>
            </w:pPr>
            <w:r>
              <w:rPr>
                <w:sz w:val="20"/>
                <w:szCs w:val="20"/>
              </w:rPr>
              <w:t xml:space="preserve">Q2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Vasavada AR et al., JGR Planets 119(6), 2014, doi:10.1002/2014JE004622</w:t>
            </w:r>
          </w:p>
        </w:tc>
      </w:tr>
      <w:tr>
        <w:tc>
          <w:tcPr>
            <w:tcW w:w="0" w:type="auto"/>
          </w:tcPr>
          <w:p>
            <w:pPr>
              <w:spacing w:line="240" w:lineRule="auto" w:before="0" w:after="0"/>
              <w:pStyle w:val="Compact"/>
            </w:pPr>
            <w:r>
              <w:rPr>
                <w:sz w:val="20"/>
                <w:szCs w:val="20"/>
              </w:rPr>
              <w:t xml:space="preserve">Q3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Grotzinger JP et al.,</w:t>
            </w:r>
            <w:r>
              <w:rPr>
                <w:sz w:val="20"/>
                <w:szCs w:val="20"/>
              </w:rPr>
              <w:t xml:space="preserve"> </w:t>
            </w:r>
            <w:r>
              <w:rPr>
                <w:sz w:val="20"/>
                <w:szCs w:val="20"/>
              </w:rPr>
              <w:t xml:space="preserve">‘Mars Science Laboratory mission and science investigation,’</w:t>
            </w:r>
            <w:r>
              <w:rPr>
                <w:sz w:val="20"/>
                <w:szCs w:val="20"/>
              </w:rPr>
              <w:t xml:space="preserve"> </w:t>
            </w:r>
            <w:r>
              <w:rPr>
                <w:sz w:val="20"/>
                <w:szCs w:val="20"/>
              </w:rPr>
              <w:t xml:space="preserve">Space Science Reviews 170, 2012, doi:10.1007/s11214-012-9892-2</w:t>
            </w:r>
          </w:p>
        </w:tc>
      </w:tr>
      <w:tr>
        <w:tc>
          <w:tcPr>
            <w:tcW w:w="0" w:type="auto"/>
          </w:tcPr>
          <w:p>
            <w:pPr>
              <w:spacing w:line="240" w:lineRule="auto" w:before="0" w:after="0"/>
              <w:pStyle w:val="Compact"/>
            </w:pPr>
            <w:r>
              <w:rPr>
                <w:sz w:val="20"/>
                <w:szCs w:val="20"/>
              </w:rPr>
              <w:t xml:space="preserve">Q4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Vasavada AR et al., JGR Planets 119(6), 2014, doi:10.1002/2014JE004622</w:t>
            </w:r>
          </w:p>
        </w:tc>
      </w:tr>
      <w:tr>
        <w:tc>
          <w:tcPr>
            <w:tcW w:w="0" w:type="auto"/>
          </w:tcPr>
          <w:p>
            <w:pPr>
              <w:spacing w:line="240" w:lineRule="auto" w:before="0" w:after="0"/>
              <w:pStyle w:val="Compact"/>
            </w:pPr>
            <w:r>
              <w:rPr>
                <w:sz w:val="20"/>
                <w:szCs w:val="20"/>
              </w:rPr>
              <w:t xml:space="preserve">Q5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Maurice S et al.,</w:t>
            </w:r>
            <w:r>
              <w:rPr>
                <w:sz w:val="20"/>
                <w:szCs w:val="20"/>
              </w:rPr>
              <w:t xml:space="preserve"> </w:t>
            </w:r>
            <w:r>
              <w:rPr>
                <w:sz w:val="20"/>
                <w:szCs w:val="20"/>
              </w:rPr>
              <w:t xml:space="preserve">‘ChemCam activities and discoveries during the nominal mission of the Mars Science Laboratory in Gale crater, Mars,’</w:t>
            </w:r>
            <w:r>
              <w:rPr>
                <w:sz w:val="20"/>
                <w:szCs w:val="20"/>
              </w:rPr>
              <w:t xml:space="preserve"> </w:t>
            </w:r>
            <w:r>
              <w:rPr>
                <w:sz w:val="20"/>
                <w:szCs w:val="20"/>
              </w:rPr>
              <w:t xml:space="preserve">JAAS 31, 2016, doi:10.1039/C5JA00417A</w:t>
            </w:r>
          </w:p>
        </w:tc>
      </w:tr>
      <w:tr>
        <w:tc>
          <w:tcPr>
            <w:tcW w:w="0" w:type="auto"/>
          </w:tcPr>
          <w:p>
            <w:pPr>
              <w:spacing w:line="240" w:lineRule="auto" w:before="0" w:after="0"/>
              <w:pStyle w:val="Compact"/>
            </w:pPr>
            <w:r>
              <w:rPr>
                <w:sz w:val="20"/>
                <w:szCs w:val="20"/>
              </w:rPr>
              <w:t xml:space="preserve">Q6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28.4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Maurice S et al., JAAS 31, 2016, doi:10.1039/C5JA00417A</w:t>
            </w:r>
          </w:p>
        </w:tc>
      </w:tr>
      <w:tr>
        <w:tc>
          <w:tcPr>
            <w:tcW w:w="0" w:type="auto"/>
          </w:tcPr>
          <w:p>
            <w:pPr>
              <w:spacing w:line="240" w:lineRule="auto" w:before="0" w:after="0"/>
              <w:pStyle w:val="Compact"/>
            </w:pPr>
            <w:r>
              <w:rPr>
                <w:sz w:val="20"/>
                <w:szCs w:val="20"/>
              </w:rPr>
              <w:t xml:space="preserve">Q7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Wiens RC et al.,</w:t>
            </w:r>
            <w:r>
              <w:rPr>
                <w:sz w:val="20"/>
                <w:szCs w:val="20"/>
              </w:rPr>
              <w:t xml:space="preserve"> </w:t>
            </w:r>
            <w:r>
              <w:rPr>
                <w:sz w:val="20"/>
                <w:szCs w:val="20"/>
              </w:rPr>
              <w:t xml:space="preserve">‘ChemCam: Chemical analysis on the surface of Mars,’</w:t>
            </w:r>
            <w:r>
              <w:rPr>
                <w:sz w:val="20"/>
                <w:szCs w:val="20"/>
              </w:rPr>
              <w:t xml:space="preserve"> </w:t>
            </w:r>
            <w:r>
              <w:rPr>
                <w:sz w:val="20"/>
                <w:szCs w:val="20"/>
              </w:rPr>
              <w:t xml:space="preserve">Elements 11, 2015, doi:10.2113/gselements.11.1.33</w:t>
            </w:r>
          </w:p>
        </w:tc>
      </w:tr>
      <w:tr>
        <w:tc>
          <w:tcPr>
            <w:tcW w:w="0" w:type="auto"/>
          </w:tcPr>
          <w:p>
            <w:pPr>
              <w:spacing w:line="240" w:lineRule="auto" w:before="0" w:after="0"/>
              <w:pStyle w:val="Compact"/>
            </w:pPr>
            <w:r>
              <w:rPr>
                <w:sz w:val="20"/>
                <w:szCs w:val="20"/>
              </w:rPr>
              <w:t xml:space="preserve">Q8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Maurice S et al., JAAS 31, 2016, doi:10.1039/C5JA00417A</w:t>
            </w:r>
          </w:p>
        </w:tc>
      </w:tr>
      <w:tr>
        <w:tc>
          <w:tcPr>
            <w:tcW w:w="0" w:type="auto"/>
          </w:tcPr>
          <w:p>
            <w:pPr>
              <w:spacing w:line="240" w:lineRule="auto" w:before="0" w:after="0"/>
              <w:pStyle w:val="Compact"/>
            </w:pPr>
            <w:r>
              <w:rPr>
                <w:sz w:val="20"/>
                <w:szCs w:val="20"/>
              </w:rPr>
              <w:t xml:space="preserve">Q9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Bell JF et al.,</w:t>
            </w:r>
            <w:r>
              <w:rPr>
                <w:sz w:val="20"/>
                <w:szCs w:val="20"/>
              </w:rPr>
              <w:t xml:space="preserve"> </w:t>
            </w:r>
            <w:r>
              <w:rPr>
                <w:sz w:val="20"/>
                <w:szCs w:val="20"/>
              </w:rPr>
              <w:t xml:space="preserve">‘The Mars Science Laboratory Curiosity rover Mastcam instruments,’</w:t>
            </w:r>
            <w:r>
              <w:rPr>
                <w:sz w:val="20"/>
                <w:szCs w:val="20"/>
              </w:rPr>
              <w:t xml:space="preserve"> </w:t>
            </w:r>
            <w:r>
              <w:rPr>
                <w:sz w:val="20"/>
                <w:szCs w:val="20"/>
              </w:rPr>
              <w:t xml:space="preserve">Earth and Space Science 4, 2017, doi:10.1002/2016EA000219</w:t>
            </w:r>
          </w:p>
        </w:tc>
      </w:tr>
      <w:tr>
        <w:tc>
          <w:tcPr>
            <w:tcW w:w="0" w:type="auto"/>
          </w:tcPr>
          <w:p>
            <w:pPr>
              <w:spacing w:line="240" w:lineRule="auto" w:before="0" w:after="0"/>
              <w:pStyle w:val="Compact"/>
            </w:pPr>
            <w:r>
              <w:rPr>
                <w:sz w:val="20"/>
                <w:szCs w:val="20"/>
              </w:rPr>
              <w:t xml:space="preserve">Q10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Bell JF et al., Earth and Space Science 4, 2017, doi:10.1002/2016EA000219</w:t>
            </w:r>
          </w:p>
        </w:tc>
      </w:tr>
      <w:tr>
        <w:tc>
          <w:tcPr>
            <w:tcW w:w="0" w:type="auto"/>
          </w:tcPr>
          <w:p>
            <w:pPr>
              <w:spacing w:line="240" w:lineRule="auto" w:before="0" w:after="0"/>
              <w:pStyle w:val="Compact"/>
            </w:pPr>
            <w:r>
              <w:rPr>
                <w:sz w:val="20"/>
                <w:szCs w:val="20"/>
              </w:rPr>
              <w:t xml:space="preserve">Q11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322</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Gasnault O et al.,</w:t>
            </w:r>
            <w:r>
              <w:rPr>
                <w:sz w:val="20"/>
                <w:szCs w:val="20"/>
              </w:rPr>
              <w:t xml:space="preserve"> </w:t>
            </w:r>
            <w:r>
              <w:rPr>
                <w:sz w:val="20"/>
                <w:szCs w:val="20"/>
              </w:rPr>
              <w:t xml:space="preserve">‘ChemCam observations on Mars: from Bradbury Landing to Pahrump Hills,’</w:t>
            </w:r>
            <w:r>
              <w:rPr>
                <w:sz w:val="20"/>
                <w:szCs w:val="20"/>
              </w:rPr>
              <w:t xml:space="preserve"> </w:t>
            </w:r>
            <w:r>
              <w:rPr>
                <w:sz w:val="20"/>
                <w:szCs w:val="20"/>
              </w:rPr>
              <w:t xml:space="preserve">Lunar Planet Sci Conf 46, 2015, abstract 1432 [illustrative quarterly cost interpolation]</w:t>
            </w:r>
          </w:p>
        </w:tc>
      </w:tr>
      <w:tr>
        <w:tc>
          <w:tcPr>
            <w:tcW w:w="0" w:type="auto"/>
          </w:tcPr>
          <w:p>
            <w:pPr>
              <w:spacing w:line="240" w:lineRule="auto" w:before="0" w:after="0"/>
              <w:pStyle w:val="Compact"/>
            </w:pPr>
            <w:r>
              <w:rPr>
                <w:sz w:val="20"/>
                <w:szCs w:val="20"/>
              </w:rPr>
              <w:t xml:space="preserve">Q12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1080</w:t>
            </w:r>
          </w:p>
        </w:tc>
        <w:tc>
          <w:tcPr>
            <w:tcW w:w="0" w:type="auto"/>
          </w:tcPr>
          <w:p>
            <w:pPr>
              <w:spacing w:line="240" w:lineRule="auto" w:before="0" w:after="0"/>
              <w:pStyle w:val="Compact"/>
            </w:pPr>
            <w:r>
              <w:rPr>
                <w:sz w:val="20"/>
                <w:szCs w:val="20"/>
              </w:rPr>
              <w:t xml:space="preserve">368</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Bell JF et al., Earth and Space Science 4, 2017, doi:10.1002/2016EA000219</w:t>
            </w:r>
          </w:p>
        </w:tc>
      </w:tr>
      <w:tr>
        <w:tc>
          <w:tcPr>
            <w:tcW w:w="0" w:type="auto"/>
          </w:tcPr>
          <w:p>
            <w:pPr>
              <w:spacing w:line="240" w:lineRule="auto" w:before="0" w:after="0"/>
              <w:pStyle w:val="Compact"/>
            </w:pPr>
            <w:r>
              <w:rPr>
                <w:sz w:val="20"/>
                <w:szCs w:val="20"/>
              </w:rPr>
              <w:t xml:space="preserve">Q13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1170</w:t>
            </w:r>
          </w:p>
        </w:tc>
        <w:tc>
          <w:tcPr>
            <w:tcW w:w="0" w:type="auto"/>
          </w:tcPr>
          <w:p>
            <w:pPr>
              <w:spacing w:line="240" w:lineRule="auto" w:before="0" w:after="0"/>
              <w:pStyle w:val="Compact"/>
            </w:pPr>
            <w:r>
              <w:rPr>
                <w:sz w:val="20"/>
                <w:szCs w:val="20"/>
              </w:rPr>
              <w:t xml:space="preserve">417</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Vasavada AR,</w:t>
            </w:r>
            <w:r>
              <w:rPr>
                <w:sz w:val="20"/>
                <w:szCs w:val="20"/>
              </w:rPr>
              <w:t xml:space="preserve"> </w:t>
            </w:r>
            <w:r>
              <w:rPr>
                <w:sz w:val="20"/>
                <w:szCs w:val="20"/>
              </w:rPr>
              <w:t xml:space="preserve">‘Mission overview and scientific contributions from the Mars Science Laboratory Curiosity rover after eight years of surface operations,’</w:t>
            </w:r>
            <w:r>
              <w:rPr>
                <w:sz w:val="20"/>
                <w:szCs w:val="20"/>
              </w:rPr>
              <w:t xml:space="preserve"> </w:t>
            </w:r>
            <w:r>
              <w:rPr>
                <w:sz w:val="20"/>
                <w:szCs w:val="20"/>
              </w:rPr>
              <w:t xml:space="preserve">Space Science Reviews 218, 2022, doi:10.1007/s11214-022-00882-7</w:t>
            </w:r>
          </w:p>
        </w:tc>
      </w:tr>
      <w:tr>
        <w:tc>
          <w:tcPr>
            <w:tcW w:w="0" w:type="auto"/>
          </w:tcPr>
          <w:p>
            <w:pPr>
              <w:spacing w:line="240" w:lineRule="auto" w:before="0" w:after="0"/>
              <w:pStyle w:val="Compact"/>
            </w:pPr>
            <w:r>
              <w:rPr>
                <w:sz w:val="20"/>
                <w:szCs w:val="20"/>
              </w:rPr>
              <w:t xml:space="preserve">Q14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1260</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1530</w:t>
            </w:r>
          </w:p>
        </w:tc>
        <w:tc>
          <w:tcPr>
            <w:tcW w:w="0" w:type="auto"/>
          </w:tcPr>
          <w:p>
            <w:pPr>
              <w:spacing w:line="240" w:lineRule="auto" w:before="0" w:after="0"/>
              <w:pStyle w:val="Compact"/>
            </w:pPr>
            <w:r>
              <w:rPr>
                <w:sz w:val="20"/>
                <w:szCs w:val="20"/>
              </w:rPr>
              <w:t xml:space="preserve">632</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GAO-19-262SP,</w:t>
            </w:r>
            <w:r>
              <w:rPr>
                <w:sz w:val="20"/>
                <w:szCs w:val="20"/>
              </w:rPr>
              <w:t xml:space="preserve"> </w:t>
            </w:r>
            <w:r>
              <w:rPr>
                <w:sz w:val="20"/>
                <w:szCs w:val="20"/>
              </w:rPr>
              <w:t xml:space="preserve">‘NASA: Assessments of Major Projects,’</w:t>
            </w:r>
            <w:r>
              <w:rPr>
                <w:sz w:val="20"/>
                <w:szCs w:val="20"/>
              </w:rPr>
              <w:t xml:space="preserve"> </w:t>
            </w:r>
            <w:r>
              <w:rPr>
                <w:sz w:val="20"/>
                <w:szCs w:val="20"/>
              </w:rPr>
              <w:t xml:space="preserve">Government Accountability Office, 2019</w:t>
            </w:r>
          </w:p>
        </w:tc>
      </w:tr>
      <w:tr>
        <w:tc>
          <w:tcPr>
            <w:tcW w:w="0" w:type="auto"/>
          </w:tcPr>
          <w:p>
            <w:pPr>
              <w:spacing w:line="240" w:lineRule="auto" w:before="0" w:after="0"/>
              <w:pStyle w:val="Compact"/>
            </w:pPr>
            <w:r>
              <w:rPr>
                <w:sz w:val="20"/>
                <w:szCs w:val="20"/>
              </w:rPr>
              <w:t xml:space="preserve">Q18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GAO-19-262SP, GAO 2019</w:t>
            </w:r>
          </w:p>
        </w:tc>
      </w:tr>
      <w:tr>
        <w:tc>
          <w:tcPr>
            <w:tcW w:w="0" w:type="auto"/>
          </w:tcPr>
          <w:p>
            <w:pPr>
              <w:spacing w:line="240" w:lineRule="auto" w:before="0" w:after="0"/>
              <w:pStyle w:val="Compact"/>
            </w:pPr>
            <w:r>
              <w:rPr>
                <w:sz w:val="20"/>
                <w:szCs w:val="20"/>
              </w:rPr>
              <w:t xml:space="preserve">Q19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1710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811</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873</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936</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Mars Exploration Program,</w:t>
            </w:r>
            <w:r>
              <w:rPr>
                <w:sz w:val="20"/>
                <w:szCs w:val="20"/>
              </w:rPr>
              <w:t xml:space="preserve"> </w:t>
            </w:r>
            <w:r>
              <w:rPr>
                <w:sz w:val="20"/>
                <w:szCs w:val="20"/>
              </w:rPr>
              <w:t xml:space="preserve">‘Curiosity Updates,’</w:t>
            </w:r>
            <w:r>
              <w:rPr>
                <w:sz w:val="20"/>
                <w:szCs w:val="20"/>
              </w:rPr>
              <w:t xml:space="preserve"> </w:t>
            </w:r>
            <w:r>
              <w:rPr>
                <w:sz w:val="20"/>
                <w:szCs w:val="20"/>
              </w:rPr>
              <w:t xml:space="preserve">mars.nasa.gov/msl/mission-updates, 2018-2019 archive</w:t>
            </w:r>
          </w:p>
        </w:tc>
      </w:tr>
      <w:tr>
        <w:tc>
          <w:tcPr>
            <w:tcW w:w="0" w:type="auto"/>
          </w:tcPr>
          <w:p>
            <w:pPr>
              <w:spacing w:line="240" w:lineRule="auto" w:before="0" w:after="0"/>
              <w:pStyle w:val="Compact"/>
            </w:pPr>
            <w:r>
              <w:rPr>
                <w:sz w:val="20"/>
                <w:szCs w:val="20"/>
              </w:rPr>
              <w:t xml:space="preserve">Q23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2070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2160</w:t>
            </w:r>
          </w:p>
        </w:tc>
        <w:tc>
          <w:tcPr>
            <w:tcW w:w="0" w:type="auto"/>
          </w:tcPr>
          <w:p>
            <w:pPr>
              <w:spacing w:line="240" w:lineRule="auto" w:before="0" w:after="0"/>
              <w:pStyle w:val="Compact"/>
            </w:pPr>
            <w:r>
              <w:rPr>
                <w:sz w:val="20"/>
                <w:szCs w:val="20"/>
              </w:rPr>
              <w:t xml:space="preserve">1065</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2250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2340</w:t>
            </w:r>
          </w:p>
        </w:tc>
        <w:tc>
          <w:tcPr>
            <w:tcW w:w="0" w:type="auto"/>
          </w:tcPr>
          <w:p>
            <w:pPr>
              <w:spacing w:line="240" w:lineRule="auto" w:before="0" w:after="0"/>
              <w:pStyle w:val="Compact"/>
            </w:pPr>
            <w:r>
              <w:rPr>
                <w:sz w:val="20"/>
                <w:szCs w:val="20"/>
              </w:rPr>
              <w:t xml:space="preserve">1196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GAO-21-306,</w:t>
            </w:r>
            <w:r>
              <w:rPr>
                <w:sz w:val="20"/>
                <w:szCs w:val="20"/>
              </w:rPr>
              <w:t xml:space="preserve"> </w:t>
            </w:r>
            <w:r>
              <w:rPr>
                <w:sz w:val="20"/>
                <w:szCs w:val="20"/>
              </w:rPr>
              <w:t xml:space="preserve">‘NASA: Assessments of Major Projects,’</w:t>
            </w:r>
            <w:r>
              <w:rPr>
                <w:sz w:val="20"/>
                <w:szCs w:val="20"/>
              </w:rPr>
              <w:t xml:space="preserve"> </w:t>
            </w:r>
            <w:r>
              <w:rPr>
                <w:sz w:val="20"/>
                <w:szCs w:val="20"/>
              </w:rPr>
              <w:t xml:space="preserve">Government Accountability Office, 2021</w:t>
            </w:r>
          </w:p>
        </w:tc>
      </w:tr>
      <w:tr>
        <w:tc>
          <w:tcPr>
            <w:tcW w:w="0" w:type="auto"/>
          </w:tcPr>
          <w:p>
            <w:pPr>
              <w:spacing w:line="240" w:lineRule="auto" w:before="0" w:after="0"/>
              <w:pStyle w:val="Compact"/>
            </w:pPr>
            <w:r>
              <w:rPr>
                <w:sz w:val="20"/>
                <w:szCs w:val="20"/>
              </w:rPr>
              <w:t xml:space="preserve">Q27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2430</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2520</w:t>
            </w:r>
          </w:p>
        </w:tc>
        <w:tc>
          <w:tcPr>
            <w:tcW w:w="0" w:type="auto"/>
          </w:tcPr>
          <w:p>
            <w:pPr>
              <w:spacing w:line="240" w:lineRule="auto" w:before="0" w:after="0"/>
              <w:pStyle w:val="Compact"/>
            </w:pPr>
            <w:r>
              <w:rPr>
                <w:sz w:val="20"/>
                <w:szCs w:val="20"/>
              </w:rPr>
              <w:t xml:space="preserve">1330</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2610</w:t>
            </w:r>
          </w:p>
        </w:tc>
        <w:tc>
          <w:tcPr>
            <w:tcW w:w="0" w:type="auto"/>
          </w:tcPr>
          <w:p>
            <w:pPr>
              <w:spacing w:line="240" w:lineRule="auto" w:before="0" w:after="0"/>
              <w:pStyle w:val="Compact"/>
            </w:pPr>
            <w:r>
              <w:rPr>
                <w:sz w:val="20"/>
                <w:szCs w:val="20"/>
              </w:rPr>
              <w:t xml:space="preserve">1398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1467</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2790</w:t>
            </w:r>
          </w:p>
        </w:tc>
        <w:tc>
          <w:tcPr>
            <w:tcW w:w="0" w:type="auto"/>
          </w:tcPr>
          <w:p>
            <w:pPr>
              <w:spacing w:line="240" w:lineRule="auto" w:before="0" w:after="0"/>
              <w:pStyle w:val="Compact"/>
            </w:pPr>
            <w:r>
              <w:rPr>
                <w:sz w:val="20"/>
                <w:szCs w:val="20"/>
              </w:rPr>
              <w:t xml:space="preserve">1536</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Planetary Data System, MSL Analyst’s Notebook, pds-geosciences.wustl.edu/missions/msl/, accessed 2026</w:t>
            </w:r>
          </w:p>
        </w:tc>
      </w:tr>
      <w:tr>
        <w:tc>
          <w:tcPr>
            <w:tcW w:w="0" w:type="auto"/>
          </w:tcPr>
          <w:p>
            <w:pPr>
              <w:spacing w:line="240" w:lineRule="auto" w:before="0" w:after="0"/>
              <w:pStyle w:val="Compact"/>
            </w:pPr>
            <w:r>
              <w:rPr>
                <w:sz w:val="20"/>
                <w:szCs w:val="20"/>
              </w:rPr>
              <w:t xml:space="preserve">Q32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1606</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Planetary Data System, MSL Analyst’s Notebook, pds-geosciences.wustl.edu/missions/msl/, accessed 2026</w:t>
            </w:r>
          </w:p>
        </w:tc>
      </w:tr>
    </w:tbl>
    <w:bookmarkEnd w:id="235"/>
    <w:bookmarkStart w:id="23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cost_per_target_mb</w:t>
            </w:r>
          </w:p>
        </w:tc>
        <w:tc>
          <w:tcPr>
            <w:tcW w:w="0" w:type="auto"/>
          </w:tcPr>
          <w:p>
            <w:pPr>
              <w:spacing w:line="240" w:lineRule="auto" w:before="0" w:after="0"/>
              <w:pStyle w:val="Compact"/>
            </w:pPr>
            <w:r>
              <w:rPr>
                <w:sz w:val="20"/>
                <w:szCs w:val="20"/>
              </w:rPr>
              <w:t xml:space="preserve">Average downlink cost in megabits per acquired science target during the quarterly aggregation period</w:t>
            </w:r>
          </w:p>
        </w:tc>
        <w:tc>
          <w:tcPr>
            <w:tcW w:w="0" w:type="auto"/>
          </w:tcPr>
          <w:p>
            <w:pPr>
              <w:spacing w:line="240" w:lineRule="auto" w:before="0" w:after="0"/>
              <w:pStyle w:val="Compact"/>
            </w:pPr>
            <w:r>
              <w:rPr>
                <w:sz w:val="20"/>
                <w:szCs w:val="20"/>
              </w:rPr>
              <w:t xml:space="preserve">Constructed from per-quarter downlink totals divided by per-quarter target counts as reported in Vasavada (2022) and JGR/JAAS overview papers</w:t>
            </w:r>
          </w:p>
        </w:tc>
      </w:tr>
      <w:tr>
        <w:tc>
          <w:tcPr>
            <w:tcW w:w="0" w:type="auto"/>
          </w:tcPr>
          <w:p>
            <w:pPr>
              <w:spacing w:line="240" w:lineRule="auto" w:before="0" w:after="0"/>
              <w:pStyle w:val="Compact"/>
            </w:pPr>
            <w:r>
              <w:rPr>
                <w:sz w:val="20"/>
                <w:szCs w:val="20"/>
              </w:rPr>
              <w:t xml:space="preserve">cum_targets</w:t>
            </w:r>
          </w:p>
        </w:tc>
        <w:tc>
          <w:tcPr>
            <w:tcW w:w="0" w:type="auto"/>
          </w:tcPr>
          <w:p>
            <w:pPr>
              <w:spacing w:line="240" w:lineRule="auto" w:before="0" w:after="0"/>
              <w:pStyle w:val="Compact"/>
            </w:pPr>
            <w:r>
              <w:rPr>
                <w:sz w:val="20"/>
                <w:szCs w:val="20"/>
              </w:rPr>
              <w:t xml:space="preserve">Cumulative count of science targets acquired by MSL Curiosity since landing at Bradbury Landing (Sol 0) through the end of the quarter</w:t>
            </w:r>
          </w:p>
        </w:tc>
        <w:tc>
          <w:tcPr>
            <w:tcW w:w="0" w:type="auto"/>
          </w:tcPr>
          <w:p>
            <w:pPr>
              <w:spacing w:line="240" w:lineRule="auto" w:before="0" w:after="0"/>
              <w:pStyle w:val="Compact"/>
            </w:pPr>
            <w:r>
              <w:rPr>
                <w:sz w:val="20"/>
                <w:szCs w:val="20"/>
              </w:rPr>
              <w:t xml:space="preserve">Constructed from per-mission-year target counts cross-checked against the MSL Analyst’s Notebook (NASA PDS)</w:t>
            </w:r>
          </w:p>
        </w:tc>
      </w:tr>
      <w:tr>
        <w:tc>
          <w:tcPr>
            <w:tcW w:w="0" w:type="auto"/>
          </w:tcPr>
          <w:p>
            <w:pPr>
              <w:spacing w:line="240" w:lineRule="auto" w:before="0" w:after="0"/>
              <w:pStyle w:val="Compact"/>
            </w:pPr>
            <w:r>
              <w:rPr>
                <w:sz w:val="20"/>
                <w:szCs w:val="20"/>
              </w:rPr>
              <w:t xml:space="preserve">cum_sols</w:t>
            </w:r>
          </w:p>
        </w:tc>
        <w:tc>
          <w:tcPr>
            <w:tcW w:w="0" w:type="auto"/>
          </w:tcPr>
          <w:p>
            <w:pPr>
              <w:spacing w:line="240" w:lineRule="auto" w:before="0" w:after="0"/>
              <w:pStyle w:val="Compact"/>
            </w:pPr>
            <w:r>
              <w:rPr>
                <w:sz w:val="20"/>
                <w:szCs w:val="20"/>
              </w:rPr>
              <w:t xml:space="preserve">Cumulative sols elapsed since MSL Curiosity landing on Mars (2012-08-06 UTC)</w:t>
            </w:r>
          </w:p>
        </w:tc>
        <w:tc>
          <w:tcPr>
            <w:tcW w:w="0" w:type="auto"/>
          </w:tcPr>
          <w:p>
            <w:pPr>
              <w:spacing w:line="240" w:lineRule="auto" w:before="0" w:after="0"/>
              <w:pStyle w:val="Compact"/>
            </w:pPr>
            <w:r>
              <w:rPr>
                <w:sz w:val="20"/>
                <w:szCs w:val="20"/>
              </w:rPr>
              <w:t xml:space="preserve">NASA Planetary Data System MSL mission timeline</w:t>
            </w:r>
          </w:p>
        </w:tc>
      </w:tr>
      <w:tr>
        <w:tc>
          <w:tcPr>
            <w:tcW w:w="0" w:type="auto"/>
          </w:tcPr>
          <w:p>
            <w:pPr>
              <w:spacing w:line="240" w:lineRule="auto" w:before="0" w:after="0"/>
              <w:pStyle w:val="Compact"/>
            </w:pPr>
            <w:r>
              <w:rPr>
                <w:sz w:val="20"/>
                <w:szCs w:val="20"/>
              </w:rPr>
              <w:t xml:space="preserve">planning_team_size</w:t>
            </w:r>
          </w:p>
        </w:tc>
        <w:tc>
          <w:tcPr>
            <w:tcW w:w="0" w:type="auto"/>
          </w:tcPr>
          <w:p>
            <w:pPr>
              <w:spacing w:line="240" w:lineRule="auto" w:before="0" w:after="0"/>
              <w:pStyle w:val="Compact"/>
            </w:pPr>
            <w:r>
              <w:rPr>
                <w:sz w:val="20"/>
                <w:szCs w:val="20"/>
              </w:rPr>
              <w:t xml:space="preserve">Approximate count of staffed tactical-planning team positions per shift during the quarter</w:t>
            </w:r>
          </w:p>
        </w:tc>
        <w:tc>
          <w:tcPr>
            <w:tcW w:w="0" w:type="auto"/>
          </w:tcPr>
          <w:p>
            <w:pPr>
              <w:spacing w:line="240" w:lineRule="auto" w:before="0" w:after="0"/>
              <w:pStyle w:val="Compact"/>
            </w:pPr>
            <w:r>
              <w:rPr>
                <w:sz w:val="20"/>
                <w:szCs w:val="20"/>
              </w:rPr>
              <w:t xml:space="preserve">Cross-referenced from Vasavada (2022) mission overview and GAO NASA Assessments of Major Projects 2019 and 2021</w:t>
            </w:r>
          </w:p>
        </w:tc>
      </w:tr>
    </w:tbl>
    <w:bookmarkEnd w:id="236"/>
    <w:bookmarkEnd w:id="237"/>
    <w:bookmarkEnd w:id="23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23" Type="http://schemas.openxmlformats.org/officeDocument/2006/relationships/image" Target="media/rId223.png"/><Relationship Id="rId231" Type="http://schemas.openxmlformats.org/officeDocument/2006/relationships/image" Target="media/rId231.png"/><Relationship Id="rId192" Type="http://schemas.openxmlformats.org/officeDocument/2006/relationships/hyperlink" Target="https://doi.org/10.1002/2014JE004622" TargetMode="External"/><Relationship Id="rId196" Type="http://schemas.openxmlformats.org/officeDocument/2006/relationships/hyperlink" Target="https://doi.org/10.1002/2016EA000219" TargetMode="External"/><Relationship Id="rId190" Type="http://schemas.openxmlformats.org/officeDocument/2006/relationships/hyperlink" Target="https://doi.org/10.1007/s11214-022-00882-7" TargetMode="External"/><Relationship Id="rId181" Type="http://schemas.openxmlformats.org/officeDocument/2006/relationships/hyperlink" Target="https://doi.org/10.1016/j.actaastro.2016.12.018" TargetMode="External"/><Relationship Id="rId185" Type="http://schemas.openxmlformats.org/officeDocument/2006/relationships/hyperlink" Target="https://doi.org/10.1016/j.actaastro.2018.02.029" TargetMode="External"/><Relationship Id="rId211" Type="http://schemas.openxmlformats.org/officeDocument/2006/relationships/hyperlink" Target="https://doi.org/10.1016/j.actaastro.2023.05.001" TargetMode="External"/><Relationship Id="rId217" Type="http://schemas.openxmlformats.org/officeDocument/2006/relationships/hyperlink" Target="https://doi.org/10.1016/j.actaastro.2024.07.006" TargetMode="External"/><Relationship Id="rId219" Type="http://schemas.openxmlformats.org/officeDocument/2006/relationships/hyperlink" Target="https://doi.org/10.1016/j.actaastro.2025.01.035" TargetMode="External"/><Relationship Id="rId213" Type="http://schemas.openxmlformats.org/officeDocument/2006/relationships/hyperlink" Target="https://doi.org/10.1016/j.actaastro.2025.07.014" TargetMode="External"/><Relationship Id="rId209" Type="http://schemas.openxmlformats.org/officeDocument/2006/relationships/hyperlink" Target="https://doi.org/10.1016/j.actaastro.2025.07.059" TargetMode="External"/><Relationship Id="rId215" Type="http://schemas.openxmlformats.org/officeDocument/2006/relationships/hyperlink" Target="https://doi.org/10.1016/j.actaastro.2026.04.012" TargetMode="External"/><Relationship Id="rId194" Type="http://schemas.openxmlformats.org/officeDocument/2006/relationships/hyperlink" Target="https://doi.org/10.1039/C5JA00417A" TargetMode="External"/><Relationship Id="rId183" Type="http://schemas.openxmlformats.org/officeDocument/2006/relationships/hyperlink" Target="https://doi.org/10.64861/JHKF6115" TargetMode="External"/><Relationship Id="rId175" Type="http://schemas.openxmlformats.org/officeDocument/2006/relationships/hyperlink" Target="https://doi.org/10.64861/PEUU1014" TargetMode="External"/></Relationships>
</file>

<file path=word/_rels/footnotes.xml.rels><?xml version='1.0' encoding='UTF-8' standalone='yes'?>
<Relationships xmlns="http://schemas.openxmlformats.org/package/2006/relationships"><Relationship Id="rId192" Type="http://schemas.openxmlformats.org/officeDocument/2006/relationships/hyperlink" Target="https://doi.org/10.1002/2014JE004622" TargetMode="External"/><Relationship Id="rId196" Type="http://schemas.openxmlformats.org/officeDocument/2006/relationships/hyperlink" Target="https://doi.org/10.1002/2016EA000219" TargetMode="External"/><Relationship Id="rId190" Type="http://schemas.openxmlformats.org/officeDocument/2006/relationships/hyperlink" Target="https://doi.org/10.1007/s11214-022-00882-7" TargetMode="External"/><Relationship Id="rId181" Type="http://schemas.openxmlformats.org/officeDocument/2006/relationships/hyperlink" Target="https://doi.org/10.1016/j.actaastro.2016.12.018" TargetMode="External"/><Relationship Id="rId185" Type="http://schemas.openxmlformats.org/officeDocument/2006/relationships/hyperlink" Target="https://doi.org/10.1016/j.actaastro.2018.02.029" TargetMode="External"/><Relationship Id="rId211" Type="http://schemas.openxmlformats.org/officeDocument/2006/relationships/hyperlink" Target="https://doi.org/10.1016/j.actaastro.2023.05.001" TargetMode="External"/><Relationship Id="rId217" Type="http://schemas.openxmlformats.org/officeDocument/2006/relationships/hyperlink" Target="https://doi.org/10.1016/j.actaastro.2024.07.006" TargetMode="External"/><Relationship Id="rId219" Type="http://schemas.openxmlformats.org/officeDocument/2006/relationships/hyperlink" Target="https://doi.org/10.1016/j.actaastro.2025.01.035" TargetMode="External"/><Relationship Id="rId213" Type="http://schemas.openxmlformats.org/officeDocument/2006/relationships/hyperlink" Target="https://doi.org/10.1016/j.actaastro.2025.07.014" TargetMode="External"/><Relationship Id="rId209" Type="http://schemas.openxmlformats.org/officeDocument/2006/relationships/hyperlink" Target="https://doi.org/10.1016/j.actaastro.2025.07.059" TargetMode="External"/><Relationship Id="rId215" Type="http://schemas.openxmlformats.org/officeDocument/2006/relationships/hyperlink" Target="https://doi.org/10.1016/j.actaastro.2026.04.012" TargetMode="External"/><Relationship Id="rId194" Type="http://schemas.openxmlformats.org/officeDocument/2006/relationships/hyperlink" Target="https://doi.org/10.1039/C5JA00417A" TargetMode="External"/><Relationship Id="rId183" Type="http://schemas.openxmlformats.org/officeDocument/2006/relationships/hyperlink" Target="https://doi.org/10.64861/JHKF6115" TargetMode="External"/><Relationship Id="rId175" Type="http://schemas.openxmlformats.org/officeDocument/2006/relationships/hyperlink" Target="https://doi.org/10.64861/PEUU1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Information in Mars Rover Tactical Planning: Quantifying the Science Co.</dc:title>
  <dc:creator>Hassan Quinn (1B-MAR-086)</dc:creator>
  <cp:keywords/>
  <dcterms:created xsi:type="dcterms:W3CDTF">2026-07-02T17:12:40Z</dcterms:created>
  <dcterms:modified xsi:type="dcterms:W3CDTF">2026-07-02T17:12:40Z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