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3.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1" w:name="Xdaa47b5e670c2f505236dfe38ba4345b9c13a3f"/>
    <w:p>
      <w:pPr>
        <w:pStyle w:val="Heading1"/>
      </w:pPr>
      <w:r>
        <w:t xml:space="preserve">Did the Decadal Survey Change Where the Money Went? A Difference-in-Differences Estimate of How the 2011 Planetary Science Decadal Survey Reshaped NASA Mission Budgets by Destination Class</w:t>
      </w:r>
    </w:p>
    <w:bookmarkStart w:id="61" w:name="introduction"/>
    <w:p>
      <w:pPr>
        <w:pStyle w:val="Heading2"/>
      </w:pPr>
      <w:r>
        <w:t xml:space="preserve">1. Introduction</w:t>
      </w:r>
    </w:p>
    <w:p>
      <w:pPr>
        <w:pStyle w:val="FirstParagraph"/>
      </w:pPr>
      <w:r>
        <w:t xml:space="preserve">Every ten years the United States planetary science community writes itself a ranked shopping list. The decadal survey, produced under the National Academies, names the destinations and flagship missions the field considers most worth funding, and it is widely treated as the document that tells NASA where the money should go. The 2011 survey, Visions and Voyages for Planetary Science in the Decade 2013-2022, placed a Mars sample return campaign first, a Europa orbiter second, and a Uranus orbiter third</w:t>
      </w:r>
      <w:r>
        <w:t xml:space="preserve"> </w:t>
      </w:r>
      <w:hyperlink w:anchor="ref-6">
        <m:oMathPara>
          <m:oMathParaPr>
            <m:jc m:val="center"/>
          </m:oMathParaPr>
          <m:oMath>
            <m:r>
              <m:t>6</m:t>
            </m:r>
          </m:oMath>
        </m:oMathPara>
      </w:hyperlink>
      <w:r>
        <w:t xml:space="preserve">. A decade later the field can name the missions that followed. What it cannot yet say with evidence is whether the survey actually moved the budget, or whether it ratified spending patterns that were already in motion.</w:t>
      </w:r>
    </w:p>
    <w:p>
      <w:pPr>
        <w:pStyle w:val="FirstParagraph"/>
      </w:pPr>
      <w:r>
        <w:t xml:space="preserve">The distinction matters for anyone who builds these missions or argues for them. If the decadal survey causally redirected dollars toward its prioritized destinations, then the months that scientists spend assembling and defending the ranked list are among the highest-return hours in the discipline. If instead the survey mostly described a flagship premium that already existed, and the apparent post-survey surge toward Mars and the outer planets is the same cost inflation that lifted every mission class, then the community is mistaking correlation for influence. The budgets that flow to Europa and Mars would have grown regardless, and the ranking did less steering than its authors believe.</w:t>
      </w:r>
    </w:p>
    <w:p>
      <w:pPr>
        <w:pStyle w:val="BodyText"/>
      </w:pPr>
      <w:r>
        <w:t xml:space="preserve">This paper treats the 2011 survey as a natural experiment and asks a difference-in-differences question. Did missions aimed at decadal-prioritized destinations receive proportionally larger budgets after 2011, relative both to the pre-survey gap and to the common trend in everything else NASA flew? The answer the data return is a clean and slightly uncomfortable null. The prioritized destinations were already expensive before the survey, the whole portfolio grew more expensive after it, and the survey itself adds no detectable extra tilt toward its own priorities.</w:t>
      </w:r>
    </w:p>
    <w:bookmarkEnd w:id="61"/>
    <w:bookmarkStart w:id="62" w:name="theory-and-hypotheses"/>
    <w:p>
      <w:pPr>
        <w:pStyle w:val="Heading2"/>
      </w:pPr>
      <w:r>
        <w:t xml:space="preserve">2. Theory and Hypotheses</w:t>
      </w:r>
    </w:p>
    <w:p>
      <w:pPr>
        <w:pStyle w:val="FirstParagraph"/>
      </w:pPr>
      <w:r>
        <w:t xml:space="preserve">Two mechanisms could connect a decadal ranking to a mission budget. The first is direct authority. NASA program officials and congressional appropriators cite the survey as the warrant for new starts, so a destination named at the top of the list should attract larger and more frequent commitments than one buried below the cut line</w:t>
      </w:r>
      <w:r>
        <w:t xml:space="preserve"> </w:t>
      </w:r>
      <w:hyperlink w:anchor="ref-4">
        <m:oMathPara>
          <m:oMathParaPr>
            <m:jc m:val="center"/>
          </m:oMathParaPr>
          <m:oMath>
            <m:r>
              <m:t>4</m:t>
            </m:r>
          </m:oMath>
        </m:oMathPara>
      </w:hyperlink>
      <w:r>
        <w:t xml:space="preserve">[7]. Under this mechanism the survey is a causal instrument, and its release should produce a measurable break in the allocation series.</w:t>
      </w:r>
    </w:p>
    <w:p>
      <w:pPr>
        <w:pStyle w:val="FirstParagraph"/>
      </w:pPr>
      <w:r>
        <w:t xml:space="preserve">The second mechanism is selection and inertia. Flagship-class destinations are expensive for reasons that have nothing to do with any survey. A Europa orbiter or a Mars rover requires radiation hardening, deep-space communication, autonomous entry and descent, and long-life power, and those engineering demands set a high floor on lifecycle cost independent of where a ranking places the target</w:t>
      </w:r>
      <w:r>
        <w:t xml:space="preserve"> </w:t>
      </w:r>
      <w:hyperlink w:anchor="ref-1">
        <m:oMathPara>
          <m:oMathParaPr>
            <m:jc m:val="center"/>
          </m:oMathParaPr>
          <m:oMath>
            <m:r>
              <m:t>1</m:t>
            </m:r>
          </m:oMath>
        </m:oMathPara>
      </w:hyperlink>
      <w:r>
        <w:t xml:space="preserve">[2][9]. Parametric cost models that estimate spacecraft cost from mass, power, and complexity recover these destination premiums directly, which means the gap between an outer-planet flagship and an inner-planet Discovery probe is largely a fact of physics and systems engineering rather than a fact of policy</w:t>
      </w:r>
      <w:r>
        <w:t xml:space="preserve"> </w:t>
      </w:r>
      <w:hyperlink w:anchor="ref-1">
        <m:oMathPara>
          <m:oMathParaPr>
            <m:jc m:val="center"/>
          </m:oMathParaPr>
          <m:oMath>
            <m:r>
              <m:t>1</m:t>
            </m:r>
          </m:oMath>
        </m:oMathPara>
      </w:hyperlink>
      <w:r>
        <w:t xml:space="preserve">[2][3]. If this mechanism dominates, the survey will appear correlated with high spending on its priorities only because it ranked highly the destinations that were always going to be costly.</w:t>
      </w:r>
    </w:p>
    <w:p>
      <w:pPr>
        <w:pStyle w:val="FirstParagraph"/>
      </w:pPr>
      <w:r>
        <w:t xml:space="preserve">A difference-in-differences design separates the two. The level gap between prioritized and control destinations captures the standing flagship premium. The common pre-to-post change captures portfolio-wide cost inflation. The interaction between priority status and the post-2011 period isolates the one quantity that would exist only if the survey itself redirected proportional budget. That interaction is the estimand this paper reports.</w:t>
      </w:r>
    </w:p>
    <w:p>
      <w:pPr>
        <w:pStyle w:val="BodyText"/>
      </w:pPr>
      <w:r>
        <w:t xml:space="preserve">H1: The difference-in-differences interaction is positive and statistically distinguishable from zero, indicating that after the 2011 survey NASA directed proportionally larger budgets to prioritized destinations, net of the standing premium and the common trend.</w:t>
      </w:r>
    </w:p>
    <w:p>
      <w:pPr>
        <w:pStyle w:val="BodyText"/>
      </w:pPr>
      <w:r>
        <w:t xml:space="preserve">H0: The interaction is zero, indicating that the survey did not change the relative budget allocated to its prioritized destinations.</w:t>
      </w:r>
    </w:p>
    <w:bookmarkEnd w:id="62"/>
    <w:bookmarkStart w:id="63" w:name="data"/>
    <w:p>
      <w:pPr>
        <w:pStyle w:val="Heading2"/>
      </w:pPr>
      <w:r>
        <w:t xml:space="preserve">3. Data</w:t>
      </w:r>
    </w:p>
    <w:p>
      <w:pPr>
        <w:pStyle w:val="FirstParagraph"/>
      </w:pPr>
      <w:r>
        <w:t xml:space="preserve">The unit of observation is an individual NASA planetary mission with a documented selection or formal-start year and a documented lifecycle cost. The sample is twenty-eight missions spanning 1977 to 2021, drawn from the Discovery, New Frontiers, Mars, and flagship lines. Lifecycle cost is recorded in millions of then-year dollars and compiled from the Government Accountability Office assessments of NASA major projects</w:t>
      </w:r>
      <w:r>
        <w:t xml:space="preserve"> </w:t>
      </w:r>
      <w:hyperlink w:anchor="ref-10">
        <m:oMathPara>
          <m:oMathParaPr>
            <m:jc m:val="center"/>
          </m:oMathParaPr>
          <m:oMath>
            <m:r>
              <m:t>10</m:t>
            </m:r>
          </m:oMath>
        </m:oMathPara>
      </w:hyperlink>
      <w:r>
        <w:t xml:space="preserve">[11], NASA mission pages and program histories, the NASA Space Science Data Coordinated Archive Discovery program list, and mission-specific public reporting, with each row carrying its own source citation in the accompanying dataset. One value, the lifecycle midpoint for VERITAS, is marked illustrative because the mission was rebaselined and delayed before a stable lifecycle figure was published; it is a single row out of twenty-eight and does not carry the result.</w:t>
      </w:r>
    </w:p>
    <w:p>
      <w:pPr>
        <w:pStyle w:val="FirstParagraph"/>
      </w:pPr>
      <w:r>
        <w:t xml:space="preserve">Treatment status, the variable decadal_priority, is coded one when a mission targets a destination class the 2011 survey ranked as a top flagship priority, namely Mars and the outer-planet and ocean-world systems such as Jupiter-Europa, Saturn-Titan, and Uranus, and zero for control classes including the inner planets and Venus, small bodies and asteroids, the Moon, and exoplanet survey targets</w:t>
      </w:r>
      <w:r>
        <w:t xml:space="preserve"> </w:t>
      </w:r>
      <w:hyperlink w:anchor="ref-6">
        <m:oMathPara>
          <m:oMathParaPr>
            <m:jc m:val="center"/>
          </m:oMathParaPr>
          <m:oMath>
            <m:r>
              <m:t>6</m:t>
            </m:r>
          </m:oMath>
        </m:oMathPara>
      </w:hyperlink>
      <w:r>
        <w:t xml:space="preserve">[8]. The period indicator, post_2011, is one for missions selected in or after 2011, the survey’s release year, and zero before. The dependent variable is the natural logarithm of lifecycle cost, so coefficients read as approximate proportional differences in committed budget.</w:t>
      </w:r>
    </w:p>
    <w:p>
      <w:pPr>
        <w:pStyle w:val="FirstParagraph"/>
      </w:pPr>
      <w:r>
        <w:t xml:space="preserve">The raw cell means already preview the finding. Pre-survey control missions averaged roughly 335 million dollars, pre-survey prioritized missions roughly 1.39 billion, post-survey control missions roughly 1.08 billion, and post-survey prioritized missions roughly 3.05 billion. The prioritized destinations were always the expensive ones, and every cell rose after 2011.</w:t>
      </w:r>
    </w:p>
    <w:bookmarkEnd w:id="63"/>
    <w:bookmarkStart w:id="64" w:name="method"/>
    <w:p>
      <w:pPr>
        <w:pStyle w:val="Heading2"/>
      </w:pPr>
      <w:r>
        <w:t xml:space="preserve">4. Method</w:t>
      </w:r>
    </w:p>
    <w:p>
      <w:pPr>
        <w:pStyle w:val="FirstParagraph"/>
      </w:pPr>
      <w:r>
        <w:t xml:space="preserve">The estimator is ordinary least squares with heteroskedasticity-robust standard errors, regressing log lifecycle cost on the priority indicator, the post-2011 indicator, and their interaction. The interaction coefficient is the difference-in-differences estimate. The intercept recovers the mean log cost of pre-survey control missions, the priority coefficient recovers the standing flagship premium, the post coefficient recovers the common cost change after the survey, and the interaction recovers whatever differential change accrued to prioritized destinations alone.</w:t>
      </w:r>
    </w:p>
    <w:p>
      <w:pPr>
        <w:pStyle w:val="BodyText"/>
      </w:pPr>
      <w:r>
        <w:t xml:space="preserve">The identifying assumption is parallel trends: absent the survey, prioritized and control destinations would have moved together in proportional terms. The design cannot test that counterfactual directly, and the discussion treats it candidly. Robust standard errors guard against the unequal variance expected when mission costs range across two orders of magnitude.</w:t>
      </w:r>
    </w:p>
    <w:bookmarkEnd w:id="64"/>
    <w:bookmarkStart w:id="65" w:name="findings"/>
    <w:p>
      <w:pPr>
        <w:pStyle w:val="Heading2"/>
      </w:pPr>
      <w:r>
        <w:t xml:space="preserve">5. Findings</w:t>
      </w:r>
    </w:p>
    <w:p>
      <w:pPr>
        <w:pStyle w:val="FirstParagraph"/>
      </w:pPr>
      <w:r>
        <w:t xml:space="preserve">The model explains a majority of the variation in mission cost, with an R-squared of 0.59 and a joint F statistic of 13.37 that is significant at well under the one-percent level. The three substantive coefficients tell a coherent and consistent story.</w:t>
      </w:r>
    </w:p>
    <w:p>
      <w:pPr>
        <w:pStyle w:val="BodyText"/>
      </w:pPr>
      <w:r>
        <w:t xml:space="preserve">The standing flagship premium is large and precisely estimated. The coefficient on decadal_priority is 1.255 with a robust standard error of 0.380 and a p-value of 0.001. A coefficient of that size on a log outcome means prioritized-destination missions cost on the order of three and a half times what control-destination missions cost, before the survey and independent of it. This is the systems-engineering floor that parametric cost work would predict for outer-planet and Mars flagships</w:t>
      </w:r>
      <w:r>
        <w:t xml:space="preserve"> </w:t>
      </w:r>
      <w:hyperlink w:anchor="ref-1">
        <m:oMathPara>
          <m:oMathParaPr>
            <m:jc m:val="center"/>
          </m:oMathParaPr>
          <m:oMath>
            <m:r>
              <m:t>1</m:t>
            </m:r>
          </m:oMath>
        </m:oMathPara>
      </w:hyperlink>
      <w:r>
        <w:t xml:space="preserve">[2][3].</w:t>
      </w:r>
    </w:p>
    <w:p>
      <w:pPr>
        <w:pStyle w:val="FirstParagraph"/>
      </w:pPr>
      <w:r>
        <w:t xml:space="preserve">The portfolio-wide cost increase after 2011 is also large and precisely estimated. The coefficient on post_2011 is 1.318 with a robust standard error of 0.230 and a p-value below 0.001. Every mission class, prioritized or not, became markedly more expensive in the post-survey era, by roughly a factor of three and a half in proportional terms. This is consistent with the broad cost growth the major-project assessments document across the agency’s portfolio</w:t>
      </w:r>
      <w:r>
        <w:t xml:space="preserve"> </w:t>
      </w:r>
      <w:hyperlink w:anchor="ref-10">
        <m:oMathPara>
          <m:oMathParaPr>
            <m:jc m:val="center"/>
          </m:oMathParaPr>
          <m:oMath>
            <m:r>
              <m:t>10</m:t>
            </m:r>
          </m:oMath>
        </m:oMathPara>
      </w:hyperlink>
      <w:r>
        <w:t xml:space="preserve">[11].</w:t>
      </w:r>
    </w:p>
    <w:p>
      <w:pPr>
        <w:pStyle w:val="FirstParagraph"/>
      </w:pPr>
      <w:r>
        <w:t xml:space="preserve">The difference-in-differences term, the one quantity that would isolate the survey’s own steering, is not distinguishable from zero. The interaction coefficient is -0.396 with a robust standard error of 0.534, a t statistic of -0.74, a p-value of 0.459, and a ninety-five percent confidence interval running from -1.443 to 0.652. The point estimate is negative rather than positive, the opposite sign from H1, and the confidence interval comfortably contains zero. A hand-computed two-by-two difference of mean log costs returns the identical figure: prioritized destinations rose 0.92 log-points across the survey boundary while control destinations rose 1.32, so in proportional terms the prioritized class grew slightly less, not more.</w:t>
      </w:r>
    </w:p>
    <w:p>
      <w:pPr>
        <w:pStyle w:val="BodyText"/>
      </w:pPr>
      <w:r>
        <w:t xml:space="preserve">The evidence does not support H1 and is fully consistent with H0. The survey did not redirect proportional budget toward its own priorities.</w:t>
      </w:r>
    </w:p>
    <w:bookmarkEnd w:id="65"/>
    <w:bookmarkStart w:id="66" w:name="discussion"/>
    <w:p>
      <w:pPr>
        <w:pStyle w:val="Heading2"/>
      </w:pPr>
      <w:r>
        <w:t xml:space="preserve">6. Discussion</w:t>
      </w:r>
    </w:p>
    <w:p>
      <w:pPr>
        <w:pStyle w:val="FirstParagraph"/>
      </w:pPr>
      <w:r>
        <w:t xml:space="preserve">The honest reading is that the 2011 decadal survey ratified a hierarchy it did not create. Mars and the outer-planet ocean worlds were the expensive destinations before the survey ranked them, they remained the expensive destinations after, and the post-survey surge in their budgets is the same inflation that lifted Discovery probes and asteroid missions in equal proportion. The flagship premium is real and statistically unambiguous, but it is a fact about engineering rather than a fact about the ranking. The survey’s influence, if it exists, does not show up as a differential tilt in the dollars committed per mission.</w:t>
      </w:r>
    </w:p>
    <w:p>
      <w:pPr>
        <w:pStyle w:val="BodyText"/>
      </w:pPr>
      <w:r>
        <w:t xml:space="preserve">This null deserves three caveats, stated plainly. First, the outcome is the budget of missions that were selected, not the probability that a destination won a new start at all. A survey could change which destinations get missions without changing how much each mission costs once chosen, and that selection-rate channel is exactly what a survival or hazard analysis of mission starts would test, which is the companion question this dissertation takes up separately. Second, with twenty-eight missions the interaction is estimated imprecisely, and the confidence interval does not exclude a modest positive effect; the result is best read as no evidence of a large differential, not proof of exactly zero. Third, the parallel-trends assumption is untestable here, and a long deep-space mission selected just before 2011 may book costs that accrue for two decades after, blurring the period boundary.</w:t>
      </w:r>
    </w:p>
    <w:p>
      <w:pPr>
        <w:pStyle w:val="BodyText"/>
      </w:pPr>
      <w:r>
        <w:t xml:space="preserve">For the planetary community and for the FFRDC analysts who advise on portfolio strategy, the practical implication is measured. The decadal survey may matter most as an instrument of legitimacy and coordination rather than as a lever on per-mission spending. It tells appropriators which expensive things the field has agreed to want, and that agreement has value, but the data here give no reason to believe the ranking changes the price tag the field would have paid anyway. Where the money went was already settled by the physics of the destinations before the survey was written.</w:t>
      </w:r>
    </w:p>
    <w:bookmarkEnd w:id="66"/>
    <w:bookmarkStart w:id="81" w:name="references"/>
    <w:p>
      <w:pPr>
        <w:pStyle w:val="Heading2"/>
      </w:pPr>
      <w:r>
        <w:t xml:space="preserve">References</w:t>
      </w:r>
    </w:p>
    <w:p>
      <w:pPr>
        <w:pStyle w:val="FirstParagraph"/>
      </w:pPr>
      <w:bookmarkStart w:id="67" w:name="ref-1"/>
      <w:bookmarkEnd w:id="67"/>
      <w:r>
        <w:t xml:space="preserve">1. P. D. Friz, S. Hosder, B. B. Leser, and B. C. Towle,</w:t>
      </w:r>
      <w:r>
        <w:t xml:space="preserve"> </w:t>
      </w:r>
      <w:r>
        <w:t xml:space="preserve">“Blind validation study of parametric cost estimation tool SEER-H for NASA space missions,”</w:t>
      </w:r>
      <w:r>
        <w:t xml:space="preserve"> </w:t>
      </w:r>
      <w:r>
        <w:t xml:space="preserve">Acta Astronautica, vol. 166, 2019. doi:</w:t>
      </w:r>
      <w:r>
        <w:t xml:space="preserve"> </w:t>
      </w:r>
      <w:hyperlink r:id="rId68">
        <w:r>
          <w:rPr>
            <w:rStyle w:val="Hyperlink"/>
          </w:rPr>
          <w:t xml:space="preserve">10.1016/j.actaastro.2019.09.030</w:t>
        </w:r>
      </w:hyperlink>
    </w:p>
    <w:p>
      <w:pPr>
        <w:pStyle w:val="BodyText"/>
      </w:pPr>
      <w:bookmarkStart w:id="69" w:name="ref-2"/>
      <w:bookmarkEnd w:id="69"/>
      <w:r>
        <w:t xml:space="preserve">2. P. D. Friz and J. A. Samareh,</w:t>
      </w:r>
      <w:r>
        <w:t xml:space="preserve"> </w:t>
      </w:r>
      <w:r>
        <w:t xml:space="preserve">“Parametric Cost Modeling of a Mid-Lift-to-Drag Ratio Vehicle for Human Mars Entry, Descent, and Landing,”</w:t>
      </w:r>
      <w:r>
        <w:t xml:space="preserve"> </w:t>
      </w:r>
      <w:r>
        <w:t xml:space="preserve">NASA Technical Reports Server, NTRS ID 20205007761, ASCEND, 2020.</w:t>
      </w:r>
    </w:p>
    <w:p>
      <w:pPr>
        <w:pStyle w:val="BodyText"/>
      </w:pPr>
      <w:bookmarkStart w:id="70" w:name="ref-3"/>
      <w:bookmarkEnd w:id="70"/>
      <w:r>
        <w:t xml:space="preserve">3. C. Lowe, C. McGrath, S. Hancock, et al.,</w:t>
      </w:r>
      <w:r>
        <w:t xml:space="preserve"> </w:t>
      </w:r>
      <w:r>
        <w:t xml:space="preserve">“Spacecraft and optics design considerations for a spaceborne lidar mission with spatially continuous global coverage,”</w:t>
      </w:r>
      <w:r>
        <w:t xml:space="preserve"> </w:t>
      </w:r>
      <w:r>
        <w:t xml:space="preserve">Acta Astronautica, vol. 214, 2023. doi:</w:t>
      </w:r>
      <w:r>
        <w:t xml:space="preserve"> </w:t>
      </w:r>
      <w:hyperlink r:id="rId71">
        <w:r>
          <w:rPr>
            <w:rStyle w:val="Hyperlink"/>
          </w:rPr>
          <w:t xml:space="preserve">10.1016/j.actaastro.2023.10.042</w:t>
        </w:r>
      </w:hyperlink>
    </w:p>
    <w:p>
      <w:pPr>
        <w:pStyle w:val="BodyText"/>
      </w:pPr>
      <w:bookmarkStart w:id="72" w:name="ref-4"/>
      <w:bookmarkEnd w:id="72"/>
      <w:r>
        <w:t xml:space="preserve">4. The Planetary Society,</w:t>
      </w:r>
      <w:r>
        <w:t xml:space="preserve"> </w:t>
      </w:r>
      <w:r>
        <w:t xml:space="preserve">“What Is the Decadal Survey?,”</w:t>
      </w:r>
      <w:r>
        <w:t xml:space="preserve"> </w:t>
      </w:r>
      <w:r>
        <w:t xml:space="preserve">planetary.org/space-policy/what-is-the-decadal-survey, accessed 2026.</w:t>
      </w:r>
    </w:p>
    <w:p>
      <w:pPr>
        <w:pStyle w:val="BodyText"/>
      </w:pPr>
      <w:bookmarkStart w:id="73" w:name="ref-5"/>
      <w:bookmarkEnd w:id="73"/>
      <w:r>
        <w:t xml:space="preserve">5. V. Lo Gatto, J. Izraelevitz, M. Pauken, et al.,</w:t>
      </w:r>
      <w:r>
        <w:t xml:space="preserve"> </w:t>
      </w:r>
      <w:r>
        <w:t xml:space="preserve">“Inflation sequence tradeoffs and laboratory demonstration of a prototype variable-altitude Venus aerobot,”</w:t>
      </w:r>
      <w:r>
        <w:t xml:space="preserve"> </w:t>
      </w:r>
      <w:r>
        <w:t xml:space="preserve">Acta Astronautica, vol. 214, 2023. doi:</w:t>
      </w:r>
      <w:r>
        <w:t xml:space="preserve"> </w:t>
      </w:r>
      <w:hyperlink r:id="rId74">
        <w:r>
          <w:rPr>
            <w:rStyle w:val="Hyperlink"/>
          </w:rPr>
          <w:t xml:space="preserve">10.1016/j.actaastro.2023.11.035</w:t>
        </w:r>
      </w:hyperlink>
    </w:p>
    <w:p>
      <w:pPr>
        <w:pStyle w:val="BodyText"/>
      </w:pPr>
      <w:bookmarkStart w:id="75" w:name="ref-6"/>
      <w:bookmarkEnd w:id="75"/>
      <w:r>
        <w:t xml:space="preserve">6. Spaceflight Now,</w:t>
      </w:r>
      <w:r>
        <w:t xml:space="preserve"> </w:t>
      </w:r>
      <w:r>
        <w:t xml:space="preserve">“Robotic mission to Uranus receives top priority in decadal survey,”</w:t>
      </w:r>
      <w:r>
        <w:t xml:space="preserve"> </w:t>
      </w:r>
      <w:r>
        <w:t xml:space="preserve">spaceflightnow.com, April 19, 2022.</w:t>
      </w:r>
    </w:p>
    <w:p>
      <w:pPr>
        <w:pStyle w:val="BodyText"/>
      </w:pPr>
      <w:bookmarkStart w:id="76" w:name="ref-7"/>
      <w:bookmarkEnd w:id="76"/>
      <w:r>
        <w:t xml:space="preserve">7. AIP FYI,</w:t>
      </w:r>
      <w:r>
        <w:t xml:space="preserve"> </w:t>
      </w:r>
      <w:r>
        <w:t xml:space="preserve">“2022 Planetary Science Decadal Survey: Recommendations for Major Missions,”</w:t>
      </w:r>
      <w:r>
        <w:t xml:space="preserve"> </w:t>
      </w:r>
      <w:r>
        <w:t xml:space="preserve">aip.org/fyi, 2022.</w:t>
      </w:r>
    </w:p>
    <w:p>
      <w:pPr>
        <w:pStyle w:val="BodyText"/>
      </w:pPr>
      <w:bookmarkStart w:id="77" w:name="ref-8"/>
      <w:bookmarkEnd w:id="77"/>
      <w:r>
        <w:t xml:space="preserve">8. Wikipedia,</w:t>
      </w:r>
      <w:r>
        <w:t xml:space="preserve"> </w:t>
      </w:r>
      <w:r>
        <w:t xml:space="preserve">“Planetary Science Decadal Survey,”</w:t>
      </w:r>
      <w:r>
        <w:t xml:space="preserve"> </w:t>
      </w:r>
      <w:r>
        <w:t xml:space="preserve">en.wikipedia.org/wiki/Planetary_Science_Decadal_Survey, accessed 2026.</w:t>
      </w:r>
    </w:p>
    <w:p>
      <w:pPr>
        <w:pStyle w:val="BodyText"/>
      </w:pPr>
      <w:bookmarkStart w:id="78" w:name="ref-9"/>
      <w:bookmarkEnd w:id="78"/>
      <w:r>
        <w:t xml:space="preserve">9. Wikipedia,</w:t>
      </w:r>
      <w:r>
        <w:t xml:space="preserve"> </w:t>
      </w:r>
      <w:r>
        <w:t xml:space="preserve">“NASA large strategic science missions,”</w:t>
      </w:r>
      <w:r>
        <w:t xml:space="preserve"> </w:t>
      </w:r>
      <w:r>
        <w:t xml:space="preserve">en.wikipedia.org/wiki/NASA_large_strategic_science_missions, accessed 2026.</w:t>
      </w:r>
    </w:p>
    <w:p>
      <w:pPr>
        <w:pStyle w:val="BodyText"/>
      </w:pPr>
      <w:bookmarkStart w:id="79" w:name="ref-10"/>
      <w:bookmarkEnd w:id="79"/>
      <w:r>
        <w:t xml:space="preserve">10. U.S. Government Accountability Office,</w:t>
      </w:r>
      <w:r>
        <w:t xml:space="preserve"> </w:t>
      </w:r>
      <w:r>
        <w:t xml:space="preserve">“NASA: Assessments of Major Projects,”</w:t>
      </w:r>
      <w:r>
        <w:t xml:space="preserve"> </w:t>
      </w:r>
      <w:r>
        <w:t xml:space="preserve">GAO-24-106767, 2024.</w:t>
      </w:r>
    </w:p>
    <w:p>
      <w:pPr>
        <w:pStyle w:val="BodyText"/>
      </w:pPr>
      <w:bookmarkStart w:id="80" w:name="ref-11"/>
      <w:bookmarkEnd w:id="80"/>
      <w:r>
        <w:t xml:space="preserve">11. U.S. Government Accountability Office,</w:t>
      </w:r>
      <w:r>
        <w:t xml:space="preserve"> </w:t>
      </w:r>
      <w:r>
        <w:t xml:space="preserve">“NASA: Assessments of Major Projects,”</w:t>
      </w:r>
      <w:r>
        <w:t xml:space="preserve"> </w:t>
      </w:r>
      <w:r>
        <w:t xml:space="preserve">GAO-25-107591, 2025.</w:t>
      </w:r>
    </w:p>
    <w:bookmarkEnd w:id="81"/>
    <w:bookmarkStart w:id="82" w:name="specification"/>
    <w:p>
      <w:pPr>
        <w:pStyle w:val="Heading2"/>
      </w:pPr>
      <w:r>
        <w:t xml:space="preserve">Specification</w:t>
      </w:r>
    </w:p>
    <w:p>
      <w:pPr>
        <w:pStyle w:val="FirstParagraph"/>
      </w:pPr>
      <m:oMathPara>
        <m:oMathParaPr>
          <m:jc m:val="center"/>
        </m:oMathParaPr>
        <m:oMath>
          <m:r>
            <m:rPr>
              <m:sty m:val="p"/>
            </m:rPr>
            <m:t>log</m:t>
          </m:r>
          <m:r>
            <m:rPr>
              <m:sty m:val="p"/>
            </m:rPr>
            <m:t>(</m:t>
          </m:r>
          <m:r>
            <m:rPr>
              <m:nor/>
              <m:sty m:val="p"/>
            </m:rPr>
            <m:t>lcc</m:t>
          </m:r>
          <m:sSub>
            <m:e>
              <m:r>
                <m:rPr>
                  <m:sty m:val="p"/>
                </m:rPr>
                <m:t>)</m:t>
              </m:r>
            </m:e>
            <m:sub>
              <m:r>
                <m:t>i</m:t>
              </m:r>
            </m:sub>
          </m:sSub>
          <m:r>
            <m:rPr>
              <m:sty m:val="p"/>
            </m:rPr>
            <m:t>=</m:t>
          </m:r>
          <m:sSub>
            <m:e>
              <m:r>
                <m:t>β</m:t>
              </m:r>
            </m:e>
            <m:sub>
              <m:r>
                <m:t>0</m:t>
              </m:r>
            </m:sub>
          </m:sSub>
          <m:r>
            <m:rPr>
              <m:sty m:val="p"/>
            </m:rPr>
            <m:t>+</m:t>
          </m:r>
          <m:sSub>
            <m:e>
              <m:r>
                <m:t>β</m:t>
              </m:r>
            </m:e>
            <m:sub>
              <m:r>
                <m:t>1</m:t>
              </m:r>
            </m:sub>
          </m:sSub>
          <m:r>
            <m:t> </m:t>
          </m:r>
          <m:sSub>
            <m:e>
              <m:r>
                <m:rPr>
                  <m:nor/>
                  <m:sty m:val="p"/>
                </m:rPr>
                <m:t>decadal_priority</m:t>
              </m:r>
            </m:e>
            <m:sub>
              <m:r>
                <m:t>i</m:t>
              </m:r>
            </m:sub>
          </m:sSub>
          <m:r>
            <m:rPr>
              <m:sty m:val="p"/>
            </m:rPr>
            <m:t>+</m:t>
          </m:r>
          <m:sSub>
            <m:e>
              <m:r>
                <m:t>β</m:t>
              </m:r>
            </m:e>
            <m:sub>
              <m:r>
                <m:t>2</m:t>
              </m:r>
            </m:sub>
          </m:sSub>
          <m:r>
            <m:t> </m:t>
          </m:r>
          <m:sSub>
            <m:e>
              <m:r>
                <m:rPr>
                  <m:nor/>
                  <m:sty m:val="p"/>
                </m:rPr>
                <m:t>post_2011</m:t>
              </m:r>
            </m:e>
            <m:sub>
              <m:r>
                <m:t>i</m:t>
              </m:r>
            </m:sub>
          </m:sSub>
          <m:r>
            <m:rPr>
              <m:sty m:val="p"/>
            </m:rPr>
            <m:t>+</m:t>
          </m:r>
          <m:sSub>
            <m:e>
              <m:r>
                <m:t>β</m:t>
              </m:r>
            </m:e>
            <m:sub>
              <m:r>
                <m:t>3</m:t>
              </m:r>
            </m:sub>
          </m:sSub>
          <m:r>
            <m:t> </m:t>
          </m:r>
          <m:r>
            <m:rPr>
              <m:sty m:val="p"/>
            </m:rPr>
            <m:t>(</m:t>
          </m:r>
          <m:r>
            <m:rPr>
              <m:nor/>
              <m:sty m:val="p"/>
            </m:rPr>
            <m:t>decadal_priority</m:t>
          </m:r>
          <m:r>
            <m:rPr>
              <m:sty m:val="p"/>
            </m:rPr>
            <m:t>×</m:t>
          </m:r>
          <m:r>
            <m:rPr>
              <m:nor/>
              <m:sty m:val="p"/>
            </m:rPr>
            <m:t>post_2011</m:t>
          </m:r>
          <m:sSub>
            <m:e>
              <m:r>
                <m:rPr>
                  <m:sty m:val="p"/>
                </m:rPr>
                <m:t>)</m:t>
              </m:r>
            </m:e>
            <m:sub>
              <m:r>
                <m:t>i</m:t>
              </m:r>
            </m:sub>
          </m:sSub>
          <m:r>
            <m:rPr>
              <m:sty m:val="p"/>
            </m:rPr>
            <m:t>+</m:t>
          </m:r>
          <m:sSub>
            <m:e>
              <m:r>
                <m:t>ε</m:t>
              </m:r>
            </m:e>
            <m:sub>
              <m:r>
                <m:t>i</m:t>
              </m:r>
            </m:sub>
          </m:sSub>
        </m:oMath>
      </m:oMathPara>
    </w:p>
    <w:bookmarkEnd w:id="82"/>
    <w:bookmarkStart w:id="86"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5.6547</w:t>
            </w:r>
          </w:p>
        </w:tc>
        <w:tc>
          <w:tcPr>
            <w:tcW w:w="0" w:type="auto"/>
          </w:tcPr>
          <w:p>
            <w:pPr>
              <w:spacing w:line="240" w:lineRule="auto" w:before="0" w:after="0"/>
              <w:pStyle w:val="Compact"/>
            </w:pPr>
            <w:r>
              <w:rPr>
                <w:sz w:val="20"/>
                <w:szCs w:val="20"/>
              </w:rPr>
              <w:t xml:space="preserve">0.2166</w:t>
            </w:r>
          </w:p>
        </w:tc>
        <w:tc>
          <w:tcPr>
            <w:tcW w:w="0" w:type="auto"/>
          </w:tcPr>
          <w:p>
            <w:pPr>
              <w:spacing w:line="240" w:lineRule="auto" w:before="0" w:after="0"/>
              <w:pStyle w:val="Compact"/>
            </w:pPr>
            <w:r>
              <w:rPr>
                <w:sz w:val="20"/>
                <w:szCs w:val="20"/>
              </w:rPr>
              <w:t xml:space="preserve">26.1012</w:t>
            </w:r>
          </w:p>
        </w:tc>
        <w:tc>
          <w:tcPr>
            <w:tcW w:w="0" w:type="auto"/>
          </w:tcPr>
          <w:p>
            <w:pPr>
              <w:spacing w:line="240" w:lineRule="auto" w:before="0" w:after="0"/>
              <w:pStyle w:val="Compact"/>
            </w:pPr>
            <w:r>
              <w:rPr>
                <w:sz w:val="20"/>
                <w:szCs w:val="20"/>
              </w:rPr>
              <w:t xml:space="preserve">3.537e-150</w:t>
            </w:r>
          </w:p>
        </w:tc>
        <w:tc>
          <w:tcPr>
            <w:tcW w:w="0" w:type="auto"/>
          </w:tcPr>
          <w:p>
            <w:pPr>
              <w:spacing w:line="240" w:lineRule="auto" w:before="0" w:after="0"/>
              <w:pStyle w:val="Compact"/>
            </w:pPr>
            <w:r>
              <w:rPr>
                <w:sz w:val="20"/>
                <w:szCs w:val="20"/>
              </w:rPr>
              <w:t xml:space="preserve">[5.2301, 6.0793]</w:t>
            </w:r>
          </w:p>
        </w:tc>
      </w:tr>
      <w:tr>
        <w:tc>
          <w:tcPr>
            <w:tcW w:w="0" w:type="auto"/>
          </w:tcPr>
          <w:p>
            <w:pPr>
              <w:spacing w:line="240" w:lineRule="auto" w:before="0" w:after="0"/>
              <w:pStyle w:val="Compact"/>
            </w:pPr>
            <w:r>
              <w:rPr>
                <w:sz w:val="20"/>
                <w:szCs w:val="20"/>
              </w:rPr>
              <w:t xml:space="preserve">decadal_priority</w:t>
            </w:r>
          </w:p>
        </w:tc>
        <w:tc>
          <w:tcPr>
            <w:tcW w:w="0" w:type="auto"/>
          </w:tcPr>
          <w:p>
            <w:pPr>
              <w:spacing w:line="240" w:lineRule="auto" w:before="0" w:after="0"/>
              <w:pStyle w:val="Compact"/>
            </w:pPr>
            <w:r>
              <w:rPr>
                <w:sz w:val="20"/>
                <w:szCs w:val="20"/>
              </w:rPr>
              <w:t xml:space="preserve">1.2554</w:t>
            </w:r>
          </w:p>
        </w:tc>
        <w:tc>
          <w:tcPr>
            <w:tcW w:w="0" w:type="auto"/>
          </w:tcPr>
          <w:p>
            <w:pPr>
              <w:spacing w:line="240" w:lineRule="auto" w:before="0" w:after="0"/>
              <w:pStyle w:val="Compact"/>
            </w:pPr>
            <w:r>
              <w:rPr>
                <w:sz w:val="20"/>
                <w:szCs w:val="20"/>
              </w:rPr>
              <w:t xml:space="preserve">0.3804</w:t>
            </w:r>
          </w:p>
        </w:tc>
        <w:tc>
          <w:tcPr>
            <w:tcW w:w="0" w:type="auto"/>
          </w:tcPr>
          <w:p>
            <w:pPr>
              <w:spacing w:line="240" w:lineRule="auto" w:before="0" w:after="0"/>
              <w:pStyle w:val="Compact"/>
            </w:pPr>
            <w:r>
              <w:rPr>
                <w:sz w:val="20"/>
                <w:szCs w:val="20"/>
              </w:rPr>
              <w:t xml:space="preserve">3.3004</w:t>
            </w:r>
          </w:p>
        </w:tc>
        <w:tc>
          <w:tcPr>
            <w:tcW w:w="0" w:type="auto"/>
          </w:tcPr>
          <w:p>
            <w:pPr>
              <w:spacing w:line="240" w:lineRule="auto" w:before="0" w:after="0"/>
              <w:pStyle w:val="Compact"/>
            </w:pPr>
            <w:r>
              <w:rPr>
                <w:sz w:val="20"/>
                <w:szCs w:val="20"/>
              </w:rPr>
              <w:t xml:space="preserve">0.0009655</w:t>
            </w:r>
          </w:p>
        </w:tc>
        <w:tc>
          <w:tcPr>
            <w:tcW w:w="0" w:type="auto"/>
          </w:tcPr>
          <w:p>
            <w:pPr>
              <w:spacing w:line="240" w:lineRule="auto" w:before="0" w:after="0"/>
              <w:pStyle w:val="Compact"/>
            </w:pPr>
            <w:r>
              <w:rPr>
                <w:sz w:val="20"/>
                <w:szCs w:val="20"/>
              </w:rPr>
              <w:t xml:space="preserve">[0.5099, 2.001]</w:t>
            </w:r>
          </w:p>
        </w:tc>
      </w:tr>
      <w:tr>
        <w:tc>
          <w:tcPr>
            <w:tcW w:w="0" w:type="auto"/>
          </w:tcPr>
          <w:p>
            <w:pPr>
              <w:spacing w:line="240" w:lineRule="auto" w:before="0" w:after="0"/>
              <w:pStyle w:val="Compact"/>
            </w:pPr>
            <w:r>
              <w:rPr>
                <w:sz w:val="20"/>
                <w:szCs w:val="20"/>
              </w:rPr>
              <w:t xml:space="preserve">post_2011</w:t>
            </w:r>
          </w:p>
        </w:tc>
        <w:tc>
          <w:tcPr>
            <w:tcW w:w="0" w:type="auto"/>
          </w:tcPr>
          <w:p>
            <w:pPr>
              <w:spacing w:line="240" w:lineRule="auto" w:before="0" w:after="0"/>
              <w:pStyle w:val="Compact"/>
            </w:pPr>
            <w:r>
              <w:rPr>
                <w:sz w:val="20"/>
                <w:szCs w:val="20"/>
              </w:rPr>
              <w:t xml:space="preserve">1.3181</w:t>
            </w:r>
          </w:p>
        </w:tc>
        <w:tc>
          <w:tcPr>
            <w:tcW w:w="0" w:type="auto"/>
          </w:tcPr>
          <w:p>
            <w:pPr>
              <w:spacing w:line="240" w:lineRule="auto" w:before="0" w:after="0"/>
              <w:pStyle w:val="Compact"/>
            </w:pPr>
            <w:r>
              <w:rPr>
                <w:sz w:val="20"/>
                <w:szCs w:val="20"/>
              </w:rPr>
              <w:t xml:space="preserve">0.23</w:t>
            </w:r>
          </w:p>
        </w:tc>
        <w:tc>
          <w:tcPr>
            <w:tcW w:w="0" w:type="auto"/>
          </w:tcPr>
          <w:p>
            <w:pPr>
              <w:spacing w:line="240" w:lineRule="auto" w:before="0" w:after="0"/>
              <w:pStyle w:val="Compact"/>
            </w:pPr>
            <w:r>
              <w:rPr>
                <w:sz w:val="20"/>
                <w:szCs w:val="20"/>
              </w:rPr>
              <w:t xml:space="preserve">5.7317</w:t>
            </w:r>
          </w:p>
        </w:tc>
        <w:tc>
          <w:tcPr>
            <w:tcW w:w="0" w:type="auto"/>
          </w:tcPr>
          <w:p>
            <w:pPr>
              <w:spacing w:line="240" w:lineRule="auto" w:before="0" w:after="0"/>
              <w:pStyle w:val="Compact"/>
            </w:pPr>
            <w:r>
              <w:rPr>
                <w:sz w:val="20"/>
                <w:szCs w:val="20"/>
              </w:rPr>
              <w:t xml:space="preserve">9.942e-09</w:t>
            </w:r>
          </w:p>
        </w:tc>
        <w:tc>
          <w:tcPr>
            <w:tcW w:w="0" w:type="auto"/>
          </w:tcPr>
          <w:p>
            <w:pPr>
              <w:spacing w:line="240" w:lineRule="auto" w:before="0" w:after="0"/>
              <w:pStyle w:val="Compact"/>
            </w:pPr>
            <w:r>
              <w:rPr>
                <w:sz w:val="20"/>
                <w:szCs w:val="20"/>
              </w:rPr>
              <w:t xml:space="preserve">[0.8674, 1.7689]</w:t>
            </w:r>
          </w:p>
        </w:tc>
      </w:tr>
      <w:tr>
        <w:tc>
          <w:tcPr>
            <w:tcW w:w="0" w:type="auto"/>
          </w:tcPr>
          <w:p>
            <w:pPr>
              <w:spacing w:line="240" w:lineRule="auto" w:before="0" w:after="0"/>
              <w:pStyle w:val="Compact"/>
            </w:pPr>
            <w:r>
              <w:rPr>
                <w:sz w:val="20"/>
                <w:szCs w:val="20"/>
              </w:rPr>
              <w:t xml:space="preserve">did</w:t>
            </w:r>
          </w:p>
        </w:tc>
        <w:tc>
          <w:tcPr>
            <w:tcW w:w="0" w:type="auto"/>
          </w:tcPr>
          <w:p>
            <w:pPr>
              <w:spacing w:line="240" w:lineRule="auto" w:before="0" w:after="0"/>
              <w:pStyle w:val="Compact"/>
            </w:pPr>
            <w:r>
              <w:rPr>
                <w:sz w:val="20"/>
                <w:szCs w:val="20"/>
              </w:rPr>
              <w:t xml:space="preserve">-0.3955</w:t>
            </w:r>
          </w:p>
        </w:tc>
        <w:tc>
          <w:tcPr>
            <w:tcW w:w="0" w:type="auto"/>
          </w:tcPr>
          <w:p>
            <w:pPr>
              <w:spacing w:line="240" w:lineRule="auto" w:before="0" w:after="0"/>
              <w:pStyle w:val="Compact"/>
            </w:pPr>
            <w:r>
              <w:rPr>
                <w:sz w:val="20"/>
                <w:szCs w:val="20"/>
              </w:rPr>
              <w:t xml:space="preserve">0.5344</w:t>
            </w:r>
          </w:p>
        </w:tc>
        <w:tc>
          <w:tcPr>
            <w:tcW w:w="0" w:type="auto"/>
          </w:tcPr>
          <w:p>
            <w:pPr>
              <w:spacing w:line="240" w:lineRule="auto" w:before="0" w:after="0"/>
              <w:pStyle w:val="Compact"/>
            </w:pPr>
            <w:r>
              <w:rPr>
                <w:sz w:val="20"/>
                <w:szCs w:val="20"/>
              </w:rPr>
              <w:t xml:space="preserve">-0.7401</w:t>
            </w:r>
          </w:p>
        </w:tc>
        <w:tc>
          <w:tcPr>
            <w:tcW w:w="0" w:type="auto"/>
          </w:tcPr>
          <w:p>
            <w:pPr>
              <w:spacing w:line="240" w:lineRule="auto" w:before="0" w:after="0"/>
              <w:pStyle w:val="Compact"/>
            </w:pPr>
            <w:r>
              <w:rPr>
                <w:sz w:val="20"/>
                <w:szCs w:val="20"/>
              </w:rPr>
              <w:t xml:space="preserve">0.4593</w:t>
            </w:r>
          </w:p>
        </w:tc>
        <w:tc>
          <w:tcPr>
            <w:tcW w:w="0" w:type="auto"/>
          </w:tcPr>
          <w:p>
            <w:pPr>
              <w:spacing w:line="240" w:lineRule="auto" w:before="0" w:after="0"/>
              <w:pStyle w:val="Compact"/>
            </w:pPr>
            <w:r>
              <w:rPr>
                <w:sz w:val="20"/>
                <w:szCs w:val="20"/>
              </w:rPr>
              <w:t xml:space="preserve">[-1.4429, 0.6519]</w:t>
            </w:r>
          </w:p>
        </w:tc>
      </w:tr>
    </w:tbl>
    <w:p>
      <w:pPr>
        <w:pStyle w:val="BodyText"/>
      </w:pPr>
      <w:r>
        <w:t xml:space="preserve">Fit: N = 28 R2 = 0.5927 R2_adj = 0.5418 F = 13.3746 F_p = 2.463e-05</w:t>
      </w:r>
    </w:p>
    <w:p>
      <w:pPr>
        <w:pStyle w:val="CaptionedFigure"/>
      </w:pPr>
      <w:r>
        <w:drawing>
          <wp:inline>
            <wp:extent cx="5669280" cy="3657600"/>
            <wp:effectExtent b="0" l="0" r="0" t="0"/>
            <wp:docPr descr="Figure 1. Log mission lifecycle cost against selection year for 28 NASA planetary missions, 1977-2021, distinguishing decadal-prioritized destination classes (Mars, outer planets, ocean worlds) from control destinations (inner planets, small bodies, the Moon, exoplanet surveys). The vertical separation widening after the 2011 decadal survey is the visual signature the difference-in-differences design tests." title="" id="84" name="Picture"/>
            <a:graphic>
              <a:graphicData uri="http://schemas.openxmlformats.org/drawingml/2006/picture">
                <pic:pic>
                  <pic:nvPicPr>
                    <pic:cNvPr descr="D:\Claude_Code\brain\collegium\candidates\dissertations\JPL_PLANETARY_04\research_papers\p1\paper_fig1.png" id="85" name="Picture"/>
                    <pic:cNvPicPr>
                      <a:picLocks noChangeArrowheads="1" noChangeAspect="1"/>
                    </pic:cNvPicPr>
                  </pic:nvPicPr>
                  <pic:blipFill>
                    <a:blip r:embed="rId8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Log mission lifecycle cost against selection year for 28 NASA planetary missions, 1977-2021, distinguishing decadal-prioritized destination classes (Mars, outer planets, ocean worlds) from control destinations (inner planets, small bodies, the Moon, exoplanet surveys). The vertical separation widening after the 2011 decadal survey is the visual signature the difference-in-differences design tests.</w:t>
      </w:r>
    </w:p>
    <w:bookmarkEnd w:id="86"/>
    <w:bookmarkStart w:id="90"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7"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select_year</w:t>
            </w:r>
          </w:p>
        </w:tc>
        <w:tc>
          <w:tcPr>
            <w:tcW w:w="0" w:type="auto"/>
          </w:tcPr>
          <w:p>
            <w:pPr>
              <w:spacing w:line="240" w:lineRule="auto" w:before="0" w:after="0"/>
              <w:pStyle w:val="Compact"/>
            </w:pPr>
            <w:r>
              <w:rPr>
                <w:sz w:val="20"/>
                <w:szCs w:val="20"/>
              </w:rPr>
              <w:t xml:space="preserve">destination_class</w:t>
            </w:r>
          </w:p>
        </w:tc>
        <w:tc>
          <w:tcPr>
            <w:tcW w:w="0" w:type="auto"/>
          </w:tcPr>
          <w:p>
            <w:pPr>
              <w:spacing w:line="240" w:lineRule="auto" w:before="0" w:after="0"/>
              <w:pStyle w:val="Compact"/>
            </w:pPr>
            <w:r>
              <w:rPr>
                <w:sz w:val="20"/>
                <w:szCs w:val="20"/>
              </w:rPr>
              <w:t xml:space="preserve">decadal_priority</w:t>
            </w:r>
          </w:p>
        </w:tc>
        <w:tc>
          <w:tcPr>
            <w:tcW w:w="0" w:type="auto"/>
          </w:tcPr>
          <w:p>
            <w:pPr>
              <w:spacing w:line="240" w:lineRule="auto" w:before="0" w:after="0"/>
              <w:pStyle w:val="Compact"/>
            </w:pPr>
            <w:r>
              <w:rPr>
                <w:sz w:val="20"/>
                <w:szCs w:val="20"/>
              </w:rPr>
              <w:t xml:space="preserve">post_2011</w:t>
            </w:r>
          </w:p>
        </w:tc>
        <w:tc>
          <w:tcPr>
            <w:tcW w:w="0" w:type="auto"/>
          </w:tcPr>
          <w:p>
            <w:pPr>
              <w:spacing w:line="240" w:lineRule="auto" w:before="0" w:after="0"/>
              <w:pStyle w:val="Compact"/>
            </w:pPr>
            <w:r>
              <w:rPr>
                <w:sz w:val="20"/>
                <w:szCs w:val="20"/>
              </w:rPr>
              <w:t xml:space="preserve">did</w:t>
            </w:r>
          </w:p>
        </w:tc>
        <w:tc>
          <w:tcPr>
            <w:tcW w:w="0" w:type="auto"/>
          </w:tcPr>
          <w:p>
            <w:pPr>
              <w:spacing w:line="240" w:lineRule="auto" w:before="0" w:after="0"/>
              <w:pStyle w:val="Compact"/>
            </w:pPr>
            <w:r>
              <w:rPr>
                <w:sz w:val="20"/>
                <w:szCs w:val="20"/>
              </w:rPr>
              <w:t xml:space="preserve">lcc_musd</w:t>
            </w:r>
          </w:p>
        </w:tc>
        <w:tc>
          <w:tcPr>
            <w:tcW w:w="0" w:type="auto"/>
          </w:tcPr>
          <w:p>
            <w:pPr>
              <w:spacing w:line="240" w:lineRule="auto" w:before="0" w:after="0"/>
              <w:pStyle w:val="Compact"/>
            </w:pPr>
            <w:r>
              <w:rPr>
                <w:sz w:val="20"/>
                <w:szCs w:val="20"/>
              </w:rPr>
              <w:t xml:space="preserve">log_lcc</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Mars Pathfinder</w:t>
            </w:r>
          </w:p>
        </w:tc>
        <w:tc>
          <w:tcPr>
            <w:tcW w:w="0" w:type="auto"/>
          </w:tcPr>
          <w:p>
            <w:pPr>
              <w:spacing w:line="240" w:lineRule="auto" w:before="0" w:after="0"/>
              <w:pStyle w:val="Compact"/>
            </w:pPr>
            <w:r>
              <w:rPr>
                <w:sz w:val="20"/>
                <w:szCs w:val="20"/>
              </w:rPr>
              <w:t xml:space="preserve">1994</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280</w:t>
            </w:r>
          </w:p>
        </w:tc>
        <w:tc>
          <w:tcPr>
            <w:tcW w:w="0" w:type="auto"/>
          </w:tcPr>
          <w:p>
            <w:pPr>
              <w:spacing w:line="240" w:lineRule="auto" w:before="0" w:after="0"/>
              <w:pStyle w:val="Compact"/>
            </w:pPr>
            <w:r>
              <w:rPr>
                <w:sz w:val="20"/>
                <w:szCs w:val="20"/>
              </w:rPr>
              <w:t xml:space="preserve">5.635</w:t>
            </w:r>
          </w:p>
        </w:tc>
        <w:tc>
          <w:tcPr>
            <w:tcW w:w="0" w:type="auto"/>
          </w:tcPr>
          <w:p>
            <w:pPr>
              <w:spacing w:line="240" w:lineRule="auto" w:before="0" w:after="0"/>
              <w:pStyle w:val="Compact"/>
            </w:pPr>
            <w:r>
              <w:rPr>
                <w:sz w:val="20"/>
                <w:szCs w:val="20"/>
              </w:rPr>
              <w:t xml:space="preserve">NASA/JPL Discovery program; lifecycle cost ~$280M then-year (NSSDCA discovery program list, nssdc.gsfc.nasa.gov/planetary/discovery.html)</w:t>
            </w:r>
          </w:p>
        </w:tc>
      </w:tr>
      <w:tr>
        <w:tc>
          <w:tcPr>
            <w:tcW w:w="0" w:type="auto"/>
          </w:tcPr>
          <w:p>
            <w:pPr>
              <w:spacing w:line="240" w:lineRule="auto" w:before="0" w:after="0"/>
              <w:pStyle w:val="Compact"/>
            </w:pPr>
            <w:r>
              <w:rPr>
                <w:sz w:val="20"/>
                <w:szCs w:val="20"/>
              </w:rPr>
              <w:t xml:space="preserve">NEAR Shoemaker</w:t>
            </w:r>
          </w:p>
        </w:tc>
        <w:tc>
          <w:tcPr>
            <w:tcW w:w="0" w:type="auto"/>
          </w:tcPr>
          <w:p>
            <w:pPr>
              <w:spacing w:line="240" w:lineRule="auto" w:before="0" w:after="0"/>
              <w:pStyle w:val="Compact"/>
            </w:pPr>
            <w:r>
              <w:rPr>
                <w:sz w:val="20"/>
                <w:szCs w:val="20"/>
              </w:rPr>
              <w:t xml:space="preserve">1994</w:t>
            </w:r>
          </w:p>
        </w:tc>
        <w:tc>
          <w:tcPr>
            <w:tcW w:w="0" w:type="auto"/>
          </w:tcPr>
          <w:p>
            <w:pPr>
              <w:spacing w:line="240" w:lineRule="auto" w:before="0" w:after="0"/>
              <w:pStyle w:val="Compact"/>
            </w:pPr>
            <w:r>
              <w:rPr>
                <w:sz w:val="20"/>
                <w:szCs w:val="20"/>
              </w:rPr>
              <w:t xml:space="preserve">small_body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224</w:t>
            </w:r>
          </w:p>
        </w:tc>
        <w:tc>
          <w:tcPr>
            <w:tcW w:w="0" w:type="auto"/>
          </w:tcPr>
          <w:p>
            <w:pPr>
              <w:spacing w:line="240" w:lineRule="auto" w:before="0" w:after="0"/>
              <w:pStyle w:val="Compact"/>
            </w:pPr>
            <w:r>
              <w:rPr>
                <w:sz w:val="20"/>
                <w:szCs w:val="20"/>
              </w:rPr>
              <w:t xml:space="preserve">5.412</w:t>
            </w:r>
          </w:p>
        </w:tc>
        <w:tc>
          <w:tcPr>
            <w:tcW w:w="0" w:type="auto"/>
          </w:tcPr>
          <w:p>
            <w:pPr>
              <w:spacing w:line="240" w:lineRule="auto" w:before="0" w:after="0"/>
              <w:pStyle w:val="Compact"/>
            </w:pPr>
            <w:r>
              <w:rPr>
                <w:sz w:val="20"/>
                <w:szCs w:val="20"/>
              </w:rPr>
              <w:t xml:space="preserve">NASA Discovery program; total ~$224M (NSSDCA discovery program list, nssdc.gsfc.nasa.gov/planetary/discovery.html)</w:t>
            </w:r>
          </w:p>
        </w:tc>
      </w:tr>
      <w:tr>
        <w:tc>
          <w:tcPr>
            <w:tcW w:w="0" w:type="auto"/>
          </w:tcPr>
          <w:p>
            <w:pPr>
              <w:spacing w:line="240" w:lineRule="auto" w:before="0" w:after="0"/>
              <w:pStyle w:val="Compact"/>
            </w:pPr>
            <w:r>
              <w:rPr>
                <w:sz w:val="20"/>
                <w:szCs w:val="20"/>
              </w:rPr>
              <w:t xml:space="preserve">Lunar Prospector</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4.143</w:t>
            </w:r>
          </w:p>
        </w:tc>
        <w:tc>
          <w:tcPr>
            <w:tcW w:w="0" w:type="auto"/>
          </w:tcPr>
          <w:p>
            <w:pPr>
              <w:spacing w:line="240" w:lineRule="auto" w:before="0" w:after="0"/>
              <w:pStyle w:val="Compact"/>
            </w:pPr>
            <w:r>
              <w:rPr>
                <w:sz w:val="20"/>
                <w:szCs w:val="20"/>
              </w:rPr>
              <w:t xml:space="preserve">NASA Discovery program; ~$63M total (NSSDCA discovery program list, nssdc.gsfc.nasa.gov/planetary/discovery.html)</w:t>
            </w:r>
          </w:p>
        </w:tc>
      </w:tr>
      <w:tr>
        <w:tc>
          <w:tcPr>
            <w:tcW w:w="0" w:type="auto"/>
          </w:tcPr>
          <w:p>
            <w:pPr>
              <w:spacing w:line="240" w:lineRule="auto" w:before="0" w:after="0"/>
              <w:pStyle w:val="Compact"/>
            </w:pPr>
            <w:r>
              <w:rPr>
                <w:sz w:val="20"/>
                <w:szCs w:val="20"/>
              </w:rPr>
              <w:t xml:space="preserve">Stardust</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small_body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5.704</w:t>
            </w:r>
          </w:p>
        </w:tc>
        <w:tc>
          <w:tcPr>
            <w:tcW w:w="0" w:type="auto"/>
          </w:tcPr>
          <w:p>
            <w:pPr>
              <w:spacing w:line="240" w:lineRule="auto" w:before="0" w:after="0"/>
              <w:pStyle w:val="Compact"/>
            </w:pPr>
            <w:r>
              <w:rPr>
                <w:sz w:val="20"/>
                <w:szCs w:val="20"/>
              </w:rPr>
              <w:t xml:space="preserve">NASA Discovery program comet sample return; ~$300M (historicspacecraft.com/Probes_Discovery.html)</w:t>
            </w:r>
          </w:p>
        </w:tc>
      </w:tr>
      <w:tr>
        <w:tc>
          <w:tcPr>
            <w:tcW w:w="0" w:type="auto"/>
          </w:tcPr>
          <w:p>
            <w:pPr>
              <w:spacing w:line="240" w:lineRule="auto" w:before="0" w:after="0"/>
              <w:pStyle w:val="Compact"/>
            </w:pPr>
            <w:r>
              <w:rPr>
                <w:sz w:val="20"/>
                <w:szCs w:val="20"/>
              </w:rPr>
              <w:t xml:space="preserve">Genesis</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small_body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260</w:t>
            </w:r>
          </w:p>
        </w:tc>
        <w:tc>
          <w:tcPr>
            <w:tcW w:w="0" w:type="auto"/>
          </w:tcPr>
          <w:p>
            <w:pPr>
              <w:spacing w:line="240" w:lineRule="auto" w:before="0" w:after="0"/>
              <w:pStyle w:val="Compact"/>
            </w:pPr>
            <w:r>
              <w:rPr>
                <w:sz w:val="20"/>
                <w:szCs w:val="20"/>
              </w:rPr>
              <w:t xml:space="preserve">5.561</w:t>
            </w:r>
          </w:p>
        </w:tc>
        <w:tc>
          <w:tcPr>
            <w:tcW w:w="0" w:type="auto"/>
          </w:tcPr>
          <w:p>
            <w:pPr>
              <w:spacing w:line="240" w:lineRule="auto" w:before="0" w:after="0"/>
              <w:pStyle w:val="Compact"/>
            </w:pPr>
            <w:r>
              <w:rPr>
                <w:sz w:val="20"/>
                <w:szCs w:val="20"/>
              </w:rPr>
              <w:t xml:space="preserve">NASA Discovery solar-wind sample return; ~$260M (historicspacecraft.com/Probes_Discovery.html)</w:t>
            </w:r>
          </w:p>
        </w:tc>
      </w:tr>
      <w:tr>
        <w:tc>
          <w:tcPr>
            <w:tcW w:w="0" w:type="auto"/>
          </w:tcPr>
          <w:p>
            <w:pPr>
              <w:spacing w:line="240" w:lineRule="auto" w:before="0" w:after="0"/>
              <w:pStyle w:val="Compact"/>
            </w:pPr>
            <w:r>
              <w:rPr>
                <w:sz w:val="20"/>
                <w:szCs w:val="20"/>
              </w:rPr>
              <w:t xml:space="preserve">CONTOUR</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small_body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159</w:t>
            </w:r>
          </w:p>
        </w:tc>
        <w:tc>
          <w:tcPr>
            <w:tcW w:w="0" w:type="auto"/>
          </w:tcPr>
          <w:p>
            <w:pPr>
              <w:spacing w:line="240" w:lineRule="auto" w:before="0" w:after="0"/>
              <w:pStyle w:val="Compact"/>
            </w:pPr>
            <w:r>
              <w:rPr>
                <w:sz w:val="20"/>
                <w:szCs w:val="20"/>
              </w:rPr>
              <w:t xml:space="preserve">5.069</w:t>
            </w:r>
          </w:p>
        </w:tc>
        <w:tc>
          <w:tcPr>
            <w:tcW w:w="0" w:type="auto"/>
          </w:tcPr>
          <w:p>
            <w:pPr>
              <w:spacing w:line="240" w:lineRule="auto" w:before="0" w:after="0"/>
              <w:pStyle w:val="Compact"/>
            </w:pPr>
            <w:r>
              <w:rPr>
                <w:sz w:val="20"/>
                <w:szCs w:val="20"/>
              </w:rPr>
              <w:t xml:space="preserve">NASA Discovery comet mission (lost 2002); ~$159M (NSSDCA discovery program list, nssdc.gsfc.nasa.gov/planetary/discovery.html)</w:t>
            </w:r>
          </w:p>
        </w:tc>
      </w:tr>
      <w:tr>
        <w:tc>
          <w:tcPr>
            <w:tcW w:w="0" w:type="auto"/>
          </w:tcPr>
          <w:p>
            <w:pPr>
              <w:spacing w:line="240" w:lineRule="auto" w:before="0" w:after="0"/>
              <w:pStyle w:val="Compact"/>
            </w:pPr>
            <w:r>
              <w:rPr>
                <w:sz w:val="20"/>
                <w:szCs w:val="20"/>
              </w:rPr>
              <w:t xml:space="preserve">MESSENGER</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inner_planet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6.109</w:t>
            </w:r>
          </w:p>
        </w:tc>
        <w:tc>
          <w:tcPr>
            <w:tcW w:w="0" w:type="auto"/>
          </w:tcPr>
          <w:p>
            <w:pPr>
              <w:spacing w:line="240" w:lineRule="auto" w:before="0" w:after="0"/>
              <w:pStyle w:val="Compact"/>
            </w:pPr>
            <w:r>
              <w:rPr>
                <w:sz w:val="20"/>
                <w:szCs w:val="20"/>
              </w:rPr>
              <w:t xml:space="preserve">NASA Discovery Mercury orbiter; total mission cost under $450M (en.wikipedia.org/wiki/MESSENGER; nasa.gov/history/messenger-from-setbacks-to-success)</w:t>
            </w:r>
          </w:p>
        </w:tc>
      </w:tr>
      <w:tr>
        <w:tc>
          <w:tcPr>
            <w:tcW w:w="0" w:type="auto"/>
          </w:tcPr>
          <w:p>
            <w:pPr>
              <w:spacing w:line="240" w:lineRule="auto" w:before="0" w:after="0"/>
              <w:pStyle w:val="Compact"/>
            </w:pPr>
            <w:r>
              <w:rPr>
                <w:sz w:val="20"/>
                <w:szCs w:val="20"/>
              </w:rPr>
              <w:t xml:space="preserve">Deep Impact</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small_body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330</w:t>
            </w:r>
          </w:p>
        </w:tc>
        <w:tc>
          <w:tcPr>
            <w:tcW w:w="0" w:type="auto"/>
          </w:tcPr>
          <w:p>
            <w:pPr>
              <w:spacing w:line="240" w:lineRule="auto" w:before="0" w:after="0"/>
              <w:pStyle w:val="Compact"/>
            </w:pPr>
            <w:r>
              <w:rPr>
                <w:sz w:val="20"/>
                <w:szCs w:val="20"/>
              </w:rPr>
              <w:t xml:space="preserve">5.799</w:t>
            </w:r>
          </w:p>
        </w:tc>
        <w:tc>
          <w:tcPr>
            <w:tcW w:w="0" w:type="auto"/>
          </w:tcPr>
          <w:p>
            <w:pPr>
              <w:spacing w:line="240" w:lineRule="auto" w:before="0" w:after="0"/>
              <w:pStyle w:val="Compact"/>
            </w:pPr>
            <w:r>
              <w:rPr>
                <w:sz w:val="20"/>
                <w:szCs w:val="20"/>
              </w:rPr>
              <w:t xml:space="preserve">NASA Discovery comet impactor; ~$330M (historicspacecraft.com/Probes_Discovery.html)</w:t>
            </w:r>
          </w:p>
        </w:tc>
      </w:tr>
      <w:tr>
        <w:tc>
          <w:tcPr>
            <w:tcW w:w="0" w:type="auto"/>
          </w:tcPr>
          <w:p>
            <w:pPr>
              <w:spacing w:line="240" w:lineRule="auto" w:before="0" w:after="0"/>
              <w:pStyle w:val="Compact"/>
            </w:pPr>
            <w:r>
              <w:rPr>
                <w:sz w:val="20"/>
                <w:szCs w:val="20"/>
              </w:rPr>
              <w:t xml:space="preserve">Cassini-Huygens</w:t>
            </w:r>
          </w:p>
        </w:tc>
        <w:tc>
          <w:tcPr>
            <w:tcW w:w="0" w:type="auto"/>
          </w:tcPr>
          <w:p>
            <w:pPr>
              <w:spacing w:line="240" w:lineRule="auto" w:before="0" w:after="0"/>
              <w:pStyle w:val="Compact"/>
            </w:pPr>
            <w:r>
              <w:rPr>
                <w:sz w:val="20"/>
                <w:szCs w:val="20"/>
              </w:rPr>
              <w:t xml:space="preserve">1989</w:t>
            </w:r>
          </w:p>
        </w:tc>
        <w:tc>
          <w:tcPr>
            <w:tcW w:w="0" w:type="auto"/>
          </w:tcPr>
          <w:p>
            <w:pPr>
              <w:spacing w:line="240" w:lineRule="auto" w:before="0" w:after="0"/>
              <w:pStyle w:val="Compact"/>
            </w:pPr>
            <w:r>
              <w:rPr>
                <w:sz w:val="20"/>
                <w:szCs w:val="20"/>
              </w:rPr>
              <w:t xml:space="preserve">outer_planet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3900</w:t>
            </w:r>
          </w:p>
        </w:tc>
        <w:tc>
          <w:tcPr>
            <w:tcW w:w="0" w:type="auto"/>
          </w:tcPr>
          <w:p>
            <w:pPr>
              <w:spacing w:line="240" w:lineRule="auto" w:before="0" w:after="0"/>
              <w:pStyle w:val="Compact"/>
            </w:pPr>
            <w:r>
              <w:rPr>
                <w:sz w:val="20"/>
                <w:szCs w:val="20"/>
              </w:rPr>
              <w:t xml:space="preserve">8.269</w:t>
            </w:r>
          </w:p>
        </w:tc>
        <w:tc>
          <w:tcPr>
            <w:tcW w:w="0" w:type="auto"/>
          </w:tcPr>
          <w:p>
            <w:pPr>
              <w:spacing w:line="240" w:lineRule="auto" w:before="0" w:after="0"/>
              <w:pStyle w:val="Compact"/>
            </w:pPr>
            <w:r>
              <w:rPr>
                <w:sz w:val="20"/>
                <w:szCs w:val="20"/>
              </w:rPr>
              <w:t xml:space="preserve">NASA-ESA flagship Saturn orbiter; total ~$3.9B (science.nasa.gov/mission/cassini/quick-facts; en.wikipedia.org/wiki/Cassini-Huygens)</w:t>
            </w:r>
          </w:p>
        </w:tc>
      </w:tr>
      <w:tr>
        <w:tc>
          <w:tcPr>
            <w:tcW w:w="0" w:type="auto"/>
          </w:tcPr>
          <w:p>
            <w:pPr>
              <w:spacing w:line="240" w:lineRule="auto" w:before="0" w:after="0"/>
              <w:pStyle w:val="Compact"/>
            </w:pPr>
            <w:r>
              <w:rPr>
                <w:sz w:val="20"/>
                <w:szCs w:val="20"/>
              </w:rPr>
              <w:t xml:space="preserve">Galileo</w:t>
            </w:r>
          </w:p>
        </w:tc>
        <w:tc>
          <w:tcPr>
            <w:tcW w:w="0" w:type="auto"/>
          </w:tcPr>
          <w:p>
            <w:pPr>
              <w:spacing w:line="240" w:lineRule="auto" w:before="0" w:after="0"/>
              <w:pStyle w:val="Compact"/>
            </w:pPr>
            <w:r>
              <w:rPr>
                <w:sz w:val="20"/>
                <w:szCs w:val="20"/>
              </w:rPr>
              <w:t xml:space="preserve">1977</w:t>
            </w:r>
          </w:p>
        </w:tc>
        <w:tc>
          <w:tcPr>
            <w:tcW w:w="0" w:type="auto"/>
          </w:tcPr>
          <w:p>
            <w:pPr>
              <w:spacing w:line="240" w:lineRule="auto" w:before="0" w:after="0"/>
              <w:pStyle w:val="Compact"/>
            </w:pPr>
            <w:r>
              <w:rPr>
                <w:sz w:val="20"/>
                <w:szCs w:val="20"/>
              </w:rPr>
              <w:t xml:space="preserve">outer_planet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7.244</w:t>
            </w:r>
          </w:p>
        </w:tc>
        <w:tc>
          <w:tcPr>
            <w:tcW w:w="0" w:type="auto"/>
          </w:tcPr>
          <w:p>
            <w:pPr>
              <w:spacing w:line="240" w:lineRule="auto" w:before="0" w:after="0"/>
              <w:pStyle w:val="Compact"/>
            </w:pPr>
            <w:r>
              <w:rPr>
                <w:sz w:val="20"/>
                <w:szCs w:val="20"/>
              </w:rPr>
              <w:t xml:space="preserve">NASA flagship Jupiter orbiter; total ~$1.4B (nasa.fandom Galileo; NASA large strategic science missions, en.wikipedia.org)</w:t>
            </w:r>
          </w:p>
        </w:tc>
      </w:tr>
      <w:tr>
        <w:tc>
          <w:tcPr>
            <w:tcW w:w="0" w:type="auto"/>
          </w:tcPr>
          <w:p>
            <w:pPr>
              <w:spacing w:line="240" w:lineRule="auto" w:before="0" w:after="0"/>
              <w:pStyle w:val="Compact"/>
            </w:pPr>
            <w:r>
              <w:rPr>
                <w:sz w:val="20"/>
                <w:szCs w:val="20"/>
              </w:rPr>
              <w:t xml:space="preserve">Dawn</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small_body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467</w:t>
            </w:r>
          </w:p>
        </w:tc>
        <w:tc>
          <w:tcPr>
            <w:tcW w:w="0" w:type="auto"/>
          </w:tcPr>
          <w:p>
            <w:pPr>
              <w:spacing w:line="240" w:lineRule="auto" w:before="0" w:after="0"/>
              <w:pStyle w:val="Compact"/>
            </w:pPr>
            <w:r>
              <w:rPr>
                <w:sz w:val="20"/>
                <w:szCs w:val="20"/>
              </w:rPr>
              <w:t xml:space="preserve">6.146</w:t>
            </w:r>
          </w:p>
        </w:tc>
        <w:tc>
          <w:tcPr>
            <w:tcW w:w="0" w:type="auto"/>
          </w:tcPr>
          <w:p>
            <w:pPr>
              <w:spacing w:line="240" w:lineRule="auto" w:before="0" w:after="0"/>
              <w:pStyle w:val="Compact"/>
            </w:pPr>
            <w:r>
              <w:rPr>
                <w:sz w:val="20"/>
                <w:szCs w:val="20"/>
              </w:rPr>
              <w:t xml:space="preserve">NASA Discovery Vesta/Ceres orbiter; ~$467M lifecycle (en.wikipedia.org/wiki/Discovery_Program; historicspacecraft.com)</w:t>
            </w:r>
          </w:p>
        </w:tc>
      </w:tr>
      <w:tr>
        <w:tc>
          <w:tcPr>
            <w:tcW w:w="0" w:type="auto"/>
          </w:tcPr>
          <w:p>
            <w:pPr>
              <w:spacing w:line="240" w:lineRule="auto" w:before="0" w:after="0"/>
              <w:pStyle w:val="Compact"/>
            </w:pPr>
            <w:r>
              <w:rPr>
                <w:sz w:val="20"/>
                <w:szCs w:val="20"/>
              </w:rPr>
              <w:t xml:space="preserve">Kepler</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exoplanet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6.397</w:t>
            </w:r>
          </w:p>
        </w:tc>
        <w:tc>
          <w:tcPr>
            <w:tcW w:w="0" w:type="auto"/>
          </w:tcPr>
          <w:p>
            <w:pPr>
              <w:spacing w:line="240" w:lineRule="auto" w:before="0" w:after="0"/>
              <w:pStyle w:val="Compact"/>
            </w:pPr>
            <w:r>
              <w:rPr>
                <w:sz w:val="20"/>
                <w:szCs w:val="20"/>
              </w:rPr>
              <w:t xml:space="preserve">NASA Discovery exoplanet telescope; ~$600M lifecycle (en.wikipedia.org/wiki/Discovery_Program)</w:t>
            </w:r>
          </w:p>
        </w:tc>
      </w:tr>
      <w:tr>
        <w:tc>
          <w:tcPr>
            <w:tcW w:w="0" w:type="auto"/>
          </w:tcPr>
          <w:p>
            <w:pPr>
              <w:spacing w:line="240" w:lineRule="auto" w:before="0" w:after="0"/>
              <w:pStyle w:val="Compact"/>
            </w:pPr>
            <w:r>
              <w:rPr>
                <w:sz w:val="20"/>
                <w:szCs w:val="20"/>
              </w:rPr>
              <w:t xml:space="preserve">New Horizons</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outer_planet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781</w:t>
            </w:r>
          </w:p>
        </w:tc>
        <w:tc>
          <w:tcPr>
            <w:tcW w:w="0" w:type="auto"/>
          </w:tcPr>
          <w:p>
            <w:pPr>
              <w:spacing w:line="240" w:lineRule="auto" w:before="0" w:after="0"/>
              <w:pStyle w:val="Compact"/>
            </w:pPr>
            <w:r>
              <w:rPr>
                <w:sz w:val="20"/>
                <w:szCs w:val="20"/>
              </w:rPr>
              <w:t xml:space="preserve">6.66</w:t>
            </w:r>
          </w:p>
        </w:tc>
        <w:tc>
          <w:tcPr>
            <w:tcW w:w="0" w:type="auto"/>
          </w:tcPr>
          <w:p>
            <w:pPr>
              <w:spacing w:line="240" w:lineRule="auto" w:before="0" w:after="0"/>
              <w:pStyle w:val="Compact"/>
            </w:pPr>
            <w:r>
              <w:rPr>
                <w:sz w:val="20"/>
                <w:szCs w:val="20"/>
              </w:rPr>
              <w:t xml:space="preserve">NASA New Frontiers-1 Pluto flyby; total project ~$780.6M (planetary.org/space-policy/cost-of-new-horizons; en.wikipedia.org/wiki/New_Horizons)</w:t>
            </w:r>
          </w:p>
        </w:tc>
      </w:tr>
      <w:tr>
        <w:tc>
          <w:tcPr>
            <w:tcW w:w="0" w:type="auto"/>
          </w:tcPr>
          <w:p>
            <w:pPr>
              <w:spacing w:line="240" w:lineRule="auto" w:before="0" w:after="0"/>
              <w:pStyle w:val="Compact"/>
            </w:pPr>
            <w:r>
              <w:rPr>
                <w:sz w:val="20"/>
                <w:szCs w:val="20"/>
              </w:rPr>
              <w:t xml:space="preserve">MRO</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6.579</w:t>
            </w:r>
          </w:p>
        </w:tc>
        <w:tc>
          <w:tcPr>
            <w:tcW w:w="0" w:type="auto"/>
          </w:tcPr>
          <w:p>
            <w:pPr>
              <w:spacing w:line="240" w:lineRule="auto" w:before="0" w:after="0"/>
              <w:pStyle w:val="Compact"/>
            </w:pPr>
            <w:r>
              <w:rPr>
                <w:sz w:val="20"/>
                <w:szCs w:val="20"/>
              </w:rPr>
              <w:t xml:space="preserve">NASA Mars Reconnaissance Orbiter; ~$720M lifecycle (NASA large strategic science missions, en.wikipedia.org)</w:t>
            </w:r>
          </w:p>
        </w:tc>
      </w:tr>
      <w:tr>
        <w:tc>
          <w:tcPr>
            <w:tcW w:w="0" w:type="auto"/>
          </w:tcPr>
          <w:p>
            <w:pPr>
              <w:spacing w:line="240" w:lineRule="auto" w:before="0" w:after="0"/>
              <w:pStyle w:val="Compact"/>
            </w:pPr>
            <w:r>
              <w:rPr>
                <w:sz w:val="20"/>
                <w:szCs w:val="20"/>
              </w:rPr>
              <w:t xml:space="preserve">Phoenix</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420</w:t>
            </w:r>
          </w:p>
        </w:tc>
        <w:tc>
          <w:tcPr>
            <w:tcW w:w="0" w:type="auto"/>
          </w:tcPr>
          <w:p>
            <w:pPr>
              <w:spacing w:line="240" w:lineRule="auto" w:before="0" w:after="0"/>
              <w:pStyle w:val="Compact"/>
            </w:pPr>
            <w:r>
              <w:rPr>
                <w:sz w:val="20"/>
                <w:szCs w:val="20"/>
              </w:rPr>
              <w:t xml:space="preserve">6.04</w:t>
            </w:r>
          </w:p>
        </w:tc>
        <w:tc>
          <w:tcPr>
            <w:tcW w:w="0" w:type="auto"/>
          </w:tcPr>
          <w:p>
            <w:pPr>
              <w:spacing w:line="240" w:lineRule="auto" w:before="0" w:after="0"/>
              <w:pStyle w:val="Compact"/>
            </w:pPr>
            <w:r>
              <w:rPr>
                <w:sz w:val="20"/>
                <w:szCs w:val="20"/>
              </w:rPr>
              <w:t xml:space="preserve">NASA Mars Scout lander; ~$420M (NASA Mars program; en.wikipedia.org/wiki/Phoenix_(spacecraft))</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outer_planet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1130</w:t>
            </w:r>
          </w:p>
        </w:tc>
        <w:tc>
          <w:tcPr>
            <w:tcW w:w="0" w:type="auto"/>
          </w:tcPr>
          <w:p>
            <w:pPr>
              <w:spacing w:line="240" w:lineRule="auto" w:before="0" w:after="0"/>
              <w:pStyle w:val="Compact"/>
            </w:pPr>
            <w:r>
              <w:rPr>
                <w:sz w:val="20"/>
                <w:szCs w:val="20"/>
              </w:rPr>
              <w:t xml:space="preserve">7.03</w:t>
            </w:r>
          </w:p>
        </w:tc>
        <w:tc>
          <w:tcPr>
            <w:tcW w:w="0" w:type="auto"/>
          </w:tcPr>
          <w:p>
            <w:pPr>
              <w:spacing w:line="240" w:lineRule="auto" w:before="0" w:after="0"/>
              <w:pStyle w:val="Compact"/>
            </w:pPr>
            <w:r>
              <w:rPr>
                <w:sz w:val="20"/>
                <w:szCs w:val="20"/>
              </w:rPr>
              <w:t xml:space="preserve">NASA New Frontiers-2 Jupiter orbiter; ~$1.13B development+launch (en.wikipedia.org/wiki/Juno_(spacecraft))</w:t>
            </w:r>
          </w:p>
        </w:tc>
      </w:tr>
      <w:tr>
        <w:tc>
          <w:tcPr>
            <w:tcW w:w="0" w:type="auto"/>
          </w:tcPr>
          <w:p>
            <w:pPr>
              <w:spacing w:line="240" w:lineRule="auto" w:before="0" w:after="0"/>
              <w:pStyle w:val="Compact"/>
            </w:pPr>
            <w:r>
              <w:rPr>
                <w:sz w:val="20"/>
                <w:szCs w:val="20"/>
              </w:rPr>
              <w:t xml:space="preserve">GRAIL</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moon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496</w:t>
            </w:r>
          </w:p>
        </w:tc>
        <w:tc>
          <w:tcPr>
            <w:tcW w:w="0" w:type="auto"/>
          </w:tcPr>
          <w:p>
            <w:pPr>
              <w:spacing w:line="240" w:lineRule="auto" w:before="0" w:after="0"/>
              <w:pStyle w:val="Compact"/>
            </w:pPr>
            <w:r>
              <w:rPr>
                <w:sz w:val="20"/>
                <w:szCs w:val="20"/>
              </w:rPr>
              <w:t xml:space="preserve">6.207</w:t>
            </w:r>
          </w:p>
        </w:tc>
        <w:tc>
          <w:tcPr>
            <w:tcW w:w="0" w:type="auto"/>
          </w:tcPr>
          <w:p>
            <w:pPr>
              <w:spacing w:line="240" w:lineRule="auto" w:before="0" w:after="0"/>
              <w:pStyle w:val="Compact"/>
            </w:pPr>
            <w:r>
              <w:rPr>
                <w:sz w:val="20"/>
                <w:szCs w:val="20"/>
              </w:rPr>
              <w:t xml:space="preserve">NASA Discovery lunar gravity mission; selected 2007 budget ~$375M then-year, ~$496M lifecycle (en.wikipedia.org/wiki/Discovery_Program)</w:t>
            </w:r>
          </w:p>
        </w:tc>
      </w:tr>
      <w:tr>
        <w:tc>
          <w:tcPr>
            <w:tcW w:w="0" w:type="auto"/>
          </w:tcPr>
          <w:p>
            <w:pPr>
              <w:spacing w:line="240" w:lineRule="auto" w:before="0" w:after="0"/>
              <w:pStyle w:val="Compact"/>
            </w:pPr>
            <w:r>
              <w:rPr>
                <w:sz w:val="20"/>
                <w:szCs w:val="20"/>
              </w:rPr>
              <w:t xml:space="preserve">Mars Science Laboratory</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2500</w:t>
            </w:r>
          </w:p>
        </w:tc>
        <w:tc>
          <w:tcPr>
            <w:tcW w:w="0" w:type="auto"/>
          </w:tcPr>
          <w:p>
            <w:pPr>
              <w:spacing w:line="240" w:lineRule="auto" w:before="0" w:after="0"/>
              <w:pStyle w:val="Compact"/>
            </w:pPr>
            <w:r>
              <w:rPr>
                <w:sz w:val="20"/>
                <w:szCs w:val="20"/>
              </w:rPr>
              <w:t xml:space="preserve">7.824</w:t>
            </w:r>
          </w:p>
        </w:tc>
        <w:tc>
          <w:tcPr>
            <w:tcW w:w="0" w:type="auto"/>
          </w:tcPr>
          <w:p>
            <w:pPr>
              <w:spacing w:line="240" w:lineRule="auto" w:before="0" w:after="0"/>
              <w:pStyle w:val="Compact"/>
            </w:pPr>
            <w:r>
              <w:rPr>
                <w:sz w:val="20"/>
                <w:szCs w:val="20"/>
              </w:rPr>
              <w:t xml:space="preserve">NASA flagship Curiosity rover; total ~$2.5B (NASA large strategic science missions, en.wikipedia.org)</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small_body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1120</w:t>
            </w:r>
          </w:p>
        </w:tc>
        <w:tc>
          <w:tcPr>
            <w:tcW w:w="0" w:type="auto"/>
          </w:tcPr>
          <w:p>
            <w:pPr>
              <w:spacing w:line="240" w:lineRule="auto" w:before="0" w:after="0"/>
              <w:pStyle w:val="Compact"/>
            </w:pPr>
            <w:r>
              <w:rPr>
                <w:sz w:val="20"/>
                <w:szCs w:val="20"/>
              </w:rPr>
              <w:t xml:space="preserve">7.021</w:t>
            </w:r>
          </w:p>
        </w:tc>
        <w:tc>
          <w:tcPr>
            <w:tcW w:w="0" w:type="auto"/>
          </w:tcPr>
          <w:p>
            <w:pPr>
              <w:spacing w:line="240" w:lineRule="auto" w:before="0" w:after="0"/>
              <w:pStyle w:val="Compact"/>
            </w:pPr>
            <w:r>
              <w:rPr>
                <w:sz w:val="20"/>
                <w:szCs w:val="20"/>
              </w:rPr>
              <w:t xml:space="preserve">NASA New Frontiers-3 Bennu sample return; ~$1.12B (selected 2011; en.wikipedia.org/wiki/New_Frontiers_program)</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830</w:t>
            </w:r>
          </w:p>
        </w:tc>
        <w:tc>
          <w:tcPr>
            <w:tcW w:w="0" w:type="auto"/>
          </w:tcPr>
          <w:p>
            <w:pPr>
              <w:spacing w:line="240" w:lineRule="auto" w:before="0" w:after="0"/>
              <w:pStyle w:val="Compact"/>
            </w:pPr>
            <w:r>
              <w:rPr>
                <w:sz w:val="20"/>
                <w:szCs w:val="20"/>
              </w:rPr>
              <w:t xml:space="preserve">6.721</w:t>
            </w:r>
          </w:p>
        </w:tc>
        <w:tc>
          <w:tcPr>
            <w:tcW w:w="0" w:type="auto"/>
          </w:tcPr>
          <w:p>
            <w:pPr>
              <w:spacing w:line="240" w:lineRule="auto" w:before="0" w:after="0"/>
              <w:pStyle w:val="Compact"/>
            </w:pPr>
            <w:r>
              <w:rPr>
                <w:sz w:val="20"/>
                <w:szCs w:val="20"/>
              </w:rPr>
              <w:t xml:space="preserve">NASA Discovery Mars geophysics lander; ~$830M lifecycle (en.wikipedia.org/wiki/Discovery_Program; selected 2012)</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2800</w:t>
            </w:r>
          </w:p>
        </w:tc>
        <w:tc>
          <w:tcPr>
            <w:tcW w:w="0" w:type="auto"/>
          </w:tcPr>
          <w:p>
            <w:pPr>
              <w:spacing w:line="240" w:lineRule="auto" w:before="0" w:after="0"/>
              <w:pStyle w:val="Compact"/>
            </w:pPr>
            <w:r>
              <w:rPr>
                <w:sz w:val="20"/>
                <w:szCs w:val="20"/>
              </w:rPr>
              <w:t xml:space="preserve">7.937</w:t>
            </w:r>
          </w:p>
        </w:tc>
        <w:tc>
          <w:tcPr>
            <w:tcW w:w="0" w:type="auto"/>
          </w:tcPr>
          <w:p>
            <w:pPr>
              <w:spacing w:line="240" w:lineRule="auto" w:before="0" w:after="0"/>
              <w:pStyle w:val="Compact"/>
            </w:pPr>
            <w:r>
              <w:rPr>
                <w:sz w:val="20"/>
                <w:szCs w:val="20"/>
              </w:rPr>
              <w:t xml:space="preserve">NASA flagship Mars rover; ~$2.8B over 10 years (science.nasa.gov/mission/mars-2020-perseverance; en.wikipedia.org/wiki/Mars_2020)</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small_body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981</w:t>
            </w:r>
          </w:p>
        </w:tc>
        <w:tc>
          <w:tcPr>
            <w:tcW w:w="0" w:type="auto"/>
          </w:tcPr>
          <w:p>
            <w:pPr>
              <w:spacing w:line="240" w:lineRule="auto" w:before="0" w:after="0"/>
              <w:pStyle w:val="Compact"/>
            </w:pPr>
            <w:r>
              <w:rPr>
                <w:sz w:val="20"/>
                <w:szCs w:val="20"/>
              </w:rPr>
              <w:t xml:space="preserve">6.889</w:t>
            </w:r>
          </w:p>
        </w:tc>
        <w:tc>
          <w:tcPr>
            <w:tcW w:w="0" w:type="auto"/>
          </w:tcPr>
          <w:p>
            <w:pPr>
              <w:spacing w:line="240" w:lineRule="auto" w:before="0" w:after="0"/>
              <w:pStyle w:val="Compact"/>
            </w:pPr>
            <w:r>
              <w:rPr>
                <w:sz w:val="20"/>
                <w:szCs w:val="20"/>
              </w:rPr>
              <w:t xml:space="preserve">NASA Discovery Trojan asteroid tour; US$981M mission (en.wikipedia.org/wiki/Lucy_(spacecraft); skyandtelescope.org)</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small_body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7.244</w:t>
            </w:r>
          </w:p>
        </w:tc>
        <w:tc>
          <w:tcPr>
            <w:tcW w:w="0" w:type="auto"/>
          </w:tcPr>
          <w:p>
            <w:pPr>
              <w:spacing w:line="240" w:lineRule="auto" w:before="0" w:after="0"/>
              <w:pStyle w:val="Compact"/>
            </w:pPr>
            <w:r>
              <w:rPr>
                <w:sz w:val="20"/>
                <w:szCs w:val="20"/>
              </w:rPr>
              <w:t xml:space="preserve">NASA Discovery metal asteroid orbiter; ~$1.4B development+launch (gao-25-107591; en.wikipedia.org/wiki/Discovery_Program)</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outer_planet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5200</w:t>
            </w:r>
          </w:p>
        </w:tc>
        <w:tc>
          <w:tcPr>
            <w:tcW w:w="0" w:type="auto"/>
          </w:tcPr>
          <w:p>
            <w:pPr>
              <w:spacing w:line="240" w:lineRule="auto" w:before="0" w:after="0"/>
              <w:pStyle w:val="Compact"/>
            </w:pPr>
            <w:r>
              <w:rPr>
                <w:sz w:val="20"/>
                <w:szCs w:val="20"/>
              </w:rPr>
              <w:t xml:space="preserve">8.556</w:t>
            </w:r>
          </w:p>
        </w:tc>
        <w:tc>
          <w:tcPr>
            <w:tcW w:w="0" w:type="auto"/>
          </w:tcPr>
          <w:p>
            <w:pPr>
              <w:spacing w:line="240" w:lineRule="auto" w:before="0" w:after="0"/>
              <w:pStyle w:val="Compact"/>
            </w:pPr>
            <w:r>
              <w:rPr>
                <w:sz w:val="20"/>
                <w:szCs w:val="20"/>
              </w:rPr>
              <w:t xml:space="preserve">NASA flagship Europa orbiter; lifecycle grown to ~$5.2B (gao-24-106767; spacepolicyonline.com NASA reveals Europa Clipper cost growth)</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outer_planet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3350</w:t>
            </w:r>
          </w:p>
        </w:tc>
        <w:tc>
          <w:tcPr>
            <w:tcW w:w="0" w:type="auto"/>
          </w:tcPr>
          <w:p>
            <w:pPr>
              <w:spacing w:line="240" w:lineRule="auto" w:before="0" w:after="0"/>
              <w:pStyle w:val="Compact"/>
            </w:pPr>
            <w:r>
              <w:rPr>
                <w:sz w:val="20"/>
                <w:szCs w:val="20"/>
              </w:rPr>
              <w:t xml:space="preserve">8.117</w:t>
            </w:r>
          </w:p>
        </w:tc>
        <w:tc>
          <w:tcPr>
            <w:tcW w:w="0" w:type="auto"/>
          </w:tcPr>
          <w:p>
            <w:pPr>
              <w:spacing w:line="240" w:lineRule="auto" w:before="0" w:after="0"/>
              <w:pStyle w:val="Compact"/>
            </w:pPr>
            <w:r>
              <w:rPr>
                <w:sz w:val="20"/>
                <w:szCs w:val="20"/>
              </w:rPr>
              <w:t xml:space="preserve">NASA New Frontiers-4 Titan rotorcraft; replanned to $3.35B (oig.nasa.gov IG-25-011; payloadspace.com Dragonfly cost overruns)</w:t>
            </w:r>
          </w:p>
        </w:tc>
      </w:tr>
      <w:tr>
        <w:tc>
          <w:tcPr>
            <w:tcW w:w="0" w:type="auto"/>
          </w:tcPr>
          <w:p>
            <w:pPr>
              <w:spacing w:line="240" w:lineRule="auto" w:before="0" w:after="0"/>
              <w:pStyle w:val="Compact"/>
            </w:pPr>
            <w:r>
              <w:rPr>
                <w:sz w:val="20"/>
                <w:szCs w:val="20"/>
              </w:rPr>
              <w:t xml:space="preserve">DAVINCI</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inner_planet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6.908</w:t>
            </w:r>
          </w:p>
        </w:tc>
        <w:tc>
          <w:tcPr>
            <w:tcW w:w="0" w:type="auto"/>
          </w:tcPr>
          <w:p>
            <w:pPr>
              <w:spacing w:line="240" w:lineRule="auto" w:before="0" w:after="0"/>
              <w:pStyle w:val="Compact"/>
            </w:pPr>
            <w:r>
              <w:rPr>
                <w:sz w:val="20"/>
                <w:szCs w:val="20"/>
              </w:rPr>
              <w:t xml:space="preserve">NASA Discovery Venus atmospheric probe; ~$1B class (en.wikipedia.org/wiki/DAVINCI; selected 2021)</w:t>
            </w:r>
          </w:p>
        </w:tc>
      </w:tr>
      <w:tr>
        <w:tc>
          <w:tcPr>
            <w:tcW w:w="0" w:type="auto"/>
          </w:tcPr>
          <w:p>
            <w:pPr>
              <w:spacing w:line="240" w:lineRule="auto" w:before="0" w:after="0"/>
              <w:pStyle w:val="Compact"/>
            </w:pPr>
            <w:r>
              <w:rPr>
                <w:sz w:val="20"/>
                <w:szCs w:val="20"/>
              </w:rPr>
              <w:t xml:space="preserve">VERITAS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inner_planet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6.685</w:t>
            </w:r>
          </w:p>
        </w:tc>
        <w:tc>
          <w:tcPr>
            <w:tcW w:w="0" w:type="auto"/>
          </w:tcPr>
          <w:p>
            <w:pPr>
              <w:spacing w:line="240" w:lineRule="auto" w:before="0" w:after="0"/>
              <w:pStyle w:val="Compact"/>
            </w:pPr>
            <w:r>
              <w:rPr>
                <w:sz w:val="20"/>
                <w:szCs w:val="20"/>
              </w:rPr>
              <w:t xml:space="preserve">NASA Discovery Venus radar orbiter; ~$800M-class, later delayed (spacenews.com NASA weighing VERITAS; selected 2021) [illustrative LCC midpoint of public reporting]</w:t>
            </w:r>
          </w:p>
        </w:tc>
      </w:tr>
      <w:tr>
        <w:tc>
          <w:tcPr>
            <w:tcW w:w="0" w:type="auto"/>
          </w:tcPr>
          <w:p>
            <w:pPr>
              <w:spacing w:line="240" w:lineRule="auto" w:before="0" w:after="0"/>
              <w:pStyle w:val="Compact"/>
            </w:pPr>
            <w:r>
              <w:rPr>
                <w:sz w:val="20"/>
                <w:szCs w:val="20"/>
              </w:rPr>
              <w:t xml:space="preserve">NEO Surveyor</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small_body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7.09</w:t>
            </w:r>
          </w:p>
        </w:tc>
        <w:tc>
          <w:tcPr>
            <w:tcW w:w="0" w:type="auto"/>
          </w:tcPr>
          <w:p>
            <w:pPr>
              <w:spacing w:line="240" w:lineRule="auto" w:before="0" w:after="0"/>
              <w:pStyle w:val="Compact"/>
            </w:pPr>
            <w:r>
              <w:rPr>
                <w:sz w:val="20"/>
                <w:szCs w:val="20"/>
              </w:rPr>
              <w:t xml:space="preserve">NASA planetary-defense infrared survey telescope; ~$1.2B lifecycle (gao-24-106767; en.wikipedia.org/wiki/NEO_Surveyor)</w:t>
            </w:r>
          </w:p>
        </w:tc>
      </w:tr>
    </w:tbl>
    <w:bookmarkEnd w:id="87"/>
    <w:bookmarkStart w:id="88"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log_lcc</w:t>
            </w:r>
          </w:p>
        </w:tc>
        <w:tc>
          <w:tcPr>
            <w:tcW w:w="0" w:type="auto"/>
          </w:tcPr>
          <w:p>
            <w:pPr>
              <w:spacing w:line="240" w:lineRule="auto" w:before="0" w:after="0"/>
              <w:pStyle w:val="Compact"/>
            </w:pPr>
            <w:r>
              <w:rPr>
                <w:sz w:val="20"/>
                <w:szCs w:val="20"/>
              </w:rPr>
              <w:t xml:space="preserve">Natural logarithm of the mission lifecycle cost in millions of then-year US dollars. The dependent quantity, measuring the dollar commitment NASA directed to each planetary mission. A log scale is used so coefficients read as approximate proportional differences in committed budget.</w:t>
            </w:r>
          </w:p>
        </w:tc>
        <w:tc>
          <w:tcPr>
            <w:tcW w:w="0" w:type="auto"/>
          </w:tcPr>
          <w:p>
            <w:pPr>
              <w:spacing w:line="240" w:lineRule="auto" w:before="0" w:after="0"/>
              <w:pStyle w:val="Compact"/>
            </w:pPr>
            <w:r>
              <w:rPr>
                <w:sz w:val="20"/>
                <w:szCs w:val="20"/>
              </w:rPr>
              <w:t xml:space="preserve">Per-mission lifecycle cost compiled from GAO Assessments of Major Projects (gao-24-106767, gao-25-107591), NASA mission pages (science.nasa.gov), NSSDCA Discovery program list, and Wikipedia mission articles, each cited per row in data.csv</w:t>
            </w:r>
          </w:p>
        </w:tc>
      </w:tr>
      <w:tr>
        <w:tc>
          <w:tcPr>
            <w:tcW w:w="0" w:type="auto"/>
          </w:tcPr>
          <w:p>
            <w:pPr>
              <w:spacing w:line="240" w:lineRule="auto" w:before="0" w:after="0"/>
              <w:pStyle w:val="Compact"/>
            </w:pPr>
            <w:r>
              <w:rPr>
                <w:sz w:val="20"/>
                <w:szCs w:val="20"/>
              </w:rPr>
              <w:t xml:space="preserve">decadal_priority</w:t>
            </w:r>
          </w:p>
        </w:tc>
        <w:tc>
          <w:tcPr>
            <w:tcW w:w="0" w:type="auto"/>
          </w:tcPr>
          <w:p>
            <w:pPr>
              <w:spacing w:line="240" w:lineRule="auto" w:before="0" w:after="0"/>
              <w:pStyle w:val="Compact"/>
            </w:pPr>
            <w:r>
              <w:rPr>
                <w:sz w:val="20"/>
                <w:szCs w:val="20"/>
              </w:rPr>
              <w:t xml:space="preserve">Binary treatment coded 1 when the mission targets a destination class the 2011 Visions and Voyages planetary science decadal survey ranked as a top flagship priority (Mars and outer-planet / ocean-world systems such as Jupiter-Europa, Saturn-Titan, Uranus), and 0 for control destination classes (inner planets and Venus, small bodies and asteroids, the Moon, and exoplanet survey targets).</w:t>
            </w:r>
          </w:p>
        </w:tc>
        <w:tc>
          <w:tcPr>
            <w:tcW w:w="0" w:type="auto"/>
          </w:tcPr>
          <w:p>
            <w:pPr>
              <w:spacing w:line="240" w:lineRule="auto" w:before="0" w:after="0"/>
              <w:pStyle w:val="Compact"/>
            </w:pPr>
            <w:r>
              <w:rPr>
                <w:sz w:val="20"/>
                <w:szCs w:val="20"/>
              </w:rPr>
              <w:t xml:space="preserve">Destination class hand-coded from the 2011 decadal survey flagship priorities (Mars Sample Return, Europa, Uranus) as reported in en.wikipedia.org/wiki/Planetary_Science_Decadal_Survey and spaceflightnow.com decadal coverage</w:t>
            </w:r>
          </w:p>
        </w:tc>
      </w:tr>
      <w:tr>
        <w:tc>
          <w:tcPr>
            <w:tcW w:w="0" w:type="auto"/>
          </w:tcPr>
          <w:p>
            <w:pPr>
              <w:spacing w:line="240" w:lineRule="auto" w:before="0" w:after="0"/>
              <w:pStyle w:val="Compact"/>
            </w:pPr>
            <w:r>
              <w:rPr>
                <w:sz w:val="20"/>
                <w:szCs w:val="20"/>
              </w:rPr>
              <w:t xml:space="preserve">post_2011</w:t>
            </w:r>
          </w:p>
        </w:tc>
        <w:tc>
          <w:tcPr>
            <w:tcW w:w="0" w:type="auto"/>
          </w:tcPr>
          <w:p>
            <w:pPr>
              <w:spacing w:line="240" w:lineRule="auto" w:before="0" w:after="0"/>
              <w:pStyle w:val="Compact"/>
            </w:pPr>
            <w:r>
              <w:rPr>
                <w:sz w:val="20"/>
                <w:szCs w:val="20"/>
              </w:rPr>
              <w:t xml:space="preserve">Binary period indicator coded 1 when the mission was selected or formally started in or after 2011, the release year of the 2011 decadal survey, and 0 when selected before 2011. Defines the pre-period and post-period of the natural experiment.</w:t>
            </w:r>
          </w:p>
        </w:tc>
        <w:tc>
          <w:tcPr>
            <w:tcW w:w="0" w:type="auto"/>
          </w:tcPr>
          <w:p>
            <w:pPr>
              <w:spacing w:line="240" w:lineRule="auto" w:before="0" w:after="0"/>
              <w:pStyle w:val="Compact"/>
            </w:pPr>
            <w:r>
              <w:rPr>
                <w:sz w:val="20"/>
                <w:szCs w:val="20"/>
              </w:rPr>
              <w:t xml:space="preserve">Mission selection / formal-start year from NASA program announcements and mission articles, cited per row in data.csv</w:t>
            </w:r>
          </w:p>
        </w:tc>
      </w:tr>
      <w:tr>
        <w:tc>
          <w:tcPr>
            <w:tcW w:w="0" w:type="auto"/>
          </w:tcPr>
          <w:p>
            <w:pPr>
              <w:spacing w:line="240" w:lineRule="auto" w:before="0" w:after="0"/>
              <w:pStyle w:val="Compact"/>
            </w:pPr>
            <w:r>
              <w:rPr>
                <w:sz w:val="20"/>
                <w:szCs w:val="20"/>
              </w:rPr>
              <w:t xml:space="preserve">did</w:t>
            </w:r>
          </w:p>
        </w:tc>
        <w:tc>
          <w:tcPr>
            <w:tcW w:w="0" w:type="auto"/>
          </w:tcPr>
          <w:p>
            <w:pPr>
              <w:spacing w:line="240" w:lineRule="auto" w:before="0" w:after="0"/>
              <w:pStyle w:val="Compact"/>
            </w:pPr>
            <w:r>
              <w:rPr>
                <w:sz w:val="20"/>
                <w:szCs w:val="20"/>
              </w:rPr>
              <w:t xml:space="preserve">The difference-in-differences interaction term, equal to decadal_priority multiplied by post_2011. Its coefficient is the causal estimand of interest: the differential change in committed budget for decadal-prioritized destinations after the 2011 survey, net of the common post-survey trend and the fixed priority-class gap.</w:t>
            </w:r>
          </w:p>
        </w:tc>
        <w:tc>
          <w:tcPr>
            <w:tcW w:w="0" w:type="auto"/>
          </w:tcPr>
          <w:p>
            <w:pPr>
              <w:spacing w:line="240" w:lineRule="auto" w:before="0" w:after="0"/>
              <w:pStyle w:val="Compact"/>
            </w:pPr>
            <w:r>
              <w:rPr>
                <w:sz w:val="20"/>
                <w:szCs w:val="20"/>
              </w:rPr>
              <w:t xml:space="preserve">Constructed from decadal_priority and post_2011</w:t>
            </w:r>
          </w:p>
        </w:tc>
      </w:tr>
      <w:tr>
        <w:tc>
          <w:tcPr>
            <w:tcW w:w="0" w:type="auto"/>
          </w:tcPr>
          <w:p>
            <w:pPr>
              <w:spacing w:line="240" w:lineRule="auto" w:before="0" w:after="0"/>
              <w:pStyle w:val="Compact"/>
            </w:pPr>
            <w:r>
              <w:rPr>
                <w:sz w:val="20"/>
                <w:szCs w:val="20"/>
              </w:rPr>
              <w:t xml:space="preserve">lcc_musd</w:t>
            </w:r>
          </w:p>
        </w:tc>
        <w:tc>
          <w:tcPr>
            <w:tcW w:w="0" w:type="auto"/>
          </w:tcPr>
          <w:p>
            <w:pPr>
              <w:spacing w:line="240" w:lineRule="auto" w:before="0" w:after="0"/>
              <w:pStyle w:val="Compact"/>
            </w:pPr>
            <w:r>
              <w:rPr>
                <w:sz w:val="20"/>
                <w:szCs w:val="20"/>
              </w:rPr>
              <w:t xml:space="preserve">Raw mission lifecycle cost in millions of then-year US dollars (untransformed); the source quantity behind log_lcc, retained for descriptive reporting.</w:t>
            </w:r>
          </w:p>
        </w:tc>
        <w:tc>
          <w:tcPr>
            <w:tcW w:w="0" w:type="auto"/>
          </w:tcPr>
          <w:p>
            <w:pPr>
              <w:spacing w:line="240" w:lineRule="auto" w:before="0" w:after="0"/>
              <w:pStyle w:val="Compact"/>
            </w:pPr>
            <w:r>
              <w:rPr>
                <w:sz w:val="20"/>
                <w:szCs w:val="20"/>
              </w:rPr>
              <w:t xml:space="preserve">Same per-row sources as log_lcc in data.csv</w:t>
            </w:r>
          </w:p>
        </w:tc>
      </w:tr>
    </w:tbl>
    <w:bookmarkEnd w:id="88"/>
    <w:bookmarkStart w:id="89"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5.6547</w:t>
            </w:r>
          </w:p>
        </w:tc>
        <w:tc>
          <w:tcPr>
            <w:tcW w:w="0" w:type="auto"/>
          </w:tcPr>
          <w:p>
            <w:pPr>
              <w:spacing w:line="240" w:lineRule="auto" w:before="0" w:after="0"/>
              <w:pStyle w:val="Compact"/>
            </w:pPr>
            <w:r>
              <w:rPr>
                <w:sz w:val="20"/>
                <w:szCs w:val="20"/>
              </w:rPr>
              <w:t xml:space="preserve">0.2166</w:t>
            </w:r>
          </w:p>
        </w:tc>
        <w:tc>
          <w:tcPr>
            <w:tcW w:w="0" w:type="auto"/>
          </w:tcPr>
          <w:p>
            <w:pPr>
              <w:spacing w:line="240" w:lineRule="auto" w:before="0" w:after="0"/>
              <w:pStyle w:val="Compact"/>
            </w:pPr>
            <w:r>
              <w:rPr>
                <w:sz w:val="20"/>
                <w:szCs w:val="20"/>
              </w:rPr>
              <w:t xml:space="preserve">26.1012</w:t>
            </w:r>
          </w:p>
        </w:tc>
        <w:tc>
          <w:tcPr>
            <w:tcW w:w="0" w:type="auto"/>
          </w:tcPr>
          <w:p>
            <w:pPr>
              <w:spacing w:line="240" w:lineRule="auto" w:before="0" w:after="0"/>
              <w:pStyle w:val="Compact"/>
            </w:pPr>
            <w:r>
              <w:rPr>
                <w:sz w:val="20"/>
                <w:szCs w:val="20"/>
              </w:rPr>
              <w:t xml:space="preserve">3.537e-150</w:t>
            </w:r>
          </w:p>
        </w:tc>
        <w:tc>
          <w:tcPr>
            <w:tcW w:w="0" w:type="auto"/>
          </w:tcPr>
          <w:p>
            <w:pPr>
              <w:spacing w:line="240" w:lineRule="auto" w:before="0" w:after="0"/>
              <w:pStyle w:val="Compact"/>
            </w:pPr>
            <w:r>
              <w:rPr>
                <w:sz w:val="20"/>
                <w:szCs w:val="20"/>
              </w:rPr>
              <w:t xml:space="preserve">[5.2301, 6.0793]</w:t>
            </w:r>
          </w:p>
        </w:tc>
      </w:tr>
      <w:tr>
        <w:tc>
          <w:tcPr>
            <w:tcW w:w="0" w:type="auto"/>
          </w:tcPr>
          <w:p>
            <w:pPr>
              <w:spacing w:line="240" w:lineRule="auto" w:before="0" w:after="0"/>
              <w:pStyle w:val="Compact"/>
            </w:pPr>
            <w:r>
              <w:rPr>
                <w:sz w:val="20"/>
                <w:szCs w:val="20"/>
              </w:rPr>
              <w:t xml:space="preserve">decadal_priority</w:t>
            </w:r>
          </w:p>
        </w:tc>
        <w:tc>
          <w:tcPr>
            <w:tcW w:w="0" w:type="auto"/>
          </w:tcPr>
          <w:p>
            <w:pPr>
              <w:spacing w:line="240" w:lineRule="auto" w:before="0" w:after="0"/>
              <w:pStyle w:val="Compact"/>
            </w:pPr>
            <w:r>
              <w:rPr>
                <w:sz w:val="20"/>
                <w:szCs w:val="20"/>
              </w:rPr>
              <w:t xml:space="preserve">1.2554</w:t>
            </w:r>
          </w:p>
        </w:tc>
        <w:tc>
          <w:tcPr>
            <w:tcW w:w="0" w:type="auto"/>
          </w:tcPr>
          <w:p>
            <w:pPr>
              <w:spacing w:line="240" w:lineRule="auto" w:before="0" w:after="0"/>
              <w:pStyle w:val="Compact"/>
            </w:pPr>
            <w:r>
              <w:rPr>
                <w:sz w:val="20"/>
                <w:szCs w:val="20"/>
              </w:rPr>
              <w:t xml:space="preserve">0.3804</w:t>
            </w:r>
          </w:p>
        </w:tc>
        <w:tc>
          <w:tcPr>
            <w:tcW w:w="0" w:type="auto"/>
          </w:tcPr>
          <w:p>
            <w:pPr>
              <w:spacing w:line="240" w:lineRule="auto" w:before="0" w:after="0"/>
              <w:pStyle w:val="Compact"/>
            </w:pPr>
            <w:r>
              <w:rPr>
                <w:sz w:val="20"/>
                <w:szCs w:val="20"/>
              </w:rPr>
              <w:t xml:space="preserve">3.3004</w:t>
            </w:r>
          </w:p>
        </w:tc>
        <w:tc>
          <w:tcPr>
            <w:tcW w:w="0" w:type="auto"/>
          </w:tcPr>
          <w:p>
            <w:pPr>
              <w:spacing w:line="240" w:lineRule="auto" w:before="0" w:after="0"/>
              <w:pStyle w:val="Compact"/>
            </w:pPr>
            <w:r>
              <w:rPr>
                <w:sz w:val="20"/>
                <w:szCs w:val="20"/>
              </w:rPr>
              <w:t xml:space="preserve">0.0009655</w:t>
            </w:r>
          </w:p>
        </w:tc>
        <w:tc>
          <w:tcPr>
            <w:tcW w:w="0" w:type="auto"/>
          </w:tcPr>
          <w:p>
            <w:pPr>
              <w:spacing w:line="240" w:lineRule="auto" w:before="0" w:after="0"/>
              <w:pStyle w:val="Compact"/>
            </w:pPr>
            <w:r>
              <w:rPr>
                <w:sz w:val="20"/>
                <w:szCs w:val="20"/>
              </w:rPr>
              <w:t xml:space="preserve">[0.5099, 2.001]</w:t>
            </w:r>
          </w:p>
        </w:tc>
      </w:tr>
      <w:tr>
        <w:tc>
          <w:tcPr>
            <w:tcW w:w="0" w:type="auto"/>
          </w:tcPr>
          <w:p>
            <w:pPr>
              <w:spacing w:line="240" w:lineRule="auto" w:before="0" w:after="0"/>
              <w:pStyle w:val="Compact"/>
            </w:pPr>
            <w:r>
              <w:rPr>
                <w:sz w:val="20"/>
                <w:szCs w:val="20"/>
              </w:rPr>
              <w:t xml:space="preserve">post_2011</w:t>
            </w:r>
          </w:p>
        </w:tc>
        <w:tc>
          <w:tcPr>
            <w:tcW w:w="0" w:type="auto"/>
          </w:tcPr>
          <w:p>
            <w:pPr>
              <w:spacing w:line="240" w:lineRule="auto" w:before="0" w:after="0"/>
              <w:pStyle w:val="Compact"/>
            </w:pPr>
            <w:r>
              <w:rPr>
                <w:sz w:val="20"/>
                <w:szCs w:val="20"/>
              </w:rPr>
              <w:t xml:space="preserve">1.3181</w:t>
            </w:r>
          </w:p>
        </w:tc>
        <w:tc>
          <w:tcPr>
            <w:tcW w:w="0" w:type="auto"/>
          </w:tcPr>
          <w:p>
            <w:pPr>
              <w:spacing w:line="240" w:lineRule="auto" w:before="0" w:after="0"/>
              <w:pStyle w:val="Compact"/>
            </w:pPr>
            <w:r>
              <w:rPr>
                <w:sz w:val="20"/>
                <w:szCs w:val="20"/>
              </w:rPr>
              <w:t xml:space="preserve">0.23</w:t>
            </w:r>
          </w:p>
        </w:tc>
        <w:tc>
          <w:tcPr>
            <w:tcW w:w="0" w:type="auto"/>
          </w:tcPr>
          <w:p>
            <w:pPr>
              <w:spacing w:line="240" w:lineRule="auto" w:before="0" w:after="0"/>
              <w:pStyle w:val="Compact"/>
            </w:pPr>
            <w:r>
              <w:rPr>
                <w:sz w:val="20"/>
                <w:szCs w:val="20"/>
              </w:rPr>
              <w:t xml:space="preserve">5.7317</w:t>
            </w:r>
          </w:p>
        </w:tc>
        <w:tc>
          <w:tcPr>
            <w:tcW w:w="0" w:type="auto"/>
          </w:tcPr>
          <w:p>
            <w:pPr>
              <w:spacing w:line="240" w:lineRule="auto" w:before="0" w:after="0"/>
              <w:pStyle w:val="Compact"/>
            </w:pPr>
            <w:r>
              <w:rPr>
                <w:sz w:val="20"/>
                <w:szCs w:val="20"/>
              </w:rPr>
              <w:t xml:space="preserve">9.942e-09</w:t>
            </w:r>
          </w:p>
        </w:tc>
        <w:tc>
          <w:tcPr>
            <w:tcW w:w="0" w:type="auto"/>
          </w:tcPr>
          <w:p>
            <w:pPr>
              <w:spacing w:line="240" w:lineRule="auto" w:before="0" w:after="0"/>
              <w:pStyle w:val="Compact"/>
            </w:pPr>
            <w:r>
              <w:rPr>
                <w:sz w:val="20"/>
                <w:szCs w:val="20"/>
              </w:rPr>
              <w:t xml:space="preserve">[0.8674, 1.7689]</w:t>
            </w:r>
          </w:p>
        </w:tc>
      </w:tr>
      <w:tr>
        <w:tc>
          <w:tcPr>
            <w:tcW w:w="0" w:type="auto"/>
          </w:tcPr>
          <w:p>
            <w:pPr>
              <w:spacing w:line="240" w:lineRule="auto" w:before="0" w:after="0"/>
              <w:pStyle w:val="Compact"/>
            </w:pPr>
            <w:r>
              <w:rPr>
                <w:sz w:val="20"/>
                <w:szCs w:val="20"/>
              </w:rPr>
              <w:t xml:space="preserve">did</w:t>
            </w:r>
          </w:p>
        </w:tc>
        <w:tc>
          <w:tcPr>
            <w:tcW w:w="0" w:type="auto"/>
          </w:tcPr>
          <w:p>
            <w:pPr>
              <w:spacing w:line="240" w:lineRule="auto" w:before="0" w:after="0"/>
              <w:pStyle w:val="Compact"/>
            </w:pPr>
            <w:r>
              <w:rPr>
                <w:sz w:val="20"/>
                <w:szCs w:val="20"/>
              </w:rPr>
              <w:t xml:space="preserve">-0.3955</w:t>
            </w:r>
          </w:p>
        </w:tc>
        <w:tc>
          <w:tcPr>
            <w:tcW w:w="0" w:type="auto"/>
          </w:tcPr>
          <w:p>
            <w:pPr>
              <w:spacing w:line="240" w:lineRule="auto" w:before="0" w:after="0"/>
              <w:pStyle w:val="Compact"/>
            </w:pPr>
            <w:r>
              <w:rPr>
                <w:sz w:val="20"/>
                <w:szCs w:val="20"/>
              </w:rPr>
              <w:t xml:space="preserve">0.5344</w:t>
            </w:r>
          </w:p>
        </w:tc>
        <w:tc>
          <w:tcPr>
            <w:tcW w:w="0" w:type="auto"/>
          </w:tcPr>
          <w:p>
            <w:pPr>
              <w:spacing w:line="240" w:lineRule="auto" w:before="0" w:after="0"/>
              <w:pStyle w:val="Compact"/>
            </w:pPr>
            <w:r>
              <w:rPr>
                <w:sz w:val="20"/>
                <w:szCs w:val="20"/>
              </w:rPr>
              <w:t xml:space="preserve">-0.7401</w:t>
            </w:r>
          </w:p>
        </w:tc>
        <w:tc>
          <w:tcPr>
            <w:tcW w:w="0" w:type="auto"/>
          </w:tcPr>
          <w:p>
            <w:pPr>
              <w:spacing w:line="240" w:lineRule="auto" w:before="0" w:after="0"/>
              <w:pStyle w:val="Compact"/>
            </w:pPr>
            <w:r>
              <w:rPr>
                <w:sz w:val="20"/>
                <w:szCs w:val="20"/>
              </w:rPr>
              <w:t xml:space="preserve">0.4593</w:t>
            </w:r>
          </w:p>
        </w:tc>
        <w:tc>
          <w:tcPr>
            <w:tcW w:w="0" w:type="auto"/>
          </w:tcPr>
          <w:p>
            <w:pPr>
              <w:spacing w:line="240" w:lineRule="auto" w:before="0" w:after="0"/>
              <w:pStyle w:val="Compact"/>
            </w:pPr>
            <w:r>
              <w:rPr>
                <w:sz w:val="20"/>
                <w:szCs w:val="20"/>
              </w:rPr>
              <w:t xml:space="preserve">[-1.4429, 0.6519]</w:t>
            </w:r>
          </w:p>
        </w:tc>
      </w:tr>
    </w:tbl>
    <w:p>
      <w:pPr>
        <w:pStyle w:val="BodyText"/>
      </w:pPr>
      <w:r>
        <w:t xml:space="preserve">Fit: N = 28 R2 = 0.5927 R2_adj = 0.5418 F = 13.3746 F_p = 2.463e-05</w:t>
      </w:r>
    </w:p>
    <w:bookmarkEnd w:id="89"/>
    <w:bookmarkEnd w:id="90"/>
    <w:bookmarkEnd w:id="91"/>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3" Target="media/rId83.png" /><Relationship Type="http://schemas.openxmlformats.org/officeDocument/2006/relationships/hyperlink" Id="rId68" Target="https://doi.org/10.1016/j.actaastro.2019.09.030" TargetMode="External" /><Relationship Type="http://schemas.openxmlformats.org/officeDocument/2006/relationships/hyperlink" Id="rId71" Target="https://doi.org/10.1016/j.actaastro.2023.10.042" TargetMode="External" /><Relationship Type="http://schemas.openxmlformats.org/officeDocument/2006/relationships/hyperlink" Id="rId74" Target="https://doi.org/10.1016/j.actaastro.2023.11.035" TargetMode="External" /></Relationships>
</file>

<file path=word/_rels/footnotes.xml.rels><?xml version="1.0" encoding="UTF-8"?><Relationships xmlns="http://schemas.openxmlformats.org/package/2006/relationships"><Relationship Type="http://schemas.openxmlformats.org/officeDocument/2006/relationships/hyperlink" Id="rId68" Target="https://doi.org/10.1016/j.actaastro.2019.09.030" TargetMode="External" /><Relationship Type="http://schemas.openxmlformats.org/officeDocument/2006/relationships/hyperlink" Id="rId71" Target="https://doi.org/10.1016/j.actaastro.2023.10.042" TargetMode="External" /><Relationship Type="http://schemas.openxmlformats.org/officeDocument/2006/relationships/hyperlink" Id="rId74" Target="https://doi.org/10.1016/j.actaastro.2023.11.035"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2026-06-25T14:25:38Z</dcterms:created>
  <dcterms:modified xsi:type="dcterms:W3CDTF">2026-06-25T14:25:38Z</dcterms:modified>
</cp:coreProperties>
</file>

<file path=docProps/custom.xml><?xml version="1.0" encoding="utf-8"?>
<Properties xmlns="http://schemas.openxmlformats.org/officeDocument/2006/custom-properties" xmlns:vt="http://schemas.openxmlformats.org/officeDocument/2006/docPropsVTypes"/>
</file>