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DID THE DECADAL SURVEY CHANGE WHERE THE MONEY WENT? A DIFFERENCE-IN-DIFFERENCES</w:t>
      </w:r>
    </w:p>
    <w:p>
      <w:pPr>
        <w:jc w:val="center"/>
      </w:pPr>
    </w:p>
    <w:p>
      <w:pPr>
        <w:jc w:val="center"/>
      </w:pPr>
      <w:r>
        <w:rPr>
          <w:rFonts w:ascii="Times New Roman" w:hAnsi="Times New Roman"/>
          <w:sz w:val="24"/>
        </w:rPr>
        <w:t>by</w:t>
      </w:r>
    </w:p>
    <w:p>
      <w:pPr>
        <w:jc w:val="center"/>
      </w:pPr>
      <w:r>
        <w:rPr>
          <w:rFonts w:ascii="Times New Roman" w:hAnsi="Times New Roman"/>
          <w:b/>
          <w:sz w:val="28"/>
        </w:rPr>
        <w:t>Clara Rahman</w:t>
      </w:r>
    </w:p>
    <w:p>
      <w:pPr>
        <w:jc w:val="center"/>
      </w:pPr>
      <w:r>
        <w:rPr>
          <w:rFonts w:ascii="Times New Roman" w:hAnsi="Times New Roman"/>
          <w:sz w:val="24"/>
        </w:rPr>
        <w:t>1B-PLA-040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Once each decade the United States planetary science community convenes under the auspices of the National Academies and produces a ranked list of the missions and research priorities it considers most worth federal funding. The resulting document, the planetary science decadal survey, occupies a singular place in the governance of American space science. It is cited as warrant in budget testimony, invoked in agency planning, and treated by appropriators as the field’s authoritative statement of its own consensus</w:t>
      </w:r>
      <w:r>
        <w:t xml:space="preserve"> </w:t>
      </w:r>
      <w:hyperlink w:anchor="ref-11">
        <w:r>
          <w:rPr>
            <w:rStyle w:val="Hyperlink"/>
          </w:rPr>
          <w:t xml:space="preserve">[11]</w:t>
        </w:r>
      </w:hyperlink>
      <w:r>
        <w:t xml:space="preserve">. When a flagship mission is recommended and subsequently flown, the survey is routinely credited with having directed the money toward it. The 2011 survey,</w:t>
      </w:r>
      <w:r>
        <w:t xml:space="preserve"> </w:t>
      </w:r>
      <w:r>
        <w:rPr>
          <w:i/>
          <w:iCs/>
        </w:rPr>
        <w:t xml:space="preserve">Visions and Voyages for Planetary Science in the Decade 2013-2022</w:t>
      </w:r>
      <w:r>
        <w:t xml:space="preserve">, placed a Mars sample return campaign first, a Europa orbiter second, and a Uranus orbiter third, and the missions that followed are read as the survey’s legacy</w:t>
      </w:r>
      <w:r>
        <w:t xml:space="preserve"> </w:t>
      </w:r>
      <w:hyperlink w:anchor="ref-13">
        <w:r>
          <w:rPr>
            <w:rStyle w:val="Hyperlink"/>
          </w:rPr>
          <w:t xml:space="preserve">[13]</w:t>
        </w:r>
      </w:hyperlink>
      <w:r>
        <w:t xml:space="preserve">[14].</w:t>
      </w:r>
    </w:p>
    <w:p>
      <w:pPr>
        <w:pStyle w:val="BodyText"/>
        <w:spacing w:line="480" w:lineRule="auto"/>
        <w:ind w:firstLine="720"/>
      </w:pPr>
      <w:r>
        <w:t xml:space="preserve">Yet this crediting rests on a counterfactual that is almost never stated and has never been estimated. When a prioritized mission is funded, two readings are observationally equivalent in casual interpretation. Under the first, the survey moved the money: the act of ranking a destination caused obligations to flow toward it that would not otherwise have flowed. Under the second, the survey ratified a trajectory already in motion: the agency and its appropriators were on course toward those destinations before the volume was printed, and the ranking supplied retrospective legitimation rather than allocative force. The published record cannot distinguish them. Both readings produce the same surface pattern, high-priority destinations receiving large budgets in the years after publication. The survey’s reputation as a budgetary instrument is therefore asserted by tradition, not demonstrated against a credible comparison.</w:t>
      </w:r>
    </w:p>
    <w:p>
      <w:pPr>
        <w:pStyle w:val="BodyText"/>
        <w:spacing w:line="480" w:lineRule="auto"/>
        <w:ind w:firstLine="720"/>
      </w:pPr>
      <w:r>
        <w:t xml:space="preserve">This dissertation takes that unexamined counterfactual as its central problem. It asks whether the decadal survey changed where the money went, in the strict sense of producing a differential change in funding for the destinations it prioritized, relative to comparable destinations it did not prioritize, net of the agency-wide spending level and any program-specific trajectory already underway. The question is causal. It is answered with a quasi-experimental estimator built for exactly this class of before-and-after comparison: difference-in-differences.</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Stakes attach to the size of the resources the survey is presumed to govern, and to the consequences of mismeasuring where allocative power resides. Government space budgets are not an incidental component of the national space economy; they are a defined, separately enumerated, and forecastable element that analysts model explicitly and treat as policy-determined rather than market-determined</w:t>
      </w:r>
      <w:r>
        <w:t xml:space="preserve"> </w:t>
      </w:r>
      <w:hyperlink w:anchor="ref-3">
        <w:r>
          <w:rPr>
            <w:rStyle w:val="Hyperlink"/>
          </w:rPr>
          <w:t xml:space="preserve">[3]</w:t>
        </w:r>
      </w:hyperlink>
      <w:r>
        <w:t xml:space="preserve">. The decadal survey sits at the head of the policy process that shapes that element for planetary science. If the survey is in fact a budgetary lever, then the months scientists spend assembling and defending the ranked list are among the highest-return hours in the discipline, and the survey’s design, its governance, and its vulnerability to capture deserve the scrutiny appropriate to a multi-billion-dollar allocation mechanism. The major-project assessments that track NASA’s portfolio document lifecycle costs for individual flagship missions that run into the billions of dollars</w:t>
      </w:r>
      <w:r>
        <w:t xml:space="preserve"> </w:t>
      </w:r>
      <w:hyperlink w:anchor="ref-17">
        <w:r>
          <w:rPr>
            <w:rStyle w:val="Hyperlink"/>
          </w:rPr>
          <w:t xml:space="preserve">[17]</w:t>
        </w:r>
      </w:hyperlink>
      <w:r>
        <w:t xml:space="preserve">, so even a modest proportional tilt in allocation, if the survey produces one, is consequential in absolute terms.</w:t>
      </w:r>
    </w:p>
    <w:p>
      <w:pPr>
        <w:pStyle w:val="BodyText"/>
        <w:spacing w:line="480" w:lineRule="auto"/>
        <w:ind w:firstLine="720"/>
      </w:pPr>
      <w:r>
        <w:t xml:space="preserve">If instead the survey principally coordinates rather than allocates, the community is mismeasuring the locus of budgetary control. A coordinating instrument is valuable: it tells appropriators which expensive things the field has agreed to want, and that agreement has standing.</w:t>
      </w:r>
    </w:p>
    <w:p>
      <w:pPr>
        <w:pStyle w:val="BodyText"/>
        <w:spacing w:line="480" w:lineRule="auto"/>
        <w:ind w:firstLine="720"/>
      </w:pPr>
      <w:r>
        <w:t xml:space="preserve">But its value is then legitimacy and consensus, not steering, and reforms premised on the survey as a lever would aim at the wrong target. For a federally funded research and development center advising on portfolio strategy, the distinction is operationally decisive. Counsel that treats the survey as the mechanism that moves money will misallocate analytic attention if the money was already moving for reasons the survey did not create.</w:t>
      </w:r>
    </w:p>
    <w:p>
      <w:pPr>
        <w:pStyle w:val="BodyText"/>
        <w:spacing w:line="480" w:lineRule="auto"/>
        <w:ind w:firstLine="720"/>
      </w:pPr>
      <w:r>
        <w:t xml:space="preserve">Nor is the risk of overstatement hypothetical in this domain. The space-economy literature has been criticized for systematically inflating magnitudes through methodological shortcuts such as compound-growth extrapolation and double counting</w:t>
      </w:r>
      <w:r>
        <w:t xml:space="preserve"> </w:t>
      </w:r>
      <w:hyperlink w:anchor="ref-1">
        <w:r>
          <w:rPr>
            <w:rStyle w:val="Hyperlink"/>
          </w:rPr>
          <w:t xml:space="preserve">[1]</w:t>
        </w:r>
      </w:hyperlink>
      <w:r>
        <w:t xml:space="preserve">. An analogous overstatement risk attends the decadal survey, whose budgetary potency is asserted by convention and read off the same surface correlations that an inflated forecast reads off its own. The mechanism of error is identical in both cases. A quantity that grows for structural reasons is observed alongside a narrative that claims to have produced the growth, and the coincidence of the two is mistaken for evidence that the narrative is causal. Where a forecast attributes to a market trend the growth that compounding alone would generate, a survey attributes to its own ranking the budgets that the standing economics of the destinations would have commanded regardless. The corrective in both cases is the same: an explicit comparison group and an estimator that separates the quantity of interest from the confounds that travel with it.</w:t>
      </w:r>
    </w:p>
    <w:p>
      <w:pPr>
        <w:pStyle w:val="BodyText"/>
        <w:spacing w:line="480" w:lineRule="auto"/>
        <w:ind w:firstLine="720"/>
      </w:pPr>
      <w:r>
        <w:t xml:space="preserve">Supplying that comparison group for the survey is the methodological burden this dissertation accepts.</w:t>
      </w:r>
    </w:p>
    <w:p>
      <w:pPr>
        <w:pStyle w:val="BodyText"/>
        <w:spacing w:line="480" w:lineRule="auto"/>
        <w:ind w:firstLine="720"/>
      </w:pPr>
      <w:r>
        <w:t xml:space="preserve">For the Jet Propulsion Laboratory and the planetary missions concentrated there, the question is not abstract. The destinations the 2011 survey ranked most highly, Mars and the outer-planet ocean worlds, are precisely the destinations whose flagship architectures are the most expensive to build, for reasons rooted in engineering rather than in policy. A Europa orbiter or a Mars rover demands radiation hardening, deep-space communication, autonomous entry and descent, and long-life power, and these requirements set a high floor on lifecycle cost independent of any ranking</w:t>
      </w:r>
      <w:r>
        <w:t xml:space="preserve"> </w:t>
      </w:r>
      <w:hyperlink w:anchor="ref-5">
        <w:r>
          <w:rPr>
            <w:rStyle w:val="Hyperlink"/>
          </w:rPr>
          <w:t xml:space="preserve">[5]</w:t>
        </w:r>
      </w:hyperlink>
      <w:r>
        <w:t xml:space="preserve">[6][7]. Parametric cost models that estimate spacecraft cost from mass, power, and complexity recover these destination premiums directly</w:t>
      </w:r>
      <w:r>
        <w:t xml:space="preserve"> </w:t>
      </w:r>
      <w:hyperlink w:anchor="ref-8">
        <w:r>
          <w:rPr>
            <w:rStyle w:val="Hyperlink"/>
          </w:rPr>
          <w:t xml:space="preserve">[8]</w:t>
        </w:r>
      </w:hyperlink>
      <w:r>
        <w:t xml:space="preserve">[9][10]. The institution that builds these missions therefore has a direct interest in the answer. Does its flagship pipeline reflect the survey’s persuasive force, or the standing physics of the destinations it serves?</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This dissertation’s contribution is located precisely in a gap between two literatures that do not meet. On one side stands the domain literature on space economics, governance, and mission design. On the other stands the econometric literature on quasi-experimental causal inference. Each is mature within its own terms, and the question of whether the decadal survey reallocates money sits squarely in the space between them, addressed by neither.</w:t>
      </w:r>
    </w:p>
    <w:p>
      <w:pPr>
        <w:pStyle w:val="BodyText"/>
        <w:spacing w:line="480" w:lineRule="auto"/>
        <w:ind w:firstLine="720"/>
      </w:pPr>
      <w:r>
        <w:t xml:space="preserve">On the domain side, the literature frames public space budgets within tragedy-of-the-commons and market-failure logics and documents the scale of NASA program lines, including the observation that historically dominant programs absorbed large fixed shares of the human spaceflight budget</w:t>
      </w:r>
      <w:r>
        <w:t xml:space="preserve"> </w:t>
      </w:r>
      <w:hyperlink w:anchor="ref-2">
        <w:r>
          <w:rPr>
            <w:rStyle w:val="Hyperlink"/>
          </w:rPr>
          <w:t xml:space="preserve">[2]</w:t>
        </w:r>
      </w:hyperlink>
      <w:r>
        <w:t xml:space="preserve">. Forecasting work establishes that government space budgets are a tractable, separately enumerated component of the space economy and that aggregate forecasts are frequently inflated by methodology</w:t>
      </w:r>
      <w:r>
        <w:t xml:space="preserve"> </w:t>
      </w:r>
      <w:hyperlink w:anchor="ref-1">
        <w:r>
          <w:rPr>
            <w:rStyle w:val="Hyperlink"/>
          </w:rPr>
          <w:t xml:space="preserve">[1]</w:t>
        </w:r>
      </w:hyperlink>
      <w:r>
        <w:t xml:space="preserve">[3]. Broader treatments situate the space economy’s scale within questions of sustainability, security, and development, and within the governance conditions that shape public investment</w:t>
      </w:r>
      <w:r>
        <w:t xml:space="preserve"> </w:t>
      </w:r>
      <w:hyperlink w:anchor="ref-4">
        <w:r>
          <w:rPr>
            <w:rStyle w:val="Hyperlink"/>
          </w:rPr>
          <w:t xml:space="preserve">[4]</w:t>
        </w:r>
      </w:hyperlink>
      <w:r>
        <w:t xml:space="preserve">. These contributions describe the budgetary environment in which the survey operates, but they do not isolate the survey as an intervention and ask what it causes.</w:t>
      </w:r>
    </w:p>
    <w:p>
      <w:pPr>
        <w:pStyle w:val="BodyText"/>
        <w:spacing w:line="480" w:lineRule="auto"/>
        <w:ind w:firstLine="720"/>
      </w:pPr>
      <w:r>
        <w:t xml:space="preserve">Mission-design work within the planetary literature sits at a different altitude entirely. It evaluates the cost-effectiveness and feasibility of specific architectures, from highly miniaturized planetary spacecraft</w:t>
      </w:r>
      <w:r>
        <w:t xml:space="preserve"> </w:t>
      </w:r>
      <w:hyperlink w:anchor="ref-5">
        <w:r>
          <w:rPr>
            <w:rStyle w:val="Hyperlink"/>
          </w:rPr>
          <w:t xml:space="preserve">[5]</w:t>
        </w:r>
      </w:hyperlink>
      <w:r>
        <w:t xml:space="preserve"> </w:t>
      </w:r>
      <w:r>
        <w:t xml:space="preserve">to the microgravity landing dynamics of small-body exploration</w:t>
      </w:r>
      <w:r>
        <w:t xml:space="preserve"> </w:t>
      </w:r>
      <w:hyperlink w:anchor="ref-6">
        <w:r>
          <w:rPr>
            <w:rStyle w:val="Hyperlink"/>
          </w:rPr>
          <w:t xml:space="preserve">[6]</w:t>
        </w:r>
      </w:hyperlink>
      <w:r>
        <w:t xml:space="preserve"> </w:t>
      </w:r>
      <w:r>
        <w:t xml:space="preserve">to spacecraft swarms for moon reconnaissance</w:t>
      </w:r>
      <w:r>
        <w:t xml:space="preserve"> </w:t>
      </w:r>
      <w:hyperlink w:anchor="ref-7">
        <w:r>
          <w:rPr>
            <w:rStyle w:val="Hyperlink"/>
          </w:rPr>
          <w:t xml:space="preserve">[7]</w:t>
        </w:r>
      </w:hyperlink>
      <w:r>
        <w:t xml:space="preserve">. It develops parametric cost-estimation tools and validates them against flown missions</w:t>
      </w:r>
      <w:r>
        <w:t xml:space="preserve"> </w:t>
      </w:r>
      <w:hyperlink w:anchor="ref-8">
        <w:r>
          <w:rPr>
            <w:rStyle w:val="Hyperlink"/>
          </w:rPr>
          <w:t xml:space="preserve">[8]</w:t>
        </w:r>
      </w:hyperlink>
      <w:r>
        <w:t xml:space="preserve">[9][10]. This work is indispensable for understanding why flagship destinations are expensive, and it supplies the engineering rationale for the standing destination premium that any allocation analysis must hold constant. But it is a literature of trade studies, not of allocation policy. It explains what missions cost; it does not estimate whether a survey changed what they were funded.</w:t>
      </w:r>
    </w:p>
    <w:p>
      <w:pPr>
        <w:pStyle w:val="BodyText"/>
        <w:spacing w:line="480" w:lineRule="auto"/>
        <w:ind w:firstLine="720"/>
      </w:pPr>
      <w:r>
        <w:t xml:space="preserve">On the econometric side, difference-in-differences is a settled and widely used estimator for recovering the average treatment effect of a discrete intervention when a treated group and a comparison group are observed before and after the intervention, under the assumption that the two groups would have moved in parallel absent treatment. The method, its identifying assumptions, and recent refinements for staggered adoption and treatment-effect heterogeneity are standard equipment in applied policy evaluation. What is absent is any application of this estimator to the decadal survey instrument. The space-policy literature has not framed survey priority designation as a treatment, has not assembled a panel of mission lines observed across a survey boundary, and has not tested the parallel-trends assumption that would license a causal reading of the post-publication funding pattern.</w:t>
      </w:r>
    </w:p>
    <w:p>
      <w:pPr>
        <w:pStyle w:val="BodyText"/>
        <w:spacing w:line="480" w:lineRule="auto"/>
        <w:ind w:firstLine="720"/>
      </w:pPr>
      <w:r>
        <w:t xml:space="preserve">The gap is therefore not descriptive but identificational. The field does not lack accounts of what the survey says, what missions cost, or how large the budgets are. It lacks a credible counterfactual against which the survey’s marginal budgetary effect can be read. The two literatures that could supply that counterfactual, the domain literature that defines the budgetary terrain and the econometric literature that supplies the estimator, have not been brought into contact on this question.</w:t>
      </w:r>
    </w:p>
    <w:p>
      <w:pPr>
        <w:pStyle w:val="BodyText"/>
        <w:spacing w:line="480" w:lineRule="auto"/>
        <w:ind w:firstLine="720"/>
      </w:pPr>
      <w:r>
        <w:t xml:space="preserve">This dissertation brings them into contact. It imports a quasi-experimental estimator that the space-policy literature has not yet applied to the survey, and it applies that estimator to a panel built from the domain’s own primary records.</w:t>
      </w:r>
    </w:p>
    <w:p>
      <w:pPr>
        <w:pStyle w:val="BodyText"/>
        <w:spacing w:line="480" w:lineRule="auto"/>
        <w:ind w:firstLine="720"/>
      </w:pPr>
      <w:r>
        <w:t xml:space="preserve">Why has the contact never been made? The reason is itself instructive. The domain scholars who understand the budgetary terrain most intimately tend to work in the idiom of trade studies, cost models, and program histories, where the operative questions are engineering and programmatic rather than causal-inferential. The applied econometricians who command the estimator tend not to work in planetary science, where the panel is small, the institutional vocabulary is unfamiliar, and the primary records require reconciliation across budget documents and survey volumes that do not share identifiers. The question falls between the disciplines not because it is uninteresting to either but because answering it requires both a fluency in the domain’s primary sources and a discipline about identification that neither community has had standing occasion to combine. The combination is the dissertation’s claim to originality, and it is a methodological claim before it is an empirical one. The empirical answer, whatever its sign, is secondary to the demonstration that the survey can be treated as a treatment at all and that a defensible comparison group can be assembled from public records to estimate its effect.</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One estimate is delivered, and the contribution is staked on it: the average treatment effect on the treated of decadal-survey priority designation on real funding for planetary mission lines. The estimand is the difference-in-differences interaction between priority status and the post-publication period. It is constructed so that the standing flagship premium and the portfolio-wide cost trend, the two confounds that travel with priority designation, are separated out and held constant, leaving only the quantity that would exist if and only if the survey itself redirected proportional budget.</w:t>
      </w:r>
    </w:p>
    <w:p>
      <w:pPr>
        <w:pStyle w:val="BodyText"/>
        <w:spacing w:line="480" w:lineRule="auto"/>
        <w:ind w:firstLine="720"/>
      </w:pPr>
      <w:r>
        <w:t xml:space="preserve">Stated formally, the contribution becomes a pair of competing hypotheses, framed so that the result is falsifiable in the strict sense.</w:t>
      </w:r>
    </w:p>
    <w:p>
      <w:pPr>
        <w:pStyle w:val="BodyText"/>
        <w:spacing w:line="480" w:lineRule="auto"/>
        <w:ind w:firstLine="720"/>
      </w:pPr>
      <w:r>
        <w:rPr>
          <w:b/>
          <w:bCs/>
        </w:rPr>
        <w:t xml:space="preserve">H0 (null).</w:t>
      </w:r>
      <w:r>
        <w:t xml:space="preserve"> </w:t>
      </w:r>
      <w:r>
        <w:t xml:space="preserve">Conditional on the agency-wide spending level and on program-specific pre-publication trends, designation as a high-priority mission in a decadal survey produces no differential change in real funding after publication. The difference-in-differences interaction coefficient is statistically indistinguishable from zero.</w:t>
      </w:r>
    </w:p>
    <w:p>
      <w:pPr>
        <w:pStyle w:val="BodyText"/>
        <w:spacing w:line="480" w:lineRule="auto"/>
        <w:ind w:firstLine="720"/>
      </w:pPr>
      <w:r>
        <w:rPr>
          <w:b/>
          <w:bCs/>
        </w:rPr>
        <w:t xml:space="preserve">H1 (alternative).</w:t>
      </w:r>
      <w:r>
        <w:t xml:space="preserve"> </w:t>
      </w:r>
      <w:r>
        <w:t xml:space="preserve">Designation as a high-priority mission produces a positive and statistically significant differential change in real funding after publication, relative to non-designated comparison mission lines, net of the agency-wide spending level and pre-publication trends. The interaction coefficient is positive and distinguishable from zero.</w:t>
      </w:r>
    </w:p>
    <w:p>
      <w:pPr>
        <w:pStyle w:val="BodyText"/>
        <w:spacing w:line="480" w:lineRule="auto"/>
        <w:ind w:firstLine="720"/>
      </w:pPr>
      <w:r>
        <w:t xml:space="preserve">Falsifiability here is concrete: a precisely estimated zero, a confidence interval that brackets the null tightly, refutes H1 and supports the reading of the survey as a coordinating rather than an allocating instrument. This symmetry is the contribution’s methodological strength. A null result here is not a failure to find an effect; it is a substantive finding that relocates allocative power away from the ranking and toward the standing economics of the destinations.</w:t>
      </w:r>
    </w:p>
    <w:p>
      <w:pPr>
        <w:pStyle w:val="BodyText"/>
        <w:spacing w:line="480" w:lineRule="auto"/>
        <w:ind w:firstLine="720"/>
      </w:pPr>
      <w:r>
        <w:t xml:space="preserve">That point deserves stating without hedging: in this design a precise zero is as informative as a precise positive, because the question is not whether prioritized destinations received money but whether the survey caused them to receive differentially more of it.</w:t>
      </w:r>
    </w:p>
    <w:p>
      <w:pPr>
        <w:pStyle w:val="BodyText"/>
        <w:spacing w:line="480" w:lineRule="auto"/>
        <w:ind w:firstLine="720"/>
      </w:pPr>
      <w:r>
        <w:t xml:space="preserve">Exactly such an estimate is what the empirical core reports for the 2011 survey. Treating the survey as a natural experiment over a panel of NASA planetary missions, the difference-in-differences interaction is not distinguishable from zero, with a point estimate of the opposite sign to H1 and a confidence interval that comfortably contains the null. The standing flagship premium is large and precisely estimated, and the portfolio-wide cost increase after the survey is large and precisely estimated, but the survey’s own differential tilt toward its priorities does not appear in the committed budget per mission. The evidence does not support H1 and is fully consistent with H0. The honest reading is that the 2011 survey ratified a hierarchy of destination costs it did not create. Mars and the outer-planet ocean worlds were the expensive destinations before the survey ranked them. They stayed expensive after it. The post-survey surge in their budgets is the same inflation that lifted the rest of the portfolio in equal proportion.</w:t>
      </w:r>
    </w:p>
    <w:p>
      <w:pPr>
        <w:pStyle w:val="BodyText"/>
        <w:spacing w:line="480" w:lineRule="auto"/>
        <w:ind w:firstLine="720"/>
      </w:pPr>
      <w:r>
        <w:t xml:space="preserve">That finding carries three caveats that the body of the dissertation states plainly and does not paper over. First, the budget-per-mission outcome speaks to the size of selected missions, not to the probability that a destination won a new start at all. A survey could change which destinations get missions without changing how much each costs once chosen, and that selection-rate channel is a distinct question requiring a distinct estimator. Second, with a panel of this size the interaction is estimated imprecisely enough that the confidence interval does not exclude a modest positive effect; the result is best read as no evidence of a large differential tilt, not as proof of an exact zero. Third, the parallel-trends assumption is untestable in the strongest sense, and the analysis treats it candidly, supporting it where the data permit through event-study and placebo diagnostics rather than asserting it. The result is therefore offered as the first credible estimate of the survey’s marginal budgetary effect on mission scale, not as the last word on every channel through which a survey might matter.</w:t>
      </w:r>
    </w:p>
    <w:bookmarkEnd w:id="64"/>
    <w:bookmarkStart w:id="65" w:name="roadmap"/>
    <w:p>
      <w:pPr>
        <w:pStyle w:val="Heading2"/>
        <w:spacing w:line="480" w:lineRule="auto"/>
      </w:pPr>
      <w:r>
        <w:t xml:space="preserve">1.5 Roadmap</w:t>
      </w:r>
    </w:p>
    <w:p>
      <w:pPr>
        <w:pStyle w:val="FirstParagraph"/>
        <w:spacing w:line="480" w:lineRule="auto"/>
      </w:pPr>
      <w:r>
        <w:t xml:space="preserve">From here the dissertation proceeds as follows.</w:t>
      </w:r>
    </w:p>
    <w:p>
      <w:pPr>
        <w:pStyle w:val="BodyText"/>
        <w:spacing w:line="480" w:lineRule="auto"/>
        <w:ind w:firstLine="720"/>
      </w:pPr>
      <w:r>
        <w:t xml:space="preserve">Chapter 2 develops the theoretical frame. It sets out the two competing mechanisms that could connect a decadal ranking to a mission budget, direct survey authority on one side and selection-and-inertia on the other, and shows why each predicts a different signature in the allocation series. It grounds the selection-and-inertia mechanism in the parametric cost literature, which establishes that flagship destinations carry a standing engineering premium independent of any ranking</w:t>
      </w:r>
      <w:r>
        <w:t xml:space="preserve"> </w:t>
      </w:r>
      <w:hyperlink w:anchor="ref-8">
        <w:r>
          <w:rPr>
            <w:rStyle w:val="Hyperlink"/>
          </w:rPr>
          <w:t xml:space="preserve">[8]</w:t>
        </w:r>
      </w:hyperlink>
      <w:r>
        <w:t xml:space="preserve">[9][10], and it derives the hypotheses that the empirical chapters test.</w:t>
      </w:r>
    </w:p>
    <w:p>
      <w:pPr>
        <w:pStyle w:val="BodyText"/>
        <w:spacing w:line="480" w:lineRule="auto"/>
        <w:ind w:firstLine="720"/>
      </w:pPr>
      <w:r>
        <w:t xml:space="preserve">Chapter 3 reviews the two literatures the dissertation joins. It surveys the domain treatments of space budgets, governance, and the space economy</w:t>
      </w:r>
      <w:r>
        <w:t xml:space="preserve"> </w:t>
      </w:r>
      <w:hyperlink w:anchor="ref-1">
        <w:r>
          <w:rPr>
            <w:rStyle w:val="Hyperlink"/>
          </w:rPr>
          <w:t xml:space="preserve">[1]</w:t>
        </w:r>
      </w:hyperlink>
      <w:r>
        <w:t xml:space="preserve">[2][3][4], and the mission-design and cost-estimation scholarship that explains why destinations differ in cost</w:t>
      </w:r>
      <w:r>
        <w:t xml:space="preserve"> </w:t>
      </w:r>
      <w:hyperlink w:anchor="ref-5">
        <w:r>
          <w:rPr>
            <w:rStyle w:val="Hyperlink"/>
          </w:rPr>
          <w:t xml:space="preserve">[5]</w:t>
        </w:r>
      </w:hyperlink>
      <w:r>
        <w:t xml:space="preserve">[6][7][8][9][10]. It then locates the difference-in-differences estimator within applied policy evaluation and establishes that the estimator has not been applied to the survey instrument, fixing the identificational gap the dissertation fills.</w:t>
      </w:r>
    </w:p>
    <w:p>
      <w:pPr>
        <w:pStyle w:val="BodyText"/>
        <w:spacing w:line="480" w:lineRule="auto"/>
        <w:ind w:firstLine="720"/>
      </w:pPr>
      <w:r>
        <w:t xml:space="preserve">Chapter 4 describes the data and provenance. It specifies the unit of observation, the construction of the treatment indicator from the National Academies survey volumes</w:t>
      </w:r>
      <w:r>
        <w:t xml:space="preserve"> </w:t>
      </w:r>
      <w:hyperlink w:anchor="ref-13">
        <w:r>
          <w:rPr>
            <w:rStyle w:val="Hyperlink"/>
          </w:rPr>
          <w:t xml:space="preserve">[13]</w:t>
        </w:r>
      </w:hyperlink>
      <w:r>
        <w:t xml:space="preserve">[14][15], the construction of the post-publication indicator, and the assembly of the funding series from primary budget records and the major-project assessments</w:t>
      </w:r>
      <w:r>
        <w:t xml:space="preserve"> </w:t>
      </w:r>
      <w:hyperlink w:anchor="ref-17">
        <w:r>
          <w:rPr>
            <w:rStyle w:val="Hyperlink"/>
          </w:rPr>
          <w:t xml:space="preserve">[17]</w:t>
        </w:r>
      </w:hyperlink>
      <w:r>
        <w:t xml:space="preserve">. It documents the crosswalk reconciling mission identifiers across corpora and the deflation procedure, and it records the source line behind every observation so that no figure enters the panel without a citable origin.</w:t>
      </w:r>
    </w:p>
    <w:p>
      <w:pPr>
        <w:pStyle w:val="BodyText"/>
        <w:spacing w:line="480" w:lineRule="auto"/>
        <w:ind w:firstLine="720"/>
      </w:pPr>
      <w:r>
        <w:t xml:space="preserve">Chapter 5 presents the identification strategy and estimator in full. It states the two-way fixed-effects specification, the parallel-trends assumption on which identification rests, the event-study and placebo diagnostics that test it, the restriction of the comparison group to same-cycle below-threshold candidates that narrows the gap on unobserved maturity, and the heterogeneity-robust sensitivity checks that honor recent methodological cautions about staggered-adoption designs.</w:t>
      </w:r>
    </w:p>
    <w:p>
      <w:pPr>
        <w:pStyle w:val="BodyText"/>
        <w:spacing w:line="480" w:lineRule="auto"/>
        <w:ind w:firstLine="720"/>
      </w:pPr>
      <w:r>
        <w:t xml:space="preserve">Chapter 6 reports the difference-in-differences findings for the 2011 survey, presents the coefficient on the standing premium, the coefficient on the portfolio-wide trend, and the interaction that isolates the survey’s own effect, and reconciles the regression estimate with the hand-computed two-by-two difference of means.</w:t>
      </w:r>
    </w:p>
    <w:p>
      <w:pPr>
        <w:pStyle w:val="BodyText"/>
        <w:spacing w:line="480" w:lineRule="auto"/>
        <w:ind w:firstLine="720"/>
      </w:pPr>
      <w:r>
        <w:t xml:space="preserve">Chapter 7 addresses the companion question that the budget-per-mission result leaves open: whether the survey changed the rate at which prioritized destinations won new starts. It develops the selection-rate channel as a survival analysis of mission initiation, distinct from the scale outcome examined in Chapter 6, and reports what that estimator returns.</w:t>
      </w:r>
    </w:p>
    <w:p>
      <w:pPr>
        <w:pStyle w:val="BodyText"/>
        <w:spacing w:line="480" w:lineRule="auto"/>
        <w:ind w:firstLine="720"/>
      </w:pPr>
      <w:r>
        <w:t xml:space="preserve">Chapter 8 confronts the threats to validity in full, anticipation, selection on engineering maturity, top-line confounding, and the construct validity of the funding measure, and reports the robustness dimensions under which the central estimate is stress-tested.</w:t>
      </w:r>
    </w:p>
    <w:p>
      <w:pPr>
        <w:pStyle w:val="BodyText"/>
        <w:spacing w:line="480" w:lineRule="auto"/>
        <w:ind w:firstLine="720"/>
      </w:pPr>
      <w:r>
        <w:t xml:space="preserve">Chapter 9 concludes. It states what the estimate licenses and what it does not, draws out the implications for how NASA, the Jet Propulsion Laboratory, and the federally funded analysts who advise on portfolio strategy should understand the decadal survey, and specifies the boundary of external validity: the estimate generalizes to the survey as practiced over the observed cycles and does not license claims about counterfactual survey designs.</w:t>
      </w:r>
    </w:p>
    <w:bookmarkEnd w:id="65"/>
    <w:bookmarkEnd w:id="66"/>
    <w:bookmarkStart w:id="79" w:name="chapter-2.-literature-review"/>
    <w:p>
      <w:pPr>
        <w:pStyle w:val="Heading1"/>
        <w:spacing w:line="480" w:lineRule="auto"/>
      </w:pPr>
      <w:r>
        <w:t xml:space="preserve">Chapter 2. Literature Review</w:t>
      </w:r>
    </w:p>
    <w:bookmarkStart w:id="67" w:name="Xe5b498cf546bbd1087ab941b96cdb48215a00fb"/>
    <w:p>
      <w:pPr>
        <w:pStyle w:val="Heading2"/>
        <w:spacing w:line="480" w:lineRule="auto"/>
      </w:pPr>
      <w:r>
        <w:t xml:space="preserve">2.1 Two Literatures That Do Not Speak to Each Other</w:t>
      </w:r>
    </w:p>
    <w:p>
      <w:pPr>
        <w:pStyle w:val="FirstParagraph"/>
        <w:spacing w:line="480" w:lineRule="auto"/>
      </w:pPr>
      <w:r>
        <w:t xml:space="preserve">This dissertation’s question sits in the seam between two mature bodies of scholarship that have, to date, developed in near isolation from one another. The first is the domain technical literature of planetary science and space-mission engineering, which describes in granular detail what missions cost, why they cost what they do, and how priorities are formed within the community. The second is the cliometric and econometric methodology literature, which supplies the causal-inference machinery, principally difference-in-differences and its event-study extensions, for distinguishing the effect of an intervention from the trajectory a system was already on. The central observation of this chapter is that these two literatures have not been joined at the point where they would together answer the dissertation’s question: whether the planetary science decadal survey causes a reallocation of obligated funding, or whether it merely ratifies an allocation already underway. The technical literature can say with precision what a Europa orbiter costs and why, but it cannot say whether the survey moved that dollar figure. The methodological literature can construct a credible counterfactual for almost any discrete policy intervention, but it has not been pointed at the decadal survey as a treatment.</w:t>
      </w:r>
    </w:p>
    <w:p>
      <w:pPr>
        <w:pStyle w:val="BodyText"/>
        <w:spacing w:line="480" w:lineRule="auto"/>
        <w:ind w:firstLine="720"/>
      </w:pPr>
      <w:r>
        <w:t xml:space="preserve">So the gap is not a hole in either literature taken alone. It is the unbuilt bridge between them.</w:t>
      </w:r>
    </w:p>
    <w:p>
      <w:pPr>
        <w:pStyle w:val="BodyText"/>
        <w:spacing w:line="480" w:lineRule="auto"/>
        <w:ind w:firstLine="720"/>
      </w:pPr>
      <w:r>
        <w:t xml:space="preserve">This chapter proceeds in four movements. Section 2.2 reviews the domain technical literature in its three relevant strands: the cost-estimation and parametric-modeling tradition that establishes the engineering floor on mission expense; the mission-design and architecture literature that characterizes the prioritized destinations as objects of study; and the descriptive policy literature on the decadal survey instrument itself. Section 2.3 reviews the cliometric and econometric methodology literature, with attention to the assumptions, threats, and recent refinements that govern a credible difference-in-differences estimate. Section 2.4 reviews the economic framing of public space budgets, which supplies the conceptual vocabulary for treating obligated funding as a policy-determined quantity worth interrogating. Section 2.5 synthesizes the three and states the identificational gap that the dissertation fills.</w:t>
      </w:r>
    </w:p>
    <w:bookmarkEnd w:id="67"/>
    <w:bookmarkStart w:id="71" w:name="the-domain-technical-literature"/>
    <w:p>
      <w:pPr>
        <w:pStyle w:val="Heading2"/>
        <w:spacing w:line="480" w:lineRule="auto"/>
      </w:pPr>
      <w:r>
        <w:t xml:space="preserve">2.2 The Domain Technical Literature</w:t>
      </w:r>
    </w:p>
    <w:bookmarkStart w:id="68" w:name="X7dec8d87a4e274d55099d86737b46adc9323dc6"/>
    <w:p>
      <w:pPr>
        <w:pStyle w:val="Heading3"/>
        <w:spacing w:line="480" w:lineRule="auto"/>
      </w:pPr>
      <w:r>
        <w:t xml:space="preserve">2.2.1 Parametric Cost Estimation and the Engineering Floor on Mission Expense</w:t>
      </w:r>
    </w:p>
    <w:p>
      <w:pPr>
        <w:pStyle w:val="FirstParagraph"/>
        <w:spacing w:line="480" w:lineRule="auto"/>
      </w:pPr>
      <w:r>
        <w:t xml:space="preserve">Among the strands of the planetary technical literature, the most rigorous and most quantitatively disciplined concerns the estimation of mission cost from physical and programmatic parameters. This tradition matters acutely here. It supplies the alternative explanation against which the survey’s causal claim must be tested. If the destinations the survey ranks highest are precisely the destinations that engineering physics renders most expensive, then a naive correlation between priority designation and high spending tells one nothing about the survey’s allocative power. It tells one only that the survey ranked the costly things highly, which any informed observer could have predicted in advance.</w:t>
      </w:r>
    </w:p>
    <w:p>
      <w:pPr>
        <w:pStyle w:val="BodyText"/>
        <w:spacing w:line="480" w:lineRule="auto"/>
        <w:ind w:firstLine="720"/>
      </w:pPr>
      <w:r>
        <w:t xml:space="preserve">Parametric cost modeling establishes that mission cost is, to a substantial degree, recoverable from mass, power, complexity, and destination class without reference to any policy ranking. The blind validation study of the SEER-H parametric tool against NASA missions is the canonical demonstration of this point, testing whether a cost model calibrated on prior missions can predict the cost of missions held out of its calibration set</w:t>
      </w:r>
      <w:r>
        <w:t xml:space="preserve"> </w:t>
      </w:r>
      <w:hyperlink w:anchor="ref-8">
        <w:r>
          <w:rPr>
            <w:rStyle w:val="Hyperlink"/>
          </w:rPr>
          <w:t xml:space="preserve">[8]</w:t>
        </w:r>
      </w:hyperlink>
      <w:r>
        <w:t xml:space="preserve">. The exercise is methodologically important because it is genuinely blind: the predictive performance of the tool is assessed against figures it was not trained to reproduce, which is the parametric analogue of out-of-sample validation. Physical and programmatic parameters carry substantial predictive weight. The implication is that the cost of an outer-planet flagship is, in large part, a fact of systems engineering rather than a fact of policy. The standing premium that prioritized destinations command is, on this reading, baked into the radiation hardening, the deep-space communication architecture, the autonomous entry-descent-and-landing requirement, and the long-life power systems that those destinations demand.</w:t>
      </w:r>
    </w:p>
    <w:p>
      <w:pPr>
        <w:pStyle w:val="BodyText"/>
        <w:spacing w:line="480" w:lineRule="auto"/>
        <w:ind w:firstLine="720"/>
      </w:pPr>
      <w:r>
        <w:t xml:space="preserve">Nor does the parametric tradition rest on a single tool. The cost modeling of a mid-lift-to-drag-ratio vehicle for human Mars entry, descent, and landing demonstrates that the same parametric logic applies to the most demanding destination classes, where entry dynamics and thermal loads drive cost through engineering necessity rather than programmatic choice</w:t>
      </w:r>
      <w:r>
        <w:t xml:space="preserve"> </w:t>
      </w:r>
      <w:hyperlink w:anchor="ref-9">
        <w:r>
          <w:rPr>
            <w:rStyle w:val="Hyperlink"/>
          </w:rPr>
          <w:t xml:space="preserve">[9]</w:t>
        </w:r>
      </w:hyperlink>
      <w:r>
        <w:t xml:space="preserve">. The point generalizes: wherever a destination imposes severe physical demands, the cost floor rises mechanically, and the rise is legible to a parametric model that never consults a priority ranking. The spacecraft and optics design literature reinforces this conclusion from the instrument side. The design study of a spaceborne lidar mission with spatially continuous global coverage shows how optical and pointing requirements propagate into spacecraft mass and power budgets, and therefore into cost, through a chain of engineering trades that is indifferent to any survey</w:t>
      </w:r>
      <w:r>
        <w:t xml:space="preserve"> </w:t>
      </w:r>
      <w:hyperlink w:anchor="ref-10">
        <w:r>
          <w:rPr>
            <w:rStyle w:val="Hyperlink"/>
          </w:rPr>
          <w:t xml:space="preserve">[10]</w:t>
        </w:r>
      </w:hyperlink>
      <w:r>
        <w:t xml:space="preserve">. Taken together, these studies establish the engineering floor: a substantial fraction of the cross-mission variance in lifecycle cost is explained by destination-driven physical demands that exist independent of, and prior to, any decadal designation.</w:t>
      </w:r>
    </w:p>
    <w:p>
      <w:pPr>
        <w:pStyle w:val="BodyText"/>
        <w:spacing w:line="480" w:lineRule="auto"/>
        <w:ind w:firstLine="720"/>
      </w:pPr>
      <w:r>
        <w:t xml:space="preserve">This literature is indispensable to the dissertation precisely because it furnishes the null hypothesis with its mechanism. The companion empirical work within this program recovers a standing flagship premium of roughly three and a half times the cost of control-destination missions, a premium that is large, precisely estimated, and present before the survey ranked anything. That premium is exactly what the parametric literature predicts. The methodological consequence is that any credible estimate of the survey’s effect must net out this premium rather than mistake it for the survey’s work. A design that fails to separate the engineering floor from the survey’s marginal contribution will systematically overstate the survey’s potency, attributing to a ranking what belongs to physics. The difference-in-differences specification developed in this dissertation is constructed expressly to perform that separation, assigning the level gap between prioritized and control destinations to the standing premium and reserving the interaction term for whatever differential the survey itself produces.</w:t>
      </w:r>
    </w:p>
    <w:bookmarkEnd w:id="68"/>
    <w:bookmarkStart w:id="69" w:name="X8d3374f42f21763c294987f69d0cf5e1b31c55a"/>
    <w:p>
      <w:pPr>
        <w:pStyle w:val="Heading3"/>
        <w:spacing w:line="480" w:lineRule="auto"/>
      </w:pPr>
      <w:r>
        <w:t xml:space="preserve">2.2.2 Mission Architecture and the Prioritized Destinations as Objects of Study</w:t>
      </w:r>
    </w:p>
    <w:p>
      <w:pPr>
        <w:pStyle w:val="FirstParagraph"/>
        <w:spacing w:line="480" w:lineRule="auto"/>
      </w:pPr>
      <w:r>
        <w:t xml:space="preserve">A second strand of the domain literature characterizes the missions and destinations that the decadal surveys rank, treating them as engineering problems rather than as budget lines. This literature is voluminous and technically deep, and while it does not bear directly on the causal question, it establishes the object domain of the study and confirms that the prioritized destinations are coherent, well-defined classes whose membership can be coded reliably from public technical sources.</w:t>
      </w:r>
    </w:p>
    <w:p>
      <w:pPr>
        <w:pStyle w:val="BodyText"/>
        <w:spacing w:line="480" w:lineRule="auto"/>
        <w:ind w:firstLine="720"/>
      </w:pPr>
      <w:r>
        <w:t xml:space="preserve">Well represented in this literature are the outer-planet and ocean-world destinations that the 2011 and 2022 surveys ranked at the top of the flagship tier. The QUEST New Frontiers Uranus orbiter mission concept study exemplifies the architecture work that surrounds a top-ranked destination, detailing the trajectory, instrument complement, and power constraints of a Uranus mission of the kind the survey elevated to top priority</w:t>
      </w:r>
      <w:r>
        <w:t xml:space="preserve"> </w:t>
      </w:r>
      <w:hyperlink w:anchor="ref-32">
        <w:r>
          <w:rPr>
            <w:rStyle w:val="Hyperlink"/>
          </w:rPr>
          <w:t xml:space="preserve">[32]</w:t>
        </w:r>
      </w:hyperlink>
      <w:r>
        <w:t xml:space="preserve">. That such a concept study exists in the peer-reviewed literature, with a fully articulated architecture, demonstrates that the destination is a stable object of community attention rather than an artifact of any single ranking. The Venus aerobot inflation-sequence study occupies an analogous position for an inner-planet destination, demonstrating laboratory progress on a variable-altitude aerobot architecture that would serve a Venus mission</w:t>
      </w:r>
      <w:r>
        <w:t xml:space="preserve"> </w:t>
      </w:r>
      <w:hyperlink w:anchor="ref-12">
        <w:r>
          <w:rPr>
            <w:rStyle w:val="Hyperlink"/>
          </w:rPr>
          <w:t xml:space="preserve">[12]</w:t>
        </w:r>
      </w:hyperlink>
      <w:r>
        <w:t xml:space="preserve">. The contrast between the two is instructive for treatment coding: Uranus is a prioritized outer-planet destination, Venus an inner-planet control destination, and the technical literature treats each as a distinct and codable class.</w:t>
      </w:r>
    </w:p>
    <w:p>
      <w:pPr>
        <w:pStyle w:val="BodyText"/>
        <w:spacing w:line="480" w:lineRule="auto"/>
        <w:ind w:firstLine="720"/>
      </w:pPr>
      <w:r>
        <w:t xml:space="preserve">Small-body and reconnaissance work extends the destination taxonomy further. The exhaustive evaluation of microgravity landing dynamics for small-body exploration characterizes the engineering particular to asteroid and small-body targets, a control class in the dissertation’s coding scheme</w:t>
      </w:r>
      <w:r>
        <w:t xml:space="preserve"> </w:t>
      </w:r>
      <w:hyperlink w:anchor="ref-6">
        <w:r>
          <w:rPr>
            <w:rStyle w:val="Hyperlink"/>
          </w:rPr>
          <w:t xml:space="preserve">[6]</w:t>
        </w:r>
      </w:hyperlink>
      <w:r>
        <w:t xml:space="preserve">. The sensitivity analysis of spacecraft swarms for planetary moon reconnaissance through co-orbits describes a distributed-architecture approach to moon reconnaissance that would serve outer-planet ocean-world systems</w:t>
      </w:r>
      <w:r>
        <w:t xml:space="preserve"> </w:t>
      </w:r>
      <w:hyperlink w:anchor="ref-7">
        <w:r>
          <w:rPr>
            <w:rStyle w:val="Hyperlink"/>
          </w:rPr>
          <w:t xml:space="preserve">[7]</w:t>
        </w:r>
      </w:hyperlink>
      <w:r>
        <w:t xml:space="preserve">. The survey of highly miniaturized femto- and atto-satellite missions, while oriented toward a different scale of spacecraft, documents the lower bound of the architecture space and confirms that mission class is a meaningful and continuous variable across which cost varies systematically</w:t>
      </w:r>
      <w:r>
        <w:t xml:space="preserve"> </w:t>
      </w:r>
      <w:hyperlink w:anchor="ref-5">
        <w:r>
          <w:rPr>
            <w:rStyle w:val="Hyperlink"/>
          </w:rPr>
          <w:t xml:space="preserve">[5]</w:t>
        </w:r>
      </w:hyperlink>
      <w:r>
        <w:t xml:space="preserve">. Surface-survey concepts such as the FlyRadar drone-based ground-penetrating-radar study for Mars complete the picture for the highest-priority destination class, showing the depth of architecture work that attends a top-ranked target</w:t>
      </w:r>
      <w:r>
        <w:t xml:space="preserve"> </w:t>
      </w:r>
      <w:hyperlink w:anchor="ref-33">
        <w:r>
          <w:rPr>
            <w:rStyle w:val="Hyperlink"/>
          </w:rPr>
          <w:t xml:space="preserve">[33]</w:t>
        </w:r>
      </w:hyperlink>
      <w:r>
        <w:t xml:space="preserve">.</w:t>
      </w:r>
    </w:p>
    <w:p>
      <w:pPr>
        <w:pStyle w:val="BodyText"/>
        <w:spacing w:line="480" w:lineRule="auto"/>
        <w:ind w:firstLine="720"/>
      </w:pPr>
      <w:r>
        <w:t xml:space="preserve">For the dissertation, the methodological yield of this literature is twofold. First, it confirms that the destination classes used to assign treatment status are real, stable, and codable from public technical documents, which is a precondition for the credibility of any difference-in-differences design that hinges on correct treatment assignment. Second, it reinforces the engineering-floor argument of Section 2.2.1 from the architecture side: the prioritized destinations are not arbitrary, and their elevated cost is traceable to the architectural demands the concept studies make explicit. What this literature conspicuously does not do is ask whether the survey’s act of ranking changes the budget that flows to these architectures. It evaluates feasibility, cost-effectiveness, and engineering trade space at the level of the individual mission, never at the level of the allocation mechanism that decides which missions receive money. The architecture literature is, in the strict sense, pre-allocational. It describes what could be built and what it would cost, not what the survey causes to be funded.</w:t>
      </w:r>
    </w:p>
    <w:bookmarkEnd w:id="69"/>
    <w:bookmarkStart w:id="70" w:name="X856ac56ac2390fbea2ae613f15567fb62c808da"/>
    <w:p>
      <w:pPr>
        <w:pStyle w:val="Heading3"/>
        <w:spacing w:line="480" w:lineRule="auto"/>
      </w:pPr>
      <w:r>
        <w:t xml:space="preserve">2.2.3 The Decadal Survey as Described, Not as Estimated</w:t>
      </w:r>
    </w:p>
    <w:p>
      <w:pPr>
        <w:pStyle w:val="FirstParagraph"/>
        <w:spacing w:line="480" w:lineRule="auto"/>
      </w:pPr>
      <w:r>
        <w:t xml:space="preserve">A third strand of the domain literature treats the decadal survey instrument directly, but almost entirely in descriptive and institutional terms. This literature explains what the survey is, how it is produced, and what it recommends, and it is the proximate source of the normative claim that the dissertation interrogates. It is also, tellingly, the strand in which the causal premise is asserted most confidently and tested least.</w:t>
      </w:r>
    </w:p>
    <w:p>
      <w:pPr>
        <w:pStyle w:val="BodyText"/>
        <w:spacing w:line="480" w:lineRule="auto"/>
        <w:ind w:firstLine="720"/>
      </w:pPr>
      <w:r>
        <w:t xml:space="preserve">Institutional descriptions of the survey establish its quasi-statutory authority. The Planetary Society’s account of the survey explains the National Academies process, the community consensus it is designed to produce, and the role the resulting ranked list plays in agency planning and congressional testimony</w:t>
      </w:r>
      <w:r>
        <w:t xml:space="preserve"> </w:t>
      </w:r>
      <w:hyperlink w:anchor="ref-11">
        <w:r>
          <w:rPr>
            <w:rStyle w:val="Hyperlink"/>
          </w:rPr>
          <w:t xml:space="preserve">[11]</w:t>
        </w:r>
      </w:hyperlink>
      <w:r>
        <w:t xml:space="preserve">. This account, and others like it, treat the survey as the document that tells NASA where the money should go, a framing that embeds precisely the causal claim the dissertation seeks to test. The AIP FYI summary of the 2022 survey’s major-mission recommendations enumerates the ranked priorities and reports them as consequential for the agency’s forward program</w:t>
      </w:r>
      <w:r>
        <w:t xml:space="preserve"> </w:t>
      </w:r>
      <w:hyperlink w:anchor="ref-14">
        <w:r>
          <w:rPr>
            <w:rStyle w:val="Hyperlink"/>
          </w:rPr>
          <w:t xml:space="preserve">[14]</w:t>
        </w:r>
      </w:hyperlink>
      <w:r>
        <w:t xml:space="preserve">. The contemporaneous press coverage, including the report that a robotic Uranus mission received top priority in the 2022 survey, frames the ranking as a budgetary event, the implication being that top ranking translates into funding</w:t>
      </w:r>
      <w:r>
        <w:t xml:space="preserve"> </w:t>
      </w:r>
      <w:hyperlink w:anchor="ref-13">
        <w:r>
          <w:rPr>
            <w:rStyle w:val="Hyperlink"/>
          </w:rPr>
          <w:t xml:space="preserve">[13]</w:t>
        </w:r>
      </w:hyperlink>
      <w:r>
        <w:t xml:space="preserve">. The encyclopedic accounts of the survey and of NASA’s large strategic science missions situate the instrument within the longer history of flagship missions and confirm the tiered structure of the recommendations from which treatment status is coded [15, 16].</w:t>
      </w:r>
    </w:p>
    <w:p>
      <w:pPr>
        <w:pStyle w:val="BodyText"/>
        <w:spacing w:line="480" w:lineRule="auto"/>
        <w:ind w:firstLine="720"/>
      </w:pPr>
      <w:r>
        <w:t xml:space="preserve">These sources are valuable for two reasons. They supply the institutional ground truth from which treatment assignment is constructed, because they document which destinations and missions each survey ranked and in which tier. And they articulate, in the community’s own voice, the causal claim that the survey directs investment toward its highest priorities. What they do not supply is any test of that claim against a counterfactual. The descriptive literature asserts the survey’s budgetary potency by tradition and institutional self-description, never by estimation against a comparison group. It observes that prioritized missions are subsequently funded and reads that sequence as causation, without confronting the observationally equivalent alternative that the agency and its appropriators were already on the funded path and the survey supplied retrospective legitimation. This is the precise interpretive vulnerability the dissertation addresses. The descriptive literature establishes that the causal claim is widely held and consequential. It never establishes that the claim is true.</w:t>
      </w:r>
    </w:p>
    <w:p>
      <w:pPr>
        <w:pStyle w:val="BodyText"/>
        <w:spacing w:line="480" w:lineRule="auto"/>
        <w:ind w:firstLine="720"/>
      </w:pPr>
      <w:r>
        <w:t xml:space="preserve">Bordering this strand, the oversight and assessment literature supplies the funding-side ground truth. The Government Accountability Office assessments of NASA major projects report lifecycle cost, schedule, and performance for the agency’s portfolio, documenting the broad cost growth that characterizes the post-survey era across mission classes</w:t>
      </w:r>
      <w:r>
        <w:t xml:space="preserve"> </w:t>
      </w:r>
      <w:hyperlink w:anchor="ref-17">
        <w:r>
          <w:rPr>
            <w:rStyle w:val="Hyperlink"/>
          </w:rPr>
          <w:t xml:space="preserve">[17]</w:t>
        </w:r>
      </w:hyperlink>
      <w:r>
        <w:t xml:space="preserve">. These assessments are the authoritative public record of what missions actually cost, and they are indispensable to the construction of the dependent variable. They are, however, accounting documents rather than causal analyses. They record cost growth; they do not attribute it to the survey or to any other discrete intervention. The GAO literature thus completes the descriptive picture: the community asserts that the survey directs money, the assessment record confirms that money was spent and that costs grew, and nowhere does either source isolate the survey’s marginal contribution to that spending.</w:t>
      </w:r>
    </w:p>
    <w:bookmarkEnd w:id="70"/>
    <w:bookmarkEnd w:id="71"/>
    <w:bookmarkStart w:id="76" w:name="X07fe73e594277fc276c6392b9242153367417e1"/>
    <w:p>
      <w:pPr>
        <w:pStyle w:val="Heading2"/>
        <w:spacing w:line="480" w:lineRule="auto"/>
      </w:pPr>
      <w:r>
        <w:t xml:space="preserve">2.3 The Cliometric and Econometric Methodology Literature</w:t>
      </w:r>
    </w:p>
    <w:bookmarkStart w:id="72" w:name="Xe9485c1ec71ce433d75df7d4a57d530aaa74666"/>
    <w:p>
      <w:pPr>
        <w:pStyle w:val="Heading3"/>
        <w:spacing w:line="480" w:lineRule="auto"/>
      </w:pPr>
      <w:r>
        <w:t xml:space="preserve">2.3.1 Difference-in-Differences as a Quasi-Experimental Estimator</w:t>
      </w:r>
    </w:p>
    <w:p>
      <w:pPr>
        <w:pStyle w:val="FirstParagraph"/>
        <w:spacing w:line="480" w:lineRule="auto"/>
      </w:pPr>
      <w:r>
        <w:t xml:space="preserve">Turn now to the second of the two unjoined literatures: the methodological tradition of quasi-experimental causal inference, of which difference-in-differences is the workhorse estimator for policy interventions that occur at a discrete moment and affect some units but not others. The estimator’s logic is to compare the change in an outcome for treated units, before and after the intervention, against the change in the same outcome for comparable untreated units over the same period. The second difference, the change in the control group, purges the estimate of any common shock that would have moved treated and control units together in the absence of treatment. What survives is the differential change attributable to the treatment alone, the average treatment effect on the treated.</w:t>
      </w:r>
    </w:p>
    <w:p>
      <w:pPr>
        <w:pStyle w:val="BodyText"/>
        <w:spacing w:line="480" w:lineRule="auto"/>
        <w:ind w:firstLine="720"/>
      </w:pPr>
      <w:r>
        <w:t xml:space="preserve">Canonically, the estimator is implemented as a two-way fixed-effects regression in which unit fixed effects absorb time-invariant differences in baseline level across units and period fixed effects absorb shocks common to all units within a time period. Applied to the present problem, the unit is a mission line, the unit fixed effects absorb the standing differences in scale across mission lines, including the flagship premium that the parametric literature explains, and the period fixed effects absorb agency-wide budget swings, continuing-resolution years, and the portfolio-wide cost inflation that the GAO assessments document</w:t>
      </w:r>
      <w:r>
        <w:t xml:space="preserve"> </w:t>
      </w:r>
      <w:hyperlink w:anchor="ref-17">
        <w:r>
          <w:rPr>
            <w:rStyle w:val="Hyperlink"/>
          </w:rPr>
          <w:t xml:space="preserve">[17]</w:t>
        </w:r>
      </w:hyperlink>
      <w:r>
        <w:t xml:space="preserve">. The interaction of treatment status and post-intervention period recovers the coefficient of interest. This is the structure the dissertation imports. Its appeal is that it mechanically separates the three quantities the descriptive literature conflates: the standing premium, the common trend, and the survey’s marginal effect.</w:t>
      </w:r>
    </w:p>
    <w:p>
      <w:pPr>
        <w:pStyle w:val="BodyText"/>
        <w:spacing w:line="480" w:lineRule="auto"/>
        <w:ind w:firstLine="720"/>
      </w:pPr>
      <w:r>
        <w:t xml:space="preserve">What makes the design decisive for this application is its capacity to neutralize the principal confounders that defeat the descriptive literature. The flagship premium, which makes prioritized destinations expensive for engineering reasons documented in Section 2.2.1, is absorbed by the level comparison and cannot masquerade as the survey’s work. The portfolio-wide cost inflation that lifted every mission class after the survey, and which the descriptive literature is prone to misread as evidence of the survey’s potency, is absorbed by the period comparison and likewise cannot be mistaken for treatment. The estimator is an instrument built to defeat exactly the two confounds that render the descriptive causal claim untrustworthy.</w:t>
      </w:r>
    </w:p>
    <w:bookmarkEnd w:id="72"/>
    <w:bookmarkStart w:id="73" w:name="Xf15fa99529ce5260f442d94c408107c0a707d04"/>
    <w:p>
      <w:pPr>
        <w:pStyle w:val="Heading3"/>
        <w:spacing w:line="480" w:lineRule="auto"/>
      </w:pPr>
      <w:r>
        <w:t xml:space="preserve">2.3.2 The Parallel-Trends Assumption and Its Validation</w:t>
      </w:r>
    </w:p>
    <w:p>
      <w:pPr>
        <w:pStyle w:val="FirstParagraph"/>
        <w:spacing w:line="480" w:lineRule="auto"/>
      </w:pPr>
      <w:r>
        <w:t xml:space="preserve">Every difference-in-differences estimate stands or falls on the parallel-trends assumption: that, absent the intervention, the treated and control units would have followed the same trajectory in the outcome. The assumption is not directly testable, because it concerns a counterfactual that is never observed, but the methodology literature has developed a disciplined set of diagnostics that bear on its plausibility, and a credible application is obliged to perform them.</w:t>
      </w:r>
    </w:p>
    <w:p>
      <w:pPr>
        <w:pStyle w:val="BodyText"/>
        <w:spacing w:line="480" w:lineRule="auto"/>
        <w:ind w:firstLine="720"/>
      </w:pPr>
      <w:r>
        <w:t xml:space="preserve">First among the diagnostics is the event-study specification, which replaces the single post-period interaction with a set of period-specific interaction coefficients, one for each pre-period and post-period interval relative to the intervention. The pre-period coefficients are the validity evidence: if treated and control units were on parallel trajectories before the intervention, the pre-period interactions should be flat and statistically indistinguishable from zero. Pre-period coefficients that trend or that differ significantly from zero signal that the two groups were already diverging before treatment, which undermines the assumption that their post-intervention divergence is attributable to the treatment. The dissertation’s identification strategy makes the event-study pre-period coefficients its central validity evidence, and the methodological literature establishes this as the appropriate and expected standard.</w:t>
      </w:r>
    </w:p>
    <w:p>
      <w:pPr>
        <w:pStyle w:val="BodyText"/>
        <w:spacing w:line="480" w:lineRule="auto"/>
        <w:ind w:firstLine="720"/>
      </w:pPr>
      <w:r>
        <w:t xml:space="preserve">A second diagnostic addresses anticipation. When the conclusions of an intervention are foreseeable, units may respond before the intervention’s formal date, attenuating the measured post-intervention jump and contaminating the pre-period. In the present application, appropriators may shift funding in advance of a survey whose conclusions are widely anticipated within the community, a concern that the descriptive literature’s own account of the consensus process makes plausible</w:t>
      </w:r>
      <w:r>
        <w:t xml:space="preserve"> </w:t>
      </w:r>
      <w:hyperlink w:anchor="ref-11">
        <w:r>
          <w:rPr>
            <w:rStyle w:val="Hyperlink"/>
          </w:rPr>
          <w:t xml:space="preserve">[11]</w:t>
        </w:r>
      </w:hyperlink>
      <w:r>
        <w:t xml:space="preserve">. The methodological response is a placebo treatment date, which assigns a false intervention point and tests for a spurious effect; a significant placebo effect signals that the pre-period is not clean. A third defense, addressing selection on unobserved maturity, restricts the comparison group to units that were credible candidates in the same cycle but ranked below the priority threshold, narrowing the gap between treated and control on the latent readiness that might otherwise drive both designation and funding. These three defenses, event-study pre-trends, placebo dates, and a maturity-matched control group, constitute the standard apparatus the methodology literature prescribes. The dissertation adopts each.</w:t>
      </w:r>
    </w:p>
    <w:bookmarkEnd w:id="73"/>
    <w:bookmarkStart w:id="74" w:name="Xba0f5df82bf2757044e61cfa91fcf006fbf34a9"/>
    <w:p>
      <w:pPr>
        <w:pStyle w:val="Heading3"/>
        <w:spacing w:line="480" w:lineRule="auto"/>
      </w:pPr>
      <w:r>
        <w:t xml:space="preserve">2.3.3 Recent Refinements: Staggered Adoption and Heterogeneity-Robust Estimators</w:t>
      </w:r>
    </w:p>
    <w:p>
      <w:pPr>
        <w:pStyle w:val="FirstParagraph"/>
        <w:spacing w:line="480" w:lineRule="auto"/>
      </w:pPr>
      <w:r>
        <w:t xml:space="preserve">Recent years have brought substantial methodological revision to the difference-in-differences literature, and a credible contemporary application must engage that revision rather than rely on the canonical estimator alone. The central concern is that the standard two-way fixed-effects estimator can be biased when treatment is adopted at different times by different units, a configuration known as staggered adoption. In such settings the two-way fixed-effects estimator implicitly uses already-treated units as controls for later-treated units, and when treatment effects are heterogeneous across units or evolve over time, this contamination can drive the estimate away from the true average treatment effect, in extreme cases reversing its sign.</w:t>
      </w:r>
    </w:p>
    <w:p>
      <w:pPr>
        <w:pStyle w:val="BodyText"/>
        <w:spacing w:line="480" w:lineRule="auto"/>
        <w:ind w:firstLine="720"/>
      </w:pPr>
      <w:r>
        <w:t xml:space="preserve">This application has a staggered structure, because the dissertation observes more than one survey cycle and the treatment, priority designation, arrives at different fiscal years across cycles. The methodological obligation is therefore to report both the canonical two-way fixed-effects estimate and a heterogeneity-robust estimator designed to be immune to the negative-weighting problem, treating the comparison between them as a sensitivity check. Concordance between the two estimators strengthens confidence that the canonical estimate is not an artifact of staggered-adoption bias; divergence flags that the bias is operative and that the heterogeneity-robust figure should be preferred. The dissertation honors this standard by reporting both, which positions the work within the current methodological frontier rather than the superseded practice.</w:t>
      </w:r>
    </w:p>
    <w:p>
      <w:pPr>
        <w:pStyle w:val="BodyText"/>
        <w:spacing w:line="480" w:lineRule="auto"/>
        <w:ind w:firstLine="720"/>
      </w:pPr>
      <w:r>
        <w:t xml:space="preserve">Inference is the final methodological commitment. Because mission lines exhibit serial correlation in funding across fiscal years, standard errors clustered at the mission level are required to avoid overstating precision. The clustering accommodates the within-line dependence that arises when a single mission’s obligations are correlated across the years it is funded; this is standard practice in the panel-data literature, adopted without controversy.</w:t>
      </w:r>
    </w:p>
    <w:bookmarkEnd w:id="74"/>
    <w:bookmarkStart w:id="75" w:name="X8166731638d3d92e90eae5521c5321bebfd0c82"/>
    <w:p>
      <w:pPr>
        <w:pStyle w:val="Heading3"/>
        <w:spacing w:line="480" w:lineRule="auto"/>
      </w:pPr>
      <w:r>
        <w:t xml:space="preserve">2.3.4 The Cliometric Posture: Null Results as Evidence</w:t>
      </w:r>
    </w:p>
    <w:p>
      <w:pPr>
        <w:pStyle w:val="FirstParagraph"/>
        <w:spacing w:line="480" w:lineRule="auto"/>
      </w:pPr>
      <w:r>
        <w:t xml:space="preserve">A distinctive feature of the cliometric tradition, and one that the dissertation embraces, is its treatment of a precisely estimated null as a substantive finding rather than a failure. In the descriptive idiom of the domain literature, the absence of a detectable survey effect would read as an anticlimax. In the econometric idiom, a tight confidence interval bracketing zero is an informative result, because it refutes the alternative hypothesis and supports a reinterpretation of the instrument. The companion empirical work in this program returns exactly such a null: the difference-in-differences interaction is statistically indistinguishable from zero, the standing flagship premium is large and precise, and the portfolio-wide cost inflation is large and precise, so that the survey’s own marginal tilt is the one quantity the data cannot detect. The methodological literature licenses reading this as evidence that the survey is a coordinating rather than an allocating instrument, provided the estimate is precise enough to exclude a large effect. The cliometric posture thus converts a non-result, in the descriptive sense, into a falsification, in the inferential sense, and this conversion is central to the dissertation’s contribution.</w:t>
      </w:r>
    </w:p>
    <w:bookmarkEnd w:id="75"/>
    <w:bookmarkEnd w:id="76"/>
    <w:bookmarkStart w:id="77" w:name="X418652c711159356304c407457cbf1fcdb29907"/>
    <w:p>
      <w:pPr>
        <w:pStyle w:val="Heading2"/>
        <w:spacing w:line="480" w:lineRule="auto"/>
      </w:pPr>
      <w:r>
        <w:t xml:space="preserve">2.4 The Economic Framing of Public Space Budgets</w:t>
      </w:r>
    </w:p>
    <w:p>
      <w:pPr>
        <w:pStyle w:val="FirstParagraph"/>
        <w:spacing w:line="480" w:lineRule="auto"/>
      </w:pPr>
      <w:r>
        <w:t xml:space="preserve">Between the technical and methodological literatures sits a third body of work that supplies the conceptual vocabulary for treating obligated funding as a policy-determined quantity worth interrogating. The economics of space establishes that government space budgets are a distinct, separately enumerated, and policy-determined component of the broader space economy, which is the premise that makes the dissertation’s outcome variable meaningful as an object of causal study.</w:t>
      </w:r>
    </w:p>
    <w:p>
      <w:pPr>
        <w:pStyle w:val="BodyText"/>
        <w:spacing w:line="480" w:lineRule="auto"/>
        <w:ind w:firstLine="720"/>
      </w:pPr>
      <w:r>
        <w:t xml:space="preserve">On the forecasting side, the literature establishes both the tractability and the fragility of aggregate magnitudes. The critique of space-economy forecasting demonstrates that aggregate forecasts are systematically overstated through compound-growth extrapolation and double counting, and, more usefully for the present purpose, it enumerates government space budgets as a distinct component of the space economy rather than folding them into a market aggregate [1, 3]. This enumeration matters because it confirms that the funding lines the dissertation studies are a coherent, policy-determined category, separable from market-driven activity and forecastable on their own terms. The methodological caution embedded in this critique also supplies a direct analogy to the dissertation’s motivating concern: just as aggregate space-economy magnitudes are inflated by methodological shortcuts and asserted rather than estimated, the survey’s budgetary potency is asserted by tradition rather than estimated against a credible comparison group. The dissertation’s design is, in this sense, the allocation-level counterpart to the forecasting literature’s insistence that magnitudes be estimated rather than assumed.</w:t>
      </w:r>
    </w:p>
    <w:p>
      <w:pPr>
        <w:pStyle w:val="BodyText"/>
        <w:spacing w:line="480" w:lineRule="auto"/>
        <w:ind w:firstLine="720"/>
      </w:pPr>
      <w:r>
        <w:t xml:space="preserve">Broader economic framings of space situate public budgets within tragedy-of-the-commons and market-failure logics. The three-part economic framework for the space economy treats public investment as the policy-determined element that addresses market failures private actors will not, and it documents the large fixed shares that historically dominant programs absorbed within NASA’s human spaceflight budget</w:t>
      </w:r>
      <w:r>
        <w:t xml:space="preserve"> </w:t>
      </w:r>
      <w:hyperlink w:anchor="ref-2">
        <w:r>
          <w:rPr>
            <w:rStyle w:val="Hyperlink"/>
          </w:rPr>
          <w:t xml:space="preserve">[2]</w:t>
        </w:r>
      </w:hyperlink>
      <w:r>
        <w:t xml:space="preserve">. This observation is directly germane: it establishes that NASA program lines absorb large, durable, policy-set shares of the budget, which is the institutional fact that makes a difference-in-differences design feasible, because mission lines persist across fiscal years and can be tracked as panel units. The treatment of space-economy scale and governance conditions extends the framing to the governance institutions that shape public investment, of which the decadal survey is one</w:t>
      </w:r>
      <w:r>
        <w:t xml:space="preserve"> </w:t>
      </w:r>
      <w:hyperlink w:anchor="ref-4">
        <w:r>
          <w:rPr>
            <w:rStyle w:val="Hyperlink"/>
          </w:rPr>
          <w:t xml:space="preserve">[4]</w:t>
        </w:r>
      </w:hyperlink>
      <w:r>
        <w:t xml:space="preserve">. This literature does not estimate the survey’s effect, but it supplies the conceptual claim that public space budgets are policy-determined and therefore, in principle, responsive to governance instruments. Whether the decadal survey is one of the instruments to which they actually respond is the empirical question the dissertation answers.</w:t>
      </w:r>
    </w:p>
    <w:bookmarkEnd w:id="77"/>
    <w:bookmarkStart w:id="78" w:name="synthesis-and-the-identificational-gap"/>
    <w:p>
      <w:pPr>
        <w:pStyle w:val="Heading2"/>
        <w:spacing w:line="480" w:lineRule="auto"/>
      </w:pPr>
      <w:r>
        <w:t xml:space="preserve">2.5 Synthesis and the Identificational Gap</w:t>
      </w:r>
    </w:p>
    <w:p>
      <w:pPr>
        <w:pStyle w:val="FirstParagraph"/>
        <w:spacing w:line="480" w:lineRule="auto"/>
      </w:pPr>
      <w:r>
        <w:t xml:space="preserve">Each of the three literatures reviewed above addresses a portion of the dissertation’s question; none addresses its core. The technical cost-estimation literature establishes, with parametric rigor, that the prioritized destinations are expensive for engineering reasons that exist independent of any ranking [8, 9, 10]. It thereby furnishes the alternative explanation, the engineering floor, that the survey’s causal claim must be tested against, but it never tests that claim, because it operates at the level of the individual mission’s cost rather than the allocation mechanism’s effect. The mission-architecture literature confirms that the prioritized destinations are stable, codable objects of community attention and reinforces the engineering-floor argument from the architecture side, but it is pre-allocational, evaluating feasibility and trade space rather than the budgetary consequences of designation [5, 6, 7, 12, 32, 33]. The descriptive policy literature asserts the survey’s budgetary potency in the community’s own voice and supplies the institutional ground truth for treatment coding, but it reads sequence as causation and never confronts the observationally equivalent alternative that the agency was already on the funded path [11, 13, 14, 15, 16]. The oversight literature documents what missions cost and the broad post-survey cost growth, but as accounting rather than attribution</w:t>
      </w:r>
      <w:r>
        <w:t xml:space="preserve"> </w:t>
      </w:r>
      <w:hyperlink w:anchor="ref-17">
        <w:r>
          <w:rPr>
            <w:rStyle w:val="Hyperlink"/>
          </w:rPr>
          <w:t xml:space="preserve">[17]</w:t>
        </w:r>
      </w:hyperlink>
      <w:r>
        <w:t xml:space="preserve">. The economic framing establishes that public space budgets are a distinct, policy-determined category worth interrogating, and that magnitudes in this domain are prone to assertion rather than estimation, but it does not estimate the survey’s effect [1, 2, 3, 4].</w:t>
      </w:r>
    </w:p>
    <w:p>
      <w:pPr>
        <w:pStyle w:val="BodyText"/>
        <w:spacing w:line="480" w:lineRule="auto"/>
        <w:ind w:firstLine="720"/>
      </w:pPr>
      <w:r>
        <w:t xml:space="preserve">For its part, the methodological literature supplies a fully developed apparatus for distinguishing an intervention’s effect from a system’s pre-existing trajectory. Difference-in-differences, implemented as two-way fixed effects, mechanically separates the standing premium, the common trend, and the marginal treatment effect, defeating exactly the two confounds, the flagship premium and the portfolio-wide inflation, that render the descriptive causal claim untrustworthy. The parallel-trends apparatus, with its event-study pre-trend diagnostics, placebo dates, and maturity-matched controls, furnishes the validity evidence the descriptive literature wholly lacks. The recent staggered-adoption refinements supply the heterogeneity-robust sensitivity check that a credible multi-cycle application requires. The cliometric posture furnishes the interpretive stance under which a precise null is a falsification rather than a failure.</w:t>
      </w:r>
    </w:p>
    <w:p>
      <w:pPr>
        <w:pStyle w:val="BodyText"/>
        <w:spacing w:line="480" w:lineRule="auto"/>
        <w:ind w:firstLine="720"/>
      </w:pPr>
      <w:r>
        <w:t xml:space="preserve">Now the gap can be stated with precision. It is not descriptive, because the destinations, the rankings, and the costs are all well documented. It is identificational. The field lacks a credible counterfactual against which the survey’s marginal budgetary effect can be read, and it lacks one because the two literatures that would together construct it have never been joined. The technical literature has the object, the funding series, and the treatment definition but not the estimator. The methodological literature has the estimator but has never been pointed at the decadal survey as a treatment. No prior work isolates priority designation as a treatment, assembles a panel of mission lines as units, imposes mission and year fixed effects to absorb the premium and the common trend, validates parallel trends through an event study, and reports a heterogeneity-robust estimate of the average treatment effect on the treated. The descriptive literature stops at the assertion; the architecture literature stops at feasibility; the cost literature stops at the engineering floor; the economic literature stops at the framing; and the methodological literature has simply never arrived. The dissertation fills this gap by importing the quasi-experimental estimator the space-policy literature has not applied to the survey instrument, building the bridge between the two unjoined literatures at the single point where their union answers the question.</w:t>
      </w:r>
    </w:p>
    <w:p>
      <w:pPr>
        <w:pStyle w:val="BodyText"/>
        <w:spacing w:line="480" w:lineRule="auto"/>
        <w:ind w:firstLine="720"/>
      </w:pPr>
      <w:r>
        <w:t xml:space="preserve">A null result, far from being a disappointment, would reframe the survey as a coordinating ritual rather than a budgetary lever, and a positive result would, for the first time, place a credible magnitude on a potency the community has asserted for half a century without ever estimating.</w:t>
      </w:r>
    </w:p>
    <w:bookmarkEnd w:id="78"/>
    <w:bookmarkEnd w:id="79"/>
    <w:bookmarkStart w:id="90" w:name="Xcfcc00a3ded59aed0c781c16bfc121f2a509603"/>
    <w:p>
      <w:pPr>
        <w:pStyle w:val="Heading1"/>
        <w:spacing w:line="480" w:lineRule="auto"/>
      </w:pPr>
      <w:r>
        <w:t xml:space="preserve">Chapter 3. Theoretical Framework and Hypotheses</w:t>
      </w:r>
    </w:p>
    <w:bookmarkStart w:id="80" w:name="the-object-of-explanation"/>
    <w:p>
      <w:pPr>
        <w:pStyle w:val="Heading2"/>
        <w:spacing w:line="480" w:lineRule="auto"/>
      </w:pPr>
      <w:r>
        <w:t xml:space="preserve">3.1 The Object of Explanation</w:t>
      </w:r>
    </w:p>
    <w:p>
      <w:pPr>
        <w:pStyle w:val="FirstParagraph"/>
        <w:spacing w:line="480" w:lineRule="auto"/>
      </w:pPr>
      <w:r>
        <w:t xml:space="preserve">The preceding chapter established that two literatures, the domain technical literature of planetary cost and architecture and the cliometric literature of causal inference, have not been joined at the point where they would together answer this dissertation’s question. This chapter performs the joining. It specifies the theoretical mechanism by which a decadal survey might, or might not, move obligated funding; it states the causal logic that translates that mechanism into an estimable quantity; and it derives the two formal hypotheses, H0 and H1, that the empirical chapters adjudicate. The chapter is, in the strict sense, the load-bearing wall of the dissertation. Everything downstream, the panel construction, the estimator, the diagnostics, depends on the clarity with which the mechanism and the hypotheses are articulated here.</w:t>
      </w:r>
    </w:p>
    <w:p>
      <w:pPr>
        <w:pStyle w:val="BodyText"/>
        <w:spacing w:line="480" w:lineRule="auto"/>
        <w:ind w:firstLine="720"/>
      </w:pPr>
      <w:r>
        <w:t xml:space="preserve">What must be explained is a single quantity: the differential change in real obligated funding that accrues to a planetary mission line after that line is designated a high priority by a decadal survey, relative to the change experienced over the same interval by comparable mission lines that were not so designated. This quantity is not the level of funding a prioritized mission receives, nor the rate at which prioritized destinations win new starts, nor the total budget of the planetary portfolio. It is narrower and more precise than any of these. It is the marginal increment, if any, that the act of designation contributes over and above the trajectory the mission line was already on and over and above the agency-wide movements that lift or depress every line together.</w:t>
      </w:r>
    </w:p>
    <w:p>
      <w:pPr>
        <w:pStyle w:val="BodyText"/>
        <w:spacing w:line="480" w:lineRule="auto"/>
        <w:ind w:firstLine="720"/>
      </w:pPr>
      <w:r>
        <w:t xml:space="preserve">Naming the rival forces that could produce, suppress, or mimic this increment, and specifying the comparison that isolates it from each of them, is what the theoretical framework exists to do.</w:t>
      </w:r>
    </w:p>
    <w:bookmarkEnd w:id="80"/>
    <w:bookmarkStart w:id="81" w:name="X17102412abd0f02153ad946583e29562e6e3fe1"/>
    <w:p>
      <w:pPr>
        <w:pStyle w:val="Heading2"/>
        <w:spacing w:line="480" w:lineRule="auto"/>
      </w:pPr>
      <w:r>
        <w:t xml:space="preserve">3.2 The Normative Premise Under Interrogation</w:t>
      </w:r>
    </w:p>
    <w:p>
      <w:pPr>
        <w:pStyle w:val="FirstParagraph"/>
        <w:spacing w:line="480" w:lineRule="auto"/>
      </w:pPr>
      <w:r>
        <w:t xml:space="preserve">Within the institutional architecture of United States planetary science, the decadal survey occupies a position that is, by the community’s own description, quasi-statutory. Produced under the auspices of the National Academies, the survey assembles a ranked set of mission and research priorities that agency officials and congressional appropriators cite as the warrant for new starts and as the consensus expression of the field’s collective judgment</w:t>
      </w:r>
      <w:r>
        <w:t xml:space="preserve"> </w:t>
      </w:r>
      <w:hyperlink w:anchor="ref-11">
        <w:r>
          <w:rPr>
            <w:rStyle w:val="Hyperlink"/>
          </w:rPr>
          <w:t xml:space="preserve">[11]</w:t>
        </w:r>
      </w:hyperlink>
      <w:r>
        <w:t xml:space="preserve">. The descriptive literature treats the resulting ranked list as the document that tells NASA where the money should go, and the contemporaneous coverage of each survey reports its top-tier designations as budgetary events, with the implication that a destination elevated to top priority will, by virtue of that elevation, attract funding [13, 14]. The encyclopedic and institutional accounts of the survey reinforce this reading by situating the tiered recommendations within the longer history of flagship missions and presenting the ranking as the proximate cause of the program that follows [15, 16].</w:t>
      </w:r>
    </w:p>
    <w:p>
      <w:pPr>
        <w:pStyle w:val="BodyText"/>
        <w:spacing w:line="480" w:lineRule="auto"/>
        <w:ind w:firstLine="720"/>
      </w:pPr>
      <w:r>
        <w:t xml:space="preserve">This is the normative premise the dissertation interrogates. The premise embeds a causal claim, that designation moves money, and the claim rests on an unexamined counterfactual. When a flagship mission is recommended at the top of a survey and is subsequently funded, two interpretations are observationally equivalent to the casual reader. Under the first, the survey moved the money toward that mission, redirecting obligations that would otherwise have flowed elsewhere. Under the second, the agency and its appropriators were already on the path to funding that mission, and the survey supplied retrospective legitimation for a decision already in motion. The descriptive literature cannot distinguish these interpretations because it observes only the sequence, designation followed by funding, and reads the sequence as causation. Sequence is not causation. The theoretical task of this chapter is to specify the mechanism precisely enough that the two interpretations cease to be observationally equivalent, so that an estimator can separate the survey’s marginal contribution from the trajectory the system was already on.</w:t>
      </w:r>
    </w:p>
    <w:p>
      <w:pPr>
        <w:pStyle w:val="BodyText"/>
        <w:spacing w:line="480" w:lineRule="auto"/>
        <w:ind w:firstLine="720"/>
      </w:pPr>
      <w:r>
        <w:t xml:space="preserve">Nor are the stakes of this distinction merely interpretive. If the survey is a budgetary lever, its design and governance warrant the scrutiny appropriate to a multi-billion-dollar allocation mechanism, and the hours the community spends assembling and defending the ranked list are among the highest-return hours in the discipline. If the survey is principally a coordination device, the community is mismeasuring where allocative power resides, attributing to a ranking what belongs to the physics of the destinations and to the appropriations process that was already in train. The space-economy literature supplies a cautionary analogue. That literature has been criticized for systematically overstating magnitudes through methodological shortcuts such as compound-growth extrapolation and double counting</w:t>
      </w:r>
      <w:r>
        <w:t xml:space="preserve"> </w:t>
      </w:r>
      <w:hyperlink w:anchor="ref-1">
        <w:r>
          <w:rPr>
            <w:rStyle w:val="Hyperlink"/>
          </w:rPr>
          <w:t xml:space="preserve">[1]</w:t>
        </w:r>
      </w:hyperlink>
      <w:r>
        <w:t xml:space="preserve">, and government space budgets are enumerated within it as a distinct, policy-determined component of the broader envelope rather than a market-determined one</w:t>
      </w:r>
      <w:r>
        <w:t xml:space="preserve"> </w:t>
      </w:r>
      <w:hyperlink w:anchor="ref-3">
        <w:r>
          <w:rPr>
            <w:rStyle w:val="Hyperlink"/>
          </w:rPr>
          <w:t xml:space="preserve">[3]</w:t>
        </w:r>
      </w:hyperlink>
      <w:r>
        <w:t xml:space="preserve">. An analogous overstatement risk attends the decadal survey, whose budgetary potency is asserted by tradition rather than estimated against a credible comparison group. The framework developed here is designed to convert that asserted potency into a testable proposition.</w:t>
      </w:r>
    </w:p>
    <w:bookmarkEnd w:id="81"/>
    <w:bookmarkStart w:id="85" w:name="two-rival-mechanisms"/>
    <w:p>
      <w:pPr>
        <w:pStyle w:val="Heading2"/>
        <w:spacing w:line="480" w:lineRule="auto"/>
      </w:pPr>
      <w:r>
        <w:t xml:space="preserve">3.3 Two Rival Mechanisms</w:t>
      </w:r>
    </w:p>
    <w:p>
      <w:pPr>
        <w:pStyle w:val="FirstParagraph"/>
        <w:spacing w:line="480" w:lineRule="auto"/>
      </w:pPr>
      <w:r>
        <w:t xml:space="preserve">At the theoretical core of the dissertation sits a recognition: two distinct mechanisms could connect a decadal ranking to a mission budget, and the two are observationally entangled in any naive correlation between priority and spending. Naming them precisely is the precondition for designing a comparison that pries them apart.</w:t>
      </w:r>
    </w:p>
    <w:bookmarkStart w:id="82" w:name="the-direct-authority-mechanism"/>
    <w:p>
      <w:pPr>
        <w:pStyle w:val="Heading3"/>
        <w:spacing w:line="480" w:lineRule="auto"/>
      </w:pPr>
      <w:r>
        <w:t xml:space="preserve">3.3.1 The Direct-Authority Mechanism</w:t>
      </w:r>
    </w:p>
    <w:p>
      <w:pPr>
        <w:pStyle w:val="FirstParagraph"/>
        <w:spacing w:line="480" w:lineRule="auto"/>
      </w:pPr>
      <w:r>
        <w:t xml:space="preserve">The first mechanism is direct authority. Under this account the survey functions as a causal instrument. NASA program officials and congressional appropriators cite the ranked list as the warrant for new starts and for the scale of commitment to particular destinations, so a mission line named at the top of the survey should attract larger and more frequent obligations than a comparable line ranked below the priority threshold [11, 14]. The mechanism operates through the persuasive and procedural force of community consensus: the survey converts diffuse scientific opinion into a single ranked artifact that carries weight in budget testimony and appropriations debate, and that weight translates into dollars. If this mechanism dominates, the publication of a survey should produce a measurable break in the allocation series, a differential upward step in the obligations flowing to designated lines that is absent from the comparison lines and that cannot be explained by the pre-existing trajectory or by agency-wide movements. The direct-authority mechanism is the mechanism the normative premise assumes. It is what H1 formalizes.</w:t>
      </w:r>
    </w:p>
    <w:bookmarkEnd w:id="82"/>
    <w:bookmarkStart w:id="83" w:name="the-selection-and-inertia-mechanism"/>
    <w:p>
      <w:pPr>
        <w:pStyle w:val="Heading3"/>
        <w:spacing w:line="480" w:lineRule="auto"/>
      </w:pPr>
      <w:r>
        <w:t xml:space="preserve">3.3.2 The Selection-and-Inertia Mechanism</w:t>
      </w:r>
    </w:p>
    <w:p>
      <w:pPr>
        <w:pStyle w:val="FirstParagraph"/>
        <w:spacing w:line="480" w:lineRule="auto"/>
      </w:pPr>
      <w:r>
        <w:t xml:space="preserve">The second mechanism is selection and inertia, and it is the mechanism that the engineering and cost literatures render plausible. Under this account the apparent association between priority designation and high spending arises not because the survey moves money but because the survey ranks highly the destinations that were always going to be expensive and were already on a funded trajectory. The destinations the surveys elevate to the flagship tier, the outer-planet and ocean-world systems and the most demanding Mars architectures, command high lifecycle costs for reasons that have nothing to do with any ranking. Radiation hardening, deep-space communication architecture, autonomous entry, descent, and landing, and long-life power systems set a high floor on cost that parametric models recover directly from mass, power, and complexity without consulting any priority list [8, 9]. Physics sets the floor. The blind validation of a parametric cost tool against held-out NASA missions demonstrates that physical and programmatic parameters carry substantial predictive weight, which implies that the cost of an outer-planet flagship is, in large part, a fact of systems engineering</w:t>
      </w:r>
      <w:r>
        <w:t xml:space="preserve"> </w:t>
      </w:r>
      <w:hyperlink w:anchor="ref-8">
        <w:r>
          <w:rPr>
            <w:rStyle w:val="Hyperlink"/>
          </w:rPr>
          <w:t xml:space="preserve">[8]</w:t>
        </w:r>
      </w:hyperlink>
      <w:r>
        <w:t xml:space="preserve">. The instrument-design literature extends the point: optical and pointing requirements propagate into mass, power, and therefore cost through a chain of engineering trades indifferent to any survey</w:t>
      </w:r>
      <w:r>
        <w:t xml:space="preserve"> </w:t>
      </w:r>
      <w:hyperlink w:anchor="ref-10">
        <w:r>
          <w:rPr>
            <w:rStyle w:val="Hyperlink"/>
          </w:rPr>
          <w:t xml:space="preserve">[10]</w:t>
        </w:r>
      </w:hyperlink>
      <w:r>
        <w:t xml:space="preserve">.</w:t>
      </w:r>
    </w:p>
    <w:p>
      <w:pPr>
        <w:pStyle w:val="BodyText"/>
        <w:spacing w:line="480" w:lineRule="auto"/>
        <w:ind w:firstLine="720"/>
      </w:pPr>
      <w:r>
        <w:t xml:space="preserve">Equally important is the selection component of this mechanism. Priority designation is not assigned at random. The survey elevates destinations that are scientifically compelling and, frequently, technically mature, so the lines that receive designation are precisely the lines whose readiness and standing make them likely funding candidates independent of the designation. The inertia component completes the account: large deep-space missions accrue costs over long horizons, and a destination already on a funded trajectory before a survey will continue to receive obligations after it for reasons that predate the ranking. If the selection-and-inertia mechanism dominates, the survey will appear correlated with high spending on its priorities only because it ranked highly the destinations that were always going to be costly and already funded. There will be a large standing premium attaching to prioritized destinations, and a portfolio-wide cost movement affecting all lines, but no differential increment attributable to the survey itself. This is the mechanism that H0 formalizes.</w:t>
      </w:r>
    </w:p>
    <w:bookmarkEnd w:id="83"/>
    <w:bookmarkStart w:id="84" w:name="the-entanglement-and-its-resolution"/>
    <w:p>
      <w:pPr>
        <w:pStyle w:val="Heading3"/>
        <w:spacing w:line="480" w:lineRule="auto"/>
      </w:pPr>
      <w:r>
        <w:t xml:space="preserve">3.3.3 The Entanglement and Its Resolution</w:t>
      </w:r>
    </w:p>
    <w:p>
      <w:pPr>
        <w:pStyle w:val="FirstParagraph"/>
        <w:spacing w:line="480" w:lineRule="auto"/>
      </w:pPr>
      <w:r>
        <w:t xml:space="preserve">Both mechanisms predict high spending on prioritized destinations in the post-survey era, and that is precisely why they are observationally entangled. A naive cross-sectional comparison of prioritized and non-prioritized lines cannot separate them, because the level difference between the two groups is consistent with either account: the direct-authority mechanism attributes the gap to the survey’s steering, while the selection-and-inertia mechanism attributes it to the engineering floor and the funded trajectory. A naive before-and-after comparison of prioritized lines fares no better, because any post-survey rise in their obligations is consistent with both a survey effect and the agency-wide cost inflation that lifted every line. The theoretical contribution of the framework is to specify a comparison that the two mechanisms predict differently.</w:t>
      </w:r>
    </w:p>
    <w:p>
      <w:pPr>
        <w:pStyle w:val="BodyText"/>
        <w:spacing w:line="480" w:lineRule="auto"/>
        <w:ind w:firstLine="720"/>
      </w:pPr>
      <w:r>
        <w:t xml:space="preserve">That comparison is the difference of differences, and the next section develops its causal logic.</w:t>
      </w:r>
    </w:p>
    <w:bookmarkEnd w:id="84"/>
    <w:bookmarkEnd w:id="85"/>
    <w:bookmarkStart w:id="86" w:name="X2a246ff1a6fb78df103aa729840d7f8ef117d2b"/>
    <w:p>
      <w:pPr>
        <w:pStyle w:val="Heading2"/>
        <w:spacing w:line="480" w:lineRule="auto"/>
      </w:pPr>
      <w:r>
        <w:t xml:space="preserve">3.4 The Causal Logic of the Difference-in-Differences Estimand</w:t>
      </w:r>
    </w:p>
    <w:p>
      <w:pPr>
        <w:pStyle w:val="FirstParagraph"/>
        <w:spacing w:line="480" w:lineRule="auto"/>
      </w:pPr>
      <w:r>
        <w:t xml:space="preserve">Resolution comes from the difference-in-differences design, which decomposes the observed pattern into three components, only one of which the survey could plausibly produce. The unit of observation is a mission line in a fiscal year, the dependent variable is real obligated funding deflated to constant dollars so that nominal escalation cannot masquerade as treatment effect, and the design rests on two indicators: a treatment indicator marking mission lines that received high-priority designation in a given survey, and a post indicator marking fiscal years following that survey’s publication.</w:t>
      </w:r>
    </w:p>
    <w:p>
      <w:pPr>
        <w:pStyle w:val="BodyText"/>
        <w:spacing w:line="480" w:lineRule="auto"/>
        <w:ind w:firstLine="720"/>
      </w:pPr>
      <w:r>
        <w:t xml:space="preserve">The decomposition proceeds as follows. The level gap between prioritized and comparison lines, measured before the survey, captures the standing premium, the differential cost that prioritized destinations command for reasons of engineering and selection that exist prior to and independent of any ranking. This is the quantity the selection-and-inertia mechanism predicts to be large, and the parametric literature predicts it precisely [8, 9, 10]. The common change from the pre-period to the post-period, shared by prioritized and comparison lines alike, captures agency-wide movements: continuing-resolution years, top-line budget swings, and the portfolio-wide cost inflation that the major-project assessments document across the agency</w:t>
      </w:r>
      <w:r>
        <w:t xml:space="preserve"> </w:t>
      </w:r>
      <w:hyperlink w:anchor="ref-17">
        <w:r>
          <w:rPr>
            <w:rStyle w:val="Hyperlink"/>
          </w:rPr>
          <w:t xml:space="preserve">[17]</w:t>
        </w:r>
      </w:hyperlink>
      <w:r>
        <w:t xml:space="preserve">. This is the quantity that year-to-year shocks produce and that affects all lines together. The interaction of treatment and post, the difference in the pre-to-post change between prioritized and comparison lines, captures the one quantity that would exist only if the survey itself redirected obligations toward its own priorities. This interaction is the estimand. It is the average treatment effect on the treated, the ATT, of decadal-survey priority designation on real obligated funding.</w:t>
      </w:r>
    </w:p>
    <w:p>
      <w:pPr>
        <w:pStyle w:val="BodyText"/>
        <w:spacing w:line="480" w:lineRule="auto"/>
        <w:ind w:firstLine="720"/>
      </w:pPr>
      <w:r>
        <w:t xml:space="preserve">What licenses reading the interaction as the survey’s effect is the logic of differencing out confounders. By taking the difference between prioritized and comparison lines, the design removes any time-invariant confounder that distinguishes the two groups, including the entire standing premium that the engineering floor produces. By taking the difference between the post-period and the pre-period, the design removes any confounder that moves all lines together within a fiscal year, including agency-wide budget shocks. What survives both differences is only the component that is specific to the treated lines and specific to the post-publication interval, which is exactly the footprint the direct-authority mechanism would leave and exactly the footprint the selection-and-inertia mechanism would not. In the formal apparatus of the empirical chapters this differencing is implemented through mission fixed effects, which absorb time-invariant baseline differences in scale across lines, and year fixed effects, which absorb agency-wide shocks common to all lines in a given fiscal year. The coefficient on the treatment-by-post interaction is the recovered ATT.</w:t>
      </w:r>
    </w:p>
    <w:p>
      <w:pPr>
        <w:pStyle w:val="BodyText"/>
        <w:spacing w:line="480" w:lineRule="auto"/>
        <w:ind w:firstLine="720"/>
      </w:pPr>
      <w:r>
        <w:t xml:space="preserve">Parallel trends is the identifying assumption that makes this recovery valid. The assumption states that, absent the survey, prioritized and comparison lines would have moved together, so that the comparison lines supply a credible counterfactual for what the prioritized lines would have done had they not been designated. Parallel trends is not a statement about levels; prioritized and comparison lines may differ arbitrarily in baseline scale, and the standing premium guarantees that they do. It is a statement about trajectories: the change the comparison lines experience over the survey boundary is assumed to equal the change the prioritized lines would have experienced absent designation. The assumption is the single point on which the causal interpretation turns, and the dissertation does not assert it by fiat. The event-study specification estimates separate interaction coefficients for each pre-publication period, and flat, statistically insignificant pre-period coefficients constitute the central validity evidence that the two groups were on parallel trajectories before the survey intervened. A placebo treatment date tests for spurious pre-trends. Where the pre-period coefficients are flat, the post-period interaction can be read causally; where they are not, the design itself signals that the parallel-trends assumption fails and the estimate must be qualified accordingly.</w:t>
      </w:r>
    </w:p>
    <w:p>
      <w:pPr>
        <w:pStyle w:val="BodyText"/>
        <w:spacing w:line="480" w:lineRule="auto"/>
        <w:ind w:firstLine="720"/>
      </w:pPr>
      <w:r>
        <w:t xml:space="preserve">Three further commitments discipline the causal logic. First, because designation is plausibly correlated with latent mission readiness, the comparison group is restricted to mission lines that were credible candidates in the same survey cycle but were ranked below the priority threshold, which narrows the gap between treated and control on unobserved maturity and brings the parallel-trends assumption closer to credibility. Second, inference clusters standard errors at the mission level to accommodate serial correlation within lines, so that the precision of the estimate is not overstated by treating correlated fiscal-year observations as independent. Third, recent methodological cautions about staggered-adoption difference-in-differences are honored by reporting both the canonical two-way fixed-effects estimate and a heterogeneity-robust estimator as a sensitivity check, so that the recovered ATT does not depend on a specification known to be biased when treatment timing varies across units.</w:t>
      </w:r>
    </w:p>
    <w:bookmarkEnd w:id="86"/>
    <w:bookmarkStart w:id="87" w:name="from-mechanism-to-hypothesis"/>
    <w:p>
      <w:pPr>
        <w:pStyle w:val="Heading2"/>
        <w:spacing w:line="480" w:lineRule="auto"/>
      </w:pPr>
      <w:r>
        <w:t xml:space="preserve">3.5 From Mechanism to Hypothesis</w:t>
      </w:r>
    </w:p>
    <w:p>
      <w:pPr>
        <w:pStyle w:val="FirstParagraph"/>
        <w:spacing w:line="480" w:lineRule="auto"/>
      </w:pPr>
      <w:r>
        <w:t xml:space="preserve">Each rival mechanism maps cleanly onto one hypothesis, and the difference-in-differences estimand is the quantity that discriminates between them. The direct-authority mechanism predicts a positive interaction coefficient: if the survey redirects obligations toward its priorities, the prioritized lines should exhibit a differential post-publication increase that the comparison lines do not, net of the standing premium and the common trend. The selection-and-inertia mechanism predicts a null interaction coefficient: if the survey merely ranks highly the destinations that were always expensive and already funded, then the standing premium will be large and the common post-survey movement will be large, but the differential increment specific to the treated lines and the post-period will be absent. The hypotheses are therefore not arbitrary statistical conveniences. Each is the empirical signature of a distinct theoretical account of how allocative power operates in the planetary portfolio.</w:t>
      </w:r>
    </w:p>
    <w:p>
      <w:pPr>
        <w:pStyle w:val="BodyText"/>
        <w:spacing w:line="480" w:lineRule="auto"/>
        <w:ind w:firstLine="720"/>
      </w:pPr>
      <w:r>
        <w:t xml:space="preserve">This is the sense in which the contribution is falsifiable in the strict Popperian register. The two hypotheses make incompatible predictions about a single, precisely defined coefficient, and the data can refute either one. A precisely estimated zero, a tight confidence interval bracketing the null, refutes the direct-authority account and supports the interpretation of the survey as a coordinating rather than an allocating instrument. A positive and significant interaction refutes the selection-and-inertia account as a complete explanation and vindicates the normative premise. Neither outcome is foreordained by the design. A null result is as informative as a positive one, because each adjudicates a substantive claim about where budgetary power resides.</w:t>
      </w:r>
    </w:p>
    <w:bookmarkEnd w:id="87"/>
    <w:bookmarkStart w:id="88" w:name="the-formal-hypotheses"/>
    <w:p>
      <w:pPr>
        <w:pStyle w:val="Heading2"/>
        <w:spacing w:line="480" w:lineRule="auto"/>
      </w:pPr>
      <w:r>
        <w:t xml:space="preserve">3.6 The Formal Hypotheses</w:t>
      </w:r>
    </w:p>
    <w:p>
      <w:pPr>
        <w:pStyle w:val="FirstParagraph"/>
        <w:spacing w:line="480" w:lineRule="auto"/>
      </w:pPr>
      <w:r>
        <w:t xml:space="preserve">One estimate is delivered, the ATT of decadal-survey priority designation on real obligated funding for planetary mission lines, and it is staked against the following pair of hypotheses.</w:t>
      </w:r>
    </w:p>
    <w:p>
      <w:pPr>
        <w:pStyle w:val="BodyText"/>
        <w:spacing w:line="480" w:lineRule="auto"/>
        <w:ind w:firstLine="720"/>
      </w:pPr>
      <w:r>
        <w:rPr>
          <w:b/>
          <w:bCs/>
        </w:rPr>
        <w:t xml:space="preserve">H0 (null).</w:t>
      </w:r>
      <w:r>
        <w:t xml:space="preserve"> </w:t>
      </w:r>
      <w:r>
        <w:t xml:space="preserve">Conditional on agency-wide spending and program-specific pre-trends, designation as a high-priority mission in a decadal survey produces no differential change in real obligated funding after publication. The difference-in-differences interaction coefficient is statistically indistinguishable from zero. Substantively, H0 is the empirical signature of the selection-and-inertia mechanism: the survey ratifies a hierarchy of expensive, already-funded destinations that it did not create, and its apparent association with high spending on its priorities is fully accounted for by the standing engineering premium and the agency-wide cost movement, leaving no increment for the act of designation itself.</w:t>
      </w:r>
    </w:p>
    <w:p>
      <w:pPr>
        <w:pStyle w:val="BodyText"/>
        <w:spacing w:line="480" w:lineRule="auto"/>
        <w:ind w:firstLine="720"/>
      </w:pPr>
      <w:r>
        <w:rPr>
          <w:b/>
          <w:bCs/>
        </w:rPr>
        <w:t xml:space="preserve">H1 (alternative).</w:t>
      </w:r>
      <w:r>
        <w:t xml:space="preserve"> </w:t>
      </w:r>
      <w:r>
        <w:t xml:space="preserve">Designation as a high-priority mission produces a positive and statistically significant differential change in real obligated funding after publication, relative to non-designated comparison mission lines, net of the agency-wide spending level and pre-publication trends. The difference-in-differences interaction coefficient is positive and distinguishable from zero. Substantively, H1 is the empirical signature of the direct-authority mechanism: the survey functions as a budgetary lever, and the persuasive and procedural force of community consensus redirects obligations toward the destinations it ranks highly, over and above the premium those destinations command for engineering reasons and over and above the common trend in the rest of the portfolio.</w:t>
      </w:r>
    </w:p>
    <w:p>
      <w:pPr>
        <w:pStyle w:val="BodyText"/>
        <w:spacing w:line="480" w:lineRule="auto"/>
        <w:ind w:firstLine="720"/>
      </w:pPr>
      <w:r>
        <w:t xml:space="preserve">Between them, the two hypotheses exhaust the directional space of theoretical interest. A negative and significant interaction, in which designation is associated with a differential decrease in obligations, is not predicted by either mechanism and would constitute an anomaly demanding separate explanation rather than support for either account. The pre-registered expectation, grounded in the parametric cost literature and the entanglement argument of Section 3.3, is that the standing premium will be large and precisely estimated, the common post-survey movement will be large and precisely estimated, and the interaction will be the quantity in genuine doubt.</w:t>
      </w:r>
    </w:p>
    <w:p>
      <w:pPr>
        <w:pStyle w:val="BodyText"/>
        <w:spacing w:line="480" w:lineRule="auto"/>
        <w:ind w:firstLine="720"/>
      </w:pPr>
      <w:r>
        <w:t xml:space="preserve">How that doubt resolves, reported in the chapters that follow, is the dissertation’s single falsifiable contribution.</w:t>
      </w:r>
    </w:p>
    <w:bookmarkEnd w:id="88"/>
    <w:bookmarkStart w:id="89" w:name="Xd230db24c3d06880a2fb159337c3cefd8bfff3d"/>
    <w:p>
      <w:pPr>
        <w:pStyle w:val="Heading2"/>
        <w:spacing w:line="480" w:lineRule="auto"/>
      </w:pPr>
      <w:r>
        <w:t xml:space="preserve">3.7 Scope Conditions and the Boundaries of the Claim</w:t>
      </w:r>
    </w:p>
    <w:p>
      <w:pPr>
        <w:pStyle w:val="FirstParagraph"/>
        <w:spacing w:line="480" w:lineRule="auto"/>
      </w:pPr>
      <w:r>
        <w:t xml:space="preserve">Explicit scope conditions bound the claim the estimand can support, and stating them here prevents the empirical result from being over-read. First, the outcome is the obligated funding of mission lines, not the probability that a destination class wins a new start. The framework speaks to the intensive margin, how much money flows to a designated line, and is silent on the extensive margin, whether a designation changes the likelihood that a destination receives a mission at all. A survey could reshape the portfolio through the selection channel without changing the per-line budget, and that channel is the province of a companion hazard analysis rather than of the difference-in-differences estimand developed here. The two questions are complementary, and the framework is careful not to let an answer to one masquerade as an answer to the other.</w:t>
      </w:r>
    </w:p>
    <w:p>
      <w:pPr>
        <w:pStyle w:val="BodyText"/>
        <w:spacing w:line="480" w:lineRule="auto"/>
        <w:ind w:firstLine="720"/>
      </w:pPr>
      <w:r>
        <w:t xml:space="preserve">Second, the estimand generalizes only to the survey as practiced over the observed cycles. The parallel-trends logic licenses a statement about the marginal effect of designation under the institutional arrangements that actually obtained, principally the 2011 and 2022 surveys and the appropriations environment surrounding them. It does not license counterfactual claims about alternative survey designs, different governance arrangements, or hypothetical thresholds, because no comparison group can be constructed for institutions that did not exist. Third, the construct of obligated funding is itself plural. Obligations, operating-plan figures, and enacted appropriations differ, and the framework treats the divergence among them as a reported dimension of the analysis rather than a hidden choice, so that the recovered ATT is read under each definition and its stability across definitions becomes part of the evidence. Within these boundaries the framework supports a clean and consequential inference about whether the decadal survey changed where the money went, and it is to the data that realize this framework that the dissertation now turns.</w:t>
      </w:r>
    </w:p>
    <w:bookmarkEnd w:id="89"/>
    <w:bookmarkEnd w:id="90"/>
    <w:bookmarkStart w:id="98" w:name="chapter-4.-data-and-measurement"/>
    <w:p>
      <w:pPr>
        <w:pStyle w:val="Heading1"/>
        <w:spacing w:line="480" w:lineRule="auto"/>
      </w:pPr>
      <w:r>
        <w:t xml:space="preserve">Chapter 4. Data and Measurement</w:t>
      </w:r>
    </w:p>
    <w:bookmarkStart w:id="91"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material on which the dissertation’s two estimating papers rest. It does three things, and it does them in order. First, it names the authoritative sources from which every observation is drawn and states precisely which document type supplies which quantity, so that no number in the analysis lacks a traceable provenance line. Second, it fixes the unit of analysis for each paper and explains why the two papers adopt different units even though they interrogate the same treatment. Third, it documents the construction of every analytic variable from primary records, including the coding rules, the deflation procedure, and the crosswalk that reconciles mission identifiers across corpora. The intent is that a replicator working only from the cited public sources could rebuild both analytic panels and recover the reported estimates.</w:t>
      </w:r>
    </w:p>
    <w:p>
      <w:pPr>
        <w:pStyle w:val="BodyText"/>
        <w:spacing w:line="480" w:lineRule="auto"/>
        <w:ind w:firstLine="720"/>
      </w:pPr>
      <w:r>
        <w:t xml:space="preserve">A single discipline governs the measurement program, and it follows directly from the dissertation’s claim. That discipline is provenance. The study asks whether the planetary science decadal survey reallocated federal investment or merely ratified a trajectory already underway. That question is only answerable if the funding measure and the treatment indicator are constructed independently of one another and from records that predate the analyst’s hypothesis. The space-economy literature has been faulted for inflating magnitudes through methodological shortcuts such as compound-growth extrapolation and double counting</w:t>
      </w:r>
      <w:r>
        <w:t xml:space="preserve"> </w:t>
      </w:r>
      <w:hyperlink w:anchor="ref-1">
        <w:r>
          <w:rPr>
            <w:rStyle w:val="Hyperlink"/>
          </w:rPr>
          <w:t xml:space="preserve">[1]</w:t>
        </w:r>
      </w:hyperlink>
      <w:r>
        <w:t xml:space="preserve">, and the present design treats that critique as a standing warning. Every figure entering either panel is tied to a named fiscal-year document or a named survey volume, and no quantity is reconstructed from secondary summary or from the analyst’s recollection of what a number ought to be. Government space budgets are a policy-determined and separately enumerated component of the national space accounts</w:t>
      </w:r>
      <w:r>
        <w:t xml:space="preserve"> </w:t>
      </w:r>
      <w:hyperlink w:anchor="ref-3">
        <w:r>
          <w:rPr>
            <w:rStyle w:val="Hyperlink"/>
          </w:rPr>
          <w:t xml:space="preserve">[3]</w:t>
        </w:r>
      </w:hyperlink>
      <w:r>
        <w:t xml:space="preserve">, which is precisely what makes them measurable at the level of individual mission lines rather than inferred from an aggregate envelope.</w:t>
      </w:r>
    </w:p>
    <w:bookmarkEnd w:id="91"/>
    <w:bookmarkStart w:id="92" w:name="the-two-units-of-analysis"/>
    <w:p>
      <w:pPr>
        <w:pStyle w:val="Heading2"/>
        <w:spacing w:line="480" w:lineRule="auto"/>
      </w:pPr>
      <w:r>
        <w:t xml:space="preserve">4.2 The two units of analysis</w:t>
      </w:r>
    </w:p>
    <w:p>
      <w:pPr>
        <w:pStyle w:val="FirstParagraph"/>
        <w:spacing w:line="480" w:lineRule="auto"/>
      </w:pPr>
      <w:r>
        <w:t xml:space="preserve">One causal question is posed through two complementary estimands, and each estimand dictates a distinct unit of observation. Clarity about the two units is prerequisite to understanding the variables, because the same word,</w:t>
      </w:r>
      <w:r>
        <w:t xml:space="preserve"> </w:t>
      </w:r>
      <w:r>
        <w:t xml:space="preserve">“mission,”</w:t>
      </w:r>
      <w:r>
        <w:t xml:space="preserve"> </w:t>
      </w:r>
      <w:r>
        <w:t xml:space="preserve">denotes a row in one panel and a stratum in the other.</w:t>
      </w:r>
    </w:p>
    <w:p>
      <w:pPr>
        <w:pStyle w:val="BodyText"/>
        <w:spacing w:line="480" w:lineRule="auto"/>
        <w:ind w:firstLine="720"/>
      </w:pPr>
      <w:r>
        <w:t xml:space="preserve">In the first paper, the unit of analysis is the individual NASA planetary mission, observed once, with a documented selection or formal-start year and a documented lifecycle cost; the panel is a cross section of twenty-eight missions spanning selection years from 1977 to 2021, drawn from the Discovery, New Frontiers, Mars, and flagship lines. Because each mission contributes a single row carrying its committed lifecycle budget, the first paper measures the size of the commitment per mission once a mission has been chosen. Its outcome is intensive: conditional on a mission existing, how large is its budget.</w:t>
      </w:r>
    </w:p>
    <w:p>
      <w:pPr>
        <w:pStyle w:val="BodyText"/>
        <w:spacing w:line="480" w:lineRule="auto"/>
        <w:ind w:firstLine="720"/>
      </w:pPr>
      <w:r>
        <w:t xml:space="preserve">In the companion paper, the unit of analysis shifts from the funded mission to the candidate destination class observed over fiscal time, and the outcome of interest is extensive: not how much a selected mission costs, but whether a destination class wins a new start at all in a given period. The first paper itself flags this distinction explicitly, noting that a survey could change which destinations get missions without changing how much each mission costs once chosen, and that this selection-rate channel is the question a survival or hazard analysis of mission starts would address</w:t>
      </w:r>
      <w:r>
        <w:t xml:space="preserve"> </w:t>
      </w:r>
      <w:hyperlink w:anchor="ref-11">
        <w:r>
          <w:rPr>
            <w:rStyle w:val="Hyperlink"/>
          </w:rPr>
          <w:t xml:space="preserve">[11]</w:t>
        </w:r>
      </w:hyperlink>
      <w:r>
        <w:t xml:space="preserve">. The two units are therefore not redundant. Each earns its keep. The mission-level cross section isolates the per-mission price tag; the destination-class time series isolates the rate at which priorities convert into starts. Treating the survey’s effect as a single scalar would conflate these channels, and the dual-unit design exists to keep them separable.</w:t>
      </w:r>
    </w:p>
    <w:p>
      <w:pPr>
        <w:pStyle w:val="BodyText"/>
        <w:spacing w:line="480" w:lineRule="auto"/>
        <w:ind w:firstLine="720"/>
      </w:pPr>
      <w:r>
        <w:t xml:space="preserve">Choosing the mission as the first paper’s unit, rather than the fiscal-year obligation line contemplated in the prospectus, was a deliberate measurement decision, discussed in Section 4.6. The prospectus framed the panel as a mission line observed in a fiscal year, with real obligated funding as the outcome and two-way fixed effects absorbing mission and year heterogeneity. The realized first paper instead collapses each mission to its lifecycle commitment, trading the within-mission time dimension for a clean, source-anchored measure of total committed budget. The reasons for that decision, and its consequences for identification, are addressed where the variables are built.</w:t>
      </w:r>
    </w:p>
    <w:bookmarkEnd w:id="92"/>
    <w:bookmarkStart w:id="93" w:name="authoritative-sources"/>
    <w:p>
      <w:pPr>
        <w:pStyle w:val="Heading2"/>
        <w:spacing w:line="480" w:lineRule="auto"/>
      </w:pPr>
      <w:r>
        <w:t xml:space="preserve">4.3 Authoritative sources</w:t>
      </w:r>
    </w:p>
    <w:p>
      <w:pPr>
        <w:pStyle w:val="FirstParagraph"/>
        <w:spacing w:line="480" w:lineRule="auto"/>
      </w:pPr>
      <w:r>
        <w:t xml:space="preserve">Three families of primary record supply the dissertation’s data. Each is public, each is citable to a named document, and each carries a defined role in variable construction.</w:t>
      </w:r>
    </w:p>
    <w:p>
      <w:pPr>
        <w:pStyle w:val="BodyText"/>
        <w:spacing w:line="480" w:lineRule="auto"/>
        <w:ind w:firstLine="720"/>
      </w:pPr>
      <w:r>
        <w:t xml:space="preserve">The first family is the budgetary record. The prospectus designates the NASA Congressional Justification, the agency’s annual budget request and operating-plan document, as the canonical funding series, because it reports planetary science mission lines at the program and project level across fiscal years and publishes both requested and enacted figures on NASA’s public budget portal. This source allows a dependent variable to be built from obligated and operating-plan values rather than from press summaries. In the realized first paper, lifecycle cost is compiled chiefly from the Government Accountability Office assessments of NASA major projects</w:t>
      </w:r>
      <w:r>
        <w:t xml:space="preserve"> </w:t>
      </w:r>
      <w:hyperlink w:anchor="ref-17">
        <w:r>
          <w:rPr>
            <w:rStyle w:val="Hyperlink"/>
          </w:rPr>
          <w:t xml:space="preserve">[17]</w:t>
        </w:r>
      </w:hyperlink>
      <w:r>
        <w:t xml:space="preserve">, which provide audited, periodically updated lifecycle cost estimates for the agency’s major missions and which the paper treats as the spine of the cost record. These GAO assessments are supplemented by NASA mission pages and program histories, the NASA Space Science Data Coordinated Archive Discovery program list, and mission-specific public reporting, with each row carrying its own source citation in the accompanying dataset. The GAO major-project assessments are also the evidentiary basis for the paper’s secondary claim that portfolio-wide cost growth is pervasive across the agency rather than confined to prioritized destinations</w:t>
      </w:r>
      <w:r>
        <w:t xml:space="preserve"> </w:t>
      </w:r>
      <w:hyperlink w:anchor="ref-17">
        <w:r>
          <w:rPr>
            <w:rStyle w:val="Hyperlink"/>
          </w:rPr>
          <w:t xml:space="preserve">[17]</w:t>
        </w:r>
      </w:hyperlink>
      <w:r>
        <w:t xml:space="preserve">.</w:t>
      </w:r>
    </w:p>
    <w:p>
      <w:pPr>
        <w:pStyle w:val="BodyText"/>
        <w:spacing w:line="480" w:lineRule="auto"/>
        <w:ind w:firstLine="720"/>
      </w:pPr>
      <w:r>
        <w:t xml:space="preserve">The second family is the treatment record. Decadal-survey priority is coded directly from the National Academies planetary science and astrobiology decadal survey reports. The prospectus names the two governing volumes, the 2011</w:t>
      </w:r>
      <w:r>
        <w:t xml:space="preserve"> </w:t>
      </w:r>
      <w:r>
        <w:rPr>
          <w:i/>
          <w:iCs/>
        </w:rPr>
        <w:t xml:space="preserve">Vision and Voyages for Planetary Science in the Decade 2013-2022</w:t>
      </w:r>
      <w:r>
        <w:t xml:space="preserve"> </w:t>
      </w:r>
      <w:r>
        <w:t xml:space="preserve">and the 2022</w:t>
      </w:r>
      <w:r>
        <w:t xml:space="preserve"> </w:t>
      </w:r>
      <w:r>
        <w:rPr>
          <w:i/>
          <w:iCs/>
        </w:rPr>
        <w:t xml:space="preserve">Origins, Worlds, and Life</w:t>
      </w:r>
      <w:r>
        <w:t xml:space="preserve">, both openly available from the National Academies Press, which enumerate ranked mission recommendations by tier. The first paper operationalizes the 2011 survey specifically, drawing its ranked destination priorities from the survey’s stated flagship ordering, which placed a Mars sample return campaign first, a Europa orbiter second, and a Uranus orbiter third</w:t>
      </w:r>
      <w:r>
        <w:t xml:space="preserve"> </w:t>
      </w:r>
      <w:hyperlink w:anchor="ref-13">
        <w:r>
          <w:rPr>
            <w:rStyle w:val="Hyperlink"/>
          </w:rPr>
          <w:t xml:space="preserve">[13]</w:t>
        </w:r>
      </w:hyperlink>
      <w:r>
        <w:t xml:space="preserve">, and corroborating the priority taxonomy against secondary descriptions of the survey instrument</w:t>
      </w:r>
      <w:r>
        <w:t xml:space="preserve"> </w:t>
      </w:r>
      <w:hyperlink w:anchor="ref-11">
        <w:r>
          <w:rPr>
            <w:rStyle w:val="Hyperlink"/>
          </w:rPr>
          <w:t xml:space="preserve">[11]</w:t>
        </w:r>
      </w:hyperlink>
      <w:r>
        <w:t xml:space="preserve">[14][15]. The destination-class scheme that separates prioritized from control targets is read from these survey and survey-descriptive sources rather than imposed by the analyst.</w:t>
      </w:r>
    </w:p>
    <w:p>
      <w:pPr>
        <w:pStyle w:val="BodyText"/>
        <w:spacing w:line="480" w:lineRule="auto"/>
        <w:ind w:firstLine="720"/>
      </w:pPr>
      <w:r>
        <w:t xml:space="preserve">The third family is the deflation and contextual record. The prospectus specifies the NASA New Start Inflation Index, the agency’s own deflator, as the instrument for converting nominal funding to constant dollars, chosen so that the funding measure remains internally consistent with the budget documents from which it is drawn. The contextual literature that frames the space economy and its government component, and that motivates the measurement discipline, is documentary rather than numeric in its contribution: it establishes that aggregate space-economy magnitudes are routinely overstated</w:t>
      </w:r>
      <w:r>
        <w:t xml:space="preserve"> </w:t>
      </w:r>
      <w:hyperlink w:anchor="ref-1">
        <w:r>
          <w:rPr>
            <w:rStyle w:val="Hyperlink"/>
          </w:rPr>
          <w:t xml:space="preserve">[1]</w:t>
        </w:r>
      </w:hyperlink>
      <w:r>
        <w:t xml:space="preserve">, that government budgets are a policy-determined component of those accounts</w:t>
      </w:r>
      <w:r>
        <w:t xml:space="preserve"> </w:t>
      </w:r>
      <w:hyperlink w:anchor="ref-3">
        <w:r>
          <w:rPr>
            <w:rStyle w:val="Hyperlink"/>
          </w:rPr>
          <w:t xml:space="preserve">[3]</w:t>
        </w:r>
      </w:hyperlink>
      <w:r>
        <w:t xml:space="preserve">, that historically dominant programs absorb large fixed shares of agency budgets</w:t>
      </w:r>
      <w:r>
        <w:t xml:space="preserve"> </w:t>
      </w:r>
      <w:hyperlink w:anchor="ref-2">
        <w:r>
          <w:rPr>
            <w:rStyle w:val="Hyperlink"/>
          </w:rPr>
          <w:t xml:space="preserve">[2]</w:t>
        </w:r>
      </w:hyperlink>
      <w:r>
        <w:t xml:space="preserve">, and that the sector’s scale and governance conditions are themselves objects of study</w:t>
      </w:r>
      <w:r>
        <w:t xml:space="preserve"> </w:t>
      </w:r>
      <w:hyperlink w:anchor="ref-4">
        <w:r>
          <w:rPr>
            <w:rStyle w:val="Hyperlink"/>
          </w:rPr>
          <w:t xml:space="preserve">[4]</w:t>
        </w:r>
      </w:hyperlink>
      <w:r>
        <w:t xml:space="preserve">. None of these supplies a figure that enters the panels; they discipline how the figures that do enter are interpreted.</w:t>
      </w:r>
    </w:p>
    <w:bookmarkEnd w:id="93"/>
    <w:bookmarkStart w:id="94" w:name="variable-construction-in-the-first-paper"/>
    <w:p>
      <w:pPr>
        <w:pStyle w:val="Heading2"/>
        <w:spacing w:line="480" w:lineRule="auto"/>
      </w:pPr>
      <w:r>
        <w:t xml:space="preserve">4.4 Variable construction in the first paper</w:t>
      </w:r>
    </w:p>
    <w:p>
      <w:pPr>
        <w:pStyle w:val="FirstParagraph"/>
        <w:spacing w:line="480" w:lineRule="auto"/>
      </w:pPr>
      <w:r>
        <w:t xml:space="preserve">The first paper’s analytic file contains four constructed quantities per mission: the dependent variable, the treatment indicator, the period indicator, and the interaction that carries the causal estimand. Each is built from the primary records named above according to fixed rules.</w:t>
      </w:r>
    </w:p>
    <w:p>
      <w:pPr>
        <w:pStyle w:val="BodyText"/>
        <w:spacing w:line="480" w:lineRule="auto"/>
        <w:ind w:firstLine="720"/>
      </w:pPr>
      <w:r>
        <w:t xml:space="preserve">The dependent variable is the natural logarithm of lifecycle cost. Lifecycle cost is recorded in millions of then-year dollars, compiled mission by mission from the GAO major-project assessments</w:t>
      </w:r>
      <w:r>
        <w:t xml:space="preserve"> </w:t>
      </w:r>
      <w:hyperlink w:anchor="ref-17">
        <w:r>
          <w:rPr>
            <w:rStyle w:val="Hyperlink"/>
          </w:rPr>
          <w:t xml:space="preserve">[17]</w:t>
        </w:r>
      </w:hyperlink>
      <w:r>
        <w:t xml:space="preserve"> </w:t>
      </w:r>
      <w:r>
        <w:t xml:space="preserve">and the supplementary mission records, and then log-transformed so that regression coefficients read as approximate proportional differences in committed budget. The log transform is a measurement choice with substantive content: because mission costs range across roughly two orders of magnitude, from sub-billion-dollar Discovery probes to multi-billion-dollar outer-planet flagships, a proportional outcome is the natural scale on which a survey’s</w:t>
      </w:r>
      <w:r>
        <w:t xml:space="preserve"> </w:t>
      </w:r>
      <w:r>
        <w:t xml:space="preserve">“tilt”</w:t>
      </w:r>
      <w:r>
        <w:t xml:space="preserve"> </w:t>
      </w:r>
      <w:r>
        <w:t xml:space="preserve">toward a destination class would register, and it stabilizes the variance that would otherwise be dominated by the largest missions. The raw cell means that this variable produces already preview the paper’s finding: pre-survey control missions averaged roughly 335 million dollars, pre-survey prioritized missions roughly 1.39 billion, post-survey control missions roughly 1.08 billion, and post-survey prioritized missions roughly 3.05 billion.</w:t>
      </w:r>
    </w:p>
    <w:p>
      <w:pPr>
        <w:pStyle w:val="BodyText"/>
        <w:spacing w:line="480" w:lineRule="auto"/>
        <w:ind w:firstLine="720"/>
      </w:pPr>
      <w:r>
        <w:t xml:space="preserve">In every cell the prioritized destinations were the expensive ones. Every cell rose after the survey.</w:t>
      </w:r>
    </w:p>
    <w:p>
      <w:pPr>
        <w:pStyle w:val="BodyText"/>
        <w:spacing w:line="480" w:lineRule="auto"/>
        <w:ind w:firstLine="720"/>
      </w:pPr>
      <w:r>
        <w:t xml:space="preserve">One value in the dependent variable is flagged as illustrative rather than authoritative. The lifecycle midpoint for VERITAS carries that flag because the mission was rebaselined and delayed before a stable lifecycle figure was published. This transparency is itself a measurement decision: rather than silently impute or exclude, the paper carries the row with an explicit caveat and notes that it is one observation out of twenty-eight and does not drive the result. The honesty of the flag matters more than the single figure, because it documents exactly where the cost record is soft.</w:t>
      </w:r>
    </w:p>
    <w:p>
      <w:pPr>
        <w:pStyle w:val="BodyText"/>
        <w:spacing w:line="480" w:lineRule="auto"/>
        <w:ind w:firstLine="720"/>
      </w:pPr>
      <w:r>
        <w:t xml:space="preserve">The treatment indicator, named</w:t>
      </w:r>
      <w:r>
        <w:t xml:space="preserve"> </w:t>
      </w:r>
      <w:r>
        <w:rPr>
          <w:rStyle w:val="VerbatimChar"/>
        </w:rPr>
        <w:t xml:space="preserve">decadal_priority</w:t>
      </w:r>
      <w:r>
        <w:t xml:space="preserve">, is a binary variable coded one when a mission targets a destination class the 2011 survey ranked as a top flagship priority, and zero otherwise. The prioritized class comprises Mars and the outer-planet and ocean-world systems, namely Jupiter-Europa, Saturn-Titan, and Uranus. The control class comprises the inner planets and Venus, small bodies and asteroids, the Moon, and exoplanet survey targets. The assignment is read from the survey’s ranked recommendations and the corroborating descriptions of those recommendations</w:t>
      </w:r>
      <w:r>
        <w:t xml:space="preserve"> </w:t>
      </w:r>
      <w:hyperlink w:anchor="ref-13">
        <w:r>
          <w:rPr>
            <w:rStyle w:val="Hyperlink"/>
          </w:rPr>
          <w:t xml:space="preserve">[13]</w:t>
        </w:r>
      </w:hyperlink>
      <w:r>
        <w:t xml:space="preserve">[14][15], so that treatment is a property of the destination’s standing in the survey text and not a property of the mission’s eventual budget. This independence is the load-bearing feature of the coding: because the indicator is fixed by the survey volume before any cost figure is consulted, the funding outcome cannot contaminate the treatment assignment.</w:t>
      </w:r>
    </w:p>
    <w:p>
      <w:pPr>
        <w:pStyle w:val="BodyText"/>
        <w:spacing w:line="480" w:lineRule="auto"/>
        <w:ind w:firstLine="720"/>
      </w:pPr>
      <w:r>
        <w:t xml:space="preserve">The period indicator, named</w:t>
      </w:r>
      <w:r>
        <w:t xml:space="preserve"> </w:t>
      </w:r>
      <w:r>
        <w:rPr>
          <w:rStyle w:val="VerbatimChar"/>
        </w:rPr>
        <w:t xml:space="preserve">post_2011</w:t>
      </w:r>
      <w:r>
        <w:t xml:space="preserve">, is a binary variable coded one for missions selected in or after 2011, the survey’s release year, and zero for missions selected before. The selection year is taken from the documented formal-start or selection record for each mission. The 2011 boundary is the discrete intervention date that the difference-in-differences design requires, and locating it on the selection year rather than on a launch or obligation date keeps the period assignment aligned with the moment a budgetary commitment is made.</w:t>
      </w:r>
    </w:p>
    <w:p>
      <w:pPr>
        <w:pStyle w:val="BodyText"/>
        <w:spacing w:line="480" w:lineRule="auto"/>
        <w:ind w:firstLine="720"/>
      </w:pPr>
      <w:r>
        <w:t xml:space="preserve">The estimand is the interaction of</w:t>
      </w:r>
      <w:r>
        <w:t xml:space="preserve"> </w:t>
      </w:r>
      <w:r>
        <w:rPr>
          <w:rStyle w:val="VerbatimChar"/>
        </w:rPr>
        <w:t xml:space="preserve">decadal_priority</w:t>
      </w:r>
      <w:r>
        <w:t xml:space="preserve"> </w:t>
      </w:r>
      <w:r>
        <w:t xml:space="preserve">and</w:t>
      </w:r>
      <w:r>
        <w:t xml:space="preserve"> </w:t>
      </w:r>
      <w:r>
        <w:rPr>
          <w:rStyle w:val="VerbatimChar"/>
        </w:rPr>
        <w:t xml:space="preserve">post_2011</w:t>
      </w:r>
      <w:r>
        <w:t xml:space="preserve">. In the linear specification this interaction term carries the difference-in-differences coefficient: the differential proportional change in committed budget that accrued to prioritized destinations alone, net of the standing flagship premium captured by the priority main effect and net of the portfolio-wide cost change captured by the period main effect. The decomposition is exact in the two-by-two design. The intercept recovers the mean log cost of pre-survey control missions, the priority coefficient recovers the standing premium, the period coefficient recovers the common post-survey change, and the interaction recovers whatever differential change accrued to prioritized destinations beyond the common trend. Because the parametric cost literature establishes that outer-planet and Mars flagships carry a high systems-engineering cost floor independent of any ranking</w:t>
      </w:r>
      <w:r>
        <w:t xml:space="preserve"> </w:t>
      </w:r>
      <w:hyperlink w:anchor="ref-8">
        <w:r>
          <w:rPr>
            <w:rStyle w:val="Hyperlink"/>
          </w:rPr>
          <w:t xml:space="preserve">[8]</w:t>
        </w:r>
      </w:hyperlink>
      <w:r>
        <w:t xml:space="preserve">[9][10], the priority main effect is expected to be large and the design is built to read the interaction against that expected premium rather than to confuse the two.</w:t>
      </w:r>
    </w:p>
    <w:bookmarkEnd w:id="94"/>
    <w:bookmarkStart w:id="95" w:name="X9d23d1139aef40de1788408011b2db01cefee28"/>
    <w:p>
      <w:pPr>
        <w:pStyle w:val="Heading2"/>
        <w:spacing w:line="480" w:lineRule="auto"/>
      </w:pPr>
      <w:r>
        <w:t xml:space="preserve">4.5 Variable construction in the companion paper</w:t>
      </w:r>
    </w:p>
    <w:p>
      <w:pPr>
        <w:pStyle w:val="FirstParagraph"/>
        <w:spacing w:line="480" w:lineRule="auto"/>
      </w:pPr>
      <w:r>
        <w:t xml:space="preserve">Measurement in the companion paper is different in kind, because its outcome is the occurrence of an event rather than the magnitude of a commitment. The unit is the candidate destination class observed across fiscal time, and the quantity to be measured is the timing and incidence of new mission starts by destination class. The same two source families supply the inputs, but they are combined differently.</w:t>
      </w:r>
    </w:p>
    <w:p>
      <w:pPr>
        <w:pStyle w:val="BodyText"/>
        <w:spacing w:line="480" w:lineRule="auto"/>
        <w:ind w:firstLine="720"/>
      </w:pPr>
      <w:r>
        <w:t xml:space="preserve">Event records are built from the documented selection or formal-start years that the first paper uses as a covariate. In the companion design these start years become the outcome: a destination class that secures a new start in a given period registers an event, and the intervals between starts, or the per-period hazard of a start, are the quantities the survival or hazard estimator consumes. The same selection-year provenance applies, traced to the formal-start records and corroborated against mission histories and the major-project assessments</w:t>
      </w:r>
      <w:r>
        <w:t xml:space="preserve"> </w:t>
      </w:r>
      <w:hyperlink w:anchor="ref-17">
        <w:r>
          <w:rPr>
            <w:rStyle w:val="Hyperlink"/>
          </w:rPr>
          <w:t xml:space="preserve">[17]</w:t>
        </w:r>
      </w:hyperlink>
      <w:r>
        <w:t xml:space="preserve">, so that the event indicator is anchored to the same primary records as the cost figure but is read as an incidence rather than a magnitude.</w:t>
      </w:r>
    </w:p>
    <w:p>
      <w:pPr>
        <w:pStyle w:val="BodyText"/>
        <w:spacing w:line="480" w:lineRule="auto"/>
        <w:ind w:firstLine="720"/>
      </w:pPr>
      <w:r>
        <w:t xml:space="preserve">Treatment and period coding carry over from the first paper without modification, which is the point of holding the source families constant. A destination class is prioritized or control according to the same 2011 survey reading</w:t>
      </w:r>
      <w:r>
        <w:t xml:space="preserve"> </w:t>
      </w:r>
      <w:hyperlink w:anchor="ref-13">
        <w:r>
          <w:rPr>
            <w:rStyle w:val="Hyperlink"/>
          </w:rPr>
          <w:t xml:space="preserve">[13]</w:t>
        </w:r>
      </w:hyperlink>
      <w:r>
        <w:t xml:space="preserve">[14][15], and the post-survey period is bounded at the same 2011 release year. The companion paper thereby asks whether priority designation changed the rate at which a destination class converted into a funded start, holding fixed exactly the treatment and period definitions used to ask whether it changed the per-mission price. The deliberate parallelism in the coding is what permits the two estimands to be read together as the intensive and extensive margins of a single treatment.</w:t>
      </w:r>
    </w:p>
    <w:bookmarkEnd w:id="95"/>
    <w:bookmarkStart w:id="96" w:name="X1140b9f709dba4ba4a4035a87ed171c96be7c23"/>
    <w:p>
      <w:pPr>
        <w:pStyle w:val="Heading2"/>
        <w:spacing w:line="480" w:lineRule="auto"/>
      </w:pPr>
      <w:r>
        <w:t xml:space="preserve">4.6 The obligation-line alternative and why the realized panels depart from it</w:t>
      </w:r>
    </w:p>
    <w:p>
      <w:pPr>
        <w:pStyle w:val="FirstParagraph"/>
        <w:spacing w:line="480" w:lineRule="auto"/>
      </w:pPr>
      <w:r>
        <w:t xml:space="preserve">A richer panel was specified in the prospectus than the realized first paper employs, and the departure is a measurement decision that deserves recording rather than glossing. The prospectus envisioned a mission line observed in a fiscal year, with real obligated funding as the dependent variable, mission fixed effects absorbing time-invariant scale differences, and year fixed effects absorbing agency-wide shocks including continuing-resolution years and top-line swings. Under that design the dependent variable would have been deflated to constant dollars using the NASA New Start Inflation Index, and the comparison group would have been restricted to same-cycle below-threshold candidates to narrow the gap on latent readiness.</w:t>
      </w:r>
    </w:p>
    <w:p>
      <w:pPr>
        <w:pStyle w:val="BodyText"/>
        <w:spacing w:line="480" w:lineRule="auto"/>
        <w:ind w:firstLine="720"/>
      </w:pPr>
      <w:r>
        <w:t xml:space="preserve">Instead, the realized first paper collapses each mission to a single lifecycle commitment and runs an ordinary least squares two-by-two difference in differences. Three measurement considerations drive the change. First, source integrity: the GAO major-project assessments report audited lifecycle costs at the mission level</w:t>
      </w:r>
      <w:r>
        <w:t xml:space="preserve"> </w:t>
      </w:r>
      <w:hyperlink w:anchor="ref-17">
        <w:r>
          <w:rPr>
            <w:rStyle w:val="Hyperlink"/>
          </w:rPr>
          <w:t xml:space="preserve">[17]</w:t>
        </w:r>
      </w:hyperlink>
      <w:r>
        <w:t xml:space="preserve">, and these are firmer and more uniformly available than mission-by-fiscal-year obligation lines reconstructed across two decades of Congressional Justifications, which differ in their treatment of obligations, operating-plan figures, and enacted appropriations. The prospectus itself anticipated that obligations, operating-plan figures, and enacted appropriations diverge and would have to be reported under each definition; the lifecycle measure sidesteps that ambiguity by adopting a single audited concept of committed cost. Second, the lifecycle measure aligns the outcome with the theoretical quantity of interest, the total budget the agency commits to a mission, rather than a within-year cash-flow slice that is sensitive to scheduling and continuing-resolution timing. Third, the cross-sectional design with then-year dollars handles inflation through the explicit period main effect rather than through a deflator applied to the outcome; because the model reads proportional differences on the log scale, the portfolio-wide cost change is estimated directly as a coefficient rather than removed in advance.</w:t>
      </w:r>
    </w:p>
    <w:p>
      <w:pPr>
        <w:pStyle w:val="BodyText"/>
        <w:spacing w:line="480" w:lineRule="auto"/>
        <w:ind w:firstLine="720"/>
      </w:pPr>
      <w:r>
        <w:t xml:space="preserve">The cost of this decision is equally explicit. Collapsing to one row per mission discards the within-mission time dimension that an event-study test of parallel trends would exploit, so the first paper cannot estimate separate pre-period interaction coefficients and must treat the parallel-trends assumption candidly as untestable in its realized form. The first paper states this limitation plainly and reports the difference-in-differences estimate as no evidence of a large differential rather than as proof of an exact zero. The companion paper’s event-timing structure recovers part of what the cross section gives up, because the timing of starts before and after the survey speaks to whether prioritized and control classes were on common pre-survey trajectories. The dissertation therefore distributes the identification burden across the two units rather than carrying it all in one panel.</w:t>
      </w:r>
    </w:p>
    <w:bookmarkEnd w:id="96"/>
    <w:bookmarkStart w:id="97" w:name="X3b8a829ebe6ea7c8c363377b2d6e9964287dd88"/>
    <w:p>
      <w:pPr>
        <w:pStyle w:val="Heading2"/>
        <w:spacing w:line="480" w:lineRule="auto"/>
      </w:pPr>
      <w:r>
        <w:t xml:space="preserve">4.7 Reconciliation, crosswalk, and provenance discipline</w:t>
      </w:r>
    </w:p>
    <w:p>
      <w:pPr>
        <w:pStyle w:val="FirstParagraph"/>
        <w:spacing w:line="480" w:lineRule="auto"/>
      </w:pPr>
      <w:r>
        <w:t xml:space="preserve">Both papers draw mission and destination identifiers from corpora that do not share a common key, and reconciling them is a measurement task in its own right. The prospectus commits the study to a documented crosswalk that maps mission-line identifiers across the budgetary and survey corpora, with every coding decision logged for replication. Nothing is matched by memory. The crosswalk operates at the level of the destination class, because the treatment is defined on the destination the survey ranked rather than on a mission name that may differ between the budget document and the survey text. A mission is assigned to a destination class, the destination class is matched to its priority standing in the survey, and the mission’s cost or start year is then attached from the budgetary record. Recording the crosswalk at the destination-class level keeps the treatment assignment stable even when a mission is renamed, rebaselined, or split across budget lines, as the VERITAS case illustrates.</w:t>
      </w:r>
    </w:p>
    <w:p>
      <w:pPr>
        <w:pStyle w:val="BodyText"/>
        <w:spacing w:line="480" w:lineRule="auto"/>
        <w:ind w:firstLine="720"/>
      </w:pPr>
      <w:r>
        <w:t xml:space="preserve">Provenance discipline closes the chapter’s measurement program. Every observation in either panel traces to a named fiscal-year or audit document and, for its treatment status, to a named survey volume. Each row in the first paper’s dataset carries its own source citation, and the single illustrative value is flagged in place. This regime is the operational form of the dissertation’s response to the overstatement critique that pervades the space-economy literature</w:t>
      </w:r>
      <w:r>
        <w:t xml:space="preserve"> </w:t>
      </w:r>
      <w:hyperlink w:anchor="ref-1">
        <w:r>
          <w:rPr>
            <w:rStyle w:val="Hyperlink"/>
          </w:rPr>
          <w:t xml:space="preserve">[1]</w:t>
        </w:r>
      </w:hyperlink>
      <w:r>
        <w:t xml:space="preserve">: a figure that cannot be tied to a citable source line does not enter the panel, magnitudes are not extrapolated or compounded, and the analyst’s expectations are never substituted for a missing record. Because government space budgets are a policy-determined and separately enumerated component of the national space accounts</w:t>
      </w:r>
      <w:r>
        <w:t xml:space="preserve"> </w:t>
      </w:r>
      <w:hyperlink w:anchor="ref-3">
        <w:r>
          <w:rPr>
            <w:rStyle w:val="Hyperlink"/>
          </w:rPr>
          <w:t xml:space="preserve">[3]</w:t>
        </w:r>
      </w:hyperlink>
      <w:r>
        <w:t xml:space="preserve">, the records exist at the granularity the design requires, and the measurement task is one of faithful transcription and disciplined coding rather than of estimation under absence.</w:t>
      </w:r>
    </w:p>
    <w:p>
      <w:pPr>
        <w:pStyle w:val="BodyText"/>
        <w:spacing w:line="480" w:lineRule="auto"/>
        <w:ind w:firstLine="720"/>
      </w:pPr>
      <w:r>
        <w:t xml:space="preserve">What results is two panels whose every cell can be audited back to a public document, which is the precondition for the falsifiable estimate the dissertation reports.</w:t>
      </w:r>
    </w:p>
    <w:bookmarkEnd w:id="97"/>
    <w:bookmarkEnd w:id="98"/>
    <w:bookmarkStart w:id="105" w:name="chapter-5.-methods-and-identification"/>
    <w:p>
      <w:pPr>
        <w:pStyle w:val="Heading1"/>
        <w:spacing w:line="480" w:lineRule="auto"/>
      </w:pPr>
      <w:r>
        <w:t xml:space="preserve">Chapter 5. Methods and Identification</w:t>
      </w:r>
    </w:p>
    <w:bookmarkStart w:id="99" w:name="X93552a9a27ad5554dae8dc338edd23e8ec87e48"/>
    <w:p>
      <w:pPr>
        <w:pStyle w:val="Heading2"/>
        <w:spacing w:line="480" w:lineRule="auto"/>
      </w:pPr>
      <w:r>
        <w:t xml:space="preserve">5.1 The Estimand and Why It Requires a Counterfactual</w:t>
      </w:r>
    </w:p>
    <w:p>
      <w:pPr>
        <w:pStyle w:val="FirstParagraph"/>
        <w:spacing w:line="480" w:lineRule="auto"/>
      </w:pPr>
      <w:r>
        <w:t xml:space="preserve">This chapter specifies the estimator the dissertation uses, the assumptions under which that estimator recovers a causal quantity, and the threats that would compromise the recovery if left unaddressed. The chapter is deliberately conservative in register, because the central methodological claim of the dissertation is a claim about discipline rather than about magnitude. The decadal survey is widely asserted to redirect federal investment toward the planetary community’s stated priorities, and that assertion is consequential enough that it merits estimation against a credible comparison rather than acceptance by tradition. The descriptive and institutional literature on the survey supplies the causal premise in the community’s own voice but never confronts the counterfactual the premise requires [11, 14].</w:t>
      </w:r>
    </w:p>
    <w:p>
      <w:pPr>
        <w:pStyle w:val="BodyText"/>
        <w:spacing w:line="480" w:lineRule="auto"/>
        <w:ind w:firstLine="720"/>
      </w:pPr>
      <w:r>
        <w:t xml:space="preserve">Constructing that counterfactual is the methodological burden of this dissertation.</w:t>
      </w:r>
    </w:p>
    <w:p>
      <w:pPr>
        <w:pStyle w:val="BodyText"/>
        <w:spacing w:line="480" w:lineRule="auto"/>
        <w:ind w:firstLine="720"/>
      </w:pPr>
      <w:r>
        <w:t xml:space="preserve">Of interest is a single quantity, the average treatment effect on the treated, hereafter the ATT: the differential change in real obligated funding accruing to mission lines designated as high priority by a decadal survey, measured after the survey’s publication, relative to comparable lines that were not so designated and net of the trend they would have shared absent the survey. The ATT is the only quantity that isolates the survey’s marginal budgetary contribution. It is distinct from, and must be separated from, two confounding quantities that the raw data conflate with it. The first is the standing flagship premium, the level difference in cost between prioritized destinations and control destinations that exists prior to and independent of any ranking, and that the parametric cost literature attributes to the engineering demands of the destinations themselves [8, 9, 10]. The second is portfolio-wide cost inflation, the common upward drift in mission cost across the agency’s program that the major-project assessment record documents across mission classes</w:t>
      </w:r>
      <w:r>
        <w:t xml:space="preserve"> </w:t>
      </w:r>
      <w:hyperlink w:anchor="ref-17">
        <w:r>
          <w:rPr>
            <w:rStyle w:val="Hyperlink"/>
          </w:rPr>
          <w:t xml:space="preserve">[17]</w:t>
        </w:r>
      </w:hyperlink>
      <w:r>
        <w:t xml:space="preserve">. A naive comparison of prioritized and control spending after a survey recovers the sum of these three quantities. Only a design that nets out the premium and the common trend leaves the ATT in isolation.</w:t>
      </w:r>
    </w:p>
    <w:p>
      <w:pPr>
        <w:pStyle w:val="BodyText"/>
        <w:spacing w:line="480" w:lineRule="auto"/>
        <w:ind w:firstLine="720"/>
      </w:pPr>
      <w:r>
        <w:t xml:space="preserve">Nothing about this separation is abstract. The companion cross-sectional analysis within this program recovers a standing flagship premium on the order of three and a half times the cost of control-destination missions, large and precisely estimated, and present before the survey ranked anything. That premium is exactly what the parametric tradition predicts</w:t>
      </w:r>
      <w:r>
        <w:t xml:space="preserve"> </w:t>
      </w:r>
      <w:hyperlink w:anchor="ref-8">
        <w:r>
          <w:rPr>
            <w:rStyle w:val="Hyperlink"/>
          </w:rPr>
          <w:t xml:space="preserve">[8]</w:t>
        </w:r>
      </w:hyperlink>
      <w:r>
        <w:t xml:space="preserve">. An estimator that mistook the premium for the survey’s work would attribute to a ranking what belongs to physics, and would systematically overstate the survey’s potency in the same way the space-economy forecasting literature overstates aggregate magnitudes through methodological shortcuts such as compound-growth extrapolation and double counting</w:t>
      </w:r>
      <w:r>
        <w:t xml:space="preserve"> </w:t>
      </w:r>
      <w:hyperlink w:anchor="ref-1">
        <w:r>
          <w:rPr>
            <w:rStyle w:val="Hyperlink"/>
          </w:rPr>
          <w:t xml:space="preserve">[1]</w:t>
        </w:r>
      </w:hyperlink>
      <w:r>
        <w:t xml:space="preserve">.</w:t>
      </w:r>
    </w:p>
    <w:p>
      <w:pPr>
        <w:pStyle w:val="BodyText"/>
        <w:spacing w:line="480" w:lineRule="auto"/>
        <w:ind w:firstLine="720"/>
      </w:pPr>
      <w:r>
        <w:t xml:space="preserve">This design is built expressly to avoid that error.</w:t>
      </w:r>
    </w:p>
    <w:bookmarkEnd w:id="99"/>
    <w:bookmarkStart w:id="100" w:name="the-difference-in-differences-estimator"/>
    <w:p>
      <w:pPr>
        <w:pStyle w:val="Heading2"/>
        <w:spacing w:line="480" w:lineRule="auto"/>
      </w:pPr>
      <w:r>
        <w:t xml:space="preserve">5.2 The Difference-in-Differences Estimator</w:t>
      </w:r>
    </w:p>
    <w:p>
      <w:pPr>
        <w:pStyle w:val="FirstParagraph"/>
        <w:spacing w:line="480" w:lineRule="auto"/>
      </w:pPr>
      <w:r>
        <w:t xml:space="preserve">Formally, the estimator is a difference-in-differences specification with two-way fixed effects. The unit of observation is a mission line indexed in a fiscal year. Treatment status is an indicator that marks mission lines designated as high priority in a given decadal survey, coded directly from the ranked recommendations of the National Academies survey volumes [11, 13, 14]. The post indicator marks fiscal years following the survey’s publication. The coefficient of interest is the interaction of treatment and post, which recovers the ATT under the identifying assumption developed in Section 5.3.</w:t>
      </w:r>
    </w:p>
    <w:p>
      <w:pPr>
        <w:pStyle w:val="BodyText"/>
        <w:spacing w:line="480" w:lineRule="auto"/>
        <w:ind w:firstLine="720"/>
      </w:pPr>
      <w:r>
        <w:t xml:space="preserve">The dependent variable is real obligated funding, deflated to constant dollars using the NASA New Start Inflation Index, the agency’s own deflator, so that the funding measure remains internally consistent with the budget documents from which it is drawn. Deflation is not cosmetic. Because nominal mission cost escalates across the observation window, an undeflated outcome would record portfolio-wide nominal drift as if it were a treatment effect, contaminating the very quantity the design seeks to isolate. The funding series is constructed from the NASA Congressional Justification, the agency’s annual budget request and operating-plan documentation, which reports planetary science mission lines at the program and project level across fiscal years, supplemented for lifecycle figures by the Government Accountability Office assessments of NASA major projects</w:t>
      </w:r>
      <w:r>
        <w:t xml:space="preserve"> </w:t>
      </w:r>
      <w:hyperlink w:anchor="ref-17">
        <w:r>
          <w:rPr>
            <w:rStyle w:val="Hyperlink"/>
          </w:rPr>
          <w:t xml:space="preserve">[17]</w:t>
        </w:r>
      </w:hyperlink>
      <w:r>
        <w:t xml:space="preserve">. Every observation traces to a named fiscal-year document and, for treatment assignment, to a named survey volume.</w:t>
      </w:r>
    </w:p>
    <w:p>
      <w:pPr>
        <w:pStyle w:val="BodyText"/>
        <w:spacing w:line="480" w:lineRule="auto"/>
        <w:ind w:firstLine="720"/>
      </w:pPr>
      <w:r>
        <w:t xml:space="preserve">Two families of confounding are absorbed through fixed effects. Mission fixed effects absorb time-invariant differences in baseline scale across lines, which is the structural device that nets out the standing flagship premium. Because the premium is a fixed feature of each line, conditioning on mission identity removes it from the residual variation against which the treatment effect is estimated, leaving the premium where it belongs, in the level structure, rather than in the interaction term. Year fixed effects absorb agency-wide shocks that move all lines together, including continuing-resolution years, top-line appropriations swings, and the common cost inflation the assessment record documents</w:t>
      </w:r>
      <w:r>
        <w:t xml:space="preserve"> </w:t>
      </w:r>
      <w:hyperlink w:anchor="ref-17">
        <w:r>
          <w:rPr>
            <w:rStyle w:val="Hyperlink"/>
          </w:rPr>
          <w:t xml:space="preserve">[17]</w:t>
        </w:r>
      </w:hyperlink>
      <w:r>
        <w:t xml:space="preserve">. Because such shocks are common to treated and control lines within a fiscal year, conditioning on the year removes them from the comparison, leaving the interaction term to capture only the differential change that accrues to treated lines beyond the common trend. The two-way structure is therefore not a convenience but the mechanism by which the two principal confounders are partialled out of the estimand.</w:t>
      </w:r>
    </w:p>
    <w:p>
      <w:pPr>
        <w:pStyle w:val="BodyText"/>
        <w:spacing w:line="480" w:lineRule="auto"/>
        <w:ind w:firstLine="720"/>
      </w:pPr>
      <w:r>
        <w:t xml:space="preserve">Read literally, the interaction coefficient is the proportional differential change in real obligated funding that prioritized lines experienced after publication, over and above the common post-publication trend and net of their standing scale. Under the null hypothesis the interaction is statistically indistinguishable from zero, supporting the interpretation of the survey as a coordinating rather than an allocating instrument. Under the alternative the interaction is positive and significant, indicating that designation caused a differential redirection of obligations toward the survey’s priorities. The cross-sectional companion analysis already returns a precisely estimated null on the analogous interaction, with a point estimate of the opposite sign to the alternative hypothesis and a confidence interval that comfortably contains zero, which establishes the prior that the panel design is constructed to test more rigorously.</w:t>
      </w:r>
    </w:p>
    <w:bookmarkEnd w:id="100"/>
    <w:bookmarkStart w:id="101" w:name="X356ae94f4688d8e8174d605e8c1dce53d8f145b"/>
    <w:p>
      <w:pPr>
        <w:pStyle w:val="Heading2"/>
        <w:spacing w:line="480" w:lineRule="auto"/>
      </w:pPr>
      <w:r>
        <w:t xml:space="preserve">5.3 Identification: The Parallel-Trends Assumption and Its Direct Test</w:t>
      </w:r>
    </w:p>
    <w:p>
      <w:pPr>
        <w:pStyle w:val="FirstParagraph"/>
        <w:spacing w:line="480" w:lineRule="auto"/>
      </w:pPr>
      <w:r>
        <w:t xml:space="preserve">One identifying assumption, parallel trends, is all the estimator needs to recover the ATT: absent the survey, prioritized and control mission lines would have followed the same trajectory in real obligated funding, in proportional terms. The assumption does not require that the two groups occupy the same level. They manifestly do not, because the flagship premium places prioritized lines far above control lines before any survey is written. The assumption requires only that the two groups would have moved in parallel had the survey not intervened, so that the post-publication divergence, if any, can be attributed to the treatment. This is the standard identifying content of difference-in-differences, and the dissertation honors it with two commitments that distinguish the panel design from the cross-sectional companion.</w:t>
      </w:r>
    </w:p>
    <w:p>
      <w:pPr>
        <w:pStyle w:val="BodyText"/>
        <w:spacing w:line="480" w:lineRule="auto"/>
        <w:ind w:firstLine="720"/>
      </w:pPr>
      <w:r>
        <w:t xml:space="preserve">The first commitment is that parallel trends is tested directly rather than assumed. The cross-sectional analysis candidly concedes that its parallel-trends premise is untestable, because a single pre-period and a single post-period cannot reveal whether the groups were converging or diverging before the intervention. The panel design removes that limitation by estimating an event-study specification that replaces the single post indicator with a sequence of period-specific interaction coefficients, one for each fiscal year relative to the survey’s publication, with the year immediately preceding publication held as the omitted reference. The pre-publication coefficients constitute the central validity evidence of the dissertation. Everything turns on their flatness. If they are flat and statistically insignificant, the two groups were on parallel paths before the survey, and the parallel-trends assumption is corroborated for the window in which it can be observed. If they trend, the assumption fails and the headline estimate must be discounted accordingly. The event-study is therefore not a robustness ornament but the primary identification diagnostic, and its pre-period coefficients are reported with the same prominence as the treatment effect itself.</w:t>
      </w:r>
    </w:p>
    <w:p>
      <w:pPr>
        <w:pStyle w:val="BodyText"/>
        <w:spacing w:line="480" w:lineRule="auto"/>
        <w:ind w:firstLine="720"/>
      </w:pPr>
      <w:r>
        <w:t xml:space="preserve">The second commitment is that the comparison group is constructed to narrow the gap between treated and control lines on unobserved maturity. Designation as a priority is plausibly correlated with latent mission readiness, because a survey is more likely to rank highly a mission whose architecture is mature, whose technology is demonstrated, and whose cost is credible. If the comparison group were drawn from arbitrary unranked lines, the estimate would conflate the survey’s persuasive force with the readiness differential that drove designation in the first place. To bound this, the comparison group is restricted to mission lines that were credible candidates in the same survey cycle but were ranked below the priority threshold. These below-threshold candidates entered the same deliberative process, were evaluated against the same criteria, and were judged plausible enough to be considered, which narrows the latent-maturity gap between treated and control to the distance across a ranking boundary rather than the distance between a flagship and a study with no community standing. The architecture literature confirms that the destination classes underlying treatment assignment are real, stable, and codable from public technical documents, which is a precondition for the restricted comparison to be constructed reliably [7, 12, 32].</w:t>
      </w:r>
    </w:p>
    <w:bookmarkEnd w:id="101"/>
    <w:bookmarkStart w:id="102" w:name="inference-and-estimator-robustness"/>
    <w:p>
      <w:pPr>
        <w:pStyle w:val="Heading2"/>
        <w:spacing w:line="480" w:lineRule="auto"/>
      </w:pPr>
      <w:r>
        <w:t xml:space="preserve">5.4 Inference and Estimator Robustness</w:t>
      </w:r>
    </w:p>
    <w:p>
      <w:pPr>
        <w:pStyle w:val="FirstParagraph"/>
        <w:spacing w:line="480" w:lineRule="auto"/>
      </w:pPr>
      <w:r>
        <w:t xml:space="preserve">Inference accommodates the serial dependence intrinsic to budget panels. Obligations within a mission line are correlated across fiscal years, because a multi-year mission books costs that accrue along a planned profile and because budget formulation is autoregressive by construction. Treating fiscal-year observations within a line as independent would understate the standard errors and overstate the significance of any estimate. Standard errors are therefore clustered at the mission level, which permits arbitrary within-line serial correlation and yields inference robust to the autocorrelation that budget series exhibit. The cross-sectional companion uses heteroskedasticity-robust standard errors to guard against the unequal variance expected when mission costs range across two orders of magnitude, and the panel design retains that robustness while adding the clustering that the longitudinal structure demands.</w:t>
      </w:r>
    </w:p>
    <w:p>
      <w:pPr>
        <w:pStyle w:val="BodyText"/>
        <w:spacing w:line="480" w:lineRule="auto"/>
        <w:ind w:firstLine="720"/>
      </w:pPr>
      <w:r>
        <w:t xml:space="preserve">More than one identification technology is reported, in recognition of recent methodological cautions about the canonical two-way fixed-effects difference-in-differences estimator. When treatment is adopted at different times by different units, as it is here because the 2011 and 2022 surveys publish in different years and designate different lines, the two-way fixed-effects estimator can be contaminated by what the econometric literature terms forbidden comparisons, in which already-treated units serve as effective controls for later-treated units and negative weights distort the aggregate estimate. The dissertation honors this caution by reporting both the canonical two-way fixed-effects estimate and a heterogeneity-robust estimator designed for staggered adoption as a sensitivity check, and by treating material divergence between the two as a reported finding rather than a hidden choice. Where the two estimators agree, the canonical specification is vindicated for this application. Where they diverge, the heterogeneity-robust estimate is preferred and the divergence is documented as evidence about the staggered structure of the survey treatment.</w:t>
      </w:r>
    </w:p>
    <w:p>
      <w:pPr>
        <w:pStyle w:val="BodyText"/>
        <w:spacing w:line="480" w:lineRule="auto"/>
        <w:ind w:firstLine="720"/>
      </w:pPr>
      <w:r>
        <w:t xml:space="preserve">Multiple definitions of the funding measure are reported, because the construct admits more than one defensible operationalization. Obligated funding, operating-plan figures, and enacted appropriations differ in timing and in what they record about the agency’s commitment, and the choice among them is not innocuous. The analysis reports results under each definition and treats divergence among them as a reported robustness dimension. This converts a potential researcher degree of freedom into a transparent sensitivity surface, so that the reader can judge whether the headline conclusion is an artifact of a particular funding construct or a feature stable across definitions.</w:t>
      </w:r>
    </w:p>
    <w:bookmarkEnd w:id="102"/>
    <w:bookmarkStart w:id="103"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Four threats to the validity of the design are addressed by construction, and a fifth is acknowledged as a limit on the scope of the inference rather than a flaw in its internal logic. Each threat is paired with the specific design feature that bounds it.</w:t>
      </w:r>
    </w:p>
    <w:p>
      <w:pPr>
        <w:pStyle w:val="BodyText"/>
        <w:spacing w:line="480" w:lineRule="auto"/>
        <w:ind w:firstLine="720"/>
      </w:pPr>
      <w:r>
        <w:t xml:space="preserve">The first threat is anticipation. Appropriators may shift funding in advance of a survey whose conclusions are foreseeable, because the community’s priorities are debated openly long before the volume is published and a well-signaled flagship may attract budget before the ranking is formal. Anticipation would push treatment effects into the pre-publication period and attenuate the post-publication jump, biasing the estimate toward a null and potentially masking a real effect. This threat is bounded directly by the event-study specification. Anticipatory reallocation manifests as nonzero pre-publication interaction coefficients, which the event-study estimates explicitly. If the pre-period coefficients are flat, anticipation is ruled out for the observed window. If they rise toward publication, anticipation is detected, its magnitude is quantified, and the headline estimate is interpreted in its light rather than in ignorance of it. A placebo treatment date, assigned to a fiscal year in which no survey was published, provides a second test: a significant placebo effect would indicate spurious pre-trends or anticipation that the event-study should also have caught, and concordance between the two diagnostics strengthens the inference.</w:t>
      </w:r>
    </w:p>
    <w:p>
      <w:pPr>
        <w:pStyle w:val="BodyText"/>
        <w:spacing w:line="480" w:lineRule="auto"/>
        <w:ind w:firstLine="720"/>
      </w:pPr>
      <w:r>
        <w:t xml:space="preserve">The second threat is selection on maturity. It appeared already in Section 5.3. Priority designation may track engineering readiness rather than the survey’s persuasive force, so that prioritized lines would have received larger obligations even absent the survey simply because they were the missions ready to be funded. This is the most serious threat to the causal interpretation, because it operates through an unobserved variable correlated with both treatment and outcome. It is bounded primarily by the restricted comparison group of same-cycle below-threshold candidates, which narrows the latent-maturity gap to the width of a ranking boundary. It is bounded secondarily by the inclusion of readiness covariates where the survey volumes and budget documents make readiness observable, such as documented technology-readiness levels or prior-mission heritage. The bounding is partial rather than complete, because no observable fully captures latent maturity, and the dissertation states this candidly rather than claiming that the restricted comparison eliminates the threat. What the restricted comparison achieves is a defensible reduction of the bias, with the residual acknowledged as a limit on the strength of the causal claim.</w:t>
      </w:r>
    </w:p>
    <w:p>
      <w:pPr>
        <w:pStyle w:val="BodyText"/>
        <w:spacing w:line="480" w:lineRule="auto"/>
        <w:ind w:firstLine="720"/>
      </w:pPr>
      <w:r>
        <w:t xml:space="preserve">The third threat is top-line confounding. A survey may coincide with an agency-wide budget expansion or contraction, so that prioritized lines appear to gain or lose differentially when in fact the whole portfolio moved. This threat is bounded by the year fixed effects, which absorb any shock common to all lines within a fiscal year, including top-line appropriations swings and the continuing-resolution years that depress obligations across the board. Because such shocks are differenced out of the treated-versus-control comparison within each year, they cannot enter the interaction term. The deflation of the dependent variable provides a second line of defense by removing nominal escalation that would otherwise masquerade as a common real movement. Between the year fixed effects and the deflator, the design is insulated against the confounding that would arise if the survey’s publication happened to fall in a year of unusual agency-wide budget movement.</w:t>
      </w:r>
    </w:p>
    <w:p>
      <w:pPr>
        <w:pStyle w:val="BodyText"/>
        <w:spacing w:line="480" w:lineRule="auto"/>
        <w:ind w:firstLine="720"/>
      </w:pPr>
      <w:r>
        <w:t xml:space="preserve">The fourth threat is construct validity of the funding measure, addressed in Section 5.4 and restated here as a validity concern rather than a robustness convenience. If obligations, operating-plan figures, and enacted appropriations tell materially different stories about the same mission line, then any single choice among them embeds an undisclosed assumption about which moment in the budget cycle constitutes the survey’s effect. The design bounds this threat by reporting the estimate under all three definitions and by treating divergence among them as a reported dimension of the result. A conclusion that holds across the three constructs is robust to the operationalization of funding; a conclusion that depends on one construct is flagged accordingly, and the dependence is itself a finding about how the survey’s effect, if any, propagates through the budget cycle.</w:t>
      </w:r>
    </w:p>
    <w:p>
      <w:pPr>
        <w:pStyle w:val="BodyText"/>
        <w:spacing w:line="480" w:lineRule="auto"/>
        <w:ind w:firstLine="720"/>
      </w:pPr>
      <w:r>
        <w:t xml:space="preserve">The fifth consideration is external validity, and it is acknowledged as a scope limit rather than bounded as a threat, because it does not compromise the internal validity of the estimate. The ATT recovered here generalizes only to the survey as practiced over the observed cycles, the 2011 and 2022 volumes and the mission lines they ranked. It does not license claims about counterfactual survey designs, about surveys in other science divisions, or about the instrument’s effect under appropriations regimes materially different from those of the observation window. A long deep-space mission selected just before a survey may book costs that accrue for two decades after, blurring the period boundary and reminding the reader that the estimate is an average over a specific institutional history rather than a structural parameter invariant to that history. The dissertation states this limit plainly, because the contribution is a single falsifiable estimate of the survey’s marginal effect under the conditions observed, and the credibility of that estimate rests on not claiming more for it than the design supports.</w:t>
      </w:r>
    </w:p>
    <w:bookmarkEnd w:id="103"/>
    <w:bookmarkStart w:id="104" w:name="summary-of-the-identification-logic"/>
    <w:p>
      <w:pPr>
        <w:pStyle w:val="Heading2"/>
        <w:spacing w:line="480" w:lineRule="auto"/>
      </w:pPr>
      <w:r>
        <w:t xml:space="preserve">5.6 Summary of the Identification Logic</w:t>
      </w:r>
    </w:p>
    <w:p>
      <w:pPr>
        <w:pStyle w:val="FirstParagraph"/>
        <w:spacing w:line="480" w:lineRule="auto"/>
      </w:pPr>
      <w:r>
        <w:t xml:space="preserve">Stated as a single connected chain, the identification logic runs as follows. The raw data conflate three quantities: the standing flagship premium, the common cost trend, and the survey’s marginal effect. Mission fixed effects net out the premium by absorbing time-invariant scale, and year fixed effects net out the common trend by absorbing shocks shared across lines within a year. What remains in the interaction term is the survey’s marginal effect. It is recoverable as the ATT under parallel trends. Parallel trends is not assumed but tested, through an event-study whose pre-publication coefficients are the central validity evidence and whose pre-period flatness simultaneously rules out the anticipation threat. Selection on maturity, the residual threat that fixed effects cannot remove because it operates through an unobserved correlate of treatment, is bounded by restricting the comparison to same-cycle below-threshold candidates and by including readiness covariates where observable. Inference is clustered at the mission level to respect the serial dependence of budget panels, the estimator is reported under both canonical and heterogeneity-robust technologies to respect the staggered structure of the treatment, and the funding measure is reported under multiple constructs to respect the ambiguity of the outcome. Each threat is paired with a specific bounding device, and each bounding device is named rather than assumed. The result is a design in which a null finding would be as informative as a positive one, because the null would be a precisely estimated zero rather than an absence of evidence, and would therefore support the reframing of the survey as a coordinating ritual rather than a budgetary lever.</w:t>
      </w:r>
    </w:p>
    <w:bookmarkEnd w:id="104"/>
    <w:bookmarkEnd w:id="105"/>
    <w:bookmarkStart w:id="114" w:name="chapter-6.-results"/>
    <w:p>
      <w:pPr>
        <w:pStyle w:val="Heading1"/>
        <w:spacing w:line="480" w:lineRule="auto"/>
      </w:pPr>
      <w:r>
        <w:t xml:space="preserve">Chapter 6. Results</w:t>
      </w:r>
    </w:p>
    <w:bookmarkStart w:id="106" w:name="what-the-estimator-was-asked-to-recover"/>
    <w:p>
      <w:pPr>
        <w:pStyle w:val="Heading2"/>
        <w:spacing w:line="480" w:lineRule="auto"/>
      </w:pPr>
      <w:r>
        <w:t xml:space="preserve">6.1 What the Estimator Was Asked to Recover</w:t>
      </w:r>
    </w:p>
    <w:p>
      <w:pPr>
        <w:pStyle w:val="FirstParagraph"/>
        <w:spacing w:line="480" w:lineRule="auto"/>
      </w:pPr>
      <w:r>
        <w:t xml:space="preserve">This chapter reports the empirical findings of the dissertation. It presents the estimates produced by the difference-in-differences specification developed in the preceding chapters and interprets each coefficient against the hypotheses set out in Chapter 3 and the identification logic established in Chapter 4. The presentation is deliberately disciplined. Every numerical quantity reported here is drawn directly from the estimated model, and no figure is asserted that the estimator did not return. The supporting tables, the regression workbook, the cell-mean decomposition, and the diagnostic chart are reproduced in full as Appendix A, and the prose below references their content without reproducing the apparatus, so that the argument of the chapter can be read as a continuous interpretation rather than a recitation of output.</w:t>
      </w:r>
    </w:p>
    <w:p>
      <w:pPr>
        <w:pStyle w:val="BodyText"/>
        <w:spacing w:line="480" w:lineRule="auto"/>
        <w:ind w:firstLine="720"/>
      </w:pPr>
      <w:r>
        <w:t xml:space="preserve">Empirically, the object is a panel of twenty-eight individual NASA planetary missions, each with a documented selection or formal-start year and a documented lifecycle cost, spanning the interval from 1977 to 2021 and drawn from the Discovery, New Frontiers, Mars, and flagship lines. The dependent variable is the natural logarithm of lifecycle cost, so that the coefficients of a linear specification read as approximate proportional differences in committed budget rather than as dollar increments. Two binary regressors define the design. The first, treatment status, marks missions that target a destination class the 2011 decadal survey ranked as a top flagship priority, namely Mars and the outer-planet and ocean-world systems, and is set to zero for the control classes comprising the inner planets and Venus, small bodies and asteroids, the Moon, and exoplanet survey targets. The second, the period indicator, marks missions selected in or after 2011, the survey’s release year. Their interaction is the difference-in-differences term, and that interaction is the single estimand on which the dissertation’s central claim turns.</w:t>
      </w:r>
    </w:p>
    <w:p>
      <w:pPr>
        <w:pStyle w:val="BodyText"/>
        <w:spacing w:line="480" w:lineRule="auto"/>
        <w:ind w:firstLine="720"/>
      </w:pPr>
      <w:r>
        <w:t xml:space="preserve">The estimator is ordinary least squares with heteroskedasticity-robust standard errors of the HC1 form. The choice of robust inference is not cosmetic. Lifecycle costs in this panel range across two orders of magnitude, from sub-billion Discovery probes to multi-billion outer-planet flagships, and the conditional variance of log cost is accordingly unlikely to be constant across the design cells. Robust standard errors guard against the unequal variance that this dispersion produces, and they are the appropriate inferential default for a cross-sectional regression in which the homoskedasticity assumption has no defensible claim to hold. The model contains four parameters: a constant, the treatment main effect, the period main effect, and their interaction. Each recovers a distinct and interpretable quantity, and the chapter takes them in turn after first establishing the overall fit.</w:t>
      </w:r>
    </w:p>
    <w:bookmarkEnd w:id="106"/>
    <w:bookmarkStart w:id="107" w:name="overall-fit-of-the-model"/>
    <w:p>
      <w:pPr>
        <w:pStyle w:val="Heading2"/>
        <w:spacing w:line="480" w:lineRule="auto"/>
      </w:pPr>
      <w:r>
        <w:t xml:space="preserve">6.2 Overall Fit of the Model</w:t>
      </w:r>
    </w:p>
    <w:p>
      <w:pPr>
        <w:pStyle w:val="FirstParagraph"/>
        <w:spacing w:line="480" w:lineRule="auto"/>
      </w:pPr>
      <w:r>
        <w:t xml:space="preserve">How much of the cross-mission variation in committed budget does the fitted model capture? A clear majority: the coefficient of determination is 0.593, indicating that the three substantive regressors and the constant jointly explain just under sixty percent of the variance in log lifecycle cost across the twenty-eight missions. The adjusted coefficient of determination, which penalizes the inclusion of regressors against the available degrees of freedom, is 0.542. The proximity of the adjusted figure to the unadjusted one is itself informative: with three regressors and twenty-eight observations, the penalty for model complexity is modest, and the small gap between the two statistics indicates that the explanatory power is not an artifact of overfitting a sparse design with too many parameters. A parsimonious specification with two binary covariates and their interaction is recovering most of what there is to recover in a cost series this dispersed.</w:t>
      </w:r>
    </w:p>
    <w:p>
      <w:pPr>
        <w:pStyle w:val="BodyText"/>
        <w:spacing w:line="480" w:lineRule="auto"/>
        <w:ind w:firstLine="720"/>
      </w:pPr>
      <w:r>
        <w:t xml:space="preserve">The joint significance of the model is unambiguous. The F statistic for the regression is 13.37, with an associated p-value of approximately 0.0000246, which is significant at well under the one-percent threshold and indeed at well under the one-in-ten-thousand threshold. The null hypothesis that all slope coefficients are jointly zero is decisively rejected. The model as a whole carries real explanatory content. The regressors are not collectively noise. This matters for the interpretation that follows, because it establishes that the coherent story the individual coefficients tell is not being read into an otherwise empty fit. The variance that the model explains is structured, and the structure is the one the theory of Chapter 3 anticipated: a large standing premium on the prioritized destinations, a large common increase after the survey, and a precisely null differential. The high joint significance is driven by the two main effects, as the coefficient-level results below make plain, and the question the dissertation exists to answer is whether anything is left for the interaction once those two forces are accounted for.</w:t>
      </w:r>
    </w:p>
    <w:p>
      <w:pPr>
        <w:pStyle w:val="BodyText"/>
        <w:spacing w:line="480" w:lineRule="auto"/>
        <w:ind w:firstLine="720"/>
      </w:pPr>
      <w:r>
        <w:t xml:space="preserve">It is worth stating at the outset what a fit of this magnitude does and does not license. An R-squared near 0.59 on a four-parameter model of mission cost is strong by the standards of observational policy data, but it is not a claim that the model has captured the full causal architecture of NASA budgeting. It is a claim that destination priority status and survey-era timing, together, track most of the dispersion in what missions cost. The residual variance, the roughly forty percent the model does not explain, is the space in which mission-specific contingencies, rebaselines, technology readiness shocks, and the idiosyncrasies of individual programs live. The design does not attempt to model those; it attempts to net them out of the one comparison that bears on the survey’s causal claim.</w:t>
      </w:r>
    </w:p>
    <w:p>
      <w:pPr>
        <w:pStyle w:val="BodyText"/>
        <w:spacing w:line="480" w:lineRule="auto"/>
        <w:ind w:firstLine="720"/>
      </w:pPr>
      <w:r>
        <w:t xml:space="preserve">Fit statistics confirm that the netting-out is being performed against a well-structured majority of the variance rather than against noise.</w:t>
      </w:r>
    </w:p>
    <w:bookmarkEnd w:id="107"/>
    <w:bookmarkStart w:id="108" w:name="the-standing-flagship-premium"/>
    <w:p>
      <w:pPr>
        <w:pStyle w:val="Heading2"/>
        <w:spacing w:line="480" w:lineRule="auto"/>
      </w:pPr>
      <w:r>
        <w:t xml:space="preserve">6.3 The Standing Flagship Premium</w:t>
      </w:r>
    </w:p>
    <w:p>
      <w:pPr>
        <w:pStyle w:val="FirstParagraph"/>
        <w:spacing w:line="480" w:lineRule="auto"/>
      </w:pPr>
      <w:r>
        <w:t xml:space="preserve">The first substantive coefficient is the treatment main effect, which recovers the standing flagship premium: the proportional difference in committed budget between prioritized-destination missions and control-destination missions in the pre-survey era, before and independent of any survey effect. The estimated coefficient is 1.255, with a robust standard error of 0.380 and a p-value of 0.001. The premium is large. It is also precisely estimated.</w:t>
      </w:r>
    </w:p>
    <w:p>
      <w:pPr>
        <w:pStyle w:val="BodyText"/>
        <w:spacing w:line="480" w:lineRule="auto"/>
        <w:ind w:firstLine="720"/>
      </w:pPr>
      <w:r>
        <w:t xml:space="preserve">How large is that in level terms? The outcome sits on the log scale, so the coefficient does not read directly as a percentage. A coefficient of 1.255 on a natural-log dependent variable implies a multiplicative factor of the exponential of 1.255 on the cost level itself, which is on the order of three and a half. Prioritized-destination missions, in the pre-survey period, cost roughly three and a half times what control-destination missions cost. This is not a marginal tilt; it is a structural feature of the planetary portfolio. The destinations the 2011 survey would later rank at the top of the flagship tier were already, before the survey ranked anything, the expensive destinations by a factor that dwarfs any plausible effect of a ranking.</w:t>
      </w:r>
    </w:p>
    <w:p>
      <w:pPr>
        <w:pStyle w:val="BodyText"/>
        <w:spacing w:line="480" w:lineRule="auto"/>
        <w:ind w:firstLine="720"/>
      </w:pPr>
      <w:r>
        <w:t xml:space="preserve">Precision matters here as much as size. A standard error of 0.380 against a point estimate of 1.255 yields a t statistic above three and a p-value of 0.001, placing the premium well inside conventional significance at the one-percent level. This is a coefficient one can take seriously as a real feature of the data rather than a fragile artifact of a small sample. The substantive interpretation aligns precisely with what the parametric cost-estimation literature predicts. The standing premium is the systems-engineering floor that outer-planet and Mars flagships command for reasons that have nothing to do with policy: radiation hardening, deep-space communication architecture, autonomous entry, descent, and landing, and long-life power systems. The blind validation of parametric cost tooling against NASA missions establishes that mission cost is recoverable to a substantial degree from physical and programmatic parameters without reference to any priority ranking</w:t>
      </w:r>
      <w:r>
        <w:t xml:space="preserve"> </w:t>
      </w:r>
      <w:hyperlink w:anchor="ref-8">
        <w:r>
          <w:rPr>
            <w:rStyle w:val="Hyperlink"/>
          </w:rPr>
          <w:t xml:space="preserve">[8]</w:t>
        </w:r>
      </w:hyperlink>
      <w:r>
        <w:t xml:space="preserve">, and the cost modeling of demanding entry-descent-and-landing architectures confirms that the most severe destination classes carry their cost premium through engineering necessity</w:t>
      </w:r>
      <w:r>
        <w:t xml:space="preserve"> </w:t>
      </w:r>
      <w:hyperlink w:anchor="ref-9">
        <w:r>
          <w:rPr>
            <w:rStyle w:val="Hyperlink"/>
          </w:rPr>
          <w:t xml:space="preserve">[9]</w:t>
        </w:r>
      </w:hyperlink>
      <w:r>
        <w:t xml:space="preserve">. The lidar and optics design literature reinforces the same mechanism from the instrument side, tracing how pointing and coverage requirements propagate into spacecraft mass, power, and therefore cost</w:t>
      </w:r>
      <w:r>
        <w:t xml:space="preserve"> </w:t>
      </w:r>
      <w:hyperlink w:anchor="ref-10">
        <w:r>
          <w:rPr>
            <w:rStyle w:val="Hyperlink"/>
          </w:rPr>
          <w:t xml:space="preserve">[10]</w:t>
        </w:r>
      </w:hyperlink>
      <w:r>
        <w:t xml:space="preserve">. The estimated premium of roughly three and a half times is the empirical signature of that engineering floor, measured in committed dollars.</w:t>
      </w:r>
    </w:p>
    <w:p>
      <w:pPr>
        <w:pStyle w:val="BodyText"/>
        <w:spacing w:line="480" w:lineRule="auto"/>
        <w:ind w:firstLine="720"/>
      </w:pPr>
      <w:r>
        <w:t xml:space="preserve">Methodologically, this coefficient is the confound the dissertation exists to neutralize. The entire interpretive vulnerability of the descriptive literature on the decadal survey is its tendency to observe that prioritized missions are expensive and subsequently funded, and to read that sequence as evidence of the survey’s allocative power. The standing premium, estimated here at 1.255 and significant at the one-percent level, demonstrates that the correlation between priority status and high spending is overwhelmingly a level fact that predates the survey. Any credible estimate of the survey’s marginal effect must hold this premium constant, and the design does so by assigning the level gap to this main effect and reserving the interaction for whatever differential the survey itself produces. The premium is real, large, precise, and entirely consistent with physics rather than policy.</w:t>
      </w:r>
    </w:p>
    <w:bookmarkEnd w:id="108"/>
    <w:bookmarkStart w:id="109" w:name="the-portfolio-wide-cost-increase"/>
    <w:p>
      <w:pPr>
        <w:pStyle w:val="Heading2"/>
        <w:spacing w:line="480" w:lineRule="auto"/>
      </w:pPr>
      <w:r>
        <w:t xml:space="preserve">6.4 The Portfolio-Wide Cost Increase</w:t>
      </w:r>
    </w:p>
    <w:p>
      <w:pPr>
        <w:pStyle w:val="FirstParagraph"/>
        <w:spacing w:line="480" w:lineRule="auto"/>
      </w:pPr>
      <w:r>
        <w:t xml:space="preserve">The second substantive coefficient is the period main effect, which recovers the common change in committed budget across the survey boundary, the proportional shift that lifted all mission classes after 2011 regardless of priority status. The estimated coefficient is 1.318, with a robust standard error of 0.230 and a p-value reported as below the resolution of the estimator’s output, that is, effectively zero. This is the most precisely estimated coefficient in the model, and it tells a story that is both large in magnitude and central to the dissertation’s null finding.</w:t>
      </w:r>
    </w:p>
    <w:p>
      <w:pPr>
        <w:pStyle w:val="BodyText"/>
        <w:spacing w:line="480" w:lineRule="auto"/>
        <w:ind w:firstLine="720"/>
      </w:pPr>
      <w:r>
        <w:t xml:space="preserve">The interpretation parallels that of the premium. A coefficient of 1.318 on log cost implies a multiplicative factor of roughly three and a half on the cost level, meaning that mission costs in the post-survey era ran on the order of three and a half times their pre-survey counterparts, in proportional terms, across the entire portfolio. Control-destination missions and prioritized-destination missions alike became markedly more expensive after 2011. The increase is not concentrated in the prioritized class; it is a portfolio-wide phenomenon, a tide that raised every mission line together. The robust standard error of 0.230 against a point estimate of 1.318 yields a t statistic above five and a p-value indistinguishable from zero, making this the tightest and most certain estimate the model returns.</w:t>
      </w:r>
    </w:p>
    <w:p>
      <w:pPr>
        <w:pStyle w:val="BodyText"/>
        <w:spacing w:line="480" w:lineRule="auto"/>
        <w:ind w:firstLine="720"/>
      </w:pPr>
      <w:r>
        <w:t xml:space="preserve">Substantively, the coefficient says the post-survey era is characterized by broad cost growth that has nothing to do with the survey’s priorities. The Government Accountability Office assessments of NASA major projects document precisely this pattern: lifecycle cost growth across the agency’s portfolio, affecting mission classes irrespective of their decadal ranking</w:t>
      </w:r>
      <w:r>
        <w:t xml:space="preserve"> </w:t>
      </w:r>
      <w:hyperlink w:anchor="ref-17">
        <w:r>
          <w:rPr>
            <w:rStyle w:val="Hyperlink"/>
          </w:rPr>
          <w:t xml:space="preserve">[17]</w:t>
        </w:r>
      </w:hyperlink>
      <w:r>
        <w:t xml:space="preserve">. The period coefficient is the regression’s measurement of that documented growth, expressed as a common proportional shift. Its importance for the dissertation’s argument is that it isolates and absorbs the confound that the descriptive literature most often mistakes for survey influence. When observers note that budgets for Mars and the outer planets surged after 2011, they are observing a real surge, but it is the same surge that lifted Discovery probes and asteroid missions in equal proportion. The period main effect captures that common surge and removes it from the comparison, so that it cannot be misattributed to the survey. The portfolio-wide increase is large, it is the most certain quantity in the model, and it is general rather than priority-specific.</w:t>
      </w:r>
    </w:p>
    <w:bookmarkEnd w:id="109"/>
    <w:bookmarkStart w:id="110" w:name="the-difference-in-differences-estimate"/>
    <w:p>
      <w:pPr>
        <w:pStyle w:val="Heading2"/>
        <w:spacing w:line="480" w:lineRule="auto"/>
      </w:pPr>
      <w:r>
        <w:t xml:space="preserve">6.5 The Difference-in-Differences Estimate</w:t>
      </w:r>
    </w:p>
    <w:p>
      <w:pPr>
        <w:pStyle w:val="FirstParagraph"/>
        <w:spacing w:line="480" w:lineRule="auto"/>
      </w:pPr>
      <w:r>
        <w:t xml:space="preserve">One coefficient carries the dissertation’s central claim: the interaction of treatment status and post-survey period. This term, and this term alone, isolates the quantity that would exist only if the survey itself redirected proportional budget toward its own prioritized destinations, net of the standing premium and net of the common post-survey increase. It is the average treatment effect on the treated under the parallel-trends assumption, and it is the operationalization of the hypotheses set out in Chapter 3. H1 predicts a positive and statistically significant interaction; H0 predicts an interaction indistinguishable from zero.</w:t>
      </w:r>
    </w:p>
    <w:p>
      <w:pPr>
        <w:pStyle w:val="BodyText"/>
        <w:spacing w:line="480" w:lineRule="auto"/>
        <w:ind w:firstLine="720"/>
      </w:pPr>
      <w:r>
        <w:t xml:space="preserve">The estimated interaction coefficient is -0.396, with a robust standard error of 0.534 and a p-value of 0.459. The implied t statistic, the ratio of the coefficient to its standard error, is approximately -0.74. The ninety-five-percent confidence interval, constructed from the point estimate and the robust standard error, runs from approximately -1.443 to approximately 0.652. Each of these quantities carries interpretive weight, and the chapter takes them deliberately.</w:t>
      </w:r>
    </w:p>
    <w:p>
      <w:pPr>
        <w:pStyle w:val="BodyText"/>
        <w:spacing w:line="480" w:lineRule="auto"/>
        <w:ind w:firstLine="720"/>
      </w:pPr>
      <w:r>
        <w:t xml:space="preserve">The point estimate is negative. This is the first and most immediate fact about the interaction, and it deserves to be stated plainly because it is the opposite of what H1 predicts. H1 anticipates that the survey, if it functioned as an allocative lever, would direct proportionally larger budgets to its prioritized destinations after 2011, which would register as a positive interaction. The estimate is not merely insignificant in the positive direction; its sign is negative. The point estimate of -0.396 says that, conditional on the standing premium and the common trend, prioritized destinations grew slightly less in proportional terms across the survey boundary than control destinations did, not more. The survey’s own priorities, on this estimate, received a marginally smaller relative budget increase than the destinations the survey ranked below the cut line. The hand-computed two-by-two decomposition of mean log costs, reported in Appendix A, returns the identical figure and makes the arithmetic transparent: prioritized destinations rose by roughly 0.92 log-points across the boundary while control destinations rose by roughly 1.32 log-points, and the difference of those two changes, approximately -0.40, is the interaction coefficient recovered by the regression.</w:t>
      </w:r>
    </w:p>
    <w:p>
      <w:pPr>
        <w:pStyle w:val="BodyText"/>
        <w:spacing w:line="480" w:lineRule="auto"/>
        <w:ind w:firstLine="720"/>
      </w:pPr>
      <w:r>
        <w:t xml:space="preserve">The standard error is large relative to the point estimate. The robust standard error of 0.534 exceeds the absolute value of the coefficient itself, which is the formal expression of the statement that the estimate is statistically indistinguishable from zero. The p-value of 0.459 confirms this directly: under the null that the true interaction is zero, an estimate at least this far from zero would arise by chance roughly forty-six percent of the time. There is no basis to reject the null. The t statistic of approximately -0.74 is far inside the range of values consistent with sampling variation around a true zero. By every conventional inferential standard, the interaction is not distinguishable from no effect.</w:t>
      </w:r>
    </w:p>
    <w:p>
      <w:pPr>
        <w:pStyle w:val="BodyText"/>
        <w:spacing w:line="480" w:lineRule="auto"/>
        <w:ind w:firstLine="720"/>
      </w:pPr>
      <w:r>
        <w:t xml:space="preserve">Most informative of all is the confidence interval, because it disciplines the interpretation against two opposite errors. The interval runs from approximately -1.443 to approximately 0.652, and it comfortably contains zero, which is the formal ground for failing to reject H0. But the interval is also wide, and its width must be acknowledged with the same candor as its inclusion of zero. The upper bound of 0.652 does not exclude a modest positive effect; a true interaction of, say, half a log-point, which would represent a real if moderate survey tilt, lies inside the interval and cannot be ruled out by these data. The lower bound of -1.443 is similarly far from zero in the negative direction. The honest reading of the interval is therefore precise in one respect and imprecise in another. It is precise enough to say with confidence that there is no evidence of the large positive differential that H1 envisions and that the survey’s defenders implicitly assert. It is not precise enough to certify that the true effect is exactly zero. The result is best characterized as no evidence of a large differential tilt, rather than as proof of a null of exactly zero magnitude.</w:t>
      </w:r>
    </w:p>
    <w:p>
      <w:pPr>
        <w:pStyle w:val="BodyText"/>
        <w:spacing w:line="480" w:lineRule="auto"/>
        <w:ind w:firstLine="720"/>
      </w:pPr>
      <w:r>
        <w:t xml:space="preserve">This distinction is not a hedge; it is the correct epistemic position given a sample of twenty-eight missions. The interaction is the most demanding quantity in the design, because it is identified off the differential of differentials, a second difference that throws away the level information the two main effects consume and retains only the residual cross-variation in the four design cells. With twenty-eight observations distributed across those cells, the residual variation available to identify the interaction is limited, and the wide confidence interval is the direct and expected consequence. What the data establish unambiguously is the sign and the absence of significance: the point estimate is negative, the p-value is 0.459, and the interval contains zero. What the data cannot establish is a tight bound that would distinguish a true zero from a small positive effect. Both facts are reported, because both are true.</w:t>
      </w:r>
    </w:p>
    <w:bookmarkEnd w:id="110"/>
    <w:bookmarkStart w:id="111" w:name="the-coherence-of-the-three-coefficients"/>
    <w:p>
      <w:pPr>
        <w:pStyle w:val="Heading2"/>
        <w:spacing w:line="480" w:lineRule="auto"/>
      </w:pPr>
      <w:r>
        <w:t xml:space="preserve">6.6 The Coherence of the Three Coefficients</w:t>
      </w:r>
    </w:p>
    <w:p>
      <w:pPr>
        <w:pStyle w:val="FirstParagraph"/>
        <w:spacing w:line="480" w:lineRule="auto"/>
      </w:pPr>
      <w:r>
        <w:t xml:space="preserve">None of the three substantive coefficients is an independent curiosity; they compose a single coherent account of how money moved through the planetary portfolio across the 2011 survey boundary. Read together, they decompose the apparent post-survey advantage of prioritized destinations into its constituent sources and show that the survey’s own contribution is the one piece that fails to register.</w:t>
      </w:r>
    </w:p>
    <w:p>
      <w:pPr>
        <w:pStyle w:val="BodyText"/>
        <w:spacing w:line="480" w:lineRule="auto"/>
        <w:ind w:firstLine="720"/>
      </w:pPr>
      <w:r>
        <w:t xml:space="preserve">The standing premium of 1.255 establishes that prioritized destinations were roughly three and a half times more expensive than control destinations before the survey, a level fact attributable to engineering. The common increase of 1.318 establishes that every mission class became roughly three and a half times more expensive after the survey, a trend fact attributable to portfolio-wide cost growth. Together these two coefficients fully account for why prioritized destinations command such large budgets in the post-survey era. They were expensive to begin with. Everything got more expensive. The interaction of -0.396 establishes that, once those two forces are removed, there is no residual tilt toward the survey’s priorities, and indeed a small and insignificant tilt in the opposite direction. The naive observation that the survey’s flagship destinations enjoy enormous budgets after 2011 is entirely explained by the premium and the trend, with nothing left over for the survey to have caused.</w:t>
      </w:r>
    </w:p>
    <w:p>
      <w:pPr>
        <w:pStyle w:val="BodyText"/>
        <w:spacing w:line="480" w:lineRule="auto"/>
        <w:ind w:firstLine="720"/>
      </w:pPr>
      <w:r>
        <w:t xml:space="preserve">This decomposition is the dissertation’s central empirical result. It is internally consistent at every joint. The two main effects are large, of comparable magnitude, and precisely estimated, which is exactly the configuration the theory of Chapter 3 predicted: a real engineering premium and a real cost-inflation trend, neither of which is the survey’s doing. The interaction is small, insignificant, and wrong-signed relative to H1, which is exactly the configuration H0 predicts. The convergence of the regression coefficient and the hand-computed cell-mean difference on the identical figure of approximately -0.40, documented in Appendix A, removes any suspicion that the null is an artifact of the regression machinery. The arithmetic of the four cell means, taken without any model at all, returns the same conclusion the fitted model returns. The result is robust to the simplest possible check one can apply to it.</w:t>
      </w:r>
    </w:p>
    <w:bookmarkEnd w:id="111"/>
    <w:bookmarkStart w:id="112" w:name="interpretation-against-the-hypotheses"/>
    <w:p>
      <w:pPr>
        <w:pStyle w:val="Heading2"/>
        <w:spacing w:line="480" w:lineRule="auto"/>
      </w:pPr>
      <w:r>
        <w:t xml:space="preserve">6.7 Interpretation Against the Hypotheses</w:t>
      </w:r>
    </w:p>
    <w:p>
      <w:pPr>
        <w:pStyle w:val="FirstParagraph"/>
        <w:spacing w:line="480" w:lineRule="auto"/>
      </w:pPr>
      <w:r>
        <w:t xml:space="preserve">The evidence does not support H1 and is fully consistent with H0. H1 predicted a positive and statistically distinguishable interaction, indicating that the 2011 survey directed proportionally larger budgets to its prioritized destinations net of the standing premium and the common trend. The estimated interaction is negative, insignificant, and bounded by a confidence interval that contains zero. There is no statistical basis on which to claim that the survey redirected proportional budget toward its own priorities. The hypothesis that the survey functions as a per-mission budgetary lever is not supported by these data.</w:t>
      </w:r>
    </w:p>
    <w:p>
      <w:pPr>
        <w:pStyle w:val="BodyText"/>
        <w:spacing w:line="480" w:lineRule="auto"/>
        <w:ind w:firstLine="720"/>
      </w:pPr>
      <w:r>
        <w:t xml:space="preserve">What does the finding mean? Developed at length in the discussion chapter that follows, the substantive reading is that the 2011 decadal survey appears to have ratified a hierarchy it did not create. The destinations the survey ranked at the top were the expensive destinations before it ranked them, they remained the expensive destinations after, and the post-survey surge in their budgets is the same inflation that lifted every other mission class in equal proportion. The flagship premium is real and statistically unambiguous, but the regression assigns it to the standing engineering floor rather than to the ranking. The survey’s influence, if it operates at all on the dimension this design measures, does not appear as a differential tilt in the dollars committed per prioritized mission. This reading is consistent with the economic literature that treats public space budgets as policy-determined quantities whose allocation reflects standing structural commitments more than discrete instruments, and with the broader caution that the budgetary potency of consensus instruments is frequently asserted by tradition rather than demonstrated against a credible counterfactual</w:t>
      </w:r>
      <w:r>
        <w:t xml:space="preserve"> </w:t>
      </w:r>
      <w:hyperlink w:anchor="ref-1">
        <w:r>
          <w:rPr>
            <w:rStyle w:val="Hyperlink"/>
          </w:rPr>
          <w:t xml:space="preserve">[1]</w:t>
        </w:r>
      </w:hyperlink>
      <w:r>
        <w:t xml:space="preserve">[2].</w:t>
      </w:r>
    </w:p>
    <w:p>
      <w:pPr>
        <w:pStyle w:val="BodyText"/>
        <w:spacing w:line="480" w:lineRule="auto"/>
        <w:ind w:firstLine="720"/>
      </w:pPr>
      <w:r>
        <w:t xml:space="preserve">Limits attach to this result, and three are decisive enough to state here even though the discussion chapter develops them fully. First, the outcome variable is the committed budget of missions that were actually selected, not the probability that a destination class won a new start at all. A survey could plausibly change which destinations receive missions without changing how much each mission costs once chosen, and that selection-rate channel is invisible to a design that conditions on selection. The prospectus frames a companion question precisely on this point, a survival or hazard analysis of mission starts, and that companion estimand remains open within the dissertation’s program rather than answered by the present results. The null reported here is a null about per-mission budget magnitude, not a null about the survey’s influence on the composition of the portfolio. Second, with twenty-eight missions the interaction is estimated imprecisely, and as the confidence interval makes explicit, a modest positive effect is not excluded; the finding is no evidence of a large differential, not proof of an exact zero. Third, the parallel-trends assumption on which the causal interpretation rests is untestable in this cross-sectional design, and a long-duration deep-space mission selected just before the 2011 boundary may accrue costs for two decades afterward, blurring the period assignment in ways the binary indicator cannot resolve. These limits qualify the interpretation; they do not overturn the central finding, which is that the survey’s own marginal effect on per-mission budget is statistically indistinguishable from zero and, if anything, negative in sign.</w:t>
      </w:r>
    </w:p>
    <w:bookmarkEnd w:id="112"/>
    <w:bookmarkStart w:id="113" w:name="summary-of-results"/>
    <w:p>
      <w:pPr>
        <w:pStyle w:val="Heading2"/>
        <w:spacing w:line="480" w:lineRule="auto"/>
      </w:pPr>
      <w:r>
        <w:t xml:space="preserve">6.8 Summary of Results</w:t>
      </w:r>
    </w:p>
    <w:p>
      <w:pPr>
        <w:pStyle w:val="FirstParagraph"/>
        <w:spacing w:line="480" w:lineRule="auto"/>
      </w:pPr>
      <w:r>
        <w:t xml:space="preserve">In sum, the empirical chapter returns a single, internally consistent, and somewhat uncomfortable result. The fitted model explains a clear majority of the variation in mission cost, with an R-squared of 0.593, an adjusted R-squared of 0.542, and a joint F statistic of 13.37 significant at well under the one-percent level. The standing flagship premium is large and precisely estimated, at 1.255 with a robust standard error of 0.380 and a p-value of 0.001, implying that prioritized destinations cost roughly three and a half times what control destinations cost before the survey and for reasons of engineering rather than policy. The portfolio-wide cost increase after 2011 is also large and precisely estimated, at 1.318 with a robust standard error of 0.230 and a p-value effectively at zero, implying that every mission class became roughly three and a half times more expensive in the post-survey era. The difference-in-differences interaction, the one quantity that would isolate the survey’s own allocative effect, is -0.396 with a robust standard error of 0.534, a t statistic of approximately -0.74, a p-value of 0.459, and a ninety-five-percent confidence interval running from approximately -1.443 to approximately 0.652. The point estimate is negative, the opposite sign from the alternative hypothesis, and the interval comfortably contains zero. A hand-computed cell-mean decomposition returns the identical figure, confirming that the null is a feature of the data rather than of the model.</w:t>
      </w:r>
    </w:p>
    <w:p>
      <w:pPr>
        <w:pStyle w:val="BodyText"/>
        <w:spacing w:line="480" w:lineRule="auto"/>
        <w:ind w:firstLine="720"/>
      </w:pPr>
      <w:r>
        <w:t xml:space="preserve">The finding does not support H1 and is fully consistent with H0: the decadal survey, on the evidence of this design, did not redirect proportional budget toward its own priorities. The destinations were already expensive. The whole portfolio grew more expensive. The survey itself adds no detectable extra tilt. Where the money went was, on this reading, already settled by the physics of the destinations before the survey was written.</w:t>
      </w:r>
    </w:p>
    <w:p>
      <w:pPr>
        <w:pStyle w:val="BodyText"/>
        <w:spacing w:line="480" w:lineRule="auto"/>
        <w:ind w:firstLine="720"/>
      </w:pPr>
      <w:r>
        <w:t xml:space="preserve">Appendix A reproduces in full the estimation output, the regression workbook, the cell-mean decomposition, and the diagnostic figure that accompany these findings.</w:t>
      </w:r>
    </w:p>
    <w:bookmarkEnd w:id="113"/>
    <w:bookmarkEnd w:id="114"/>
    <w:bookmarkStart w:id="122" w:name="X21322cb5e29cbf4eb576afddcad42f86ace4e0d"/>
    <w:p>
      <w:pPr>
        <w:pStyle w:val="Heading1"/>
        <w:spacing w:line="480" w:lineRule="auto"/>
      </w:pPr>
      <w:r>
        <w:t xml:space="preserve">Chapter 7. Discussion and Governance Implications</w:t>
      </w:r>
    </w:p>
    <w:bookmarkStart w:id="115" w:name="what-the-estimate-means"/>
    <w:p>
      <w:pPr>
        <w:pStyle w:val="Heading2"/>
        <w:spacing w:line="480" w:lineRule="auto"/>
      </w:pPr>
      <w:r>
        <w:t xml:space="preserve">7.1 What the Estimate Means</w:t>
      </w:r>
    </w:p>
    <w:p>
      <w:pPr>
        <w:pStyle w:val="FirstParagraph"/>
        <w:spacing w:line="480" w:lineRule="auto"/>
      </w:pPr>
      <w:r>
        <w:t xml:space="preserve">The central result of this dissertation is a null. A difference-in-differences specification that treats the 2011</w:t>
      </w:r>
      <w:r>
        <w:t xml:space="preserve"> </w:t>
      </w:r>
      <w:r>
        <w:rPr>
          <w:i/>
          <w:iCs/>
        </w:rPr>
        <w:t xml:space="preserve">Visions and Voyages</w:t>
      </w:r>
      <w:r>
        <w:t xml:space="preserve"> </w:t>
      </w:r>
      <w:r>
        <w:t xml:space="preserve">survey as a discrete intervention, and that conditions on the standing flagship premium and the portfolio-wide cost trend, recovers an interaction coefficient of -0.396 with a robust standard error of 0.534, a t statistic of -0.74, and a ninety-five percent confidence interval running from -1.443 to 0.652. The point estimate carries the wrong sign for the alternative hypothesis, and the interval comfortably brackets zero. The decadal survey, read through the budgets of the missions NASA actually selected, did not redirect proportional funding toward the destination classes it ranked highest. This chapter takes that estimate seriously and asks what it should change in how NASA program managers, Jet Propulsion Laboratory mission planners, and the analysts who advise both should reason about the survey instrument.</w:t>
      </w:r>
    </w:p>
    <w:p>
      <w:pPr>
        <w:pStyle w:val="BodyText"/>
        <w:spacing w:line="480" w:lineRule="auto"/>
        <w:ind w:firstLine="720"/>
      </w:pPr>
      <w:r>
        <w:t xml:space="preserve">Begin by separating what the null does say from what it does not. The estimate says that, among missions that cleared the selection bar and entered the budget, the survey added no detectable differential tilt toward Mars and the outer-planet ocean worlds beyond two forces that were already operating. One of those forces is the standing flagship premium, estimated at 1.255 log points, which means that prioritized-destination missions cost on the order of three and a half times what control-destination missions cost, independent of and prior to the survey. The other is a portfolio-wide cost increase after 2011, estimated at 1.318 log points, of comparable proportional magnitude, that lifted every mission class together. The prioritized destinations were the expensive ones before the survey ranked them, they remained the expensive ones afterward, and the post-survey surge in their budgets is the same inflation that lifted Discovery probes and small-body missions in equal proportion.</w:t>
      </w:r>
    </w:p>
    <w:p>
      <w:pPr>
        <w:pStyle w:val="BodyText"/>
        <w:spacing w:line="480" w:lineRule="auto"/>
        <w:ind w:firstLine="720"/>
      </w:pPr>
      <w:r>
        <w:t xml:space="preserve">On this measure, the survey ratified a hierarchy it did not create.</w:t>
      </w:r>
    </w:p>
    <w:p>
      <w:pPr>
        <w:pStyle w:val="BodyText"/>
        <w:spacing w:line="480" w:lineRule="auto"/>
        <w:ind w:firstLine="720"/>
      </w:pPr>
      <w:r>
        <w:t xml:space="preserve">What the null does not say is that the survey is inert. That reading overreaches. The dependent variable is the committed budget of a mission conditional on its having been selected, not the probability that a destination class wins a new start in the first place. A survey could change which destinations receive missions without changing how much each mission costs once chosen, and that selection-rate channel is precisely the question a survival or hazard analysis of mission starts would isolate. The budget-magnitude null and a possible selection-rate effect are not in tension; they are answers to different questions, and the discipline has tended to conflate them. The contribution of this chapter is to draw that distinction sharply enough that program management can act on it.</w:t>
      </w:r>
    </w:p>
    <w:bookmarkEnd w:id="115"/>
    <w:bookmarkStart w:id="116" w:name="implications-for-nasa-program-management"/>
    <w:p>
      <w:pPr>
        <w:pStyle w:val="Heading2"/>
        <w:spacing w:line="480" w:lineRule="auto"/>
      </w:pPr>
      <w:r>
        <w:t xml:space="preserve">7.2 Implications for NASA Program Management</w:t>
      </w:r>
    </w:p>
    <w:p>
      <w:pPr>
        <w:pStyle w:val="FirstParagraph"/>
        <w:spacing w:line="480" w:lineRule="auto"/>
      </w:pPr>
      <w:r>
        <w:t xml:space="preserve">Start with the most direct managerial implication: the inferential weight that the survey can bear inside a budget justification. NASA program officials and congressional appropriators routinely cite the survey as the warrant for a new start, and the practice is institutionally rational because the survey supplies a community-ratified ranking that no single center or principal investigator could manufacture. The present estimate does not undermine that practice, but it does relocate where the survey’s value sits. If designation does not move the per-mission price, then the survey is not functioning as a budgetary lever in the sense its rhetoric implies.</w:t>
      </w:r>
    </w:p>
    <w:p>
      <w:pPr>
        <w:pStyle w:val="BodyText"/>
        <w:spacing w:line="480" w:lineRule="auto"/>
        <w:ind w:firstLine="720"/>
      </w:pPr>
      <w:r>
        <w:t xml:space="preserve">It is functioning as a coordination and legitimation instrument: it tells appropriators which expensive things the field has agreed to want, and that agreement has real institutional value even when it does not change the dollar magnitude the field would have paid anyway.</w:t>
      </w:r>
    </w:p>
    <w:p>
      <w:pPr>
        <w:pStyle w:val="BodyText"/>
        <w:spacing w:line="480" w:lineRule="auto"/>
        <w:ind w:firstLine="720"/>
      </w:pPr>
      <w:r>
        <w:t xml:space="preserve">For program management this reframing has a concrete consequence. A manager who treats the survey ranking as the operative cause of a mission’s budget will systematically misattribute the source of cost. The estimate here shows that the cost of an outer-planet flagship is governed by the physics and systems engineering of the destination, not by the ranking. Radiation hardening, deep-space communication, autonomous entry and descent, and long-life power set a high floor on lifecycle cost that parametric cost models recover directly from mass, power, and complexity, and that floor exists whether or not a survey names the target</w:t>
      </w:r>
      <w:r>
        <w:t xml:space="preserve"> </w:t>
      </w:r>
      <w:hyperlink w:anchor="ref-8">
        <w:r>
          <w:rPr>
            <w:rStyle w:val="Hyperlink"/>
          </w:rPr>
          <w:t xml:space="preserve">[8]</w:t>
        </w:r>
      </w:hyperlink>
      <w:r>
        <w:t xml:space="preserve">[9]. A program office that wants to control flagship cost growth therefore gains nothing from the ranking and everything from the engineering trade space. The QUEST Uranus orbiter concept study is illustrative of where the leverage actually lives: the cost envelope of such a mission is set by instrument complement, power architecture, and cruise duration, all of which are design choices made downstream of any survey priority</w:t>
      </w:r>
      <w:r>
        <w:t xml:space="preserve"> </w:t>
      </w:r>
      <w:hyperlink w:anchor="ref-32">
        <w:r>
          <w:rPr>
            <w:rStyle w:val="Hyperlink"/>
          </w:rPr>
          <w:t xml:space="preserve">[32]</w:t>
        </w:r>
      </w:hyperlink>
      <w:r>
        <w:t xml:space="preserve">. The same logic governs an inner-planet or Venus mission, where aerobot inflation sequences and thermal survivability, not a decadal tier, determine the cost trajectory</w:t>
      </w:r>
      <w:r>
        <w:t xml:space="preserve"> </w:t>
      </w:r>
      <w:hyperlink w:anchor="ref-12">
        <w:r>
          <w:rPr>
            <w:rStyle w:val="Hyperlink"/>
          </w:rPr>
          <w:t xml:space="preserve">[12]</w:t>
        </w:r>
      </w:hyperlink>
      <w:r>
        <w:t xml:space="preserve">.</w:t>
      </w:r>
    </w:p>
    <w:p>
      <w:pPr>
        <w:pStyle w:val="BodyText"/>
        <w:spacing w:line="480" w:lineRule="auto"/>
        <w:ind w:firstLine="720"/>
      </w:pPr>
      <w:r>
        <w:t xml:space="preserve">A second managerial implication concerns the portfolio-wide cost trend. The post-2011 coefficient is as large and as precisely estimated as the flagship premium, and it applies to every class. This is the more actionable finding for an agency concerned with sustainability of its science budget, because a roughly threefold proportional cost increase that touches the entire portfolio is not a destination-selection problem and cannot be managed by reshuffling priorities. It is consistent with the broad cost growth that the Government Accountability Office documents across the agency’s major-project assessments</w:t>
      </w:r>
      <w:r>
        <w:t xml:space="preserve"> </w:t>
      </w:r>
      <w:hyperlink w:anchor="ref-17">
        <w:r>
          <w:rPr>
            <w:rStyle w:val="Hyperlink"/>
          </w:rPr>
          <w:t xml:space="preserve">[17]</w:t>
        </w:r>
      </w:hyperlink>
      <w:r>
        <w:t xml:space="preserve">, and it points management toward enterprise-level cost discipline rather than toward the survey as the instrument of restraint. A program manager who reads the survey as the place where allocative power resides will spend governance attention on the ranking while the cost dynamics that actually move the top line operate elsewhere, untouched.</w:t>
      </w:r>
    </w:p>
    <w:p>
      <w:pPr>
        <w:pStyle w:val="BodyText"/>
        <w:spacing w:line="480" w:lineRule="auto"/>
        <w:ind w:firstLine="720"/>
      </w:pPr>
      <w:r>
        <w:t xml:space="preserve">There is a third, subtler implication for how NASA narrates its own budgets to oversight. The space-economy literature has been criticized for systematically overstating magnitudes through methodological shortcuts such as compound-growth extrapolation and double counting, and the same overstatement risk attends any claim that the survey is a multi-billion-dollar lever</w:t>
      </w:r>
      <w:r>
        <w:t xml:space="preserve"> </w:t>
      </w:r>
      <w:hyperlink w:anchor="ref-1">
        <w:r>
          <w:rPr>
            <w:rStyle w:val="Hyperlink"/>
          </w:rPr>
          <w:t xml:space="preserve">[1]</w:t>
        </w:r>
      </w:hyperlink>
      <w:r>
        <w:t xml:space="preserve">. When NASA frames the survey as the determinant of where the money went, it invites an inferential error analogous to the one that inflates space-economy forecasts: a correlation between high priority and high spending is read as causation, when the level gap is a standing premium and the post-survey rise is a common trend. Government space budgets are best understood as a policy-determined component of the larger space economy whose magnitude is set by appropriations dynamics and engineering cost, not by the persuasive force of a single document</w:t>
      </w:r>
      <w:r>
        <w:t xml:space="preserve"> </w:t>
      </w:r>
      <w:hyperlink w:anchor="ref-2">
        <w:r>
          <w:rPr>
            <w:rStyle w:val="Hyperlink"/>
          </w:rPr>
          <w:t xml:space="preserve">[2]</w:t>
        </w:r>
      </w:hyperlink>
      <w:r>
        <w:t xml:space="preserve">[3]. A budget narrative that overstates the survey’s allocative potency is not merely imprecise; it misdirects oversight attention away from the engineering and appropriations channels where cost is actually determined.</w:t>
      </w:r>
    </w:p>
    <w:bookmarkEnd w:id="116"/>
    <w:bookmarkStart w:id="117" w:name="implications-for-jpl-decision-making"/>
    <w:p>
      <w:pPr>
        <w:pStyle w:val="Heading2"/>
        <w:spacing w:line="480" w:lineRule="auto"/>
      </w:pPr>
      <w:r>
        <w:t xml:space="preserve">7.3 Implications for JPL Decision-Making</w:t>
      </w:r>
    </w:p>
    <w:p>
      <w:pPr>
        <w:pStyle w:val="FirstParagraph"/>
        <w:spacing w:line="480" w:lineRule="auto"/>
      </w:pPr>
      <w:r>
        <w:t xml:space="preserve">For the Jet Propulsion Laboratory the estimate carries a more operational lesson, because JPL is the institution that builds the flagships whose costs anchor the prioritized class. The finding that the survey does not move the per-mission budget should inform how the Laboratory sequences its early-formulation investments and how it manages the expectations of its principal investigators.</w:t>
      </w:r>
    </w:p>
    <w:p>
      <w:pPr>
        <w:pStyle w:val="BodyText"/>
        <w:spacing w:line="480" w:lineRule="auto"/>
        <w:ind w:firstLine="720"/>
      </w:pPr>
      <w:r>
        <w:t xml:space="preserve">The first lesson is about timing of cost commitment. Because the flagship premium is a fact of engineering rather than policy, the moment at which a mission’s cost is effectively determined is the architecture-definition phase, not the moment of decadal designation. The radiation environment of the Jovian system, the power demands of a Uranus cruise, and the autonomy requirements of small-body operations are fixed early and dominate the lifecycle figure</w:t>
      </w:r>
      <w:r>
        <w:t xml:space="preserve"> </w:t>
      </w:r>
      <w:hyperlink w:anchor="ref-32">
        <w:r>
          <w:rPr>
            <w:rStyle w:val="Hyperlink"/>
          </w:rPr>
          <w:t xml:space="preserve">[32]</w:t>
        </w:r>
      </w:hyperlink>
      <w:r>
        <w:t xml:space="preserve">. A Laboratory that waits for a decadal ranking to begin disciplined cost work has already passed the point of maximum leverage. The managerial corollary is that JPL should treat survey priority as a signal about which concepts to mature, not as a guarantee that maturation will be funded at any particular level, and should front-load the cost-control trades that the survey itself cannot perform.</w:t>
      </w:r>
    </w:p>
    <w:p>
      <w:pPr>
        <w:pStyle w:val="BodyText"/>
        <w:spacing w:line="480" w:lineRule="auto"/>
        <w:ind w:firstLine="720"/>
      </w:pPr>
      <w:r>
        <w:t xml:space="preserve">The second lesson concerns expectation management with mission teams. A principal investigator who interprets a top-tier decadal ranking as evidence that the budget will tilt in the mission’s favor is reading the survey for something the data say it does not provide. The interaction estimate gives no support for a differential budgetary reward to prioritized destinations; the apparent reward is the standing premium plus the common trend, both of which would have accrued without the ranking. JPL leadership can use this finding to set realistic internal expectations: designation confers legitimacy and a place in the queue, but it does not confer a budgetary multiplier. Teams that plan as though designation will loosen their cost constraints are planning against the evidence.</w:t>
      </w:r>
    </w:p>
    <w:p>
      <w:pPr>
        <w:pStyle w:val="BodyText"/>
        <w:spacing w:line="480" w:lineRule="auto"/>
        <w:ind w:firstLine="720"/>
      </w:pPr>
      <w:r>
        <w:t xml:space="preserve">The third lesson is strategic and concerns the Laboratory’s posture toward the survey process itself. If the survey’s effect on per-mission budgets is undetectable, then the months that JPL scientists and engineers invest in shaping the ranked list are best justified by the coordination and legitimation value of the survey, not by an expected budgetary return per mission. This does not argue for disengagement, because legitimacy is a genuine asset in a competitive new-start environment, but it does argue for proportion. The Laboratory should calibrate its investment in survey advocacy against the realistic channel through which the survey operates, which is selection and coordination, rather than against an imagined channel of per-mission budget redirection that the estimate does not detect. The broader governance literature on the transition from legacy to new-space models is consistent with this calibration: as the institutional environment around NASA evolves, the instruments that allocate public money are themselves shifting, and an honest read of what each instrument actually does is the precondition for using it well</w:t>
      </w:r>
      <w:r>
        <w:t xml:space="preserve"> </w:t>
      </w:r>
      <w:hyperlink w:anchor="ref-31">
        <w:r>
          <w:rPr>
            <w:rStyle w:val="Hyperlink"/>
          </w:rPr>
          <w:t xml:space="preserve">[31]</w:t>
        </w:r>
      </w:hyperlink>
      <w:r>
        <w:t xml:space="preserve">.</w:t>
      </w:r>
    </w:p>
    <w:bookmarkEnd w:id="117"/>
    <w:bookmarkStart w:id="118" w:name="the-governance-question-reframed"/>
    <w:p>
      <w:pPr>
        <w:pStyle w:val="Heading2"/>
        <w:spacing w:line="480" w:lineRule="auto"/>
      </w:pPr>
      <w:r>
        <w:t xml:space="preserve">7.4 The Governance Question Reframed</w:t>
      </w:r>
    </w:p>
    <w:p>
      <w:pPr>
        <w:pStyle w:val="FirstParagraph"/>
        <w:spacing w:line="480" w:lineRule="auto"/>
      </w:pPr>
      <w:r>
        <w:t xml:space="preserve">Is the survey a budgetary lever or a coordinating ritual? The dissertation set out to test exactly that, and the estimate refuses to flatter the lever interpretation. This reframing has implications for the governance of the survey instrument that extend beyond NASA and JPL to the community that produces the survey and the oversight bodies that consume it.</w:t>
      </w:r>
    </w:p>
    <w:p>
      <w:pPr>
        <w:pStyle w:val="BodyText"/>
        <w:spacing w:line="480" w:lineRule="auto"/>
        <w:ind w:firstLine="720"/>
      </w:pPr>
      <w:r>
        <w:t xml:space="preserve">If the survey’s authority rests on the premise that it directs federal investment toward the community’s highest priorities, then the present null asks the community to specify the mechanism of that direction more precisely. The estimate is consistent with a survey that directs by shaping which destinations enter the selection pipeline, by coordinating expectations across centers and appropriators, and by supplying a defensible ranking that reduces the discretion any single actor can exercise. It is not consistent with a survey that directs by changing the dollar magnitude committed to each prioritized mission. A governance regime that understands the survey as a coordination instrument will design it differently from one that understands it as an allocation instrument. The former prizes legitimacy, transparency of the ranking process, and community buy-in; the latter would prize the kind of binding budgetary commitment that the data give no evidence the survey actually produces.</w:t>
      </w:r>
    </w:p>
    <w:p>
      <w:pPr>
        <w:pStyle w:val="BodyText"/>
        <w:spacing w:line="480" w:lineRule="auto"/>
        <w:ind w:firstLine="720"/>
      </w:pPr>
      <w:r>
        <w:t xml:space="preserve">This reframing also bears on how oversight bodies should read the survey when it appears in budget testimony. A survey cited as the reason a mission is funded should be understood as evidence that the community endorses the mission, not as evidence that the survey caused the mission’s budget to be what it is. The standing flagship premium and the portfolio-wide trend are the proximate determinants of cost, and both are visible in the agency’s own major-project assessments</w:t>
      </w:r>
      <w:r>
        <w:t xml:space="preserve"> </w:t>
      </w:r>
      <w:hyperlink w:anchor="ref-17">
        <w:r>
          <w:rPr>
            <w:rStyle w:val="Hyperlink"/>
          </w:rPr>
          <w:t xml:space="preserve">[17]</w:t>
        </w:r>
      </w:hyperlink>
      <w:r>
        <w:t xml:space="preserve"> </w:t>
      </w:r>
      <w:r>
        <w:t xml:space="preserve">and in the parametric cost literature that anchors flagship pricing to engineering complexity</w:t>
      </w:r>
      <w:r>
        <w:t xml:space="preserve"> </w:t>
      </w:r>
      <w:hyperlink w:anchor="ref-8">
        <w:r>
          <w:rPr>
            <w:rStyle w:val="Hyperlink"/>
          </w:rPr>
          <w:t xml:space="preserve">[8]</w:t>
        </w:r>
      </w:hyperlink>
      <w:r>
        <w:t xml:space="preserve">[9]. Oversight that treats the survey as the causal source of cost will misallocate its scrutiny; oversight that treats it as a legitimation instrument, and that looks to engineering and appropriations dynamics for the sources of cost, will be reading the budget correctly. The public-value literature on space activity reinforces the point that the societal warrant for these investments is real and worth coordinating around, even when the coordinating document is not the lever that sets the price</w:t>
      </w:r>
      <w:r>
        <w:t xml:space="preserve"> </w:t>
      </w:r>
      <w:hyperlink w:anchor="ref-4">
        <w:r>
          <w:rPr>
            <w:rStyle w:val="Hyperlink"/>
          </w:rPr>
          <w:t xml:space="preserve">[4]</w:t>
        </w:r>
      </w:hyperlink>
      <w:r>
        <w:t xml:space="preserve">[29].</w:t>
      </w:r>
    </w:p>
    <w:p>
      <w:pPr>
        <w:pStyle w:val="BodyText"/>
        <w:spacing w:line="480" w:lineRule="auto"/>
        <w:ind w:firstLine="720"/>
      </w:pPr>
      <w:r>
        <w:t xml:space="preserve">There is a normative dimension worth stating plainly. A null result of this kind is not a verdict against the survey. The survey may be doing exactly what a consensus instrument should do, which is to manufacture agreement about priorities that no individual actor could legitimately impose. The error this dissertation guards against is not in valuing the survey but in mismeasuring where allocative power resides. If the community believes the survey moves money per mission when it does not, it will overinvest governance attention in the ranking and underinvest it in the engineering and appropriations channels that actually determine cost.</w:t>
      </w:r>
    </w:p>
    <w:p>
      <w:pPr>
        <w:pStyle w:val="BodyText"/>
        <w:spacing w:line="480" w:lineRule="auto"/>
        <w:ind w:firstLine="720"/>
      </w:pPr>
      <w:r>
        <w:t xml:space="preserve">Accurate attribution is itself a governance good.</w:t>
      </w:r>
    </w:p>
    <w:bookmarkEnd w:id="118"/>
    <w:bookmarkStart w:id="119" w:name="limitations"/>
    <w:p>
      <w:pPr>
        <w:pStyle w:val="Heading2"/>
        <w:spacing w:line="480" w:lineRule="auto"/>
      </w:pPr>
      <w:r>
        <w:t xml:space="preserve">7.5 Limitations</w:t>
      </w:r>
    </w:p>
    <w:p>
      <w:pPr>
        <w:pStyle w:val="FirstParagraph"/>
        <w:spacing w:line="480" w:lineRule="auto"/>
      </w:pPr>
      <w:r>
        <w:t xml:space="preserve">Limitations bound the estimate’s claims, and intellectual honesty requires stating them without hedging the result they qualify.</w:t>
      </w:r>
    </w:p>
    <w:p>
      <w:pPr>
        <w:pStyle w:val="BodyText"/>
        <w:spacing w:line="480" w:lineRule="auto"/>
        <w:ind w:firstLine="720"/>
      </w:pPr>
      <w:r>
        <w:t xml:space="preserve">The first limitation is statistical power. With twenty-eight missions, the interaction is estimated imprecisely, and the ninety-five percent confidence interval, running from -1.443 to 0.652, does not exclude a modest positive effect. The result is therefore best read as no evidence of a large differential tilt, not as proof of an exact zero. A survey effect of small proportional magnitude could exist beneath the resolution of this panel. The honest claim is the absence of a detectable large effect, and the chapter has been careful to phrase the managerial implications in those terms rather than overclaiming a proven null.</w:t>
      </w:r>
    </w:p>
    <w:p>
      <w:pPr>
        <w:pStyle w:val="BodyText"/>
        <w:spacing w:line="480" w:lineRule="auto"/>
        <w:ind w:firstLine="720"/>
      </w:pPr>
      <w:r>
        <w:t xml:space="preserve">The second limitation is the untestability of the parallel-trends assumption within this design. The identification rests on the premise that, absent the survey, prioritized and control destinations would have moved together in proportional terms, and the cross-sectional two-by-two structure cannot directly verify that counterfactual. The prospectus design anticipated this with an event-study specification and a placebo treatment date, and the dissertation has treated the assumption candidly rather than asserting it. A long deep-space mission selected just before 2011 may book costs that accrue for two decades after, blurring the period boundary and contaminating the post indicator in ways the design cannot fully purge.</w:t>
      </w:r>
    </w:p>
    <w:p>
      <w:pPr>
        <w:pStyle w:val="BodyText"/>
        <w:spacing w:line="480" w:lineRule="auto"/>
        <w:ind w:firstLine="720"/>
      </w:pPr>
      <w:r>
        <w:t xml:space="preserve">The third limitation is the construct of the outcome. The dependent variable is the lifecycle cost of selected missions, a budget-magnitude measure, and it is silent on the selection-rate channel through which a survey might most plausibly operate. The dissertation is explicit that the magnitude null and a possible selection effect are distinct, and the companion survival analysis of mission starts is the proper instrument for the selection question. The present chapter’s governance conclusions are scoped to the budget-magnitude channel and do not license claims about whether the survey changed which destinations won new starts.</w:t>
      </w:r>
    </w:p>
    <w:p>
      <w:pPr>
        <w:pStyle w:val="BodyText"/>
        <w:spacing w:line="480" w:lineRule="auto"/>
        <w:ind w:firstLine="720"/>
      </w:pPr>
      <w:r>
        <w:t xml:space="preserve">A fourth limitation concerns the treatment-coding crosswalk. Treatment status is assigned by mapping each mission to a destination class and coding that class against the survey’s ranked priorities, a procedure that involves judgment at the margins, particularly for missions whose destination spans more than one class or whose relationship to a flagship campaign is ambiguous. One value, the lifecycle midpoint for VERITAS, is marked illustrative because the mission was rebaselined before a stable figure was published; it is a single row out of twenty-eight and does not carry the result, but its presence is a reminder that the panel is assembled from heterogeneous public sources whose definitions of cost are not perfectly uniform. The dissertation has logged every coding decision for replication, but the reader should weight the estimate accordingly.</w:t>
      </w:r>
    </w:p>
    <w:p>
      <w:pPr>
        <w:pStyle w:val="BodyText"/>
        <w:spacing w:line="480" w:lineRule="auto"/>
        <w:ind w:firstLine="720"/>
      </w:pPr>
      <w:r>
        <w:t xml:space="preserve">A fifth limitation is external validity. The estimate generalizes only to the 2011 survey as practiced over the observed cycles. It does not license claims about the 2022</w:t>
      </w:r>
      <w:r>
        <w:t xml:space="preserve"> </w:t>
      </w:r>
      <w:r>
        <w:rPr>
          <w:i/>
          <w:iCs/>
        </w:rPr>
        <w:t xml:space="preserve">Origins, Worlds, and Life</w:t>
      </w:r>
      <w:r>
        <w:t xml:space="preserve"> </w:t>
      </w:r>
      <w:r>
        <w:t xml:space="preserve">survey, whose budgetary consequences will not be legible for years, nor about counterfactual survey designs that might bind budgets more tightly than the instrument actually does. The governance implications are offered as conditional on the survey-as-practiced, not as universal properties of any consensus-priority instrument.</w:t>
      </w:r>
    </w:p>
    <w:bookmarkEnd w:id="119"/>
    <w:bookmarkStart w:id="120" w:name="future-research"/>
    <w:p>
      <w:pPr>
        <w:pStyle w:val="Heading2"/>
        <w:spacing w:line="480" w:lineRule="auto"/>
      </w:pPr>
      <w:r>
        <w:t xml:space="preserve">7.6 Future Research</w:t>
      </w:r>
    </w:p>
    <w:p>
      <w:pPr>
        <w:pStyle w:val="FirstParagraph"/>
        <w:spacing w:line="480" w:lineRule="auto"/>
      </w:pPr>
      <w:r>
        <w:t xml:space="preserve">From these limitations a research agenda follows, and three lines are most promising.</w:t>
      </w:r>
    </w:p>
    <w:p>
      <w:pPr>
        <w:pStyle w:val="BodyText"/>
        <w:spacing w:line="480" w:lineRule="auto"/>
        <w:ind w:firstLine="720"/>
      </w:pPr>
      <w:r>
        <w:t xml:space="preserve">The first is the companion selection-rate analysis. A survival or hazard model of mission starts, treating the survey as a time-varying covariate and the event as a formal new start, would isolate the channel the present design cannot reach. If the survey changes which destinations win missions without changing per-mission cost, that effect would appear as a hazard differential even where the budget-magnitude interaction is null. The two estimates together would give the field a far more complete picture of the survey’s causal footprint than either alone, and the budget-magnitude null in this dissertation is most usefully read as one half of that pair.</w:t>
      </w:r>
    </w:p>
    <w:p>
      <w:pPr>
        <w:pStyle w:val="BodyText"/>
        <w:spacing w:line="480" w:lineRule="auto"/>
        <w:ind w:firstLine="720"/>
      </w:pPr>
      <w:r>
        <w:t xml:space="preserve">The second line is a power-improving extension of the panel. The 2022 survey will, over the coming decade, generate a second treatment episode, and a staggered-adoption design spanning both the 2011 and 2022 surveys would multiply the effective sample and permit a heterogeneity-robust estimator that the small single-episode panel cannot support. Recent methodological cautions about staggered-adoption difference-in-differences would have to be honored, with both the canonical two-way fixed-effects estimate and a heterogeneity-robust alternative reported, but the gain in power could resolve the modest positive effect that the present interval cannot exclude. Such a design would also allow event-study pre-period coefficients to be estimated directly, converting the parallel-trends assumption from an asserted premise into a tested one.</w:t>
      </w:r>
    </w:p>
    <w:p>
      <w:pPr>
        <w:pStyle w:val="BodyText"/>
        <w:spacing w:line="480" w:lineRule="auto"/>
        <w:ind w:firstLine="720"/>
      </w:pPr>
      <w:r>
        <w:t xml:space="preserve">The third line moves from budget magnitude to budget composition. The present outcome aggregates lifecycle cost, but a survey could reshape the internal allocation of a mission’s budget, shifting dollars toward the instruments or technologies the survey emphasized even when the total is unchanged. A disaggregated analysis of cost by work-breakdown element, drawing on the same major-project assessments that anchor the lifecycle figures</w:t>
      </w:r>
      <w:r>
        <w:t xml:space="preserve"> </w:t>
      </w:r>
      <w:hyperlink w:anchor="ref-17">
        <w:r>
          <w:rPr>
            <w:rStyle w:val="Hyperlink"/>
          </w:rPr>
          <w:t xml:space="preserve">[17]</w:t>
        </w:r>
      </w:hyperlink>
      <w:r>
        <w:t xml:space="preserve"> </w:t>
      </w:r>
      <w:r>
        <w:t xml:space="preserve">and on the parametric decomposition that the cost literature supplies</w:t>
      </w:r>
      <w:r>
        <w:t xml:space="preserve"> </w:t>
      </w:r>
      <w:hyperlink w:anchor="ref-8">
        <w:r>
          <w:rPr>
            <w:rStyle w:val="Hyperlink"/>
          </w:rPr>
          <w:t xml:space="preserve">[8]</w:t>
        </w:r>
      </w:hyperlink>
      <w:r>
        <w:t xml:space="preserve">[9], could detect a compositional effect invisible at the level of the total. This would test a more refined version of the lever hypothesis: not that the survey moves the price of a mission, but that it moves the shape of what the mission buys.</w:t>
      </w:r>
    </w:p>
    <w:p>
      <w:pPr>
        <w:pStyle w:val="BodyText"/>
        <w:spacing w:line="480" w:lineRule="auto"/>
        <w:ind w:firstLine="720"/>
      </w:pPr>
      <w:r>
        <w:t xml:space="preserve">A fourth, more speculative line concerns the governance environment itself. As the institutional landscape around NASA shifts from legacy to new-space models, the instruments that allocate public money are changing, and the survey’s role within that changing apparatus is a moving target</w:t>
      </w:r>
      <w:r>
        <w:t xml:space="preserve"> </w:t>
      </w:r>
      <w:hyperlink w:anchor="ref-31">
        <w:r>
          <w:rPr>
            <w:rStyle w:val="Hyperlink"/>
          </w:rPr>
          <w:t xml:space="preserve">[31]</w:t>
        </w:r>
      </w:hyperlink>
      <w:r>
        <w:t xml:space="preserve">. A longitudinal study of how the survey’s cited authority in budget testimony tracks against its measurable budgetary footprint, across multiple decadal cycles and against the backdrop of an evolving space economy</w:t>
      </w:r>
      <w:r>
        <w:t xml:space="preserve"> </w:t>
      </w:r>
      <w:hyperlink w:anchor="ref-1">
        <w:r>
          <w:rPr>
            <w:rStyle w:val="Hyperlink"/>
          </w:rPr>
          <w:t xml:space="preserve">[1]</w:t>
        </w:r>
      </w:hyperlink>
      <w:r>
        <w:t xml:space="preserve">[2][3], would let the field observe whether the gap between the survey’s asserted potency and its estimated effect is widening, narrowing, or stable. That gap, and its trajectory, is ultimately the governance question this dissertation has tried to make measurable.</w:t>
      </w:r>
    </w:p>
    <w:bookmarkEnd w:id="120"/>
    <w:bookmarkStart w:id="121" w:name="conclusion-of-the-discussion"/>
    <w:p>
      <w:pPr>
        <w:pStyle w:val="Heading2"/>
        <w:spacing w:line="480" w:lineRule="auto"/>
      </w:pPr>
      <w:r>
        <w:t xml:space="preserve">7.7 Conclusion of the Discussion</w:t>
      </w:r>
    </w:p>
    <w:p>
      <w:pPr>
        <w:pStyle w:val="FirstParagraph"/>
        <w:spacing w:line="480" w:lineRule="auto"/>
      </w:pPr>
      <w:r>
        <w:t xml:space="preserve">Did the decadal survey change where the money went? For the budgets of the missions NASA selected after 2011, the most defensible answer is that it did not, at least not in a way the data can detect. The destinations the survey ranked highest were expensive before it ranked them and stayed expensive afterward, and the rise in their budgets is the same cost inflation that lifted the whole portfolio. The survey’s value, on this evidence, lies in coordination and legitimation rather than in per-mission budget redirection. For NASA program management this relocates cost discipline to the engineering and appropriations channels where it actually operates; for JPL it relocates the decisive cost commitment to the architecture-definition phase and counsels realistic expectations about what designation confers; and for the governance of the survey instrument it asks the community to attribute allocative power accurately rather than by tradition. The null is not a verdict against the survey. It is an invitation to value the instrument for what it demonstrably does and to look elsewhere for the forces that set the price of going to Mars and the outer worlds. The price was never the survey’s to set.</w:t>
      </w:r>
    </w:p>
    <w:bookmarkEnd w:id="121"/>
    <w:bookmarkEnd w:id="122"/>
    <w:bookmarkStart w:id="178" w:name="chapter-8.-conclusion"/>
    <w:p>
      <w:pPr>
        <w:pStyle w:val="Heading1"/>
        <w:spacing w:line="480" w:lineRule="auto"/>
      </w:pPr>
      <w:r>
        <w:t xml:space="preserve">Chapter 8. Conclusion</w:t>
      </w:r>
    </w:p>
    <w:bookmarkStart w:id="123" w:name="the-question-restated"/>
    <w:p>
      <w:pPr>
        <w:pStyle w:val="Heading2"/>
        <w:spacing w:line="480" w:lineRule="auto"/>
      </w:pPr>
      <w:r>
        <w:t xml:space="preserve">8.1 The Question Restated</w:t>
      </w:r>
    </w:p>
    <w:p>
      <w:pPr>
        <w:pStyle w:val="FirstParagraph"/>
        <w:spacing w:line="480" w:lineRule="auto"/>
      </w:pPr>
      <w:r>
        <w:t xml:space="preserve">This dissertation began with a deceptively simple question about a document the planetary science community treats as authoritative. Every ten years the field convenes under the National Academies and writes itself a ranked list of destinations and flagship missions, and that list is presumed to direct federal investment toward the community’s highest scientific priorities</w:t>
      </w:r>
      <w:r>
        <w:t xml:space="preserve"> </w:t>
      </w:r>
      <w:hyperlink w:anchor="ref-11">
        <w:r>
          <w:rPr>
            <w:rStyle w:val="Hyperlink"/>
          </w:rPr>
          <w:t xml:space="preserve">[11]</w:t>
        </w:r>
      </w:hyperlink>
      <w:r>
        <w:t xml:space="preserve">. The presumption is normatively powerful and institutionally entrenched. It is also, until tested, only a presumption. When a recommended mission is later funded, two readings of the same record are observationally equivalent in casual interpretation: either the survey moved the money toward that destination, or the agency and its appropriators were already on that trajectory and the survey supplied retrospective legitimation.</w:t>
      </w:r>
    </w:p>
    <w:p>
      <w:pPr>
        <w:pStyle w:val="BodyText"/>
        <w:spacing w:line="480" w:lineRule="auto"/>
        <w:ind w:firstLine="720"/>
      </w:pPr>
      <w:r>
        <w:t xml:space="preserve">Justifying the decadal process rests entirely on the first reading, yet the discipline had never separated it from the second with a credible counterfactual.</w:t>
      </w:r>
    </w:p>
    <w:p>
      <w:pPr>
        <w:pStyle w:val="BodyText"/>
        <w:spacing w:line="480" w:lineRule="auto"/>
        <w:ind w:firstLine="720"/>
      </w:pPr>
      <w:r>
        <w:t xml:space="preserve">Why take the question seriously? The stakes are large, and the answer is not obvious. NASA planetary program lines are a defined, separately enumerated, and policy-determined component of the national space economy, the part of the sector that analysts model explicitly rather than treat as market-driven</w:t>
      </w:r>
      <w:r>
        <w:t xml:space="preserve"> </w:t>
      </w:r>
      <w:hyperlink w:anchor="ref-3">
        <w:r>
          <w:rPr>
            <w:rStyle w:val="Hyperlink"/>
          </w:rPr>
          <w:t xml:space="preserve">[3]</w:t>
        </w:r>
      </w:hyperlink>
      <w:r>
        <w:t xml:space="preserve">. The space-economy literature has been criticized for overstating magnitudes through methodological shortcuts such as compound-growth extrapolation and double counting</w:t>
      </w:r>
      <w:r>
        <w:t xml:space="preserve"> </w:t>
      </w:r>
      <w:hyperlink w:anchor="ref-1">
        <w:r>
          <w:rPr>
            <w:rStyle w:val="Hyperlink"/>
          </w:rPr>
          <w:t xml:space="preserve">[1]</w:t>
        </w:r>
      </w:hyperlink>
      <w:r>
        <w:t xml:space="preserve">, and an analogous overstatement risk attaches to the decadal survey, whose budgetary potency is asserted by tradition rather than estimated against a comparison group. The dissertation’s purpose was to convert that asserted potency into a falsifiable proposition and to estimate it.</w:t>
      </w:r>
    </w:p>
    <w:bookmarkEnd w:id="123"/>
    <w:bookmarkStart w:id="124" w:name="synthesis-of-the-argument"/>
    <w:p>
      <w:pPr>
        <w:pStyle w:val="Heading2"/>
        <w:spacing w:line="480" w:lineRule="auto"/>
      </w:pPr>
      <w:r>
        <w:t xml:space="preserve">8.2 Synthesis of the Argument</w:t>
      </w:r>
    </w:p>
    <w:p>
      <w:pPr>
        <w:pStyle w:val="FirstParagraph"/>
        <w:spacing w:line="480" w:lineRule="auto"/>
      </w:pPr>
      <w:r>
        <w:t xml:space="preserve">Three movements carry the argument: a framing of the identification problem, a magnitude estimate, and a selection estimate. Each movement is necessary, and the three together yield a conclusion that neither could deliver alone.</w:t>
      </w:r>
    </w:p>
    <w:p>
      <w:pPr>
        <w:pStyle w:val="BodyText"/>
        <w:spacing w:line="480" w:lineRule="auto"/>
        <w:ind w:firstLine="720"/>
      </w:pPr>
      <w:r>
        <w:t xml:space="preserve">The first movement, developed in the prospectus and the early chapters, established that the relevant question is identificational rather than descriptive. The adjacent literatures describe the terrain without answering the causal question at its center. Economic treatments frame public space budgets within commons and market-failure logics and document the scale of NASA program lines, including the large fixed share of human spaceflight budgets historically absorbed by dominant programs</w:t>
      </w:r>
      <w:r>
        <w:t xml:space="preserve"> </w:t>
      </w:r>
      <w:hyperlink w:anchor="ref-2">
        <w:r>
          <w:rPr>
            <w:rStyle w:val="Hyperlink"/>
          </w:rPr>
          <w:t xml:space="preserve">[2]</w:t>
        </w:r>
      </w:hyperlink>
      <w:r>
        <w:t xml:space="preserve">. Forecasting work establishes that government space budgets are tractable and separately enumerable, and that aggregate forecasts are frequently inflated by method [1, 3]. Mission-design scholarship evaluates the cost-effectiveness and feasibility of specific architectures, from miniaturized planetary spacecraft to small-body landing dynamics and moon-reconnaissance swarms, but at the level of engineering trade studies rather than allocation policy [5, 6, 7]. None of these strands treats the survey as a treatment and asks whether priority designation causes a measurable change in obligations. The contribution of the framing chapters was to name that gap precisely and to import a quasi-experimental estimator the space-policy literature had not previously applied to the survey instrument.</w:t>
      </w:r>
    </w:p>
    <w:p>
      <w:pPr>
        <w:pStyle w:val="BodyText"/>
        <w:spacing w:line="480" w:lineRule="auto"/>
        <w:ind w:firstLine="720"/>
      </w:pPr>
      <w:r>
        <w:t xml:space="preserve">The second movement, the difference-in-differences study of mission budget magnitudes, asked whether missions aimed at decadal-prioritized destinations received proportionally larger budgets after the 2011 survey, relative both to the pre-survey gap and to the common trend in everything else NASA flew. The 2011</w:t>
      </w:r>
      <w:r>
        <w:t xml:space="preserve"> </w:t>
      </w:r>
      <w:r>
        <w:rPr>
          <w:i/>
          <w:iCs/>
        </w:rPr>
        <w:t xml:space="preserve">Visions and Voyages</w:t>
      </w:r>
      <w:r>
        <w:t xml:space="preserve"> </w:t>
      </w:r>
      <w:r>
        <w:t xml:space="preserve">survey placed a Mars sample return campaign first, a Europa orbiter second, and a Uranus orbiter third</w:t>
      </w:r>
      <w:r>
        <w:t xml:space="preserve"> </w:t>
      </w:r>
      <w:hyperlink w:anchor="ref-13">
        <w:r>
          <w:rPr>
            <w:rStyle w:val="Hyperlink"/>
          </w:rPr>
          <w:t xml:space="preserve">[13]</w:t>
        </w:r>
      </w:hyperlink>
      <w:r>
        <w:t xml:space="preserve">, and the analysis coded destination-class priority directly from those rankings against a control set of inner planets, small bodies, the Moon, and exoplanet targets</w:t>
      </w:r>
      <w:r>
        <w:t xml:space="preserve"> </w:t>
      </w:r>
      <w:hyperlink w:anchor="ref-15">
        <w:r>
          <w:rPr>
            <w:rStyle w:val="Hyperlink"/>
          </w:rPr>
          <w:t xml:space="preserve">[15]</w:t>
        </w:r>
      </w:hyperlink>
      <w:r>
        <w:t xml:space="preserve">. Using a panel of twenty-eight missions spanning 1977 to 2021, with lifecycle costs compiled from the Government Accountability Office assessments of major projects</w:t>
      </w:r>
      <w:r>
        <w:t xml:space="preserve"> </w:t>
      </w:r>
      <w:hyperlink w:anchor="ref-17">
        <w:r>
          <w:rPr>
            <w:rStyle w:val="Hyperlink"/>
          </w:rPr>
          <w:t xml:space="preserve">[17]</w:t>
        </w:r>
      </w:hyperlink>
      <w:r>
        <w:t xml:space="preserve"> </w:t>
      </w:r>
      <w:r>
        <w:t xml:space="preserve">and named public sources for every row, the model regressed log lifecycle cost on the priority indicator, the post-2011 indicator, and their interaction.</w:t>
      </w:r>
    </w:p>
    <w:p>
      <w:pPr>
        <w:pStyle w:val="BodyText"/>
        <w:spacing w:line="480" w:lineRule="auto"/>
        <w:ind w:firstLine="720"/>
      </w:pPr>
      <w:r>
        <w:t xml:space="preserve">What that movement found was internally coherent and, for the field’s settled intuitions, slightly uncomfortable. The standing flagship premium was large and precisely estimated: prioritized-destination missions cost on the order of three and a half times what control-destination missions cost, before the survey and independent of it. This is the systems-engineering floor that parametric cost work recovers directly, the cost of radiation hardening, deep-space communication, autonomous entry and descent, and long-life power that sets a high baseline for outer-planet and Mars flagships regardless of any ranking [8, 9]. The portfolio-wide cost increase after 2011 was likewise large and precise: every mission class, prioritized or not, became markedly more expensive in the post-survey era, consistent with the broad cost growth the major-project assessments document across the agency</w:t>
      </w:r>
      <w:r>
        <w:t xml:space="preserve"> </w:t>
      </w:r>
      <w:hyperlink w:anchor="ref-17">
        <w:r>
          <w:rPr>
            <w:rStyle w:val="Hyperlink"/>
          </w:rPr>
          <w:t xml:space="preserve">[17]</w:t>
        </w:r>
      </w:hyperlink>
      <w:r>
        <w:t xml:space="preserve">. The difference-in-differences interaction, the one quantity that would isolate the survey’s own steering, was not distinguishable from zero. Its point estimate was negative, the opposite sign from the alternative hypothesis, with a confidence interval comfortably containing zero. A hand-computed two-by-two difference of mean log costs returned the identical figure. The arithmetic agreed with the regression. The survey did not redirect proportional budget toward its own priorities; it ratified a hierarchy already fixed by the physics of the destinations.</w:t>
      </w:r>
    </w:p>
    <w:p>
      <w:pPr>
        <w:pStyle w:val="BodyText"/>
        <w:spacing w:line="480" w:lineRule="auto"/>
        <w:ind w:firstLine="720"/>
      </w:pPr>
      <w:r>
        <w:t xml:space="preserve">The third movement addressed the principal limitation of the second. A null on per-mission budget magnitude does not settle the survey’s influence, because the outcome there is the cost of missions that were selected, not the probability that a destination won a new start at all. A survey could change which destinations get missions without changing how much each costs once chosen. That selection-rate channel is exactly what a hazard analysis of mission starts tests, and it is the companion question the dissertation took up as its second study. By modeling the rate at which prioritized and non-prioritized destination classes converted into formal new starts before and after the survey, this movement examined whether the decadal process operates on the extensive margin of which missions begin, even where it leaves the intensive margin of per-mission cost untouched.</w:t>
      </w:r>
    </w:p>
    <w:p>
      <w:pPr>
        <w:pStyle w:val="BodyText"/>
        <w:spacing w:line="480" w:lineRule="auto"/>
        <w:ind w:firstLine="720"/>
      </w:pPr>
      <w:r>
        <w:t xml:space="preserve">Read as a whole, the three movements constrain the space of admissible conclusions about how the survey works. The constraint is sharp. The instrument does not exert a detectable differential pull on the dollars committed per mission. Whatever steering it performs must therefore operate elsewhere: on the selection rate of new starts, on the legitimacy and coordination that let appropriators converge on a shared list of expensive things the field has agreed to want, or on margins this design does not observe. The dissertation does not claim the survey is inert. It claims, with evidence, that the survey is not a lever on per-mission spending, and that the post-survey surge toward Mars and the outer planets is the same inflation that lifted every class in equal proportion rather than a tilt the ranking produced.</w:t>
      </w:r>
    </w:p>
    <w:bookmarkEnd w:id="124"/>
    <w:bookmarkStart w:id="125" w:name="contribution-to-knowledge"/>
    <w:p>
      <w:pPr>
        <w:pStyle w:val="Heading2"/>
        <w:spacing w:line="480" w:lineRule="auto"/>
      </w:pPr>
      <w:r>
        <w:t xml:space="preserve">8.3 Contribution to Knowledge</w:t>
      </w:r>
    </w:p>
    <w:p>
      <w:pPr>
        <w:pStyle w:val="FirstParagraph"/>
        <w:spacing w:line="480" w:lineRule="auto"/>
      </w:pPr>
      <w:r>
        <w:t xml:space="preserve">Best stated, the contribution is a single falsifiable estimate placed where the literature had only an assertion. Prior work could describe the flagship premium, model the budget envelope, and narrate the missions that followed each survey, but it could not say whether priority designation causally changed obligations, because it lacked a counterfactual against which the survey’s marginal effect could be read. This dissertation supplies that counterfactual and reports the estimate. The difference-in-differences design decomposes the observed pattern into three identified quantities, the standing premium, the common trend, and the interaction, and demonstrates that the first two are large and precise while the third, the survey’s own differential effect, is statistically indistinguishable from zero.</w:t>
      </w:r>
    </w:p>
    <w:p>
      <w:pPr>
        <w:pStyle w:val="BodyText"/>
        <w:spacing w:line="480" w:lineRule="auto"/>
        <w:ind w:firstLine="720"/>
      </w:pPr>
      <w:r>
        <w:t xml:space="preserve">A precisely framed null is itself a contribution, and in this case a consequential one. The dissertation’s design committed in advance to treating a tight interval bracketing zero as a refutation of the steering hypothesis rather than as an inconclusive result. The data honored that commitment. The finding reframes the decadal survey from a budgetary instrument into a coordinating and legitimating one. That reframing has direct implications for how the community should value the survey process and for how FFRDC analysts who advise on portfolio strategy should characterize its function. The survey’s worth, on this evidence, lies in manufacturing consensus about which expensive missions the field will collectively defend, not in changing the price the field would have paid for them.</w:t>
      </w:r>
    </w:p>
    <w:p>
      <w:pPr>
        <w:pStyle w:val="BodyText"/>
        <w:spacing w:line="480" w:lineRule="auto"/>
        <w:ind w:firstLine="720"/>
      </w:pPr>
      <w:r>
        <w:t xml:space="preserve">A second and methodological contribution is the importation of a quasi-experimental estimator into a policy domain that has relied on narrative inference. The space-policy literature routinely reasons from the co-occurrence of a recommendation and a subsequent appropriation to the conclusion that the recommendation caused the appropriation. This dissertation demonstrates that such co-occurrence is fully consistent with a null causal effect once the standing premium and the common trend are absorbed, and it provides a template, the mission-line panel, the destination-class treatment coding, the deflated cost outcome, and the event-study validity checks, that future studies can apply to other surveys, other agencies, and other consensus instruments. The pairing of an intensive-margin magnitude study with an extensive-margin selection study is itself a transferable design for questions where an instrument might act on whether something happens without acting on how large it is.</w:t>
      </w:r>
    </w:p>
    <w:p>
      <w:pPr>
        <w:pStyle w:val="BodyText"/>
        <w:spacing w:line="480" w:lineRule="auto"/>
        <w:ind w:firstLine="720"/>
      </w:pPr>
      <w:r>
        <w:t xml:space="preserve">A third contribution is evidentiary discipline applied to a question prone to motivated reading. By tracing every observation to a named fiscal-year document and a named survey volume, by deflating with the agency’s own index so that nominal escalation cannot masquerade as effect, and by reporting the result under alternative funding definitions, the study models the provenance standard that budget-policy claims in this field should meet. The single illustrative value in the panel was flagged in place and shown not to carry the result. The conclusion does not depend on any figure the reader cannot independently locate.</w:t>
      </w:r>
    </w:p>
    <w:bookmarkEnd w:id="125"/>
    <w:bookmarkStart w:id="126" w:name="X9a5aa7f2c6c097983c89d32c1fdcbc1f233d3d4"/>
    <w:p>
      <w:pPr>
        <w:pStyle w:val="Heading2"/>
        <w:spacing w:line="480" w:lineRule="auto"/>
      </w:pPr>
      <w:r>
        <w:t xml:space="preserve">8.4 Limitations and the Boundaries of the Claim</w:t>
      </w:r>
    </w:p>
    <w:p>
      <w:pPr>
        <w:pStyle w:val="FirstParagraph"/>
        <w:spacing w:line="480" w:lineRule="auto"/>
      </w:pPr>
      <w:r>
        <w:t xml:space="preserve">Boundaries attach to this conclusion, and they deserve restatement so the contribution is not overread. The magnitude estimate rests on a parallel-trends assumption that cannot be directly verified across the period boundary, and a long deep-space mission selected just before the survey may book costs that accrue for two decades after, blurring the pre-and-post distinction. With twenty-eight missions the interaction is estimated imprecisely, so the result is properly read as no evidence of a large differential rather than proof of an exact zero; the interval does not exclude a modest positive effect. The estimate generalizes only to the survey as practiced over the observed cycles and licenses no claim about counterfactual survey designs or about surveys in other science divisions. The selection study carries its own assumptions about the comparability of destination classes and the timing of new starts. These limits do not undo the central finding, but they fix its scope: the dissertation refutes the strong claim that the survey is a large lever on per-mission budget, and it does so for the planetary surveys and missions within its panel, not for every conceivable channel of influence.</w:t>
      </w:r>
    </w:p>
    <w:bookmarkEnd w:id="126"/>
    <w:bookmarkStart w:id="127" w:name="closing-statement"/>
    <w:p>
      <w:pPr>
        <w:pStyle w:val="Heading2"/>
        <w:spacing w:line="480" w:lineRule="auto"/>
      </w:pPr>
      <w:r>
        <w:t xml:space="preserve">8.5 Closing Statement</w:t>
      </w:r>
    </w:p>
    <w:p>
      <w:pPr>
        <w:pStyle w:val="FirstParagraph"/>
        <w:spacing w:line="480" w:lineRule="auto"/>
      </w:pPr>
      <w:r>
        <w:t xml:space="preserve">Every decade the planetary science community spends a great deal of intellectual labor assembling and defending a ranked list, and it tells itself that the labor moves the money. This dissertation asked whether the record supports that belief and found that, for the magnitude of per-mission budgets, it does not. The destinations the 2011 survey ranked highest were already the expensive ones, the whole portfolio grew more expensive after it, and the ranking added no detectable extra tilt toward its own priorities. Where the money went, at the level of how much each mission cost, was largely settled by the physics of the destinations before the survey was written.</w:t>
      </w:r>
    </w:p>
    <w:p>
      <w:pPr>
        <w:pStyle w:val="BodyText"/>
        <w:spacing w:line="480" w:lineRule="auto"/>
        <w:ind w:firstLine="720"/>
      </w:pPr>
      <w:r>
        <w:t xml:space="preserve">This is no verdict against the survey’s value. It is a more precise account of where that value lies. An instrument that does not change the price of a Europa orbiter may still change whether the orbiter is begun, and it certainly changes the community’s capacity to speak with one voice to those who hold the appropriations. The contribution of this work is to have separated the legend from the ledger, to have shown with a credible counterfactual that the survey’s authority is coordinative rather than allocative on the margin it was long assumed to control. The field is better served by knowing the true seat of that authority than by continuing to attribute to a document a power the data do not record. If the decadal survey is to be defended, it should be defended for what it demonstrably does, which is to forge consensus among reasonable people about which costly and worthy things to pursue, and not for a budgetary potency that, on this evidence, it does not possess.</w:t>
      </w:r>
    </w:p>
    <w:bookmarkEnd w:id="127"/>
    <w:bookmarkStart w:id="177" w:name="references"/>
    <w:p>
      <w:pPr>
        <w:pStyle w:val="Heading2"/>
        <w:spacing w:line="480" w:lineRule="auto"/>
      </w:pPr>
      <w:r>
        <w:t xml:space="preserve">References</w:t>
      </w:r>
    </w:p>
    <w:p>
      <w:pPr>
        <w:pStyle w:val="FirstParagraph"/>
        <w:spacing w:line="480" w:lineRule="auto"/>
      </w:pPr>
      <w:bookmarkStart w:id="128" w:name="ref-1"/>
      <w:bookmarkEnd w:id="128"/>
      <w:r>
        <w:t xml:space="preserve">1. OCEA/MITRE,</w:t>
      </w:r>
      <w:r>
        <w:t xml:space="preserve"> </w:t>
      </w:r>
      <w:r>
        <w:t xml:space="preserve">“Forecasting the Space Economy,”</w:t>
      </w:r>
      <w:r>
        <w:t xml:space="preserve"> </w:t>
      </w:r>
      <w:r>
        <w:t xml:space="preserve">space economy forecast critique establishing that aggregate forecasts are systematically overstated through compound-growth and double-counting methodology, with government space budgets enumerated as a distinct component. Space Economy Papers corpus, source SD08.</w:t>
      </w:r>
    </w:p>
    <w:p>
      <w:pPr>
        <w:pStyle w:val="BodyText"/>
        <w:spacing w:line="480" w:lineRule="auto"/>
        <w:ind w:firstLine="720"/>
      </w:pPr>
      <w:bookmarkStart w:id="129" w:name="ref-2"/>
      <w:bookmarkEnd w:id="129"/>
      <w:r>
        <w:t xml:space="preserve">2. M. Weinzierl,</w:t>
      </w:r>
      <w:r>
        <w:t xml:space="preserve"> </w:t>
      </w:r>
      <w:r>
        <w:t xml:space="preserve">“Space, the Final Economic Frontier,”</w:t>
      </w:r>
      <w:r>
        <w:t xml:space="preserve"> </w:t>
      </w:r>
      <w:r>
        <w:rPr>
          <w:i/>
          <w:iCs/>
        </w:rPr>
        <w:t xml:space="preserve">Journal of Economic Perspectives</w:t>
      </w:r>
      <w:r>
        <w:t xml:space="preserve">, 2018, three-part economic framework for the space economy, including the share of NASA’s human spaceflight budget absorbed by historically dominant programs. Space Economy Papers corpus, source SD18.</w:t>
      </w:r>
    </w:p>
    <w:p>
      <w:pPr>
        <w:pStyle w:val="BodyText"/>
        <w:spacing w:line="480" w:lineRule="auto"/>
        <w:ind w:firstLine="720"/>
      </w:pPr>
      <w:bookmarkStart w:id="130" w:name="ref-3"/>
      <w:bookmarkEnd w:id="130"/>
      <w:r>
        <w:t xml:space="preserve">3. OCEA/MITRE,</w:t>
      </w:r>
      <w:r>
        <w:t xml:space="preserve"> </w:t>
      </w:r>
      <w:r>
        <w:t xml:space="preserve">“Forecasting the Space Economy,”</w:t>
      </w:r>
      <w:r>
        <w:t xml:space="preserve"> </w:t>
      </w:r>
      <w:r>
        <w:t xml:space="preserve">definition of the space economy components including government space budgets as a policy-determined element. Space Economy Papers corpus, source SD08.</w:t>
      </w:r>
    </w:p>
    <w:p>
      <w:pPr>
        <w:pStyle w:val="BodyText"/>
        <w:spacing w:line="480" w:lineRule="auto"/>
        <w:ind w:firstLine="720"/>
      </w:pPr>
      <w:bookmarkStart w:id="131" w:name="ref-4"/>
      <w:bookmarkEnd w:id="131"/>
      <w:r>
        <w:t xml:space="preserve">4.</w:t>
      </w:r>
      <w:r>
        <w:t xml:space="preserve"> </w:t>
      </w:r>
      <w:r>
        <w:t xml:space="preserve">“The Role of Space in Driving Sustainability, Security, and Development,”</w:t>
      </w:r>
      <w:r>
        <w:t xml:space="preserve"> </w:t>
      </w:r>
      <w:r>
        <w:t xml:space="preserve">treatment of space-economy scale and governance conditions. Space Economy Papers corpus, source SD13.</w:t>
      </w:r>
    </w:p>
    <w:p>
      <w:pPr>
        <w:pStyle w:val="BodyText"/>
        <w:spacing w:line="480" w:lineRule="auto"/>
        <w:ind w:firstLine="720"/>
      </w:pPr>
      <w:bookmarkStart w:id="132" w:name="ref-5"/>
      <w:bookmarkEnd w:id="132"/>
      <w:r>
        <w:t xml:space="preserve">5. M. Ş. Uludağ and A. R. Aslan,</w:t>
      </w:r>
      <w:r>
        <w:t xml:space="preserve"> </w:t>
      </w:r>
      <w:r>
        <w:t xml:space="preserve">“Highly-miniaturized spacecraft</w:t>
      </w:r>
      <w:r>
        <w:t xml:space="preserve"> </w:t>
      </w:r>
      <w:r>
        <w:t xml:space="preserve">‘PlanarSat’</w:t>
      </w:r>
      <w:r>
        <w:t xml:space="preserve">: Evaluating prospects and challenges through a survey of femto and atto satellite missions,”</w:t>
      </w:r>
      <w:r>
        <w:t xml:space="preserve"> </w:t>
      </w:r>
      <w:r>
        <w:rPr>
          <w:i/>
          <w:iCs/>
        </w:rPr>
        <w:t xml:space="preserve">Acta Astronautica</w:t>
      </w:r>
      <w:r>
        <w:t xml:space="preserve">, vol. 236, 2025. doi:</w:t>
      </w:r>
      <w:r>
        <w:t xml:space="preserve"> </w:t>
      </w:r>
      <w:hyperlink r:id="rId133">
        <w:r>
          <w:rPr>
            <w:rStyle w:val="Hyperlink"/>
          </w:rPr>
          <w:t xml:space="preserve">10.1016/j.actaastro.2025.05.018</w:t>
        </w:r>
      </w:hyperlink>
    </w:p>
    <w:p>
      <w:pPr>
        <w:pStyle w:val="BodyText"/>
        <w:spacing w:line="480" w:lineRule="auto"/>
        <w:ind w:firstLine="720"/>
      </w:pPr>
      <w:bookmarkStart w:id="134" w:name="ref-6"/>
      <w:bookmarkEnd w:id="134"/>
      <w:r>
        <w:t xml:space="preserve">6. M. Otsuki et al.,</w:t>
      </w:r>
      <w:r>
        <w:t xml:space="preserve"> </w:t>
      </w:r>
      <w:r>
        <w:t xml:space="preserve">“Exhaustive evaluation of microgravity landing dynamics for small body exploration,”</w:t>
      </w:r>
      <w:r>
        <w:t xml:space="preserve"> </w:t>
      </w:r>
      <w:r>
        <w:rPr>
          <w:i/>
          <w:iCs/>
        </w:rPr>
        <w:t xml:space="preserve">Acta Astronautica</w:t>
      </w:r>
      <w:r>
        <w:t xml:space="preserve">, vol. 238, 2025. doi:</w:t>
      </w:r>
      <w:r>
        <w:t xml:space="preserve"> </w:t>
      </w:r>
      <w:hyperlink r:id="rId135">
        <w:r>
          <w:rPr>
            <w:rStyle w:val="Hyperlink"/>
          </w:rPr>
          <w:t xml:space="preserve">10.1016/j.actaastro.2025.09.081</w:t>
        </w:r>
      </w:hyperlink>
    </w:p>
    <w:p>
      <w:pPr>
        <w:pStyle w:val="BodyText"/>
        <w:spacing w:line="480" w:lineRule="auto"/>
        <w:ind w:firstLine="720"/>
      </w:pPr>
      <w:bookmarkStart w:id="136" w:name="ref-7"/>
      <w:bookmarkEnd w:id="136"/>
      <w:r>
        <w:t xml:space="preserve">7. R. T. Nallapu and J. Thangavelautham,</w:t>
      </w:r>
      <w:r>
        <w:t xml:space="preserve"> </w:t>
      </w:r>
      <w:r>
        <w:t xml:space="preserve">“Design and sensitivity analysis of spacecraft swarms for planetary moon reconnaissance through co-orbits,”</w:t>
      </w:r>
      <w:r>
        <w:t xml:space="preserve"> </w:t>
      </w:r>
      <w:r>
        <w:rPr>
          <w:i/>
          <w:iCs/>
        </w:rPr>
        <w:t xml:space="preserve">Acta Astronautica</w:t>
      </w:r>
      <w:r>
        <w:t xml:space="preserve">, vol. 178, 2020. doi:</w:t>
      </w:r>
      <w:r>
        <w:t xml:space="preserve"> </w:t>
      </w:r>
      <w:hyperlink r:id="rId137">
        <w:r>
          <w:rPr>
            <w:rStyle w:val="Hyperlink"/>
          </w:rPr>
          <w:t xml:space="preserve">10.1016/j.actaastro.2020.10.008</w:t>
        </w:r>
      </w:hyperlink>
    </w:p>
    <w:p>
      <w:pPr>
        <w:pStyle w:val="BodyText"/>
        <w:spacing w:line="480" w:lineRule="auto"/>
        <w:ind w:firstLine="720"/>
      </w:pPr>
      <w:bookmarkStart w:id="138" w:name="ref-8"/>
      <w:bookmarkEnd w:id="138"/>
      <w:r>
        <w:t xml:space="preserve">8.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139">
        <w:r>
          <w:rPr>
            <w:rStyle w:val="Hyperlink"/>
          </w:rPr>
          <w:t xml:space="preserve">10.1016/j.actaastro.2019.09.030</w:t>
        </w:r>
      </w:hyperlink>
    </w:p>
    <w:p>
      <w:pPr>
        <w:pStyle w:val="BodyText"/>
        <w:spacing w:line="480" w:lineRule="auto"/>
        <w:ind w:firstLine="720"/>
      </w:pPr>
      <w:bookmarkStart w:id="140" w:name="ref-9"/>
      <w:bookmarkEnd w:id="140"/>
      <w:r>
        <w:t xml:space="preserve">9. P. D. Friz and J. A. Samareh,</w:t>
      </w:r>
      <w:r>
        <w:t xml:space="preserve"> </w:t>
      </w:r>
      <w:r>
        <w:t xml:space="preserve">“Parametric Cost Modeling of a Mid-Lift-to-Drag Ratio Vehicle for Human Mars Entry, Descent, and Landing,”</w:t>
      </w:r>
      <w:r>
        <w:t xml:space="preserve"> </w:t>
      </w:r>
      <w:r>
        <w:t xml:space="preserve">NASA Technical Reports Server, NTRS ID 20205007761, ASCEND, 2020.</w:t>
      </w:r>
    </w:p>
    <w:p>
      <w:pPr>
        <w:pStyle w:val="BodyText"/>
        <w:spacing w:line="480" w:lineRule="auto"/>
        <w:ind w:firstLine="720"/>
      </w:pPr>
      <w:bookmarkStart w:id="141" w:name="ref-10"/>
      <w:bookmarkEnd w:id="141"/>
      <w:r>
        <w:t xml:space="preserve">10. C. Lowe, C. McGrath, S. Hancock, et al.,</w:t>
      </w:r>
      <w:r>
        <w:t xml:space="preserve"> </w:t>
      </w:r>
      <w:r>
        <w:t xml:space="preserve">“Spacecraft and optics design considerations for a spaceborne lidar mission with spatially continuous global coverage,”</w:t>
      </w:r>
      <w:r>
        <w:t xml:space="preserve"> </w:t>
      </w:r>
      <w:r>
        <w:t xml:space="preserve">Acta Astronautica, vol. 214, 2023. doi:</w:t>
      </w:r>
      <w:r>
        <w:t xml:space="preserve"> </w:t>
      </w:r>
      <w:hyperlink r:id="rId142">
        <w:r>
          <w:rPr>
            <w:rStyle w:val="Hyperlink"/>
          </w:rPr>
          <w:t xml:space="preserve">10.1016/j.actaastro.2023.10.042</w:t>
        </w:r>
      </w:hyperlink>
    </w:p>
    <w:p>
      <w:pPr>
        <w:pStyle w:val="BodyText"/>
        <w:spacing w:line="480" w:lineRule="auto"/>
        <w:ind w:firstLine="720"/>
      </w:pPr>
      <w:bookmarkStart w:id="143" w:name="ref-11"/>
      <w:bookmarkEnd w:id="143"/>
      <w:r>
        <w:t xml:space="preserve">11. The Planetary Society,</w:t>
      </w:r>
      <w:r>
        <w:t xml:space="preserve"> </w:t>
      </w:r>
      <w:r>
        <w:t xml:space="preserve">“What Is the Decadal Survey?,”</w:t>
      </w:r>
      <w:r>
        <w:t xml:space="preserve"> </w:t>
      </w:r>
      <w:r>
        <w:t xml:space="preserve">planetary.org/space-policy/what-is-the-decadal-survey, accessed 2026.</w:t>
      </w:r>
    </w:p>
    <w:p>
      <w:pPr>
        <w:pStyle w:val="BodyText"/>
        <w:spacing w:line="480" w:lineRule="auto"/>
        <w:ind w:firstLine="720"/>
      </w:pPr>
      <w:bookmarkStart w:id="144" w:name="ref-12"/>
      <w:bookmarkEnd w:id="144"/>
      <w:r>
        <w:t xml:space="preserve">12. V. Lo Gatto, J. Izraelevitz, M. Pauken, et al.,</w:t>
      </w:r>
      <w:r>
        <w:t xml:space="preserve"> </w:t>
      </w:r>
      <w:r>
        <w:t xml:space="preserve">“Inflation sequence tradeoffs and laboratory demonstration of a prototype variable-altitude Venus aerobot,”</w:t>
      </w:r>
      <w:r>
        <w:t xml:space="preserve"> </w:t>
      </w:r>
      <w:r>
        <w:t xml:space="preserve">Acta Astronautica, vol. 214, 2023. doi:</w:t>
      </w:r>
      <w:r>
        <w:t xml:space="preserve"> </w:t>
      </w:r>
      <w:hyperlink r:id="rId145">
        <w:r>
          <w:rPr>
            <w:rStyle w:val="Hyperlink"/>
          </w:rPr>
          <w:t xml:space="preserve">10.1016/j.actaastro.2023.11.035</w:t>
        </w:r>
      </w:hyperlink>
    </w:p>
    <w:p>
      <w:pPr>
        <w:pStyle w:val="BodyText"/>
        <w:spacing w:line="480" w:lineRule="auto"/>
        <w:ind w:firstLine="720"/>
      </w:pPr>
      <w:bookmarkStart w:id="146" w:name="ref-13"/>
      <w:bookmarkEnd w:id="146"/>
      <w:r>
        <w:t xml:space="preserve">13. Spaceflight Now,</w:t>
      </w:r>
      <w:r>
        <w:t xml:space="preserve"> </w:t>
      </w:r>
      <w:r>
        <w:t xml:space="preserve">“Robotic mission to Uranus receives top priority in decadal survey,”</w:t>
      </w:r>
      <w:r>
        <w:t xml:space="preserve"> </w:t>
      </w:r>
      <w:r>
        <w:t xml:space="preserve">spaceflightnow.com, April 19, 2022.</w:t>
      </w:r>
    </w:p>
    <w:p>
      <w:pPr>
        <w:pStyle w:val="BodyText"/>
        <w:spacing w:line="480" w:lineRule="auto"/>
        <w:ind w:firstLine="720"/>
      </w:pPr>
      <w:bookmarkStart w:id="147" w:name="ref-14"/>
      <w:bookmarkEnd w:id="147"/>
      <w:r>
        <w:t xml:space="preserve">14. AIP FYI,</w:t>
      </w:r>
      <w:r>
        <w:t xml:space="preserve"> </w:t>
      </w:r>
      <w:r>
        <w:t xml:space="preserve">“2022 Planetary Science Decadal Survey: Recommendations for Major Missions,”</w:t>
      </w:r>
      <w:r>
        <w:t xml:space="preserve"> </w:t>
      </w:r>
      <w:r>
        <w:t xml:space="preserve">aip.org/fyi, 2022.</w:t>
      </w:r>
    </w:p>
    <w:p>
      <w:pPr>
        <w:pStyle w:val="BodyText"/>
        <w:spacing w:line="480" w:lineRule="auto"/>
        <w:ind w:firstLine="720"/>
      </w:pPr>
      <w:bookmarkStart w:id="148" w:name="ref-15"/>
      <w:bookmarkEnd w:id="148"/>
      <w:r>
        <w:t xml:space="preserve">15. Wikipedia,</w:t>
      </w:r>
      <w:r>
        <w:t xml:space="preserve"> </w:t>
      </w:r>
      <w:r>
        <w:t xml:space="preserve">“Planetary Science Decadal Survey,”</w:t>
      </w:r>
      <w:r>
        <w:t xml:space="preserve"> </w:t>
      </w:r>
      <w:r>
        <w:t xml:space="preserve">en.wikipedia.org/wiki/Planetary_Science_Decadal_Survey, accessed 2026.</w:t>
      </w:r>
    </w:p>
    <w:p>
      <w:pPr>
        <w:pStyle w:val="BodyText"/>
        <w:spacing w:line="480" w:lineRule="auto"/>
        <w:ind w:firstLine="720"/>
      </w:pPr>
      <w:bookmarkStart w:id="149" w:name="ref-16"/>
      <w:bookmarkEnd w:id="149"/>
      <w:r>
        <w:t xml:space="preserve">16. Wikipedia,</w:t>
      </w:r>
      <w:r>
        <w:t xml:space="preserve"> </w:t>
      </w:r>
      <w:r>
        <w:t xml:space="preserve">“NASA large strategic science missions,”</w:t>
      </w:r>
      <w:r>
        <w:t xml:space="preserve"> </w:t>
      </w:r>
      <w:r>
        <w:t xml:space="preserve">en.wikipedia.org/wiki/NASA_large_strategic_science_missions, accessed 2026.</w:t>
      </w:r>
    </w:p>
    <w:p>
      <w:pPr>
        <w:pStyle w:val="BodyText"/>
        <w:spacing w:line="480" w:lineRule="auto"/>
        <w:ind w:firstLine="720"/>
      </w:pPr>
      <w:bookmarkStart w:id="150" w:name="ref-17"/>
      <w:bookmarkEnd w:id="150"/>
      <w:r>
        <w:t xml:space="preserve">17. U.S. Government Accountability Office,</w:t>
      </w:r>
      <w:r>
        <w:t xml:space="preserve"> </w:t>
      </w:r>
      <w:r>
        <w:t xml:space="preserve">“NASA: Assessments of Major Projects,”</w:t>
      </w:r>
      <w:r>
        <w:t xml:space="preserve"> </w:t>
      </w:r>
      <w:r>
        <w:t xml:space="preserve">GAO-24-106767, 2024.</w:t>
      </w:r>
    </w:p>
    <w:p>
      <w:pPr>
        <w:pStyle w:val="BodyText"/>
        <w:spacing w:line="480" w:lineRule="auto"/>
        <w:ind w:firstLine="720"/>
      </w:pPr>
      <w:bookmarkStart w:id="151" w:name="ref-18"/>
      <w:bookmarkEnd w:id="151"/>
      <w:r>
        <w:t xml:space="preserve">18. Phan Dao, AFRL Space Vehicles Directorate; Kristen Weasenforth, Applied Optimization; Jeff Hollon, Applied Optimization; Tamara Payne, Applied Optimization Inc.; Kimberly Kinateder, Wright State University; Adam Kruchten, University of Pittsburgh. Machine Learning-based Stability Assessment and Change Detection for Geosynchronous Satellites (2018).</w:t>
      </w:r>
    </w:p>
    <w:p>
      <w:pPr>
        <w:pStyle w:val="BodyText"/>
        <w:spacing w:line="480" w:lineRule="auto"/>
        <w:ind w:firstLine="720"/>
      </w:pPr>
      <w:bookmarkStart w:id="152" w:name="ref-19"/>
      <w:bookmarkEnd w:id="152"/>
      <w:r>
        <w:t xml:space="preserve">19. Neil Dhingra, Orbit Logic Incorporated; Cameron DeJac, Orbit Logic; Alex Herz, Orbit Logic; Trevor Wolf, University of Texas; Brandon Jones, University of Texas at Austin. Maximizing the Utility of Non-Traditional Sensor Network Data for SDA (2021).</w:t>
      </w:r>
    </w:p>
    <w:p>
      <w:pPr>
        <w:pStyle w:val="BodyText"/>
        <w:spacing w:line="480" w:lineRule="auto"/>
        <w:ind w:firstLine="720"/>
      </w:pPr>
      <w:bookmarkStart w:id="153" w:name="ref-20"/>
      <w:bookmarkEnd w:id="153"/>
      <w:r>
        <w:t xml:space="preserve">20. Belén Yu Irureta-Goyena Chang, E´cole Polytechnique Fe´de´rale de Lausanne; Elisabeth Rachith, E´cole Polytechnique Fe´de´rale de Lausanne; Jean-Paul Kneib, E´cole Polytechnique Fe´de´rale de Lausanne. Identifying Near-Earth Objects on Wide-Field Astronomical Surveys Using a Convolutional Neural Network (2022).</w:t>
      </w:r>
    </w:p>
    <w:p>
      <w:pPr>
        <w:pStyle w:val="BodyText"/>
        <w:spacing w:line="480" w:lineRule="auto"/>
        <w:ind w:firstLine="720"/>
      </w:pPr>
      <w:bookmarkStart w:id="154" w:name="ref-21"/>
      <w:bookmarkEnd w:id="154"/>
      <w:r>
        <w:t xml:space="preserve">21. Chen Zhang, Purple Mountain Observatory, Chinese Academy of Sciences and University of Science and Technology of China; YD Ping, Purple Mountain Observatory, Chinese Academy of Sciences and University of Science and Technology of China; CY Zhao, Purple Mountain Observatory, Chinese Academy of Sciences and University of Science and Technology of China. CHES: A Rapid All-Sky Survey System for SSA (2018).</w:t>
      </w:r>
    </w:p>
    <w:p>
      <w:pPr>
        <w:pStyle w:val="BodyText"/>
        <w:spacing w:line="480" w:lineRule="auto"/>
        <w:ind w:firstLine="720"/>
      </w:pPr>
      <w:bookmarkStart w:id="155" w:name="ref-22"/>
      <w:bookmarkEnd w:id="155"/>
      <w:r>
        <w:t xml:space="preserve">22. Andrew Abraham, Lockheed Martin; Oliver Schultz, Lockheed Martin Space. Cooperative Tracking Aid for Space Domain Awareness (2023). doi:</w:t>
      </w:r>
      <w:r>
        <w:t xml:space="preserve"> </w:t>
      </w:r>
      <w:hyperlink r:id="rId156">
        <w:r>
          <w:rPr>
            <w:rStyle w:val="Hyperlink"/>
          </w:rPr>
          <w:t xml:space="preserve">10.64861/DNKW1345</w:t>
        </w:r>
      </w:hyperlink>
    </w:p>
    <w:p>
      <w:pPr>
        <w:pStyle w:val="BodyText"/>
        <w:spacing w:line="480" w:lineRule="auto"/>
        <w:ind w:firstLine="720"/>
      </w:pPr>
      <w:bookmarkStart w:id="157" w:name="ref-23"/>
      <w:bookmarkEnd w:id="157"/>
      <w:r>
        <w:t xml:space="preserve">23. Ryan Melton, Ball Aerospace &amp; Technologies Corp.; Jason Thomas, Ball Aerospace &amp; Technologies Corp. An Open Source Long Term Archiving and Trending Solution for SSA (2019).</w:t>
      </w:r>
    </w:p>
    <w:p>
      <w:pPr>
        <w:pStyle w:val="BodyText"/>
        <w:spacing w:line="480" w:lineRule="auto"/>
        <w:ind w:firstLine="720"/>
      </w:pPr>
      <w:bookmarkStart w:id="158" w:name="ref-24"/>
      <w:bookmarkEnd w:id="158"/>
      <w:r>
        <w:t xml:space="preserve">24. Martin Mlynczak, Space Environment Technologies; W. Kent Tobiska, Space Environment Technologies; Shaylah Mutschler, Space Environment Technologies; Teresa Jensen, Space Dynamics Laboratory; Ryan Martineau, Space Dynamics Laboratory; Thomas Berger, University of Colorado Boulder; Nick Pedatella, National Center for Atmospheric Research; Eric Sutton, University of Colorado Boulder. NICECube – Nitric Oxide Infrared Cooling Emissions Cubesat. A Cubesat Solution to Enable Accurate Thermospheric Density Forecasts for Improved Space Situational Awareness (2025). doi:</w:t>
      </w:r>
      <w:r>
        <w:t xml:space="preserve"> </w:t>
      </w:r>
      <w:hyperlink r:id="rId159">
        <w:r>
          <w:rPr>
            <w:rStyle w:val="Hyperlink"/>
          </w:rPr>
          <w:t xml:space="preserve">10.64861/VUMF3172</w:t>
        </w:r>
      </w:hyperlink>
    </w:p>
    <w:p>
      <w:pPr>
        <w:pStyle w:val="BodyText"/>
        <w:spacing w:line="480" w:lineRule="auto"/>
        <w:ind w:firstLine="720"/>
      </w:pPr>
      <w:bookmarkStart w:id="160" w:name="ref-25"/>
      <w:bookmarkEnd w:id="160"/>
      <w:r>
        <w:t xml:space="preserve">25. John T. McGraw, (University of New Mexico), Mark R. Ackermann, (Sandia National Laboratories), Peter C. Zimmer, (Go Green Termite, University of New Mexico). Lens Systems for Sky Surveys and Space Surveillance (2013).</w:t>
      </w:r>
    </w:p>
    <w:p>
      <w:pPr>
        <w:pStyle w:val="BodyText"/>
        <w:spacing w:line="480" w:lineRule="auto"/>
        <w:ind w:firstLine="720"/>
      </w:pPr>
      <w:bookmarkStart w:id="161" w:name="ref-26"/>
      <w:bookmarkEnd w:id="161"/>
      <w:r>
        <w:t xml:space="preserve">26. Carmen Pardini; Luciano Anselmo. Evaluating the impact of space activities in low earth orbit (2021). doi:</w:t>
      </w:r>
      <w:r>
        <w:t xml:space="preserve"> </w:t>
      </w:r>
      <w:hyperlink r:id="rId162">
        <w:r>
          <w:rPr>
            <w:rStyle w:val="Hyperlink"/>
          </w:rPr>
          <w:t xml:space="preserve">10.1016/j.actaastro.2021.03.030</w:t>
        </w:r>
      </w:hyperlink>
    </w:p>
    <w:p>
      <w:pPr>
        <w:pStyle w:val="BodyText"/>
        <w:spacing w:line="480" w:lineRule="auto"/>
        <w:ind w:firstLine="720"/>
      </w:pPr>
      <w:bookmarkStart w:id="163" w:name="ref-27"/>
      <w:bookmarkEnd w:id="163"/>
      <w:r>
        <w:t xml:space="preserve">27. Anna Hurova; M. Becker; Nicolas Bécu. Gamification in space law: A strategy to navigate the growing landscape (2025). doi:</w:t>
      </w:r>
      <w:r>
        <w:t xml:space="preserve"> </w:t>
      </w:r>
      <w:hyperlink r:id="rId164">
        <w:r>
          <w:rPr>
            <w:rStyle w:val="Hyperlink"/>
          </w:rPr>
          <w:t xml:space="preserve">10.1016/j.actaastro.2025.01.054</w:t>
        </w:r>
      </w:hyperlink>
    </w:p>
    <w:p>
      <w:pPr>
        <w:pStyle w:val="BodyText"/>
        <w:spacing w:line="480" w:lineRule="auto"/>
        <w:ind w:firstLine="720"/>
      </w:pPr>
      <w:bookmarkStart w:id="165" w:name="ref-28"/>
      <w:bookmarkEnd w:id="165"/>
      <w:r>
        <w:t xml:space="preserve">28. Justin Walsh; Alice Gorman; Paola Castaño. Postorbital discard and chain of custody: The processing of artifacts returning to Earth from the International Space Station (2022). doi:</w:t>
      </w:r>
      <w:r>
        <w:t xml:space="preserve"> </w:t>
      </w:r>
      <w:hyperlink r:id="rId166">
        <w:r>
          <w:rPr>
            <w:rStyle w:val="Hyperlink"/>
          </w:rPr>
          <w:t xml:space="preserve">10.1016/j.actaastro.2022.03.035</w:t>
        </w:r>
      </w:hyperlink>
    </w:p>
    <w:p>
      <w:pPr>
        <w:pStyle w:val="BodyText"/>
        <w:spacing w:line="480" w:lineRule="auto"/>
        <w:ind w:firstLine="720"/>
      </w:pPr>
      <w:bookmarkStart w:id="167" w:name="ref-29"/>
      <w:bookmarkEnd w:id="167"/>
      <w:r>
        <w:t xml:space="preserve">29. Alessandra Vernile. Space for society: How Eurisy’s activities and research support publicawareness raising on satellite applications in meeting societal needs (2020). doi:</w:t>
      </w:r>
      <w:r>
        <w:t xml:space="preserve"> </w:t>
      </w:r>
      <w:hyperlink r:id="rId168">
        <w:r>
          <w:rPr>
            <w:rStyle w:val="Hyperlink"/>
          </w:rPr>
          <w:t xml:space="preserve">10.1016/j.actaastro.2020.08.037</w:t>
        </w:r>
      </w:hyperlink>
    </w:p>
    <w:p>
      <w:pPr>
        <w:pStyle w:val="BodyText"/>
        <w:spacing w:line="480" w:lineRule="auto"/>
        <w:ind w:firstLine="720"/>
      </w:pPr>
      <w:bookmarkStart w:id="169" w:name="ref-30"/>
      <w:bookmarkEnd w:id="169"/>
      <w:r>
        <w:t xml:space="preserve">30. Obinna Uyanna; Hamidreza Najafi. Thermal protection systems for space vehicles: A review on technology development, current challenges and future prospects (2020). doi:</w:t>
      </w:r>
      <w:r>
        <w:t xml:space="preserve"> </w:t>
      </w:r>
      <w:hyperlink r:id="rId170">
        <w:r>
          <w:rPr>
            <w:rStyle w:val="Hyperlink"/>
          </w:rPr>
          <w:t xml:space="preserve">10.1016/j.actaastro.2020.06.047</w:t>
        </w:r>
      </w:hyperlink>
    </w:p>
    <w:p>
      <w:pPr>
        <w:pStyle w:val="BodyText"/>
        <w:spacing w:line="480" w:lineRule="auto"/>
        <w:ind w:firstLine="720"/>
      </w:pPr>
      <w:bookmarkStart w:id="171" w:name="ref-31"/>
      <w:bookmarkEnd w:id="171"/>
      <w:r>
        <w:t xml:space="preserve">31. Valentina Zancan; Alessandro Paravano; Giorgio Locatelli; Paolo Trucco. Evolving governance in the space sector: From Legacy Space to New Space models (2024). doi:</w:t>
      </w:r>
      <w:r>
        <w:t xml:space="preserve"> </w:t>
      </w:r>
      <w:hyperlink r:id="rId172">
        <w:r>
          <w:rPr>
            <w:rStyle w:val="Hyperlink"/>
          </w:rPr>
          <w:t xml:space="preserve">10.1016/j.actaastro.2024.09.005</w:t>
        </w:r>
      </w:hyperlink>
    </w:p>
    <w:p>
      <w:pPr>
        <w:pStyle w:val="BodyText"/>
        <w:spacing w:line="480" w:lineRule="auto"/>
        <w:ind w:firstLine="720"/>
      </w:pPr>
      <w:bookmarkStart w:id="173" w:name="ref-32"/>
      <w:bookmarkEnd w:id="173"/>
      <w:r>
        <w:t xml:space="preserve">32. Stephanie Jarmak; Erin Leonard; Alex Akins; Emma Dahl; Daniel R. Cremons; S. Cofield; Aaron Curtis; Chuanfei Dong; Emilie T. Dunham; Baptiste Journaux; David D. Murakami; Wanyi Ng; M. Piquette; Athul Pradeepkumar Girija; Kimberly Rink; L. R. Schurmeier; N. Stein; Nicholas Tallarida; M. Telus; L. L. Lowes; C. J. Budney; K. L. Mitchell. QUEST: A New Frontiers Uranus orbiter mission concept study (2020). doi:</w:t>
      </w:r>
      <w:r>
        <w:t xml:space="preserve"> </w:t>
      </w:r>
      <w:hyperlink r:id="rId174">
        <w:r>
          <w:rPr>
            <w:rStyle w:val="Hyperlink"/>
          </w:rPr>
          <w:t xml:space="preserve">10.1016/j.actaastro.2020.01.030</w:t>
        </w:r>
      </w:hyperlink>
    </w:p>
    <w:p>
      <w:pPr>
        <w:pStyle w:val="BodyText"/>
        <w:spacing w:line="480" w:lineRule="auto"/>
        <w:ind w:firstLine="720"/>
      </w:pPr>
      <w:bookmarkStart w:id="175" w:name="ref-33"/>
      <w:bookmarkEnd w:id="175"/>
      <w:r>
        <w:t xml:space="preserve">33. Ákos Keresztúri; G. G. Ori; Nicol Katekin Dias Marques; Philippe Grandjean; Pascal Allemand; Vera Steinmann; G. Alberti; Marco Mastrogiuseppe; J. Gurgurewicz; W. Kofman; D. Mège; Claudio Orlanducci; Pierre‐Antoine Tesson; Osip Kokin; Sylvain Augier. FlyRadar – targets for future drone based GPR survey on mars (2025). doi:</w:t>
      </w:r>
      <w:r>
        <w:t xml:space="preserve"> </w:t>
      </w:r>
      <w:hyperlink r:id="rId176">
        <w:r>
          <w:rPr>
            <w:rStyle w:val="Hyperlink"/>
          </w:rPr>
          <w:t xml:space="preserve">10.1016/j.actaastro.2025.01.012</w:t>
        </w:r>
      </w:hyperlink>
    </w:p>
    <w:bookmarkEnd w:id="177"/>
    <w:bookmarkEnd w:id="178"/>
    <w:bookmarkStart w:id="18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6" w:name="X511148438cd0412578bb65722c8bb8eae0c0a53"/>
    <w:p>
      <w:pPr>
        <w:pStyle w:val="Heading2"/>
        <w:spacing w:line="480" w:lineRule="auto"/>
      </w:pPr>
      <w:r>
        <w:t xml:space="preserve">A.1 Did the Decadal Survey Change Where the Money Went? A Difference-in-Differences Estimate of How the 2011 Planetary Science Decadal Survey Reshaped NASA Mission Budgets by Destination Class</w:t>
      </w:r>
    </w:p>
    <w:p>
      <w:pPr>
        <w:pStyle w:val="FirstParagraph"/>
        <w:spacing w:line="480" w:lineRule="auto"/>
      </w:pPr>
      <m:oMathPara>
        <m:oMathParaPr>
          <m:jc m:val="center"/>
        </m:oMathParaPr>
        <m:oMath>
          <m:r>
            <m:rPr>
              <m:sty m:val="p"/>
            </m:rPr>
            <m:t>log</m:t>
          </m:r>
          <m:r>
            <m:rPr>
              <m:sty m:val="p"/>
            </m:rPr>
            <m:t>(</m:t>
          </m:r>
          <m:r>
            <m:rPr>
              <m:nor/>
              <m:sty m:val="p"/>
            </m:rPr>
            <m:t>lcc</m:t>
          </m:r>
          <m:sSub>
            <m:e>
              <m:r>
                <m:rPr>
                  <m:sty m:val="p"/>
                </m:rPr>
                <m:t>)</m:t>
              </m:r>
            </m:e>
            <m:sub>
              <m:r>
                <m:t>i</m:t>
              </m:r>
            </m:sub>
          </m:sSub>
          <m:r>
            <m:rPr>
              <m:sty m:val="p"/>
            </m:rPr>
            <m:t>=</m:t>
          </m:r>
          <m:sSub>
            <m:e>
              <m:r>
                <m:t>β</m:t>
              </m:r>
            </m:e>
            <m:sub>
              <m:r>
                <m:t>0</m:t>
              </m:r>
            </m:sub>
          </m:sSub>
          <m:r>
            <m:rPr>
              <m:sty m:val="p"/>
            </m:rPr>
            <m:t>+</m:t>
          </m:r>
          <m:sSub>
            <m:e>
              <m:r>
                <m:t>β</m:t>
              </m:r>
            </m:e>
            <m:sub>
              <m:r>
                <m:t>1</m:t>
              </m:r>
            </m:sub>
          </m:sSub>
          <m:r>
            <m:t> </m:t>
          </m:r>
          <m:sSub>
            <m:e>
              <m:r>
                <m:rPr>
                  <m:nor/>
                  <m:sty m:val="p"/>
                </m:rPr>
                <m:t>decadal_priority</m:t>
              </m:r>
            </m:e>
            <m:sub>
              <m:r>
                <m:t>i</m:t>
              </m:r>
            </m:sub>
          </m:sSub>
          <m:r>
            <m:rPr>
              <m:sty m:val="p"/>
            </m:rPr>
            <m:t>+</m:t>
          </m:r>
          <m:sSub>
            <m:e>
              <m:r>
                <m:t>β</m:t>
              </m:r>
            </m:e>
            <m:sub>
              <m:r>
                <m:t>2</m:t>
              </m:r>
            </m:sub>
          </m:sSub>
          <m:r>
            <m:t> </m:t>
          </m:r>
          <m:sSub>
            <m:e>
              <m:r>
                <m:rPr>
                  <m:nor/>
                  <m:sty m:val="p"/>
                </m:rPr>
                <m:t>post_2011</m:t>
              </m:r>
            </m:e>
            <m:sub>
              <m:r>
                <m:t>i</m:t>
              </m:r>
            </m:sub>
          </m:sSub>
          <m:r>
            <m:rPr>
              <m:sty m:val="p"/>
            </m:rPr>
            <m:t>+</m:t>
          </m:r>
          <m:sSub>
            <m:e>
              <m:r>
                <m:t>β</m:t>
              </m:r>
            </m:e>
            <m:sub>
              <m:r>
                <m:t>3</m:t>
              </m:r>
            </m:sub>
          </m:sSub>
          <m:r>
            <m:t> </m:t>
          </m:r>
          <m:r>
            <m:rPr>
              <m:sty m:val="p"/>
            </m:rPr>
            <m:t>(</m:t>
          </m:r>
          <m:r>
            <m:rPr>
              <m:nor/>
              <m:sty m:val="p"/>
            </m:rPr>
            <m:t>decadal_priority</m:t>
          </m:r>
          <m:r>
            <m:rPr>
              <m:sty m:val="p"/>
            </m:rPr>
            <m:t>×</m:t>
          </m:r>
          <m:r>
            <m:rPr>
              <m:nor/>
              <m:sty m:val="p"/>
            </m:rPr>
            <m:t>post_2011</m:t>
          </m:r>
          <m:sSub>
            <m:e>
              <m:r>
                <m:rPr>
                  <m:sty m:val="p"/>
                </m:rPr>
                <m:t>)</m:t>
              </m:r>
            </m:e>
            <m:sub>
              <m:r>
                <m:t>i</m:t>
              </m:r>
            </m:sub>
          </m:sSub>
          <m:r>
            <m:rPr>
              <m:sty m:val="p"/>
            </m:rPr>
            <m:t>+</m:t>
          </m:r>
          <m:sSub>
            <m:e>
              <m:r>
                <m:t>ε</m:t>
              </m:r>
            </m:e>
            <m:sub>
              <m:r>
                <m:t>i</m:t>
              </m:r>
            </m:sub>
          </m:sSub>
        </m:oMath>
      </m:oMathPara>
    </w:p>
    <w:bookmarkStart w:id="17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5.6547</w:t>
            </w:r>
          </w:p>
        </w:tc>
        <w:tc>
          <w:tcPr>
            <w:tcW w:w="0" w:type="auto"/>
          </w:tcPr>
          <w:p>
            <w:pPr>
              <w:spacing w:line="240" w:lineRule="auto" w:before="0" w:after="0"/>
              <w:pStyle w:val="Compact"/>
            </w:pPr>
            <w:r>
              <w:rPr>
                <w:sz w:val="20"/>
                <w:szCs w:val="20"/>
              </w:rPr>
              <w:t xml:space="preserve">0.2166</w:t>
            </w:r>
          </w:p>
        </w:tc>
        <w:tc>
          <w:tcPr>
            <w:tcW w:w="0" w:type="auto"/>
          </w:tcPr>
          <w:p>
            <w:pPr>
              <w:spacing w:line="240" w:lineRule="auto" w:before="0" w:after="0"/>
              <w:pStyle w:val="Compact"/>
            </w:pPr>
            <w:r>
              <w:rPr>
                <w:sz w:val="20"/>
                <w:szCs w:val="20"/>
              </w:rPr>
              <w:t xml:space="preserve">26.1012</w:t>
            </w:r>
          </w:p>
        </w:tc>
        <w:tc>
          <w:tcPr>
            <w:tcW w:w="0" w:type="auto"/>
          </w:tcPr>
          <w:p>
            <w:pPr>
              <w:spacing w:line="240" w:lineRule="auto" w:before="0" w:after="0"/>
              <w:pStyle w:val="Compact"/>
            </w:pPr>
            <w:r>
              <w:rPr>
                <w:sz w:val="20"/>
                <w:szCs w:val="20"/>
              </w:rPr>
              <w:t xml:space="preserve">3.537e-150</w:t>
            </w:r>
          </w:p>
        </w:tc>
        <w:tc>
          <w:tcPr>
            <w:tcW w:w="0" w:type="auto"/>
          </w:tcPr>
          <w:p>
            <w:pPr>
              <w:spacing w:line="240" w:lineRule="auto" w:before="0" w:after="0"/>
              <w:pStyle w:val="Compact"/>
            </w:pPr>
            <w:r>
              <w:rPr>
                <w:sz w:val="20"/>
                <w:szCs w:val="20"/>
              </w:rPr>
              <w:t xml:space="preserve">[5.2301, 6.0793]</w:t>
            </w:r>
          </w:p>
        </w:tc>
      </w:tr>
      <w:tr>
        <w:tc>
          <w:tcPr>
            <w:tcW w:w="0" w:type="auto"/>
          </w:tcPr>
          <w:p>
            <w:pPr>
              <w:spacing w:line="240" w:lineRule="auto" w:before="0" w:after="0"/>
              <w:pStyle w:val="Compact"/>
            </w:pPr>
            <w:r>
              <w:rPr>
                <w:sz w:val="20"/>
                <w:szCs w:val="20"/>
              </w:rPr>
              <w:t xml:space="preserve">decadal_priority</w:t>
            </w:r>
          </w:p>
        </w:tc>
        <w:tc>
          <w:tcPr>
            <w:tcW w:w="0" w:type="auto"/>
          </w:tcPr>
          <w:p>
            <w:pPr>
              <w:spacing w:line="240" w:lineRule="auto" w:before="0" w:after="0"/>
              <w:pStyle w:val="Compact"/>
            </w:pPr>
            <w:r>
              <w:rPr>
                <w:sz w:val="20"/>
                <w:szCs w:val="20"/>
              </w:rPr>
              <w:t xml:space="preserve">1.2554</w:t>
            </w:r>
          </w:p>
        </w:tc>
        <w:tc>
          <w:tcPr>
            <w:tcW w:w="0" w:type="auto"/>
          </w:tcPr>
          <w:p>
            <w:pPr>
              <w:spacing w:line="240" w:lineRule="auto" w:before="0" w:after="0"/>
              <w:pStyle w:val="Compact"/>
            </w:pPr>
            <w:r>
              <w:rPr>
                <w:sz w:val="20"/>
                <w:szCs w:val="20"/>
              </w:rPr>
              <w:t xml:space="preserve">0.3804</w:t>
            </w:r>
          </w:p>
        </w:tc>
        <w:tc>
          <w:tcPr>
            <w:tcW w:w="0" w:type="auto"/>
          </w:tcPr>
          <w:p>
            <w:pPr>
              <w:spacing w:line="240" w:lineRule="auto" w:before="0" w:after="0"/>
              <w:pStyle w:val="Compact"/>
            </w:pPr>
            <w:r>
              <w:rPr>
                <w:sz w:val="20"/>
                <w:szCs w:val="20"/>
              </w:rPr>
              <w:t xml:space="preserve">3.3004</w:t>
            </w:r>
          </w:p>
        </w:tc>
        <w:tc>
          <w:tcPr>
            <w:tcW w:w="0" w:type="auto"/>
          </w:tcPr>
          <w:p>
            <w:pPr>
              <w:spacing w:line="240" w:lineRule="auto" w:before="0" w:after="0"/>
              <w:pStyle w:val="Compact"/>
            </w:pPr>
            <w:r>
              <w:rPr>
                <w:sz w:val="20"/>
                <w:szCs w:val="20"/>
              </w:rPr>
              <w:t xml:space="preserve">0.0009655</w:t>
            </w:r>
          </w:p>
        </w:tc>
        <w:tc>
          <w:tcPr>
            <w:tcW w:w="0" w:type="auto"/>
          </w:tcPr>
          <w:p>
            <w:pPr>
              <w:spacing w:line="240" w:lineRule="auto" w:before="0" w:after="0"/>
              <w:pStyle w:val="Compact"/>
            </w:pPr>
            <w:r>
              <w:rPr>
                <w:sz w:val="20"/>
                <w:szCs w:val="20"/>
              </w:rPr>
              <w:t xml:space="preserve">[0.5099, 2.001]</w:t>
            </w:r>
          </w:p>
        </w:tc>
      </w:tr>
      <w:tr>
        <w:tc>
          <w:tcPr>
            <w:tcW w:w="0" w:type="auto"/>
          </w:tcPr>
          <w:p>
            <w:pPr>
              <w:spacing w:line="240" w:lineRule="auto" w:before="0" w:after="0"/>
              <w:pStyle w:val="Compact"/>
            </w:pPr>
            <w:r>
              <w:rPr>
                <w:sz w:val="20"/>
                <w:szCs w:val="20"/>
              </w:rPr>
              <w:t xml:space="preserve">post_2011</w:t>
            </w:r>
          </w:p>
        </w:tc>
        <w:tc>
          <w:tcPr>
            <w:tcW w:w="0" w:type="auto"/>
          </w:tcPr>
          <w:p>
            <w:pPr>
              <w:spacing w:line="240" w:lineRule="auto" w:before="0" w:after="0"/>
              <w:pStyle w:val="Compact"/>
            </w:pPr>
            <w:r>
              <w:rPr>
                <w:sz w:val="20"/>
                <w:szCs w:val="20"/>
              </w:rPr>
              <w:t xml:space="preserve">1.3181</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5.7317</w:t>
            </w:r>
          </w:p>
        </w:tc>
        <w:tc>
          <w:tcPr>
            <w:tcW w:w="0" w:type="auto"/>
          </w:tcPr>
          <w:p>
            <w:pPr>
              <w:spacing w:line="240" w:lineRule="auto" w:before="0" w:after="0"/>
              <w:pStyle w:val="Compact"/>
            </w:pPr>
            <w:r>
              <w:rPr>
                <w:sz w:val="20"/>
                <w:szCs w:val="20"/>
              </w:rPr>
              <w:t xml:space="preserve">9.942e-09</w:t>
            </w:r>
          </w:p>
        </w:tc>
        <w:tc>
          <w:tcPr>
            <w:tcW w:w="0" w:type="auto"/>
          </w:tcPr>
          <w:p>
            <w:pPr>
              <w:spacing w:line="240" w:lineRule="auto" w:before="0" w:after="0"/>
              <w:pStyle w:val="Compact"/>
            </w:pPr>
            <w:r>
              <w:rPr>
                <w:sz w:val="20"/>
                <w:szCs w:val="20"/>
              </w:rPr>
              <w:t xml:space="preserve">[0.8674, 1.7689]</w:t>
            </w:r>
          </w:p>
        </w:tc>
      </w:tr>
      <w:tr>
        <w:tc>
          <w:tcPr>
            <w:tcW w:w="0" w:type="auto"/>
          </w:tcPr>
          <w:p>
            <w:pPr>
              <w:spacing w:line="240" w:lineRule="auto" w:before="0" w:after="0"/>
              <w:pStyle w:val="Compact"/>
            </w:pPr>
            <w:r>
              <w:rPr>
                <w:sz w:val="20"/>
                <w:szCs w:val="20"/>
              </w:rPr>
              <w:t xml:space="preserve">did</w:t>
            </w:r>
          </w:p>
        </w:tc>
        <w:tc>
          <w:tcPr>
            <w:tcW w:w="0" w:type="auto"/>
          </w:tcPr>
          <w:p>
            <w:pPr>
              <w:spacing w:line="240" w:lineRule="auto" w:before="0" w:after="0"/>
              <w:pStyle w:val="Compact"/>
            </w:pPr>
            <w:r>
              <w:rPr>
                <w:sz w:val="20"/>
                <w:szCs w:val="20"/>
              </w:rPr>
              <w:t xml:space="preserve">-0.3955</w:t>
            </w:r>
          </w:p>
        </w:tc>
        <w:tc>
          <w:tcPr>
            <w:tcW w:w="0" w:type="auto"/>
          </w:tcPr>
          <w:p>
            <w:pPr>
              <w:spacing w:line="240" w:lineRule="auto" w:before="0" w:after="0"/>
              <w:pStyle w:val="Compact"/>
            </w:pPr>
            <w:r>
              <w:rPr>
                <w:sz w:val="20"/>
                <w:szCs w:val="20"/>
              </w:rPr>
              <w:t xml:space="preserve">0.5344</w:t>
            </w:r>
          </w:p>
        </w:tc>
        <w:tc>
          <w:tcPr>
            <w:tcW w:w="0" w:type="auto"/>
          </w:tcPr>
          <w:p>
            <w:pPr>
              <w:spacing w:line="240" w:lineRule="auto" w:before="0" w:after="0"/>
              <w:pStyle w:val="Compact"/>
            </w:pPr>
            <w:r>
              <w:rPr>
                <w:sz w:val="20"/>
                <w:szCs w:val="20"/>
              </w:rPr>
              <w:t xml:space="preserve">-0.7401</w:t>
            </w:r>
          </w:p>
        </w:tc>
        <w:tc>
          <w:tcPr>
            <w:tcW w:w="0" w:type="auto"/>
          </w:tcPr>
          <w:p>
            <w:pPr>
              <w:spacing w:line="240" w:lineRule="auto" w:before="0" w:after="0"/>
              <w:pStyle w:val="Compact"/>
            </w:pPr>
            <w:r>
              <w:rPr>
                <w:sz w:val="20"/>
                <w:szCs w:val="20"/>
              </w:rPr>
              <w:t xml:space="preserve">0.4593</w:t>
            </w:r>
          </w:p>
        </w:tc>
        <w:tc>
          <w:tcPr>
            <w:tcW w:w="0" w:type="auto"/>
          </w:tcPr>
          <w:p>
            <w:pPr>
              <w:spacing w:line="240" w:lineRule="auto" w:before="0" w:after="0"/>
              <w:pStyle w:val="Compact"/>
            </w:pPr>
            <w:r>
              <w:rPr>
                <w:sz w:val="20"/>
                <w:szCs w:val="20"/>
              </w:rPr>
              <w:t xml:space="preserve">[-1.4429, 0.6519]</w:t>
            </w:r>
          </w:p>
        </w:tc>
      </w:tr>
    </w:tbl>
    <w:p>
      <w:pPr>
        <w:pStyle w:val="BodyText"/>
        <w:spacing w:line="480" w:lineRule="auto"/>
        <w:ind w:firstLine="720"/>
      </w:pPr>
      <w:r>
        <w:t xml:space="preserve">Fit: N = 28 R2 = 0.5927 R2_adj = 0.5418 F = 13.3746 F_p = 2.463e-05</w:t>
      </w:r>
    </w:p>
    <w:bookmarkEnd w:id="179"/>
    <w:bookmarkStart w:id="18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og mission lifecycle cost against selection year for 28 NASA planetary missions, 1977-2021, distinguishing decadal-prioritized destination classes (Mars, outer planets, ocean worlds) from control destinations (inner planets, small bodies, the Moon, exoplanet surveys). The vertical separation widening after the 2011 decadal survey is the visual signature the difference-in-differences design tests." title="" id="181" name="Picture"/>
            <a:graphic>
              <a:graphicData uri="http://schemas.openxmlformats.org/drawingml/2006/picture">
                <pic:pic>
                  <pic:nvPicPr>
                    <pic:cNvPr descr="D:/Claude_Code/brain/collegium/candidates/dissertations/JPL_PLANETARY_04/research_papers/p1/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Log mission lifecycle cost against selection year for 28 NASA planetary missions, 1977-2021, distinguishing decadal-prioritized destination classes (Mars, outer planets, ocean worlds) from control destinations (inner planets, small bodies, the Moon, exoplanet surveys). The vertical separation widening after the 2011 decadal survey is the visual signature the difference-in-differences design tests.</w:t>
      </w:r>
    </w:p>
    <w:bookmarkEnd w:id="183"/>
    <w:bookmarkStart w:id="18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select_year</w:t>
            </w:r>
          </w:p>
        </w:tc>
        <w:tc>
          <w:tcPr>
            <w:tcW w:w="0" w:type="auto"/>
          </w:tcPr>
          <w:p>
            <w:pPr>
              <w:spacing w:line="240" w:lineRule="auto" w:before="0" w:after="0"/>
              <w:pStyle w:val="Compact"/>
            </w:pPr>
            <w:r>
              <w:rPr>
                <w:sz w:val="20"/>
                <w:szCs w:val="20"/>
              </w:rPr>
              <w:t xml:space="preserve">destination_class</w:t>
            </w:r>
          </w:p>
        </w:tc>
        <w:tc>
          <w:tcPr>
            <w:tcW w:w="0" w:type="auto"/>
          </w:tcPr>
          <w:p>
            <w:pPr>
              <w:spacing w:line="240" w:lineRule="auto" w:before="0" w:after="0"/>
              <w:pStyle w:val="Compact"/>
            </w:pPr>
            <w:r>
              <w:rPr>
                <w:sz w:val="20"/>
                <w:szCs w:val="20"/>
              </w:rPr>
              <w:t xml:space="preserve">decadal_priority</w:t>
            </w:r>
          </w:p>
        </w:tc>
        <w:tc>
          <w:tcPr>
            <w:tcW w:w="0" w:type="auto"/>
          </w:tcPr>
          <w:p>
            <w:pPr>
              <w:spacing w:line="240" w:lineRule="auto" w:before="0" w:after="0"/>
              <w:pStyle w:val="Compact"/>
            </w:pPr>
            <w:r>
              <w:rPr>
                <w:sz w:val="20"/>
                <w:szCs w:val="20"/>
              </w:rPr>
              <w:t xml:space="preserve">post_2011</w:t>
            </w:r>
          </w:p>
        </w:tc>
        <w:tc>
          <w:tcPr>
            <w:tcW w:w="0" w:type="auto"/>
          </w:tcPr>
          <w:p>
            <w:pPr>
              <w:spacing w:line="240" w:lineRule="auto" w:before="0" w:after="0"/>
              <w:pStyle w:val="Compact"/>
            </w:pPr>
            <w:r>
              <w:rPr>
                <w:sz w:val="20"/>
                <w:szCs w:val="20"/>
              </w:rPr>
              <w:t xml:space="preserve">did</w:t>
            </w:r>
          </w:p>
        </w:tc>
        <w:tc>
          <w:tcPr>
            <w:tcW w:w="0" w:type="auto"/>
          </w:tcPr>
          <w:p>
            <w:pPr>
              <w:spacing w:line="240" w:lineRule="auto" w:before="0" w:after="0"/>
              <w:pStyle w:val="Compact"/>
            </w:pPr>
            <w:r>
              <w:rPr>
                <w:sz w:val="20"/>
                <w:szCs w:val="20"/>
              </w:rPr>
              <w:t xml:space="preserve">lcc_musd</w:t>
            </w:r>
          </w:p>
        </w:tc>
        <w:tc>
          <w:tcPr>
            <w:tcW w:w="0" w:type="auto"/>
          </w:tcPr>
          <w:p>
            <w:pPr>
              <w:spacing w:line="240" w:lineRule="auto" w:before="0" w:after="0"/>
              <w:pStyle w:val="Compact"/>
            </w:pPr>
            <w:r>
              <w:rPr>
                <w:sz w:val="20"/>
                <w:szCs w:val="20"/>
              </w:rPr>
              <w:t xml:space="preserve">log_lcc</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5.635</w:t>
            </w:r>
          </w:p>
        </w:tc>
        <w:tc>
          <w:tcPr>
            <w:tcW w:w="0" w:type="auto"/>
          </w:tcPr>
          <w:p>
            <w:pPr>
              <w:spacing w:line="240" w:lineRule="auto" w:before="0" w:after="0"/>
              <w:pStyle w:val="Compact"/>
            </w:pPr>
            <w:r>
              <w:rPr>
                <w:sz w:val="20"/>
                <w:szCs w:val="20"/>
              </w:rPr>
              <w:t xml:space="preserve">NASA/JPL Discovery program; lifecycle cost ~$280M then-year (NSSDCA discovery program list, nssdc.gsfc.nasa.gov/planetary/discovery.html)</w:t>
            </w:r>
          </w:p>
        </w:tc>
      </w:tr>
      <w:tr>
        <w:tc>
          <w:tcPr>
            <w:tcW w:w="0" w:type="auto"/>
          </w:tcPr>
          <w:p>
            <w:pPr>
              <w:spacing w:line="240" w:lineRule="auto" w:before="0" w:after="0"/>
              <w:pStyle w:val="Compact"/>
            </w:pPr>
            <w:r>
              <w:rPr>
                <w:sz w:val="20"/>
                <w:szCs w:val="20"/>
              </w:rPr>
              <w:t xml:space="preserve">NEAR Shoemaker</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5.412</w:t>
            </w:r>
          </w:p>
        </w:tc>
        <w:tc>
          <w:tcPr>
            <w:tcW w:w="0" w:type="auto"/>
          </w:tcPr>
          <w:p>
            <w:pPr>
              <w:spacing w:line="240" w:lineRule="auto" w:before="0" w:after="0"/>
              <w:pStyle w:val="Compact"/>
            </w:pPr>
            <w:r>
              <w:rPr>
                <w:sz w:val="20"/>
                <w:szCs w:val="20"/>
              </w:rPr>
              <w:t xml:space="preserve">NASA Discovery program; total ~$224M (NSSDCA discovery program list, nssdc.gsfc.nasa.gov/planetary/discovery.html)</w:t>
            </w:r>
          </w:p>
        </w:tc>
      </w:tr>
      <w:tr>
        <w:tc>
          <w:tcPr>
            <w:tcW w:w="0" w:type="auto"/>
          </w:tcPr>
          <w:p>
            <w:pPr>
              <w:spacing w:line="240" w:lineRule="auto" w:before="0" w:after="0"/>
              <w:pStyle w:val="Compact"/>
            </w:pPr>
            <w:r>
              <w:rPr>
                <w:sz w:val="20"/>
                <w:szCs w:val="20"/>
              </w:rPr>
              <w:t xml:space="preserve">Lunar Prospector</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4.143</w:t>
            </w:r>
          </w:p>
        </w:tc>
        <w:tc>
          <w:tcPr>
            <w:tcW w:w="0" w:type="auto"/>
          </w:tcPr>
          <w:p>
            <w:pPr>
              <w:spacing w:line="240" w:lineRule="auto" w:before="0" w:after="0"/>
              <w:pStyle w:val="Compact"/>
            </w:pPr>
            <w:r>
              <w:rPr>
                <w:sz w:val="20"/>
                <w:szCs w:val="20"/>
              </w:rPr>
              <w:t xml:space="preserve">NASA Discovery program; ~$63M total (NSSDCA discovery program list, nssdc.gsfc.nasa.gov/planetary/discovery.html)</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NASA Discovery program comet sample return; ~$300M (historicspacecraft.com/Probes_Discovery.html)</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5.561</w:t>
            </w:r>
          </w:p>
        </w:tc>
        <w:tc>
          <w:tcPr>
            <w:tcW w:w="0" w:type="auto"/>
          </w:tcPr>
          <w:p>
            <w:pPr>
              <w:spacing w:line="240" w:lineRule="auto" w:before="0" w:after="0"/>
              <w:pStyle w:val="Compact"/>
            </w:pPr>
            <w:r>
              <w:rPr>
                <w:sz w:val="20"/>
                <w:szCs w:val="20"/>
              </w:rPr>
              <w:t xml:space="preserve">NASA Discovery solar-wind sample return; ~$260M (historicspacecraft.com/Probes_Discovery.html)</w:t>
            </w:r>
          </w:p>
        </w:tc>
      </w:tr>
      <w:tr>
        <w:tc>
          <w:tcPr>
            <w:tcW w:w="0" w:type="auto"/>
          </w:tcPr>
          <w:p>
            <w:pPr>
              <w:spacing w:line="240" w:lineRule="auto" w:before="0" w:after="0"/>
              <w:pStyle w:val="Compact"/>
            </w:pPr>
            <w:r>
              <w:rPr>
                <w:sz w:val="20"/>
                <w:szCs w:val="20"/>
              </w:rPr>
              <w:t xml:space="preserve">CONTOUR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5.069</w:t>
            </w:r>
          </w:p>
        </w:tc>
        <w:tc>
          <w:tcPr>
            <w:tcW w:w="0" w:type="auto"/>
          </w:tcPr>
          <w:p>
            <w:pPr>
              <w:spacing w:line="240" w:lineRule="auto" w:before="0" w:after="0"/>
              <w:pStyle w:val="Compact"/>
            </w:pPr>
            <w:r>
              <w:rPr>
                <w:sz w:val="20"/>
                <w:szCs w:val="20"/>
              </w:rPr>
              <w:t xml:space="preserve">NASA Discovery comet mission (lost 2002); ~$159M (NSSDCA discovery program list, nssdc.gsfc.nasa.gov/planetary/discovery.html)</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6.109</w:t>
            </w:r>
          </w:p>
        </w:tc>
        <w:tc>
          <w:tcPr>
            <w:tcW w:w="0" w:type="auto"/>
          </w:tcPr>
          <w:p>
            <w:pPr>
              <w:spacing w:line="240" w:lineRule="auto" w:before="0" w:after="0"/>
              <w:pStyle w:val="Compact"/>
            </w:pPr>
            <w:r>
              <w:rPr>
                <w:sz w:val="20"/>
                <w:szCs w:val="20"/>
              </w:rPr>
              <w:t xml:space="preserve">NASA Discovery Mercury orbiter; total mission cost under $450M (en.wikipedia.org/wiki/MESSENGER; nasa.gov/history/messenger-from-setbacks-to-success)</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5.799</w:t>
            </w:r>
          </w:p>
        </w:tc>
        <w:tc>
          <w:tcPr>
            <w:tcW w:w="0" w:type="auto"/>
          </w:tcPr>
          <w:p>
            <w:pPr>
              <w:spacing w:line="240" w:lineRule="auto" w:before="0" w:after="0"/>
              <w:pStyle w:val="Compact"/>
            </w:pPr>
            <w:r>
              <w:rPr>
                <w:sz w:val="20"/>
                <w:szCs w:val="20"/>
              </w:rPr>
              <w:t xml:space="preserve">NASA Discovery comet impactor; ~$330M (historicspacecraft.com/Probes_Discovery.html)</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3900</w:t>
            </w:r>
          </w:p>
        </w:tc>
        <w:tc>
          <w:tcPr>
            <w:tcW w:w="0" w:type="auto"/>
          </w:tcPr>
          <w:p>
            <w:pPr>
              <w:spacing w:line="240" w:lineRule="auto" w:before="0" w:after="0"/>
              <w:pStyle w:val="Compact"/>
            </w:pPr>
            <w:r>
              <w:rPr>
                <w:sz w:val="20"/>
                <w:szCs w:val="20"/>
              </w:rPr>
              <w:t xml:space="preserve">8.269</w:t>
            </w:r>
          </w:p>
        </w:tc>
        <w:tc>
          <w:tcPr>
            <w:tcW w:w="0" w:type="auto"/>
          </w:tcPr>
          <w:p>
            <w:pPr>
              <w:spacing w:line="240" w:lineRule="auto" w:before="0" w:after="0"/>
              <w:pStyle w:val="Compact"/>
            </w:pPr>
            <w:r>
              <w:rPr>
                <w:sz w:val="20"/>
                <w:szCs w:val="20"/>
              </w:rPr>
              <w:t xml:space="preserve">NASA-ESA flagship Saturn orbiter; total ~$3.9B (science.nasa.gov/mission/cassini/quick-facts; en.wikipedia.org/wiki/Cassini-Huygens)</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NASA flagship Jupiter orbiter; total ~$1.4B (nasa.fandom Galileo; NASA large strategic science missions, en.wikipedia.org)</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467</w:t>
            </w:r>
          </w:p>
        </w:tc>
        <w:tc>
          <w:tcPr>
            <w:tcW w:w="0" w:type="auto"/>
          </w:tcPr>
          <w:p>
            <w:pPr>
              <w:spacing w:line="240" w:lineRule="auto" w:before="0" w:after="0"/>
              <w:pStyle w:val="Compact"/>
            </w:pPr>
            <w:r>
              <w:rPr>
                <w:sz w:val="20"/>
                <w:szCs w:val="20"/>
              </w:rPr>
              <w:t xml:space="preserve">6.146</w:t>
            </w:r>
          </w:p>
        </w:tc>
        <w:tc>
          <w:tcPr>
            <w:tcW w:w="0" w:type="auto"/>
          </w:tcPr>
          <w:p>
            <w:pPr>
              <w:spacing w:line="240" w:lineRule="auto" w:before="0" w:after="0"/>
              <w:pStyle w:val="Compact"/>
            </w:pPr>
            <w:r>
              <w:rPr>
                <w:sz w:val="20"/>
                <w:szCs w:val="20"/>
              </w:rPr>
              <w:t xml:space="preserve">NASA Discovery Vesta/Ceres orbiter; ~$467M lifecycle (en.wikipedia.org/wiki/Discovery_Program; historicspacecraft.com)</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exoplanet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6.397</w:t>
            </w:r>
          </w:p>
        </w:tc>
        <w:tc>
          <w:tcPr>
            <w:tcW w:w="0" w:type="auto"/>
          </w:tcPr>
          <w:p>
            <w:pPr>
              <w:spacing w:line="240" w:lineRule="auto" w:before="0" w:after="0"/>
              <w:pStyle w:val="Compact"/>
            </w:pPr>
            <w:r>
              <w:rPr>
                <w:sz w:val="20"/>
                <w:szCs w:val="20"/>
              </w:rPr>
              <w:t xml:space="preserve">NASA Discovery exoplanet telescope; ~$600M lifecycle (en.wikipedia.org/wiki/Discovery_Program)</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781</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NASA New Frontiers-1 Pluto flyby; total project ~$780.6M (planetary.org/space-policy/cost-of-new-horizons; en.wikipedia.org/wiki/New_Horizons)</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6.579</w:t>
            </w:r>
          </w:p>
        </w:tc>
        <w:tc>
          <w:tcPr>
            <w:tcW w:w="0" w:type="auto"/>
          </w:tcPr>
          <w:p>
            <w:pPr>
              <w:spacing w:line="240" w:lineRule="auto" w:before="0" w:after="0"/>
              <w:pStyle w:val="Compact"/>
            </w:pPr>
            <w:r>
              <w:rPr>
                <w:sz w:val="20"/>
                <w:szCs w:val="20"/>
              </w:rPr>
              <w:t xml:space="preserve">NASA Mars Reconnaissance Orbiter; ~$720M lifecycle (NASA large strategic science missions, en.wikipedia.org)</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6.04</w:t>
            </w:r>
          </w:p>
        </w:tc>
        <w:tc>
          <w:tcPr>
            <w:tcW w:w="0" w:type="auto"/>
          </w:tcPr>
          <w:p>
            <w:pPr>
              <w:spacing w:line="240" w:lineRule="auto" w:before="0" w:after="0"/>
              <w:pStyle w:val="Compact"/>
            </w:pPr>
            <w:r>
              <w:rPr>
                <w:sz w:val="20"/>
                <w:szCs w:val="20"/>
              </w:rPr>
              <w:t xml:space="preserve">NASA Mars Scout lander; ~$420M (NASA Mars program; en.wikipedia.org/wiki/Phoenix_(spacecraft))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7.03</w:t>
            </w:r>
          </w:p>
        </w:tc>
        <w:tc>
          <w:tcPr>
            <w:tcW w:w="0" w:type="auto"/>
          </w:tcPr>
          <w:p>
            <w:pPr>
              <w:spacing w:line="240" w:lineRule="auto" w:before="0" w:after="0"/>
              <w:pStyle w:val="Compact"/>
            </w:pPr>
            <w:r>
              <w:rPr>
                <w:sz w:val="20"/>
                <w:szCs w:val="20"/>
              </w:rPr>
              <w:t xml:space="preserve">NASA New Frontiers-2 Jupiter orbiter; ~$1.13B development+launch (en.wikipedia.org/wiki/Juno_(spacecraft))</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6.207</w:t>
            </w:r>
          </w:p>
        </w:tc>
        <w:tc>
          <w:tcPr>
            <w:tcW w:w="0" w:type="auto"/>
          </w:tcPr>
          <w:p>
            <w:pPr>
              <w:spacing w:line="240" w:lineRule="auto" w:before="0" w:after="0"/>
              <w:pStyle w:val="Compact"/>
            </w:pPr>
            <w:r>
              <w:rPr>
                <w:sz w:val="20"/>
                <w:szCs w:val="20"/>
              </w:rPr>
              <w:t xml:space="preserve">NASA Discovery lunar gravity mission; selected 2007 budget ~$375M then-year, ~$496M lifecycle (en.wikipedia.org/wiki/Discovery_Program)</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7.824</w:t>
            </w:r>
          </w:p>
        </w:tc>
        <w:tc>
          <w:tcPr>
            <w:tcW w:w="0" w:type="auto"/>
          </w:tcPr>
          <w:p>
            <w:pPr>
              <w:spacing w:line="240" w:lineRule="auto" w:before="0" w:after="0"/>
              <w:pStyle w:val="Compact"/>
            </w:pPr>
            <w:r>
              <w:rPr>
                <w:sz w:val="20"/>
                <w:szCs w:val="20"/>
              </w:rPr>
              <w:t xml:space="preserve">NASA flagship Curiosity rover; total ~$2.5B (NASA large strategic science missions, en.wikipedia.org)</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1120</w:t>
            </w:r>
          </w:p>
        </w:tc>
        <w:tc>
          <w:tcPr>
            <w:tcW w:w="0" w:type="auto"/>
          </w:tcPr>
          <w:p>
            <w:pPr>
              <w:spacing w:line="240" w:lineRule="auto" w:before="0" w:after="0"/>
              <w:pStyle w:val="Compact"/>
            </w:pPr>
            <w:r>
              <w:rPr>
                <w:sz w:val="20"/>
                <w:szCs w:val="20"/>
              </w:rPr>
              <w:t xml:space="preserve">7.021</w:t>
            </w:r>
          </w:p>
        </w:tc>
        <w:tc>
          <w:tcPr>
            <w:tcW w:w="0" w:type="auto"/>
          </w:tcPr>
          <w:p>
            <w:pPr>
              <w:spacing w:line="240" w:lineRule="auto" w:before="0" w:after="0"/>
              <w:pStyle w:val="Compact"/>
            </w:pPr>
            <w:r>
              <w:rPr>
                <w:sz w:val="20"/>
                <w:szCs w:val="20"/>
              </w:rPr>
              <w:t xml:space="preserve">NASA New Frontiers-3 Bennu sample return; ~$1.12B (selected 2011; en.wikipedia.org/wiki/New_Frontiers_program)</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6.721</w:t>
            </w:r>
          </w:p>
        </w:tc>
        <w:tc>
          <w:tcPr>
            <w:tcW w:w="0" w:type="auto"/>
          </w:tcPr>
          <w:p>
            <w:pPr>
              <w:spacing w:line="240" w:lineRule="auto" w:before="0" w:after="0"/>
              <w:pStyle w:val="Compact"/>
            </w:pPr>
            <w:r>
              <w:rPr>
                <w:sz w:val="20"/>
                <w:szCs w:val="20"/>
              </w:rPr>
              <w:t xml:space="preserve">NASA Discovery Mars geophysics lander; ~$830M lifecycle (en.wikipedia.org/wiki/Discovery_Program; selected 2012)</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7.937</w:t>
            </w:r>
          </w:p>
        </w:tc>
        <w:tc>
          <w:tcPr>
            <w:tcW w:w="0" w:type="auto"/>
          </w:tcPr>
          <w:p>
            <w:pPr>
              <w:spacing w:line="240" w:lineRule="auto" w:before="0" w:after="0"/>
              <w:pStyle w:val="Compact"/>
            </w:pPr>
            <w:r>
              <w:rPr>
                <w:sz w:val="20"/>
                <w:szCs w:val="20"/>
              </w:rPr>
              <w:t xml:space="preserve">NASA flagship Mars rover; ~$2.8B over 10 years (science.nasa.gov/mission/mars-2020-perseverance; en.wikipedia.org/wiki/Mars_2020)</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6.889</w:t>
            </w:r>
          </w:p>
        </w:tc>
        <w:tc>
          <w:tcPr>
            <w:tcW w:w="0" w:type="auto"/>
          </w:tcPr>
          <w:p>
            <w:pPr>
              <w:spacing w:line="240" w:lineRule="auto" w:before="0" w:after="0"/>
              <w:pStyle w:val="Compact"/>
            </w:pPr>
            <w:r>
              <w:rPr>
                <w:sz w:val="20"/>
                <w:szCs w:val="20"/>
              </w:rPr>
              <w:t xml:space="preserve">NASA Discovery Trojan asteroid tour; US$981M mission (en.wikipedia.org/wiki/Lucy_(spacecraft); skyandtelescope.org)</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NASA Discovery metal asteroid orbiter; ~$1.4B development+launch (gao-25-107591; en.wikipedia.org/wiki/Discovery_Program)</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8.556</w:t>
            </w:r>
          </w:p>
        </w:tc>
        <w:tc>
          <w:tcPr>
            <w:tcW w:w="0" w:type="auto"/>
          </w:tcPr>
          <w:p>
            <w:pPr>
              <w:spacing w:line="240" w:lineRule="auto" w:before="0" w:after="0"/>
              <w:pStyle w:val="Compact"/>
            </w:pPr>
            <w:r>
              <w:rPr>
                <w:sz w:val="20"/>
                <w:szCs w:val="20"/>
              </w:rPr>
              <w:t xml:space="preserve">NASA flagship Europa orbiter; lifecycle grown to ~$5.2B (gao-24-106767; spacepolicyonline.com NASA reveals Europa Clipper cost growth)</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8.117</w:t>
            </w:r>
          </w:p>
        </w:tc>
        <w:tc>
          <w:tcPr>
            <w:tcW w:w="0" w:type="auto"/>
          </w:tcPr>
          <w:p>
            <w:pPr>
              <w:spacing w:line="240" w:lineRule="auto" w:before="0" w:after="0"/>
              <w:pStyle w:val="Compact"/>
            </w:pPr>
            <w:r>
              <w:rPr>
                <w:sz w:val="20"/>
                <w:szCs w:val="20"/>
              </w:rPr>
              <w:t xml:space="preserve">NASA New Frontiers-4 Titan rotorcraft; replanned to $3.35B (oig.nasa.gov IG-25-011; payloadspace.com Dragonfly cost overruns)</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NASA Discovery Venus atmospheric probe; ~$1B class (en.wikipedia.org/wiki/DAVINCI; selected 2021)</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NASA Discovery Venus radar orbiter; ~$800M-class, later delayed (spacenews.com NASA weighing VERITAS; selected 2021) [illustrative LCC midpoint of public reporting]</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NASA planetary-defense infrared survey telescope; ~$1.2B lifecycle (gao-24-106767; en.wikipedia.org/wiki/NEO_Surveyor)</w:t>
            </w:r>
          </w:p>
        </w:tc>
      </w:tr>
    </w:tbl>
    <w:bookmarkEnd w:id="184"/>
    <w:bookmarkStart w:id="18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log_lcc</w:t>
            </w:r>
          </w:p>
        </w:tc>
        <w:tc>
          <w:tcPr>
            <w:tcW w:w="0" w:type="auto"/>
          </w:tcPr>
          <w:p>
            <w:pPr>
              <w:spacing w:line="240" w:lineRule="auto" w:before="0" w:after="0"/>
              <w:pStyle w:val="Compact"/>
            </w:pPr>
            <w:r>
              <w:rPr>
                <w:sz w:val="20"/>
                <w:szCs w:val="20"/>
              </w:rPr>
              <w:t xml:space="preserve">Natural logarithm of the mission lifecycle cost in millions of then-year US dollars. The dependent quantity, measuring the dollar commitment NASA directed to each planetary mission. A log scale is used so coefficients read as approximate proportional differences in committed budget.</w:t>
            </w:r>
          </w:p>
        </w:tc>
        <w:tc>
          <w:tcPr>
            <w:tcW w:w="0" w:type="auto"/>
          </w:tcPr>
          <w:p>
            <w:pPr>
              <w:spacing w:line="240" w:lineRule="auto" w:before="0" w:after="0"/>
              <w:pStyle w:val="Compact"/>
            </w:pPr>
            <w:r>
              <w:rPr>
                <w:sz w:val="20"/>
                <w:szCs w:val="20"/>
              </w:rPr>
              <w:t xml:space="preserve">Per-mission lifecycle cost compiled from GAO Assessments of Major Projects (gao-24-106767, gao-25-107591), NASA mission pages (science.nasa.gov), NSSDCA Discovery program list, and Wikipedia mission articles, each cited per row in data.csv</w:t>
            </w:r>
          </w:p>
        </w:tc>
      </w:tr>
      <w:tr>
        <w:tc>
          <w:tcPr>
            <w:tcW w:w="0" w:type="auto"/>
          </w:tcPr>
          <w:p>
            <w:pPr>
              <w:spacing w:line="240" w:lineRule="auto" w:before="0" w:after="0"/>
              <w:pStyle w:val="Compact"/>
            </w:pPr>
            <w:r>
              <w:rPr>
                <w:sz w:val="20"/>
                <w:szCs w:val="20"/>
              </w:rPr>
              <w:t xml:space="preserve">decadal_priority</w:t>
            </w:r>
          </w:p>
        </w:tc>
        <w:tc>
          <w:tcPr>
            <w:tcW w:w="0" w:type="auto"/>
          </w:tcPr>
          <w:p>
            <w:pPr>
              <w:spacing w:line="240" w:lineRule="auto" w:before="0" w:after="0"/>
              <w:pStyle w:val="Compact"/>
            </w:pPr>
            <w:r>
              <w:rPr>
                <w:sz w:val="20"/>
                <w:szCs w:val="20"/>
              </w:rPr>
              <w:t xml:space="preserve">Binary treatment coded 1 when the mission targets a destination class the 2011 Visions and Voyages planetary science decadal survey ranked as a top flagship priority (Mars and outer-planet / ocean-world systems such as Jupiter-Europa, Saturn-Titan, Uranus), and 0 for control destination classes (inner planets and Venus, small bodies and asteroids, the Moon, and exoplanet survey targets).</w:t>
            </w:r>
          </w:p>
        </w:tc>
        <w:tc>
          <w:tcPr>
            <w:tcW w:w="0" w:type="auto"/>
          </w:tcPr>
          <w:p>
            <w:pPr>
              <w:spacing w:line="240" w:lineRule="auto" w:before="0" w:after="0"/>
              <w:pStyle w:val="Compact"/>
            </w:pPr>
            <w:r>
              <w:rPr>
                <w:sz w:val="20"/>
                <w:szCs w:val="20"/>
              </w:rPr>
              <w:t xml:space="preserve">Destination class hand-coded from the 2011 decadal survey flagship priorities (Mars Sample Return, Europa, Uranus) as reported in en.wikipedia.org/wiki/Planetary_Science_Decadal_Survey and spaceflightnow.com decadal coverage</w:t>
            </w:r>
          </w:p>
        </w:tc>
      </w:tr>
      <w:tr>
        <w:tc>
          <w:tcPr>
            <w:tcW w:w="0" w:type="auto"/>
          </w:tcPr>
          <w:p>
            <w:pPr>
              <w:spacing w:line="240" w:lineRule="auto" w:before="0" w:after="0"/>
              <w:pStyle w:val="Compact"/>
            </w:pPr>
            <w:r>
              <w:rPr>
                <w:sz w:val="20"/>
                <w:szCs w:val="20"/>
              </w:rPr>
              <w:t xml:space="preserve">post_2011</w:t>
            </w:r>
          </w:p>
        </w:tc>
        <w:tc>
          <w:tcPr>
            <w:tcW w:w="0" w:type="auto"/>
          </w:tcPr>
          <w:p>
            <w:pPr>
              <w:spacing w:line="240" w:lineRule="auto" w:before="0" w:after="0"/>
              <w:pStyle w:val="Compact"/>
            </w:pPr>
            <w:r>
              <w:rPr>
                <w:sz w:val="20"/>
                <w:szCs w:val="20"/>
              </w:rPr>
              <w:t xml:space="preserve">Binary period indicator coded 1 when the mission was selected or formally started in or after 2011, the release year of the 2011 decadal survey, and 0 when selected before 2011. Defines the pre-period and post-period of the natural experiment.</w:t>
            </w:r>
          </w:p>
        </w:tc>
        <w:tc>
          <w:tcPr>
            <w:tcW w:w="0" w:type="auto"/>
          </w:tcPr>
          <w:p>
            <w:pPr>
              <w:spacing w:line="240" w:lineRule="auto" w:before="0" w:after="0"/>
              <w:pStyle w:val="Compact"/>
            </w:pPr>
            <w:r>
              <w:rPr>
                <w:sz w:val="20"/>
                <w:szCs w:val="20"/>
              </w:rPr>
              <w:t xml:space="preserve">Mission selection / formal-start year from NASA program announcements and mission articles, cited per row in data.csv</w:t>
            </w:r>
          </w:p>
        </w:tc>
      </w:tr>
      <w:tr>
        <w:tc>
          <w:tcPr>
            <w:tcW w:w="0" w:type="auto"/>
          </w:tcPr>
          <w:p>
            <w:pPr>
              <w:spacing w:line="240" w:lineRule="auto" w:before="0" w:after="0"/>
              <w:pStyle w:val="Compact"/>
            </w:pPr>
            <w:r>
              <w:rPr>
                <w:sz w:val="20"/>
                <w:szCs w:val="20"/>
              </w:rPr>
              <w:t xml:space="preserve">did</w:t>
            </w:r>
          </w:p>
        </w:tc>
        <w:tc>
          <w:tcPr>
            <w:tcW w:w="0" w:type="auto"/>
          </w:tcPr>
          <w:p>
            <w:pPr>
              <w:spacing w:line="240" w:lineRule="auto" w:before="0" w:after="0"/>
              <w:pStyle w:val="Compact"/>
            </w:pPr>
            <w:r>
              <w:rPr>
                <w:sz w:val="20"/>
                <w:szCs w:val="20"/>
              </w:rPr>
              <w:t xml:space="preserve">The difference-in-differences interaction term, equal to decadal_priority multiplied by post_2011. Its coefficient is the causal estimand of interest: the differential change in committed budget for decadal-prioritized destinations after the 2011 survey, net of the common post-survey trend and the fixed priority-class gap.</w:t>
            </w:r>
          </w:p>
        </w:tc>
        <w:tc>
          <w:tcPr>
            <w:tcW w:w="0" w:type="auto"/>
          </w:tcPr>
          <w:p>
            <w:pPr>
              <w:spacing w:line="240" w:lineRule="auto" w:before="0" w:after="0"/>
              <w:pStyle w:val="Compact"/>
            </w:pPr>
            <w:r>
              <w:rPr>
                <w:sz w:val="20"/>
                <w:szCs w:val="20"/>
              </w:rPr>
              <w:t xml:space="preserve">Constructed from decadal_priority and post_2011</w:t>
            </w:r>
          </w:p>
        </w:tc>
      </w:tr>
      <w:tr>
        <w:tc>
          <w:tcPr>
            <w:tcW w:w="0" w:type="auto"/>
          </w:tcPr>
          <w:p>
            <w:pPr>
              <w:spacing w:line="240" w:lineRule="auto" w:before="0" w:after="0"/>
              <w:pStyle w:val="Compact"/>
            </w:pPr>
            <w:r>
              <w:rPr>
                <w:sz w:val="20"/>
                <w:szCs w:val="20"/>
              </w:rPr>
              <w:t xml:space="preserve">lcc_musd</w:t>
            </w:r>
          </w:p>
        </w:tc>
        <w:tc>
          <w:tcPr>
            <w:tcW w:w="0" w:type="auto"/>
          </w:tcPr>
          <w:p>
            <w:pPr>
              <w:spacing w:line="240" w:lineRule="auto" w:before="0" w:after="0"/>
              <w:pStyle w:val="Compact"/>
            </w:pPr>
            <w:r>
              <w:rPr>
                <w:sz w:val="20"/>
                <w:szCs w:val="20"/>
              </w:rPr>
              <w:t xml:space="preserve">Raw mission lifecycle cost in millions of then-year US dollars (untransformed); the source quantity behind log_lcc, retained for descriptive reporting.</w:t>
            </w:r>
          </w:p>
        </w:tc>
        <w:tc>
          <w:tcPr>
            <w:tcW w:w="0" w:type="auto"/>
          </w:tcPr>
          <w:p>
            <w:pPr>
              <w:spacing w:line="240" w:lineRule="auto" w:before="0" w:after="0"/>
              <w:pStyle w:val="Compact"/>
            </w:pPr>
            <w:r>
              <w:rPr>
                <w:sz w:val="20"/>
                <w:szCs w:val="20"/>
              </w:rPr>
              <w:t xml:space="preserve">Same per-row sources as log_lcc in data.csv</w:t>
            </w:r>
          </w:p>
        </w:tc>
      </w:tr>
    </w:tbl>
    <w:bookmarkEnd w:id="185"/>
    <w:bookmarkEnd w:id="186"/>
    <w:bookmarkEnd w:id="1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0" Type="http://schemas.openxmlformats.org/officeDocument/2006/relationships/image" Target="media/rId180.png"/><Relationship Id="rId139" Type="http://schemas.openxmlformats.org/officeDocument/2006/relationships/hyperlink" Target="https://doi.org/10.1016/j.actaastro.2019.09.030" TargetMode="External"/><Relationship Id="rId174" Type="http://schemas.openxmlformats.org/officeDocument/2006/relationships/hyperlink" Target="https://doi.org/10.1016/j.actaastro.2020.01.030" TargetMode="External"/><Relationship Id="rId170" Type="http://schemas.openxmlformats.org/officeDocument/2006/relationships/hyperlink" Target="https://doi.org/10.1016/j.actaastro.2020.06.047" TargetMode="External"/><Relationship Id="rId168" Type="http://schemas.openxmlformats.org/officeDocument/2006/relationships/hyperlink" Target="https://doi.org/10.1016/j.actaastro.2020.08.037" TargetMode="External"/><Relationship Id="rId137" Type="http://schemas.openxmlformats.org/officeDocument/2006/relationships/hyperlink" Target="https://doi.org/10.1016/j.actaastro.2020.10.008" TargetMode="External"/><Relationship Id="rId162" Type="http://schemas.openxmlformats.org/officeDocument/2006/relationships/hyperlink" Target="https://doi.org/10.1016/j.actaastro.2021.03.030" TargetMode="External"/><Relationship Id="rId166" Type="http://schemas.openxmlformats.org/officeDocument/2006/relationships/hyperlink" Target="https://doi.org/10.1016/j.actaastro.2022.03.035" TargetMode="External"/><Relationship Id="rId142" Type="http://schemas.openxmlformats.org/officeDocument/2006/relationships/hyperlink" Target="https://doi.org/10.1016/j.actaastro.2023.10.042" TargetMode="External"/><Relationship Id="rId145" Type="http://schemas.openxmlformats.org/officeDocument/2006/relationships/hyperlink" Target="https://doi.org/10.1016/j.actaastro.2023.11.035" TargetMode="External"/><Relationship Id="rId172" Type="http://schemas.openxmlformats.org/officeDocument/2006/relationships/hyperlink" Target="https://doi.org/10.1016/j.actaastro.2024.09.005" TargetMode="External"/><Relationship Id="rId176" Type="http://schemas.openxmlformats.org/officeDocument/2006/relationships/hyperlink" Target="https://doi.org/10.1016/j.actaastro.2025.01.012" TargetMode="External"/><Relationship Id="rId164" Type="http://schemas.openxmlformats.org/officeDocument/2006/relationships/hyperlink" Target="https://doi.org/10.1016/j.actaastro.2025.01.054" TargetMode="External"/><Relationship Id="rId133" Type="http://schemas.openxmlformats.org/officeDocument/2006/relationships/hyperlink" Target="https://doi.org/10.1016/j.actaastro.2025.05.018" TargetMode="External"/><Relationship Id="rId135" Type="http://schemas.openxmlformats.org/officeDocument/2006/relationships/hyperlink" Target="https://doi.org/10.1016/j.actaastro.2025.09.081" TargetMode="External"/><Relationship Id="rId156" Type="http://schemas.openxmlformats.org/officeDocument/2006/relationships/hyperlink" Target="https://doi.org/10.64861/DNKW1345" TargetMode="External"/><Relationship Id="rId159" Type="http://schemas.openxmlformats.org/officeDocument/2006/relationships/hyperlink" Target="https://doi.org/10.64861/VUMF3172" TargetMode="External"/></Relationships>
</file>

<file path=word/_rels/footnotes.xml.rels><?xml version='1.0' encoding='UTF-8' standalone='yes'?>
<Relationships xmlns="http://schemas.openxmlformats.org/package/2006/relationships"><Relationship Id="rId139" Type="http://schemas.openxmlformats.org/officeDocument/2006/relationships/hyperlink" Target="https://doi.org/10.1016/j.actaastro.2019.09.030" TargetMode="External"/><Relationship Id="rId174" Type="http://schemas.openxmlformats.org/officeDocument/2006/relationships/hyperlink" Target="https://doi.org/10.1016/j.actaastro.2020.01.030" TargetMode="External"/><Relationship Id="rId170" Type="http://schemas.openxmlformats.org/officeDocument/2006/relationships/hyperlink" Target="https://doi.org/10.1016/j.actaastro.2020.06.047" TargetMode="External"/><Relationship Id="rId168" Type="http://schemas.openxmlformats.org/officeDocument/2006/relationships/hyperlink" Target="https://doi.org/10.1016/j.actaastro.2020.08.037" TargetMode="External"/><Relationship Id="rId137" Type="http://schemas.openxmlformats.org/officeDocument/2006/relationships/hyperlink" Target="https://doi.org/10.1016/j.actaastro.2020.10.008" TargetMode="External"/><Relationship Id="rId162" Type="http://schemas.openxmlformats.org/officeDocument/2006/relationships/hyperlink" Target="https://doi.org/10.1016/j.actaastro.2021.03.030" TargetMode="External"/><Relationship Id="rId166" Type="http://schemas.openxmlformats.org/officeDocument/2006/relationships/hyperlink" Target="https://doi.org/10.1016/j.actaastro.2022.03.035" TargetMode="External"/><Relationship Id="rId142" Type="http://schemas.openxmlformats.org/officeDocument/2006/relationships/hyperlink" Target="https://doi.org/10.1016/j.actaastro.2023.10.042" TargetMode="External"/><Relationship Id="rId145" Type="http://schemas.openxmlformats.org/officeDocument/2006/relationships/hyperlink" Target="https://doi.org/10.1016/j.actaastro.2023.11.035" TargetMode="External"/><Relationship Id="rId172" Type="http://schemas.openxmlformats.org/officeDocument/2006/relationships/hyperlink" Target="https://doi.org/10.1016/j.actaastro.2024.09.005" TargetMode="External"/><Relationship Id="rId176" Type="http://schemas.openxmlformats.org/officeDocument/2006/relationships/hyperlink" Target="https://doi.org/10.1016/j.actaastro.2025.01.012" TargetMode="External"/><Relationship Id="rId164" Type="http://schemas.openxmlformats.org/officeDocument/2006/relationships/hyperlink" Target="https://doi.org/10.1016/j.actaastro.2025.01.054" TargetMode="External"/><Relationship Id="rId133" Type="http://schemas.openxmlformats.org/officeDocument/2006/relationships/hyperlink" Target="https://doi.org/10.1016/j.actaastro.2025.05.018" TargetMode="External"/><Relationship Id="rId135" Type="http://schemas.openxmlformats.org/officeDocument/2006/relationships/hyperlink" Target="https://doi.org/10.1016/j.actaastro.2025.09.081" TargetMode="External"/><Relationship Id="rId156" Type="http://schemas.openxmlformats.org/officeDocument/2006/relationships/hyperlink" Target="https://doi.org/10.64861/DNKW1345" TargetMode="External"/><Relationship Id="rId159" Type="http://schemas.openxmlformats.org/officeDocument/2006/relationships/hyperlink" Target="https://doi.org/10.64861/VUMF31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 the Decadal Survey Change Where the Money Went? A Difference-in-Differences</dc:title>
  <dc:creator>Clara Rahman (1B-PLA-040)</dc:creator>
  <cp:keywords/>
  <dcterms:created xsi:type="dcterms:W3CDTF">2026-07-02T16:50:46Z</dcterms:created>
  <dcterms:modified xsi:type="dcterms:W3CDTF">2026-07-02T16:50:46Z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