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3" w:name="X63e9e4f51786cce14c48c242e624be0e8943d4a"/>
    <w:p>
      <w:pPr>
        <w:pStyle w:val="Heading1"/>
      </w:pPr>
      <w:r>
        <w:t xml:space="preserve">When Does the Overrun Begin? A Cox Proportional-Hazards Model of Cost-and-Schedule Baseline Breach in NASA Planetary Missions</w:t>
      </w:r>
    </w:p>
    <w:bookmarkStart w:id="61" w:name="introduction"/>
    <w:p>
      <w:pPr>
        <w:pStyle w:val="Heading2"/>
      </w:pPr>
      <w:r>
        <w:t xml:space="preserve">1. Introduction</w:t>
      </w:r>
    </w:p>
    <w:p>
      <w:pPr>
        <w:pStyle w:val="FirstParagraph"/>
      </w:pPr>
      <w:r>
        <w:t xml:space="preserve">A confirmation review board approving a planetary science mission for implementation confronts a timing question that the standard cost-estimation apparatus is not built to answer. The board is not principally asking whether the final development cost will land at the fiftieth or the seventieth percentile of a parametric distribution. It is asking when, across the years between authority-to-proceed and launch, the mission is most exposed to losing its confirmed baseline, and which mission characteristics make that loss more likely. The reference instruments in NASA practice, parametric cost-estimating models of the kind validated against flown missions, produce a point estimate of total development cost bounded by a confidence interval</w:t>
      </w:r>
      <w:r>
        <w:t xml:space="preserve"> </w:t>
      </w:r>
      <w:hyperlink w:anchor="ref-1">
        <m:oMathPara>
          <m:oMathParaPr>
            <m:jc m:val="center"/>
          </m:oMathParaPr>
          <m:oMath>
            <m:r>
              <m:t>1</m:t>
            </m:r>
          </m:oMath>
        </m:oMathPara>
      </w:hyperlink>
      <w:r>
        <w:t xml:space="preserve">. That machinery answers a magnitude question. It is silent on the conditional rate at which an on-baseline mission first breaches its baseline, and on whether that rate is governed by the same mass, complexity, and heritage variables that the parametric tools already ingest as inputs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p>
    <w:p>
      <w:pPr>
        <w:pStyle w:val="FirstParagraph"/>
      </w:pPr>
      <w:r>
        <w:t xml:space="preserve">This paper reframes baseline breach as a time-to-event process and estimates it with a Cox proportional-hazards model. The unit of analysis is the mission development interval from confirmation through launch. The event is the first breach of the confirmed cost or schedule baseline before launch. Missions that reach launch without a recorded breach are right-censored at launch, contributing exposure without contributing an event. The quantity of interest is the hazard, the instantaneous rate of first breach conditional on having survived to a given point in development, and how that hazard is shifted by three mission-level covariates drawn directly from the parametric cost-estimation tradition: spacecraft launch mass, instrument complement, and design heritage. The contribution is a single estimated hazard model on a real, fully sourced sample of NASA planetary and deep-space science missions, and an honest test of whether complexity and novelty raise the breach hazard.</w:t>
      </w:r>
    </w:p>
    <w:bookmarkEnd w:id="61"/>
    <w:bookmarkStart w:id="62" w:name="theory-and-hypotheses"/>
    <w:p>
      <w:pPr>
        <w:pStyle w:val="Heading2"/>
      </w:pPr>
      <w:r>
        <w:t xml:space="preserve">2. Theory and Hypotheses</w:t>
      </w:r>
    </w:p>
    <w:p>
      <w:pPr>
        <w:pStyle w:val="FirstParagraph"/>
      </w:pPr>
      <w:r>
        <w:t xml:space="preserve">The parametric cost-estimation literature is organized around the prediction of a scalar. Blind-validation studies of tools such as SEER-H report point estimates, standard deviations, and confidence intervals on total mission cost, taking mass, power, instrument complement, and heritage as the input vector</w:t>
      </w:r>
      <w:r>
        <w:t xml:space="preserve"> </w:t>
      </w:r>
      <w:hyperlink w:anchor="ref-1">
        <m:oMathPara>
          <m:oMathParaPr>
            <m:jc m:val="center"/>
          </m:oMathParaPr>
          <m:oMath>
            <m:r>
              <m:t>1</m:t>
            </m:r>
          </m:oMath>
        </m:oMathPara>
      </w:hyperlink>
      <w:r>
        <w:t xml:space="preserve">. Architecture-economics work extends the same scalar-prediction frame to new mission classes, importing established parametric models wholesale to price asteroid-mining spacecraft and other novel concepts at the concept stage</w:t>
      </w:r>
      <w:r>
        <w:t xml:space="preserve"> </w:t>
      </w:r>
      <w:hyperlink w:anchor="ref-2">
        <m:oMathPara>
          <m:oMathParaPr>
            <m:jc m:val="center"/>
          </m:oMathParaPr>
          <m:oMath>
            <m:r>
              <m:t>2</m:t>
            </m:r>
          </m:oMath>
        </m:oMathPara>
      </w:hyperlink>
      <w:r>
        <w:t xml:space="preserve">. Parametric models for future vehicle development likewise resolve to a research-development-production cost figure across a time horizon rather than a hazard across that horizon</w:t>
      </w:r>
      <w:r>
        <w:t xml:space="preserve"> </w:t>
      </w:r>
      <w:hyperlink w:anchor="ref-3">
        <m:oMathPara>
          <m:oMathParaPr>
            <m:jc m:val="center"/>
          </m:oMathParaPr>
          <m:oMath>
            <m:r>
              <m:t>3</m:t>
            </m:r>
          </m:oMath>
        </m:oMathPara>
      </w:hyperlink>
      <w:r>
        <w:t xml:space="preserve">. Even the canonical economic framing of the space sector treats programmatic exposure through externalities and budget share rather than the within-mission timing of overrun onset</w:t>
      </w:r>
      <w:r>
        <w:t xml:space="preserve"> </w:t>
      </w:r>
      <w:hyperlink w:anchor="ref-4">
        <m:oMathPara>
          <m:oMathParaPr>
            <m:jc m:val="center"/>
          </m:oMathParaPr>
          <m:oMath>
            <m:r>
              <m:t>4</m:t>
            </m:r>
          </m:oMath>
        </m:oMathPara>
      </w:hyperlink>
      <w:r>
        <w:t xml:space="preserve">.</w:t>
      </w:r>
    </w:p>
    <w:p>
      <w:pPr>
        <w:pStyle w:val="FirstParagraph"/>
      </w:pPr>
      <w:r>
        <w:t xml:space="preserve">The theoretical move in this paper is to keep the parametric input vector but change the dependent quantity from a cost magnitude to a breach hazard. If the same variables that drive the level of cost also drive the rate at which a mission loses its baseline, then they should enter a hazard model with interpretable signs. Greater spacecraft mass indexes a larger, more capable, and more tightly integrated vehicle, which the cost-estimation tradition associates with greater development difficulty</w:t>
      </w:r>
      <w:r>
        <w:t xml:space="preserve"> </w:t>
      </w:r>
      <w:hyperlink w:anchor="ref-1">
        <m:oMathPara>
          <m:oMathParaPr>
            <m:jc m:val="center"/>
          </m:oMathParaPr>
          <m:oMath>
            <m:r>
              <m:t>1</m:t>
            </m:r>
          </m:oMath>
        </m:oMathPara>
      </w:hyperlink>
      <w:r>
        <w:t xml:space="preserve">, so the naive expectation is that mass raises the breach hazard. A larger instrument complement multiplies the interfaces, integration steps, and independent technical paths that can each precipitate a baseline breach, so instrument count is hypothesized to raise the hazard</w:t>
      </w:r>
      <w:r>
        <w:t xml:space="preserve"> </w:t>
      </w:r>
      <w:hyperlink w:anchor="ref-2">
        <m:oMathPara>
          <m:oMathParaPr>
            <m:jc m:val="center"/>
          </m:oMathParaPr>
          <m:oMath>
            <m:r>
              <m:t>2</m:t>
            </m:r>
          </m:oMath>
        </m:oMathPara>
      </w:hyperlink>
      <w:r>
        <w:t xml:space="preserve">. Design heritage works in the opposite direction: a mission reusing a flown bus or a mature lineage inherits validated interfaces and retired risk, which should lower the breach hazard relative to a clean-sheet design</w:t>
      </w:r>
      <w:r>
        <w:t xml:space="preserve"> </w:t>
      </w:r>
      <w:hyperlink w:anchor="ref-1">
        <m:oMathPara>
          <m:oMathParaPr>
            <m:jc m:val="center"/>
          </m:oMathParaPr>
          <m:oMath>
            <m:r>
              <m:t>1</m:t>
            </m:r>
          </m:oMath>
        </m:oMathPara>
      </w:hyperlink>
      <w:r>
        <w:t xml:space="preserve">.</w:t>
      </w:r>
    </w:p>
    <w:p>
      <w:pPr>
        <w:pStyle w:val="FirstParagraph"/>
      </w:pPr>
      <w:r>
        <w:t xml:space="preserve">These expectations yield the following hypothesis pair, tested jointly through the covariate coefficients of the Cox model.</w:t>
      </w:r>
    </w:p>
    <w:p>
      <w:pPr>
        <w:pStyle w:val="BodyText"/>
      </w:pPr>
      <w:r>
        <w:t xml:space="preserve">H0 (complexity-invariant): none of the three covariates shifts the breach hazard; all hazard ratios equal one. This is the implicit position of point-estimate practice, in which the overrun process carries no statement that a heavier or more instrument-rich mission breaches its baseline at a different rate than a light, simple one.</w:t>
      </w:r>
    </w:p>
    <w:p>
      <w:pPr>
        <w:pStyle w:val="BodyText"/>
      </w:pPr>
      <w:r>
        <w:t xml:space="preserve">H1 (complexity-and-novelty): mass and instrument count raise the breach hazard (hazard ratio greater than one) while heritage lowers it (hazard ratio less than one). Under H1 the variables the parametric tools already use to set the cost level also govern the rate at which the baseline is lost.</w:t>
      </w:r>
    </w:p>
    <w:bookmarkEnd w:id="62"/>
    <w:bookmarkStart w:id="63" w:name="data"/>
    <w:p>
      <w:pPr>
        <w:pStyle w:val="Heading2"/>
      </w:pPr>
      <w:r>
        <w:t xml:space="preserve">3. Data</w:t>
      </w:r>
    </w:p>
    <w:p>
      <w:pPr>
        <w:pStyle w:val="FirstParagraph"/>
      </w:pPr>
      <w:r>
        <w:t xml:space="preserve">The sample is 25 NASA planetary and deep-space science missions with a documented confirmation milestone and a documented launch or termination, assembled from public sources of established provenance. Per-mission baseline-and-actual cost and schedule figures are drawn from the Government Accountability Office annual Assessments of Major Projects</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w:t>
      </w:r>
      <w:r>
        <w:t xml:space="preserve"> </w:t>
      </w:r>
      <w:hyperlink w:anchor="ref-7">
        <m:oMathPara>
          <m:oMathParaPr>
            <m:jc m:val="center"/>
          </m:oMathParaPr>
          <m:oMath>
            <m:r>
              <m:t>7</m:t>
            </m:r>
          </m:oMath>
        </m:oMathPara>
      </w:hyperlink>
      <w:r>
        <w:t xml:space="preserve"> </w:t>
      </w:r>
      <w:r>
        <w:t xml:space="preserve">and from The Planetary Society’s per-mission cost analyses</w:t>
      </w:r>
      <w:r>
        <w:t xml:space="preserve"> </w:t>
      </w:r>
      <w:hyperlink w:anchor="ref-8">
        <m:oMathPara>
          <m:oMathParaPr>
            <m:jc m:val="center"/>
          </m:oMathParaPr>
          <m:oMath>
            <m:r>
              <m:t>8</m:t>
            </m:r>
          </m:oMath>
        </m:oMathPara>
      </w:hyperlink>
      <w:r>
        <w:t xml:space="preserve">,</w:t>
      </w:r>
      <w:r>
        <w:t xml:space="preserve"> </w:t>
      </w:r>
      <w:hyperlink w:anchor="ref-9">
        <m:oMathPara>
          <m:oMathParaPr>
            <m:jc m:val="center"/>
          </m:oMathParaPr>
          <m:oMath>
            <m:r>
              <m:t>9</m:t>
            </m:r>
          </m:oMath>
        </m:oMathPara>
      </w:hyperlink>
      <w:r>
        <w:t xml:space="preserve">,</w:t>
      </w:r>
      <w:r>
        <w:t xml:space="preserve"> </w:t>
      </w:r>
      <w:hyperlink w:anchor="ref-10">
        <m:oMathPara>
          <m:oMathParaPr>
            <m:jc m:val="center"/>
          </m:oMathParaPr>
          <m:oMath>
            <m:r>
              <m:t>10</m:t>
            </m:r>
          </m:oMath>
        </m:oMathPara>
      </w:hyperlink>
      <w:r>
        <w:t xml:space="preserve">, cross-checked against contemporaneous reporting in SpaceNews and SpacePolicyOnline for the larger recent missions</w:t>
      </w:r>
      <w:r>
        <w:t xml:space="preserve"> </w:t>
      </w:r>
      <w:hyperlink w:anchor="ref-11">
        <m:oMathPara>
          <m:oMathParaPr>
            <m:jc m:val="center"/>
          </m:oMathParaPr>
          <m:oMath>
            <m:r>
              <m:t>11</m:t>
            </m:r>
          </m:oMath>
        </m:oMathPara>
      </w:hyperlink>
      <w:r>
        <w:t xml:space="preserve">,</w:t>
      </w:r>
      <w:r>
        <w:t xml:space="preserve"> </w:t>
      </w:r>
      <w:hyperlink w:anchor="ref-12">
        <m:oMathPara>
          <m:oMathParaPr>
            <m:jc m:val="center"/>
          </m:oMathParaPr>
          <m:oMath>
            <m:r>
              <m:t>12</m:t>
            </m:r>
          </m:oMath>
        </m:oMathPara>
      </w:hyperlink>
      <w:r>
        <w:t xml:space="preserve">. The covariate vector, spacecraft launch mass, instrument count, and heritage, is taken from mission press kits, the NASA Space Science Data Coordinated Archive, and eoPortal spacecraft pages. Every row in the dataset carries an explicit source field naming its origin. Three of the twenty-five rows carry an illustrative marking on a single field where a precise public figure was not obtainable; these markings affect under thirteen percent of rows and never affect the event indicator, which is observed for every mission.</w:t>
      </w:r>
    </w:p>
    <w:p>
      <w:pPr>
        <w:pStyle w:val="FirstParagraph"/>
      </w:pPr>
      <w:r>
        <w:t xml:space="preserve">The duration variable is the development exposure in months from confirmation to launch. The event indicator is set to one when the mission breached its confirmed cost or schedule baseline before launch, evidenced by a recorded overrun or formal rebaseline, and to zero when the mission reached launch on baseline, in which case it is right-censored at launch. Of the 25 missions, 14 experienced a recorded baseline breach and 11 reached launch on baseline. The sample spans missions confirmed from 1997 through 2024, including Mars Science Laboratory, InSight, Mars 2020, Psyche, Europa Clipper, Dragonfly, OSIRIS-REx, Lucy, DART, Juno, MAVEN, and New Horizons, among others.</w:t>
      </w:r>
    </w:p>
    <w:p>
      <w:pPr>
        <w:pStyle w:val="BodyText"/>
      </w:pPr>
      <w:r>
        <w:t xml:space="preserve">Two descriptive patterns motivate the model before any estimation. Missions that breached their baseline have a longer median development exposure, 53 months against 40 months for censored missions, consistent with breach risk accumulating over a longer at-risk interval. And missions with substantial design heritage breached at a markedly lower rate, 41.7 percent, than clean-sheet missions at 69.2 percent, which previews the protective direction hypothesized for the heritage covariate.</w:t>
      </w:r>
    </w:p>
    <w:bookmarkEnd w:id="63"/>
    <w:bookmarkStart w:id="64" w:name="method"/>
    <w:p>
      <w:pPr>
        <w:pStyle w:val="Heading2"/>
      </w:pPr>
      <w:r>
        <w:t xml:space="preserve">4. Method</w:t>
      </w:r>
    </w:p>
    <w:p>
      <w:pPr>
        <w:pStyle w:val="FirstParagraph"/>
      </w:pPr>
      <w:r>
        <w:t xml:space="preserve">The estimator is the Cox proportional-hazards model, fit by partial likelihood. The model specifies the hazard of first baseline breach for a mission with covariate vector X as a common, unspecified baseline hazard multiplied by an exponential function of the covariates, so that each coefficient enters as a multiplicative shift on the breach hazard and its exponential is a hazard ratio. The Cox specification is appropriate here because it estimates how the covariates shift the breach hazard without committing to a parametric form for the baseline hazard itself, and because it handles the right-censoring of missions that launched on baseline in the standard way, crediting them with exposure up to launch without an event.</w:t>
      </w:r>
    </w:p>
    <w:p>
      <w:pPr>
        <w:pStyle w:val="BodyText"/>
      </w:pPr>
      <w:r>
        <w:t xml:space="preserve">The three covariates are spacecraft launch mass in metric tons, the number of science instruments, and a binary heritage indicator. The model is identified by the discreteness of the confirmation milestone, which fixes an unambiguous clock start for every mission and removes the left-truncation ambiguity that defeats survival estimation when entry into the risk set is fuzzy. Coefficients are reported with standard errors, Wald z statistics, two-sided p values, ninety-five percent confidence intervals, and the implied hazard ratios. The sample comprises 25 missions and 14 events.</w:t>
      </w:r>
    </w:p>
    <w:bookmarkEnd w:id="64"/>
    <w:bookmarkStart w:id="65" w:name="findings"/>
    <w:p>
      <w:pPr>
        <w:pStyle w:val="Heading2"/>
      </w:pPr>
      <w:r>
        <w:t xml:space="preserve">5. Findings</w:t>
      </w:r>
    </w:p>
    <w:p>
      <w:pPr>
        <w:pStyle w:val="FirstParagraph"/>
      </w:pPr>
      <w:r>
        <w:t xml:space="preserve">The fitted model returns the three covariate effects on the breach hazard reported below, on a sample of 25 missions with 14 events and a partial log-likelihood of -26.6.</w:t>
      </w:r>
    </w:p>
    <w:p>
      <w:pPr>
        <w:pStyle w:val="BodyText"/>
      </w:pPr>
      <w:r>
        <w:t xml:space="preserve">Spacecraft mass carries a coefficient of -0.523 with a standard error of 0.287, a two-sided p value of 0.068, and a ninety-five percent confidence interval of [-1.085, 0.039]. The implied hazard ratio is 0.593. This effect is marginally significant at conventional thresholds and, importantly, runs opposite to the naive hypothesis: each additional metric ton of launch mass is associated with a roughly forty-percent lower instantaneous hazard of baseline breach, not a higher one. The confidence interval is concentrated below one and only barely admits the null value, so the data lean against the proposition that heavier missions breach their baselines faster, and lean toward the reverse.</w:t>
      </w:r>
    </w:p>
    <w:p>
      <w:pPr>
        <w:pStyle w:val="BodyText"/>
      </w:pPr>
      <w:r>
        <w:t xml:space="preserve">Instrument count carries a coefficient of 0.167 with a standard error of 0.150, a p value of 0.265, and a confidence interval of [-0.127, 0.462], for a hazard ratio of 1.182. The point estimate is in the hypothesized direction: each additional instrument is associated with an eighteen-percent higher breach hazard. But the effect is not statistically distinguishable from zero at any conventional level, and the confidence interval comfortably spans one. The data are consistent with instrument complexity raising the breach hazard but do not establish it.</w:t>
      </w:r>
    </w:p>
    <w:p>
      <w:pPr>
        <w:pStyle w:val="BodyText"/>
      </w:pPr>
      <w:r>
        <w:t xml:space="preserve">Design heritage carries a coefficient of -0.495 with a standard error of 0.664, a p value of 0.455, and a confidence interval of [-1.796, 0.805], for a hazard ratio of 0.609. The point estimate is squarely in the hypothesized protective direction, a roughly forty-percent reduction in the breach hazard for missions reusing a flown bus or lineage, and it is consistent with the descriptive split between heritage and clean-sheet breach rates reported in Section 3. The effect is nonetheless imprecisely estimated, with a wide confidence interval that includes both a substantial protective effect and a modest aggravating one, so heritage cannot be claimed as a statistically significant hazard reducer on this sample.</w:t>
      </w:r>
    </w:p>
    <w:p>
      <w:pPr>
        <w:pStyle w:val="BodyText"/>
      </w:pPr>
      <w:r>
        <w:t xml:space="preserve">Read jointly against the hypothesis pair, the result is a split decision. H0, the complexity-invariant null, is not decisively rejected: only the mass coefficient approaches conventional significance, and it does so with the opposite sign to the naive complexity story. H1 as originally framed, mass and instruments both raising the hazard with heritage lowering it, is only partly borne out: instruments and heritage point the hypothesized way but without significance, while mass points the wrong way with marginal significance. The honest reading is that on this sample the rate of baseline breach is not a simple increasing function of physical scale, and the most defensible single finding is that spacecraft mass, the parametric tradition’s leading cost driver, does not raise and may even lower the breach hazard once the survival structure is imposed.</w:t>
      </w:r>
    </w:p>
    <w:bookmarkEnd w:id="65"/>
    <w:bookmarkStart w:id="66" w:name="discussion"/>
    <w:p>
      <w:pPr>
        <w:pStyle w:val="Heading2"/>
      </w:pPr>
      <w:r>
        <w:t xml:space="preserve">6. Discussion</w:t>
      </w:r>
    </w:p>
    <w:p>
      <w:pPr>
        <w:pStyle w:val="FirstParagraph"/>
      </w:pPr>
      <w:r>
        <w:t xml:space="preserve">The marginal, sign-reversed mass effect is the most interesting result and admits a coherent programmatic interpretation. The heaviest missions in the sample are the flagships, Europa Clipper, Mars Science Laboratory, Juno, and the larger Mars architecture, and these missions enter development with the largest absolute reserves, the most senior management attention, and the strongest institutional incentive to protect a baseline that is politically visible. The lighter missions are predominantly Discovery-class and competed missions operating under firm cost caps with thin reserves, where a single technical surprise consumes the available margin and forces a breach. On that reading, mass is not measuring engineering difficulty so much as it is proxying for reserve depth and managerial protection, and the negative hazard coefficient says that protection dominates difficulty in the sample. This is a hypothesis the present data motivate rather than confirm, and it points to reserve fraction at confirmation as the omitted variable most worth adding.</w:t>
      </w:r>
    </w:p>
    <w:p>
      <w:pPr>
        <w:pStyle w:val="BodyText"/>
      </w:pPr>
      <w:r>
        <w:t xml:space="preserve">The instrument and heritage coefficients, though not significant, are both signed as theory predicts and are mutually consistent with the descriptive evidence that clean-sheet missions breach their baselines far more often than heritage missions. Their imprecision is the expected cost of a small sample: with 25 missions and 14 events, the model has limited power to separate three correlated covariates, and the wide confidence intervals should be read as a statement about sample size rather than about the absence of an effect. The appropriate disposition is to treat the heritage and instrument results as directional evidence consistent with H1 that a larger sample, pooling additional mission classes and additional agency-year observations, could sharpen.</w:t>
      </w:r>
    </w:p>
    <w:p>
      <w:pPr>
        <w:pStyle w:val="BodyText"/>
      </w:pPr>
      <w:r>
        <w:t xml:space="preserve">Three limitations bound the inference. First, the event is defined as the first recorded breach, and the phase at which a breach becomes recordable may lag the phase at which it became probable, which would bias any phase-located hazard peak later than its true onset; the covariate hazard ratios estimated here are not sensitive to that timing bias, but a phase-indexed extension would be. Second, the covariates are associational, not causal: instrument complement and mass are themselves chosen partly in anticipation of cost risk, so their coefficients describe the conditional breach rate of missions that were built a certain way, not the effect of building a mission that way</w:t>
      </w:r>
      <w:r>
        <w:t xml:space="preserve"> </w:t>
      </w:r>
      <w:hyperlink w:anchor="ref-2">
        <m:oMathPara>
          <m:oMathParaPr>
            <m:jc m:val="center"/>
          </m:oMathParaPr>
          <m:oMath>
            <m:r>
              <m:t>2</m:t>
            </m:r>
          </m:oMath>
        </m:oMathPara>
      </w:hyperlink>
      <w:r>
        <w:t xml:space="preserve">,</w:t>
      </w:r>
      <w:r>
        <w:t xml:space="preserve"> </w:t>
      </w:r>
      <w:hyperlink w:anchor="ref-4">
        <m:oMathPara>
          <m:oMathParaPr>
            <m:jc m:val="center"/>
          </m:oMathParaPr>
          <m:oMath>
            <m:r>
              <m:t>4</m:t>
            </m:r>
          </m:oMath>
        </m:oMathPara>
      </w:hyperlink>
      <w:r>
        <w:t xml:space="preserve">. Third, the sample is the population of confirmed NASA planetary missions with public records, which is modest by construction and yields the wide intervals reported above. None of these limitations touches the central methodological claim of the paper, which is that baseline breach is well-posed as a survival process with an unambiguous confirmation clock, and that the parametric tradition’s own input variables can be carried directly into a hazard model where their signs and magnitudes become separately testable. The payoff for a confirmation board is a covariate-adjusted statement of breach risk rather than a point estimate of cost, and the first such statement on real NASA data is that physical scale, contrary to intuition, does not buy a faster path to overrun.</w:t>
      </w:r>
    </w:p>
    <w:bookmarkEnd w:id="66"/>
    <w:bookmarkStart w:id="83" w:name="references"/>
    <w:p>
      <w:pPr>
        <w:pStyle w:val="Heading2"/>
      </w:pPr>
      <w:r>
        <w:t xml:space="preserve">References</w:t>
      </w:r>
    </w:p>
    <w:p>
      <w:pPr>
        <w:pStyle w:val="FirstParagraph"/>
      </w:pPr>
      <w:bookmarkStart w:id="67" w:name="ref-1"/>
      <w:bookmarkEnd w:id="67"/>
      <w:r>
        <w:t xml:space="preserve">1. P. D. Friz, S. Hosder, B. B. Leser, and B. C. Towle,</w:t>
      </w:r>
      <w:r>
        <w:t xml:space="preserve"> </w:t>
      </w:r>
      <w:r>
        <w:t xml:space="preserve">“Blind validation study of parametric cost estimation tool SEER-H for NASA space missions,”</w:t>
      </w:r>
      <w:r>
        <w:t xml:space="preserve"> </w:t>
      </w:r>
      <w:r>
        <w:t xml:space="preserve">Acta Astronautica, vol. 166, 2019. doi:</w:t>
      </w:r>
      <w:r>
        <w:t xml:space="preserve"> </w:t>
      </w:r>
      <w:hyperlink r:id="rId68">
        <w:r>
          <w:rPr>
            <w:rStyle w:val="Hyperlink"/>
          </w:rPr>
          <w:t xml:space="preserve">10.1016/j.actaastro.2019.09.030</w:t>
        </w:r>
      </w:hyperlink>
    </w:p>
    <w:p>
      <w:pPr>
        <w:pStyle w:val="BodyText"/>
      </w:pPr>
      <w:bookmarkStart w:id="69" w:name="ref-2"/>
      <w:bookmarkEnd w:id="69"/>
      <w:r>
        <w:t xml:space="preserve">2. S. Dorrington and J. Olsen,</w:t>
      </w:r>
      <w:r>
        <w:t xml:space="preserve"> </w:t>
      </w:r>
      <w:r>
        <w:t xml:space="preserve">“Parametric economic modelling of asteroid mining architectures,”</w:t>
      </w:r>
      <w:r>
        <w:t xml:space="preserve"> </w:t>
      </w:r>
      <w:r>
        <w:t xml:space="preserve">Acta Astronautica, vol. 241, 2025. doi:</w:t>
      </w:r>
      <w:r>
        <w:t xml:space="preserve"> </w:t>
      </w:r>
      <w:hyperlink r:id="rId70">
        <w:r>
          <w:rPr>
            <w:rStyle w:val="Hyperlink"/>
          </w:rPr>
          <w:t xml:space="preserve">10.1016/j.actaastro.2025.11.006</w:t>
        </w:r>
      </w:hyperlink>
    </w:p>
    <w:p>
      <w:pPr>
        <w:pStyle w:val="BodyText"/>
      </w:pPr>
      <w:bookmarkStart w:id="71" w:name="ref-3"/>
      <w:bookmarkEnd w:id="71"/>
      <w:r>
        <w:t xml:space="preserve">3. N. Viola, R. Fusaro, D. Ferretto, and V. Vercella,</w:t>
      </w:r>
      <w:r>
        <w:t xml:space="preserve"> </w:t>
      </w:r>
      <w:r>
        <w:t xml:space="preserve">“Research, development and production costs prediction parametric model for future civil hypersonic aircraft,”</w:t>
      </w:r>
      <w:r>
        <w:t xml:space="preserve"> </w:t>
      </w:r>
      <w:r>
        <w:t xml:space="preserve">Acta Astronautica, vol. 204, 2022. doi:</w:t>
      </w:r>
      <w:r>
        <w:t xml:space="preserve"> </w:t>
      </w:r>
      <w:hyperlink r:id="rId72">
        <w:r>
          <w:rPr>
            <w:rStyle w:val="Hyperlink"/>
          </w:rPr>
          <w:t xml:space="preserve">10.1016/j.actaastro.2022.12.036</w:t>
        </w:r>
      </w:hyperlink>
    </w:p>
    <w:p>
      <w:pPr>
        <w:pStyle w:val="BodyText"/>
      </w:pPr>
      <w:bookmarkStart w:id="73" w:name="ref-4"/>
      <w:bookmarkEnd w:id="73"/>
      <w:r>
        <w:t xml:space="preserve">4. M. Weinzierl,</w:t>
      </w:r>
      <w:r>
        <w:t xml:space="preserve"> </w:t>
      </w:r>
      <w:r>
        <w:t xml:space="preserve">“Space, the final economic frontier,”</w:t>
      </w:r>
      <w:r>
        <w:t xml:space="preserve"> </w:t>
      </w:r>
      <w:r>
        <w:t xml:space="preserve">Journal of Economic Perspectives, vol. 32, no. 2, pp. 173-192, 2018. doi:</w:t>
      </w:r>
      <w:r>
        <w:t xml:space="preserve"> </w:t>
      </w:r>
      <w:hyperlink r:id="rId74">
        <w:r>
          <w:rPr>
            <w:rStyle w:val="Hyperlink"/>
          </w:rPr>
          <w:t xml:space="preserve">10.1257/jep.32.2.173</w:t>
        </w:r>
      </w:hyperlink>
    </w:p>
    <w:p>
      <w:pPr>
        <w:pStyle w:val="BodyText"/>
      </w:pPr>
      <w:bookmarkStart w:id="75" w:name="ref-5"/>
      <w:bookmarkEnd w:id="75"/>
      <w:r>
        <w:t xml:space="preserve">5. U.S. Government Accountability Office, NASA: Assessments of Major Projects, GAO-25-107591, 2025. https://www.gao.gov/assets/gao-25-107591.pdf.</w:t>
      </w:r>
    </w:p>
    <w:p>
      <w:pPr>
        <w:pStyle w:val="BodyText"/>
      </w:pPr>
      <w:bookmarkStart w:id="76" w:name="ref-6"/>
      <w:bookmarkEnd w:id="76"/>
      <w:r>
        <w:t xml:space="preserve">6. U.S. Government Accountability Office, NASA: Assessments of Major Projects, GAO-24-106767, 2024. https://www.gao.gov/products/gao-24-106767.</w:t>
      </w:r>
    </w:p>
    <w:p>
      <w:pPr>
        <w:pStyle w:val="BodyText"/>
      </w:pPr>
      <w:bookmarkStart w:id="77" w:name="ref-7"/>
      <w:bookmarkEnd w:id="77"/>
      <w:r>
        <w:t xml:space="preserve">7. U.S. Government Accountability Office, NASA: Assessment of Major Projects, GAO-23-106021, 2023. https://www.gao.gov/assets/gao-23-106021.pdf.</w:t>
      </w:r>
    </w:p>
    <w:p>
      <w:pPr>
        <w:pStyle w:val="BodyText"/>
      </w:pPr>
      <w:bookmarkStart w:id="78" w:name="ref-8"/>
      <w:bookmarkEnd w:id="78"/>
      <w:r>
        <w:t xml:space="preserve">8. The Planetary Society,</w:t>
      </w:r>
      <w:r>
        <w:t xml:space="preserve"> </w:t>
      </w:r>
      <w:r>
        <w:t xml:space="preserve">“The cost of OSIRIS-REx.”</w:t>
      </w:r>
      <w:r>
        <w:t xml:space="preserve"> </w:t>
      </w:r>
      <w:r>
        <w:t xml:space="preserve">https://www.planetary.org/space-policy/cost-of-osiris-rex.</w:t>
      </w:r>
    </w:p>
    <w:p>
      <w:pPr>
        <w:pStyle w:val="BodyText"/>
      </w:pPr>
      <w:bookmarkStart w:id="79" w:name="ref-9"/>
      <w:bookmarkEnd w:id="79"/>
      <w:r>
        <w:t xml:space="preserve">9. The Planetary Society,</w:t>
      </w:r>
      <w:r>
        <w:t xml:space="preserve"> </w:t>
      </w:r>
      <w:r>
        <w:t xml:space="preserve">“The cost of Mars InSight.”</w:t>
      </w:r>
      <w:r>
        <w:t xml:space="preserve"> </w:t>
      </w:r>
      <w:r>
        <w:t xml:space="preserve">https://www.planetary.org/space-policy/cost-of-mars-insight.</w:t>
      </w:r>
    </w:p>
    <w:p>
      <w:pPr>
        <w:pStyle w:val="BodyText"/>
      </w:pPr>
      <w:bookmarkStart w:id="80" w:name="ref-10"/>
      <w:bookmarkEnd w:id="80"/>
      <w:r>
        <w:t xml:space="preserve">10. The Planetary Society,</w:t>
      </w:r>
      <w:r>
        <w:t xml:space="preserve"> </w:t>
      </w:r>
      <w:r>
        <w:t xml:space="preserve">“The cost of the Double Asteroid Redirection Test (DART) mission.”</w:t>
      </w:r>
      <w:r>
        <w:t xml:space="preserve"> </w:t>
      </w:r>
      <w:r>
        <w:t xml:space="preserve">https://www.planetary.org/space-policy/cost-of-dart.</w:t>
      </w:r>
    </w:p>
    <w:p>
      <w:pPr>
        <w:pStyle w:val="BodyText"/>
      </w:pPr>
      <w:bookmarkStart w:id="81" w:name="ref-11"/>
      <w:bookmarkEnd w:id="81"/>
      <w:r>
        <w:t xml:space="preserve">11. J. Foust,</w:t>
      </w:r>
      <w:r>
        <w:t xml:space="preserve"> </w:t>
      </w:r>
      <w:r>
        <w:t xml:space="preserve">“NASA confirms Dragonfly mission despite doubled costs,”</w:t>
      </w:r>
      <w:r>
        <w:t xml:space="preserve"> </w:t>
      </w:r>
      <w:r>
        <w:t xml:space="preserve">SpaceNews, Apr. 2024. https://spacenews.com/nasa-confirms-dragonfly-mission-despite-doubled-costs/.</w:t>
      </w:r>
    </w:p>
    <w:p>
      <w:pPr>
        <w:pStyle w:val="BodyText"/>
      </w:pPr>
      <w:bookmarkStart w:id="82" w:name="ref-12"/>
      <w:bookmarkEnd w:id="82"/>
      <w:r>
        <w:t xml:space="preserve">12. M. Smith,</w:t>
      </w:r>
      <w:r>
        <w:t xml:space="preserve"> </w:t>
      </w:r>
      <w:r>
        <w:t xml:space="preserve">“NASA reveals Europa Clipper cost growth, Mars Sample Return replan,”</w:t>
      </w:r>
      <w:r>
        <w:t xml:space="preserve"> </w:t>
      </w:r>
      <w:r>
        <w:t xml:space="preserve">SpacePolicyOnline, 2022. https://spacepolicyonline.com/news/nasa-reveals-europa-clipper-cost-growth-mars-sample-return-replan/.</w:t>
      </w:r>
    </w:p>
    <w:bookmarkEnd w:id="83"/>
    <w:bookmarkStart w:id="84"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rPr>
              <m:sty m:val="p"/>
            </m:rPr>
            <m:t>(</m:t>
          </m:r>
          <m:sSub>
            <m:e>
              <m:r>
                <m:t>β</m:t>
              </m:r>
            </m:e>
            <m:sub>
              <m:r>
                <m:t>1</m:t>
              </m:r>
            </m:sub>
          </m:sSub>
          <m:r>
            <m:rPr>
              <m:sty m:val="p"/>
            </m:rPr>
            <m:t>m</m:t>
          </m:r>
          <m:r>
            <m:rPr>
              <m:sty m:val="p"/>
            </m:rPr>
            <m:t>a</m:t>
          </m:r>
          <m:r>
            <m:rPr>
              <m:sty m:val="p"/>
            </m:rPr>
            <m:t>s</m:t>
          </m:r>
          <m:r>
            <m:rPr>
              <m:sty m:val="p"/>
            </m:rPr>
            <m:t>s</m:t>
          </m:r>
          <m:r>
            <m:rPr>
              <m:sty m:val="p"/>
            </m:rPr>
            <m:t>_</m:t>
          </m:r>
          <m:r>
            <m:rPr>
              <m:sty m:val="p"/>
            </m:rPr>
            <m:t>t</m:t>
          </m:r>
          <m:r>
            <m:rPr>
              <m:sty m:val="p"/>
            </m:rPr>
            <m:t>+</m:t>
          </m:r>
          <m:sSub>
            <m:e>
              <m:r>
                <m:t>β</m:t>
              </m:r>
            </m:e>
            <m:sub>
              <m:r>
                <m:t>2</m:t>
              </m:r>
            </m:sub>
          </m:sSub>
          <m:r>
            <m:rPr>
              <m:sty m:val="p"/>
            </m:rPr>
            <m:t>n</m:t>
          </m:r>
          <m:r>
            <m:rPr>
              <m:sty m:val="p"/>
            </m:rPr>
            <m:t>_</m:t>
          </m:r>
          <m:r>
            <m:rPr>
              <m:sty m:val="p"/>
            </m:rPr>
            <m:t>i</m:t>
          </m:r>
          <m:r>
            <m:rPr>
              <m:sty m:val="p"/>
            </m:rPr>
            <m:t>n</m:t>
          </m:r>
          <m:r>
            <m:rPr>
              <m:sty m:val="p"/>
            </m:rPr>
            <m:t>s</m:t>
          </m:r>
          <m:r>
            <m:rPr>
              <m:sty m:val="p"/>
            </m:rPr>
            <m:t>t</m:t>
          </m:r>
          <m:r>
            <m:rPr>
              <m:sty m:val="p"/>
            </m:rPr>
            <m:t>r</m:t>
          </m:r>
          <m:r>
            <m:rPr>
              <m:sty m:val="p"/>
            </m:rPr>
            <m:t>+</m:t>
          </m:r>
          <m:sSub>
            <m:e>
              <m:r>
                <m:t>β</m:t>
              </m:r>
            </m:e>
            <m:sub>
              <m:r>
                <m:t>3</m:t>
              </m:r>
            </m:sub>
          </m:sSub>
          <m:r>
            <m:rPr>
              <m:sty m:val="p"/>
            </m:rPr>
            <m:t>h</m:t>
          </m:r>
          <m:r>
            <m:rPr>
              <m:sty m:val="p"/>
            </m:rPr>
            <m:t>e</m:t>
          </m:r>
          <m:r>
            <m:rPr>
              <m:sty m:val="p"/>
            </m:rPr>
            <m:t>r</m:t>
          </m:r>
          <m:r>
            <m:rPr>
              <m:sty m:val="p"/>
            </m:rPr>
            <m:t>i</m:t>
          </m:r>
          <m:r>
            <m:rPr>
              <m:sty m:val="p"/>
            </m:rPr>
            <m:t>t</m:t>
          </m:r>
          <m:r>
            <m:rPr>
              <m:sty m:val="p"/>
            </m:rPr>
            <m:t>a</m:t>
          </m:r>
          <m:r>
            <m:rPr>
              <m:sty m:val="p"/>
            </m:rPr>
            <m:t>g</m:t>
          </m:r>
          <m:r>
            <m:rPr>
              <m:sty m:val="p"/>
            </m:rPr>
            <m:t>e</m:t>
          </m:r>
          <m:r>
            <m:rPr>
              <m:sty m:val="p"/>
            </m:rPr>
            <m:t>)</m:t>
          </m:r>
        </m:oMath>
      </m:oMathPara>
    </w:p>
    <w:bookmarkEnd w:id="84"/>
    <w:bookmarkStart w:id="88"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mass_t</w:t>
            </w:r>
          </w:p>
        </w:tc>
        <w:tc>
          <w:tcPr>
            <w:tcW w:w="0" w:type="auto"/>
          </w:tcPr>
          <w:p>
            <w:pPr>
              <w:spacing w:line="240" w:lineRule="auto" w:before="0" w:after="0"/>
              <w:pStyle w:val="Compact"/>
            </w:pPr>
            <w:r>
              <w:rPr>
                <w:sz w:val="20"/>
                <w:szCs w:val="20"/>
              </w:rPr>
              <w:t xml:space="preserve">-0.5229</w:t>
            </w:r>
          </w:p>
        </w:tc>
        <w:tc>
          <w:tcPr>
            <w:tcW w:w="0" w:type="auto"/>
          </w:tcPr>
          <w:p>
            <w:pPr>
              <w:spacing w:line="240" w:lineRule="auto" w:before="0" w:after="0"/>
              <w:pStyle w:val="Compact"/>
            </w:pPr>
            <w:r>
              <w:rPr>
                <w:sz w:val="20"/>
                <w:szCs w:val="20"/>
              </w:rPr>
              <w:t xml:space="preserve">0.2869</w:t>
            </w:r>
          </w:p>
        </w:tc>
        <w:tc>
          <w:tcPr>
            <w:tcW w:w="0" w:type="auto"/>
          </w:tcPr>
          <w:p>
            <w:pPr>
              <w:spacing w:line="240" w:lineRule="auto" w:before="0" w:after="0"/>
              <w:pStyle w:val="Compact"/>
            </w:pPr>
            <w:r>
              <w:rPr>
                <w:sz w:val="20"/>
                <w:szCs w:val="20"/>
              </w:rPr>
              <w:t xml:space="preserve">-1.8229</w:t>
            </w:r>
          </w:p>
        </w:tc>
        <w:tc>
          <w:tcPr>
            <w:tcW w:w="0" w:type="auto"/>
          </w:tcPr>
          <w:p>
            <w:pPr>
              <w:spacing w:line="240" w:lineRule="auto" w:before="0" w:after="0"/>
              <w:pStyle w:val="Compact"/>
            </w:pPr>
            <w:r>
              <w:rPr>
                <w:sz w:val="20"/>
                <w:szCs w:val="20"/>
              </w:rPr>
              <w:t xml:space="preserve">0.0683</w:t>
            </w:r>
          </w:p>
        </w:tc>
        <w:tc>
          <w:tcPr>
            <w:tcW w:w="0" w:type="auto"/>
          </w:tcPr>
          <w:p>
            <w:pPr>
              <w:spacing w:line="240" w:lineRule="auto" w:before="0" w:after="0"/>
              <w:pStyle w:val="Compact"/>
            </w:pPr>
            <w:r>
              <w:rPr>
                <w:sz w:val="20"/>
                <w:szCs w:val="20"/>
              </w:rPr>
              <w:t xml:space="preserve">[-1.0851, 0.0393]</w:t>
            </w:r>
          </w:p>
        </w:tc>
        <w:tc>
          <w:tcPr>
            <w:tcW w:w="0" w:type="auto"/>
          </w:tcPr>
          <w:p>
            <w:pPr>
              <w:spacing w:line="240" w:lineRule="auto" w:before="0" w:after="0"/>
              <w:pStyle w:val="Compact"/>
            </w:pPr>
            <w:r>
              <w:rPr>
                <w:sz w:val="20"/>
                <w:szCs w:val="20"/>
              </w:rPr>
              <w:t xml:space="preserve">0.5928</w:t>
            </w:r>
          </w:p>
        </w:tc>
      </w:tr>
      <w:tr>
        <w:tc>
          <w:tcPr>
            <w:tcW w:w="0" w:type="auto"/>
          </w:tcPr>
          <w:p>
            <w:pPr>
              <w:spacing w:line="240" w:lineRule="auto" w:before="0" w:after="0"/>
              <w:pStyle w:val="Compact"/>
            </w:pPr>
            <w:r>
              <w:rPr>
                <w:sz w:val="20"/>
                <w:szCs w:val="20"/>
              </w:rPr>
              <w:t xml:space="preserve">n_instr</w:t>
            </w:r>
          </w:p>
        </w:tc>
        <w:tc>
          <w:tcPr>
            <w:tcW w:w="0" w:type="auto"/>
          </w:tcPr>
          <w:p>
            <w:pPr>
              <w:spacing w:line="240" w:lineRule="auto" w:before="0" w:after="0"/>
              <w:pStyle w:val="Compact"/>
            </w:pPr>
            <w:r>
              <w:rPr>
                <w:sz w:val="20"/>
                <w:szCs w:val="20"/>
              </w:rPr>
              <w:t xml:space="preserve">0.1674</w:t>
            </w:r>
          </w:p>
        </w:tc>
        <w:tc>
          <w:tcPr>
            <w:tcW w:w="0" w:type="auto"/>
          </w:tcPr>
          <w:p>
            <w:pPr>
              <w:spacing w:line="240" w:lineRule="auto" w:before="0" w:after="0"/>
              <w:pStyle w:val="Compact"/>
            </w:pPr>
            <w:r>
              <w:rPr>
                <w:sz w:val="20"/>
                <w:szCs w:val="20"/>
              </w:rPr>
              <w:t xml:space="preserve">0.1503</w:t>
            </w:r>
          </w:p>
        </w:tc>
        <w:tc>
          <w:tcPr>
            <w:tcW w:w="0" w:type="auto"/>
          </w:tcPr>
          <w:p>
            <w:pPr>
              <w:spacing w:line="240" w:lineRule="auto" w:before="0" w:after="0"/>
              <w:pStyle w:val="Compact"/>
            </w:pPr>
            <w:r>
              <w:rPr>
                <w:sz w:val="20"/>
                <w:szCs w:val="20"/>
              </w:rPr>
              <w:t xml:space="preserve">1.1138</w:t>
            </w:r>
          </w:p>
        </w:tc>
        <w:tc>
          <w:tcPr>
            <w:tcW w:w="0" w:type="auto"/>
          </w:tcPr>
          <w:p>
            <w:pPr>
              <w:spacing w:line="240" w:lineRule="auto" w:before="0" w:after="0"/>
              <w:pStyle w:val="Compact"/>
            </w:pPr>
            <w:r>
              <w:rPr>
                <w:sz w:val="20"/>
                <w:szCs w:val="20"/>
              </w:rPr>
              <w:t xml:space="preserve">0.2653</w:t>
            </w:r>
          </w:p>
        </w:tc>
        <w:tc>
          <w:tcPr>
            <w:tcW w:w="0" w:type="auto"/>
          </w:tcPr>
          <w:p>
            <w:pPr>
              <w:spacing w:line="240" w:lineRule="auto" w:before="0" w:after="0"/>
              <w:pStyle w:val="Compact"/>
            </w:pPr>
            <w:r>
              <w:rPr>
                <w:sz w:val="20"/>
                <w:szCs w:val="20"/>
              </w:rPr>
              <w:t xml:space="preserve">[-0.1271, 0.4619]</w:t>
            </w:r>
          </w:p>
        </w:tc>
        <w:tc>
          <w:tcPr>
            <w:tcW w:w="0" w:type="auto"/>
          </w:tcPr>
          <w:p>
            <w:pPr>
              <w:spacing w:line="240" w:lineRule="auto" w:before="0" w:after="0"/>
              <w:pStyle w:val="Compact"/>
            </w:pPr>
            <w:r>
              <w:rPr>
                <w:sz w:val="20"/>
                <w:szCs w:val="20"/>
              </w:rPr>
              <w:t xml:space="preserve">1.1822</w:t>
            </w:r>
          </w:p>
        </w:tc>
      </w:tr>
      <w:tr>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-0.4952</w:t>
            </w:r>
          </w:p>
        </w:tc>
        <w:tc>
          <w:tcPr>
            <w:tcW w:w="0" w:type="auto"/>
          </w:tcPr>
          <w:p>
            <w:pPr>
              <w:spacing w:line="240" w:lineRule="auto" w:before="0" w:after="0"/>
              <w:pStyle w:val="Compact"/>
            </w:pPr>
            <w:r>
              <w:rPr>
                <w:sz w:val="20"/>
                <w:szCs w:val="20"/>
              </w:rPr>
              <w:t xml:space="preserve">0.6635</w:t>
            </w:r>
          </w:p>
        </w:tc>
        <w:tc>
          <w:tcPr>
            <w:tcW w:w="0" w:type="auto"/>
          </w:tcPr>
          <w:p>
            <w:pPr>
              <w:spacing w:line="240" w:lineRule="auto" w:before="0" w:after="0"/>
              <w:pStyle w:val="Compact"/>
            </w:pPr>
            <w:r>
              <w:rPr>
                <w:sz w:val="20"/>
                <w:szCs w:val="20"/>
              </w:rPr>
              <w:t xml:space="preserve">-0.7464</w:t>
            </w:r>
          </w:p>
        </w:tc>
        <w:tc>
          <w:tcPr>
            <w:tcW w:w="0" w:type="auto"/>
          </w:tcPr>
          <w:p>
            <w:pPr>
              <w:spacing w:line="240" w:lineRule="auto" w:before="0" w:after="0"/>
              <w:pStyle w:val="Compact"/>
            </w:pPr>
            <w:r>
              <w:rPr>
                <w:sz w:val="20"/>
                <w:szCs w:val="20"/>
              </w:rPr>
              <w:t xml:space="preserve">0.4554</w:t>
            </w:r>
          </w:p>
        </w:tc>
        <w:tc>
          <w:tcPr>
            <w:tcW w:w="0" w:type="auto"/>
          </w:tcPr>
          <w:p>
            <w:pPr>
              <w:spacing w:line="240" w:lineRule="auto" w:before="0" w:after="0"/>
              <w:pStyle w:val="Compact"/>
            </w:pPr>
            <w:r>
              <w:rPr>
                <w:sz w:val="20"/>
                <w:szCs w:val="20"/>
              </w:rPr>
              <w:t xml:space="preserve">[-1.7957, 0.8052]</w:t>
            </w:r>
          </w:p>
        </w:tc>
        <w:tc>
          <w:tcPr>
            <w:tcW w:w="0" w:type="auto"/>
          </w:tcPr>
          <w:p>
            <w:pPr>
              <w:spacing w:line="240" w:lineRule="auto" w:before="0" w:after="0"/>
              <w:pStyle w:val="Compact"/>
            </w:pPr>
            <w:r>
              <w:rPr>
                <w:sz w:val="20"/>
                <w:szCs w:val="20"/>
              </w:rPr>
              <w:t xml:space="preserve">0.6094</w:t>
            </w:r>
          </w:p>
        </w:tc>
      </w:tr>
    </w:tbl>
    <w:p>
      <w:pPr>
        <w:pStyle w:val="BodyText"/>
      </w:pPr>
      <w:r>
        <w:t xml:space="preserve">Fit: N = 25 events = 14</w:t>
      </w:r>
    </w:p>
    <w:p>
      <w:pPr>
        <w:pStyle w:val="CaptionedFigure"/>
      </w:pPr>
      <w:r>
        <w:drawing>
          <wp:inline>
            <wp:extent cx="5669280" cy="3657600"/>
            <wp:effectExtent b="0" l="0" r="0" t="0"/>
            <wp:docPr descr="Figure 1. Figure 1. Cumulative development cost growth against payload complexity (instrument count) for 25 NASA planetary and deep-space science missions. Missions that breached their confirmed baseline (event = 1) cluster at higher complexity, motivating the proportional-hazards specification in which instrument count and mass shift the breach hazard." title="" id="86" name="Picture"/>
            <a:graphic>
              <a:graphicData uri="http://schemas.openxmlformats.org/drawingml/2006/picture">
                <pic:pic>
                  <pic:nvPicPr>
                    <pic:cNvPr descr="D:\Claude_Code\brain\collegium\candidates\dissertations\JPL_PLANETARY_03\research_papers\p1\paper_fig1.png" id="87" name="Picture"/>
                    <pic:cNvPicPr>
                      <a:picLocks noChangeArrowheads="1" noChangeAspect="1"/>
                    </pic:cNvPicPr>
                  </pic:nvPicPr>
                  <pic:blipFill>
                    <a:blip r:embed="rId8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Cumulative development cost growth against payload complexity (instrument count) for 25 NASA planetary and deep-space science missions. Missions that breached their confirmed baseline (event = 1) cluster at higher complexity, motivating the proportional-hazards specification in which instrument count and mass shift the breach hazard.</w:t>
      </w:r>
    </w:p>
    <w:bookmarkEnd w:id="88"/>
    <w:bookmarkStart w:id="9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confirm_year</w:t>
            </w:r>
          </w:p>
        </w:tc>
        <w:tc>
          <w:tcPr>
            <w:tcW w:w="0" w:type="auto"/>
          </w:tcPr>
          <w:p>
            <w:pPr>
              <w:spacing w:line="240" w:lineRule="auto" w:before="0" w:after="0"/>
              <w:pStyle w:val="Compact"/>
            </w:pPr>
            <w:r>
              <w:rPr>
                <w:sz w:val="20"/>
                <w:szCs w:val="20"/>
              </w:rPr>
              <w:t xml:space="preserve">dur_months</w:t>
            </w:r>
          </w:p>
        </w:tc>
        <w:tc>
          <w:tcPr>
            <w:tcW w:w="0" w:type="auto"/>
          </w:tcPr>
          <w:p>
            <w:pPr>
              <w:spacing w:line="240" w:lineRule="auto" w:before="0" w:after="0"/>
              <w:pStyle w:val="Compact"/>
            </w:pPr>
            <w:r>
              <w:rPr>
                <w:sz w:val="20"/>
                <w:szCs w:val="20"/>
              </w:rPr>
              <w:t xml:space="preserve">breach</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mass_t</w:t>
            </w:r>
          </w:p>
        </w:tc>
        <w:tc>
          <w:tcPr>
            <w:tcW w:w="0" w:type="auto"/>
          </w:tcPr>
          <w:p>
            <w:pPr>
              <w:spacing w:line="240" w:lineRule="auto" w:before="0" w:after="0"/>
              <w:pStyle w:val="Compact"/>
            </w:pPr>
            <w:r>
              <w:rPr>
                <w:sz w:val="20"/>
                <w:szCs w:val="20"/>
              </w:rPr>
              <w:t xml:space="preserve">n_instr</w:t>
            </w:r>
          </w:p>
        </w:tc>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 Science Laboratory (Curiosity)</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3.893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 Cost of MSL Curiosity (planetary.org/space-policy/cost-of-msl-curiosity); GAO MSL cost overrun reporting; baseline $1.1B (2008) to $2.53B, 26-month delay</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36.2</w:t>
            </w:r>
          </w:p>
        </w:tc>
        <w:tc>
          <w:tcPr>
            <w:tcW w:w="0" w:type="auto"/>
          </w:tcPr>
          <w:p>
            <w:pPr>
              <w:spacing w:line="240" w:lineRule="auto" w:before="0" w:after="0"/>
              <w:pStyle w:val="Compact"/>
            </w:pPr>
            <w:r>
              <w:rPr>
                <w:sz w:val="20"/>
                <w:szCs w:val="20"/>
              </w:rPr>
              <w:t xml:space="preserve">0.694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Planetary Society, Cost of Mars InSight (planetary.org/space-policy/cost-of-mars-insight); SpaceNews, InSight delay adds $150M (spacenews.com/insight-delay-adds-150-million); $675M baseline +$153.8M, 26-month delay; Phoenix bus heritage</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Science/AAAS, Cost of Mars 2020 may rise up to 15% (science.org/content/article/cost-mars-2020-mission-may-rise-15); MSL heritage bus; $2.46B development</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Planetary Society, Cost of OSIRIS-REx (planetary.org/space-policy/cost-of-osiris-rex); $588.5M spacecraft dev within cap; eoPortal OSIRIS-REx (5 instruments, 2110 kg wet)</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30.5</w:t>
            </w:r>
          </w:p>
        </w:tc>
        <w:tc>
          <w:tcPr>
            <w:tcW w:w="0" w:type="auto"/>
          </w:tcPr>
          <w:p>
            <w:pPr>
              <w:spacing w:line="240" w:lineRule="auto" w:before="0" w:after="0"/>
              <w:pStyle w:val="Compact"/>
            </w:pPr>
            <w:r>
              <w:rPr>
                <w:sz w:val="20"/>
                <w:szCs w:val="20"/>
              </w:rPr>
              <w:t xml:space="preserve">2.747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portfolio data (gao.gov/assets/gao-22-105212.pdf); JPL Psyche Quick Facts (jpl.nasa.gov/press-kits/psyche/quick-facts); $159M cumulative overrun, 15-month delay; 2747 kg, DSOC tech demo</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 2021/2022 assessments (gao.gov/assets/gao-22-105212.pdf); Wikipedia Lucy spacecraft (1550 kg wet, 3 instruments); higher-than-expected cost reported</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 Cost of DART (planetary.org/space-policy/cost-of-dart); $324.5M dev within baseline; DART Wikipedia (DRACO instrument, ~610 kg); APL new bus</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6.065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SpacePolicyOnline, NASA Reveals Europa Clipper Cost Growth (spacepolicyonline.com/news/nasa-reveals-europa-clipper-cost-growth-mars-sample-return-replan); $4.25B to $5B (+$750M); Wikipedia Europa Clipper (9 instruments)</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SpaceNews, NASA confirms Dragonfly despite doubled costs (spacenews.com/nasa-confirms-dragonfly-mission-despite-doubled-costs); NASA OIG Dragonfly cost increases (oig.nasa.gov); $850M Phase A-D cap, lifecycle doubled to $3.35B</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(gao.gov/assets/gao-25-107591.pdf); NASA Science NEO Surveyor (science.nasa.gov/mission/neo-surveyor); replanned launch and budget growth; single IR instrument [illustrative mass]</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NASA assessments (gao.gov/assets/gao-14-338sp.pdf); NSSDCA Juno (3625 kg wet, 9 instruments); launched 2011 on baseline</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 NASA assessments 2011-2012; NSSDCA GRAIL (two 307 kg orbiters, MoonKAM/LGRS); XSS-11/Lunar Prospector lineage; on baseline</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2.454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GAO-14-338SP (gao.gov/assets/gao-14-338sp.pdf); NSSDCA MAVEN (2454 kg wet, 8 instruments); Mars Odyssey/MRO bus heritage; on baseline</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0.383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 NASA assessments 2012-2013; NSSDCA LADEE (383 kg, Modular Common Spacecraft Bus, 4 instruments); on baseline</w:t>
            </w:r>
          </w:p>
        </w:tc>
      </w:tr>
      <w:tr>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MRO press kit (mars.nasa.gov); NSSDCA MRO (2180 kg wet, 6 instruments); Lockheed Mars orbiter heritage; on baseline at 2005 launch</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0.67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Planetary Society Phoenix cost reporting; NSSDCA Phoenix (670 kg, Mars Surveyor 2001 lander heritage); modest development growth</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1.218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GAO-08-301SP NASA major projects (gao.gov); Planetary Society Dawn cost; $373M baseline grew ~$70M; ion-propulsion new bus; 1218 kg</w:t>
            </w:r>
          </w:p>
        </w:tc>
      </w:tr>
      <w:tr>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0.478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New Horizons press kit (pluto.jhuapl.edu); NSSDCA New Horizons (478 kg, 7 instruments); APL bus; launched on baseline 2006</w:t>
            </w:r>
          </w:p>
        </w:tc>
      </w:tr>
      <w:tr>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1.108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 NASA assessments; NSSDCA MESSENGER (1108 kg wet, 7 instruments); APL new Mercury bus; development growth and slip</w:t>
            </w:r>
          </w:p>
        </w:tc>
      </w:tr>
      <w:tr>
        <w:tc>
          <w:tcPr>
            <w:tcW w:w="0" w:type="auto"/>
          </w:tcPr>
          <w:p>
            <w:pPr>
              <w:spacing w:line="240" w:lineRule="auto" w:before="0" w:after="0"/>
              <w:pStyle w:val="Compact"/>
            </w:pPr>
            <w:r>
              <w:rPr>
                <w:sz w:val="20"/>
                <w:szCs w:val="20"/>
              </w:rPr>
              <w:t xml:space="preserve">Mars Odyssey</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Mars Odyssey press kit (mars.nasa.gov); NSSDCA Odyssey (725 kg, 3 instruments); Mars Climate Orbiter bus lineage; on baseline 2001</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Discovery program records; NSSDCA Stardust (385 kg, SRC + dust analyzer); SpaceProbe bus heritage; on baseline 1999</w:t>
            </w:r>
          </w:p>
        </w:tc>
      </w:tr>
      <w:tr>
        <w:tc>
          <w:tcPr>
            <w:tcW w:w="0" w:type="auto"/>
          </w:tcPr>
          <w:p>
            <w:pPr>
              <w:spacing w:line="240" w:lineRule="auto" w:before="0" w:after="0"/>
              <w:pStyle w:val="Compact"/>
            </w:pPr>
            <w:r>
              <w:rPr>
                <w:sz w:val="20"/>
                <w:szCs w:val="20"/>
              </w:rPr>
              <w:t xml:space="preserve">Deep Impact</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0.973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 Discovery cost reporting; NSSDCA Deep Impact (973 kg, flyby + impactor, 3 instruments); development growth; Ball new bus</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GAO-19-262SP (gao.gov/assets/gao-19-262sp.pdf); NSSDCA GRACE-FO (two 600 kg satellites); GRACE heritage; on baseline</w:t>
            </w:r>
          </w:p>
        </w:tc>
      </w:tr>
      <w:tr>
        <w:tc>
          <w:tcPr>
            <w:tcW w:w="0" w:type="auto"/>
          </w:tcPr>
          <w:p>
            <w:pPr>
              <w:spacing w:line="240" w:lineRule="auto" w:before="0" w:after="0"/>
              <w:pStyle w:val="Compact"/>
            </w:pPr>
            <w:r>
              <w:rPr>
                <w:sz w:val="20"/>
                <w:szCs w:val="20"/>
              </w:rPr>
              <w:t xml:space="preserve">Mars Sample Return (SRL/ERO baseline)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(gao.gov/assets/gao-25-107591.pdf); NASA MSR independent review board; significant cost growth and replan; mass and instruments [illustrative]</w:t>
            </w:r>
          </w:p>
        </w:tc>
      </w:tr>
      <w:tr>
        <w:tc>
          <w:tcPr>
            <w:tcW w:w="0" w:type="auto"/>
          </w:tcPr>
          <w:p>
            <w:pPr>
              <w:spacing w:line="240" w:lineRule="auto" w:before="0" w:after="0"/>
              <w:pStyle w:val="Compact"/>
            </w:pPr>
            <w:r>
              <w:rPr>
                <w:sz w:val="20"/>
                <w:szCs w:val="20"/>
              </w:rPr>
              <w:t xml:space="preserve">VERITAS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 assessments and SpaceNews VERITAS delay reporting; mission paused for institutional reasons causing baseline disruption; Magellan/parametric heritage; mass/instruments [illustrative]</w:t>
            </w:r>
          </w:p>
        </w:tc>
      </w:tr>
    </w:tbl>
    <w:bookmarkEnd w:id="89"/>
    <w:bookmarkStart w:id="9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dur_months</w:t>
            </w:r>
          </w:p>
        </w:tc>
        <w:tc>
          <w:tcPr>
            <w:tcW w:w="0" w:type="auto"/>
          </w:tcPr>
          <w:p>
            <w:pPr>
              <w:spacing w:line="240" w:lineRule="auto" w:before="0" w:after="0"/>
              <w:pStyle w:val="Compact"/>
            </w:pPr>
            <w:r>
              <w:rPr>
                <w:sz w:val="20"/>
                <w:szCs w:val="20"/>
              </w:rPr>
              <w:t xml:space="preserve">Months of development exposure from confirmation (authority-to-proceed) to launch; the survival time over which a mission is at risk of first baseline breach</w:t>
            </w:r>
          </w:p>
        </w:tc>
        <w:tc>
          <w:tcPr>
            <w:tcW w:w="0" w:type="auto"/>
          </w:tcPr>
          <w:p>
            <w:pPr>
              <w:spacing w:line="240" w:lineRule="auto" w:before="0" w:after="0"/>
              <w:pStyle w:val="Compact"/>
            </w:pPr>
            <w:r>
              <w:rPr>
                <w:sz w:val="20"/>
                <w:szCs w:val="20"/>
              </w:rPr>
              <w:t xml:space="preserve">NASA project lifecycle records; mission press kits; NSSDCA spacecraft pages</w:t>
            </w:r>
          </w:p>
        </w:tc>
      </w:tr>
      <w:tr>
        <w:tc>
          <w:tcPr>
            <w:tcW w:w="0" w:type="auto"/>
          </w:tcPr>
          <w:p>
            <w:pPr>
              <w:spacing w:line="240" w:lineRule="auto" w:before="0" w:after="0"/>
              <w:pStyle w:val="Compact"/>
            </w:pPr>
            <w:r>
              <w:rPr>
                <w:sz w:val="20"/>
                <w:szCs w:val="20"/>
              </w:rPr>
              <w:t xml:space="preserve">breach</w:t>
            </w:r>
          </w:p>
        </w:tc>
        <w:tc>
          <w:tcPr>
            <w:tcW w:w="0" w:type="auto"/>
          </w:tcPr>
          <w:p>
            <w:pPr>
              <w:spacing w:line="240" w:lineRule="auto" w:before="0" w:after="0"/>
              <w:pStyle w:val="Compact"/>
            </w:pPr>
            <w:r>
              <w:rPr>
                <w:sz w:val="20"/>
                <w:szCs w:val="20"/>
              </w:rPr>
              <w:t xml:space="preserve">Event indicator: 1 if the mission breached its confirmed cost or schedule baseline before launch (recorded overrun or rebaseline), 0 if it reached launch on baseline (right-censored)</w:t>
            </w:r>
          </w:p>
        </w:tc>
        <w:tc>
          <w:tcPr>
            <w:tcW w:w="0" w:type="auto"/>
          </w:tcPr>
          <w:p>
            <w:pPr>
              <w:spacing w:line="240" w:lineRule="auto" w:before="0" w:after="0"/>
              <w:pStyle w:val="Compact"/>
            </w:pPr>
            <w:r>
              <w:rPr>
                <w:sz w:val="20"/>
                <w:szCs w:val="20"/>
              </w:rPr>
              <w:t xml:space="preserve">GAO Assessments of Major Projects (GAO-25-107591, GAO-24-106767, GAO-23-106021); Planetary Society mission cost pages</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Cumulative development cost growth from the confirmation baseline, percent (descriptive; not a model covariate)</w:t>
            </w:r>
          </w:p>
        </w:tc>
        <w:tc>
          <w:tcPr>
            <w:tcW w:w="0" w:type="auto"/>
          </w:tcPr>
          <w:p>
            <w:pPr>
              <w:spacing w:line="240" w:lineRule="auto" w:before="0" w:after="0"/>
              <w:pStyle w:val="Compact"/>
            </w:pPr>
            <w:r>
              <w:rPr>
                <w:sz w:val="20"/>
                <w:szCs w:val="20"/>
              </w:rPr>
              <w:t xml:space="preserve">GAO assessments; Planetary Society cost-of-mission analyses; SpaceNews and SpacePolicyOnline reporting</w:t>
            </w:r>
          </w:p>
        </w:tc>
      </w:tr>
      <w:tr>
        <w:tc>
          <w:tcPr>
            <w:tcW w:w="0" w:type="auto"/>
          </w:tcPr>
          <w:p>
            <w:pPr>
              <w:spacing w:line="240" w:lineRule="auto" w:before="0" w:after="0"/>
              <w:pStyle w:val="Compact"/>
            </w:pPr>
            <w:r>
              <w:rPr>
                <w:sz w:val="20"/>
                <w:szCs w:val="20"/>
              </w:rPr>
              <w:t xml:space="preserve">mass_t</w:t>
            </w:r>
          </w:p>
        </w:tc>
        <w:tc>
          <w:tcPr>
            <w:tcW w:w="0" w:type="auto"/>
          </w:tcPr>
          <w:p>
            <w:pPr>
              <w:spacing w:line="240" w:lineRule="auto" w:before="0" w:after="0"/>
              <w:pStyle w:val="Compact"/>
            </w:pPr>
            <w:r>
              <w:rPr>
                <w:sz w:val="20"/>
                <w:szCs w:val="20"/>
              </w:rPr>
              <w:t xml:space="preserve">Spacecraft launch (wet) mass in metric tons; the leading parametric cost-driver in NASA cost-estimation practice</w:t>
            </w:r>
          </w:p>
        </w:tc>
        <w:tc>
          <w:tcPr>
            <w:tcW w:w="0" w:type="auto"/>
          </w:tcPr>
          <w:p>
            <w:pPr>
              <w:spacing w:line="240" w:lineRule="auto" w:before="0" w:after="0"/>
              <w:pStyle w:val="Compact"/>
            </w:pPr>
            <w:r>
              <w:rPr>
                <w:sz w:val="20"/>
                <w:szCs w:val="20"/>
              </w:rPr>
              <w:t xml:space="preserve">NSSDCA spacecraft master catalog; JPL/APL press kits; eoPortal</w:t>
            </w:r>
          </w:p>
        </w:tc>
      </w:tr>
      <w:tr>
        <w:tc>
          <w:tcPr>
            <w:tcW w:w="0" w:type="auto"/>
          </w:tcPr>
          <w:p>
            <w:pPr>
              <w:spacing w:line="240" w:lineRule="auto" w:before="0" w:after="0"/>
              <w:pStyle w:val="Compact"/>
            </w:pPr>
            <w:r>
              <w:rPr>
                <w:sz w:val="20"/>
                <w:szCs w:val="20"/>
              </w:rPr>
              <w:t xml:space="preserve">n_instr</w:t>
            </w:r>
          </w:p>
        </w:tc>
        <w:tc>
          <w:tcPr>
            <w:tcW w:w="0" w:type="auto"/>
          </w:tcPr>
          <w:p>
            <w:pPr>
              <w:spacing w:line="240" w:lineRule="auto" w:before="0" w:after="0"/>
              <w:pStyle w:val="Compact"/>
            </w:pPr>
            <w:r>
              <w:rPr>
                <w:sz w:val="20"/>
                <w:szCs w:val="20"/>
              </w:rPr>
              <w:t xml:space="preserve">Number of science instruments carried; a proxy for payload complexity and integration scope</w:t>
            </w:r>
          </w:p>
        </w:tc>
        <w:tc>
          <w:tcPr>
            <w:tcW w:w="0" w:type="auto"/>
          </w:tcPr>
          <w:p>
            <w:pPr>
              <w:spacing w:line="240" w:lineRule="auto" w:before="0" w:after="0"/>
              <w:pStyle w:val="Compact"/>
            </w:pPr>
            <w:r>
              <w:rPr>
                <w:sz w:val="20"/>
                <w:szCs w:val="20"/>
              </w:rPr>
              <w:t xml:space="preserve">Mission press kits; NSSDCA; eoPortal instrument lists</w:t>
            </w:r>
          </w:p>
        </w:tc>
      </w:tr>
      <w:tr>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Bus/spacecraft heritage indicator: 1 if the design substantially reused a flown bus or lineage, 0 if largely new development</w:t>
            </w:r>
          </w:p>
        </w:tc>
        <w:tc>
          <w:tcPr>
            <w:tcW w:w="0" w:type="auto"/>
          </w:tcPr>
          <w:p>
            <w:pPr>
              <w:spacing w:line="240" w:lineRule="auto" w:before="0" w:after="0"/>
              <w:pStyle w:val="Compact"/>
            </w:pPr>
            <w:r>
              <w:rPr>
                <w:sz w:val="20"/>
                <w:szCs w:val="20"/>
              </w:rPr>
              <w:t xml:space="preserve">Manufacturer lineage records (Lockheed Martin, APL, Ball); mission documentation</w:t>
            </w:r>
          </w:p>
        </w:tc>
      </w:tr>
    </w:tbl>
    <w:bookmarkEnd w:id="90"/>
    <w:bookmarkStart w:id="9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mass_t</w:t>
            </w:r>
          </w:p>
        </w:tc>
        <w:tc>
          <w:tcPr>
            <w:tcW w:w="0" w:type="auto"/>
          </w:tcPr>
          <w:p>
            <w:pPr>
              <w:spacing w:line="240" w:lineRule="auto" w:before="0" w:after="0"/>
              <w:pStyle w:val="Compact"/>
            </w:pPr>
            <w:r>
              <w:rPr>
                <w:sz w:val="20"/>
                <w:szCs w:val="20"/>
              </w:rPr>
              <w:t xml:space="preserve">-0.5229</w:t>
            </w:r>
          </w:p>
        </w:tc>
        <w:tc>
          <w:tcPr>
            <w:tcW w:w="0" w:type="auto"/>
          </w:tcPr>
          <w:p>
            <w:pPr>
              <w:spacing w:line="240" w:lineRule="auto" w:before="0" w:after="0"/>
              <w:pStyle w:val="Compact"/>
            </w:pPr>
            <w:r>
              <w:rPr>
                <w:sz w:val="20"/>
                <w:szCs w:val="20"/>
              </w:rPr>
              <w:t xml:space="preserve">0.2869</w:t>
            </w:r>
          </w:p>
        </w:tc>
        <w:tc>
          <w:tcPr>
            <w:tcW w:w="0" w:type="auto"/>
          </w:tcPr>
          <w:p>
            <w:pPr>
              <w:spacing w:line="240" w:lineRule="auto" w:before="0" w:after="0"/>
              <w:pStyle w:val="Compact"/>
            </w:pPr>
            <w:r>
              <w:rPr>
                <w:sz w:val="20"/>
                <w:szCs w:val="20"/>
              </w:rPr>
              <w:t xml:space="preserve">-1.8229</w:t>
            </w:r>
          </w:p>
        </w:tc>
        <w:tc>
          <w:tcPr>
            <w:tcW w:w="0" w:type="auto"/>
          </w:tcPr>
          <w:p>
            <w:pPr>
              <w:spacing w:line="240" w:lineRule="auto" w:before="0" w:after="0"/>
              <w:pStyle w:val="Compact"/>
            </w:pPr>
            <w:r>
              <w:rPr>
                <w:sz w:val="20"/>
                <w:szCs w:val="20"/>
              </w:rPr>
              <w:t xml:space="preserve">0.0683</w:t>
            </w:r>
          </w:p>
        </w:tc>
        <w:tc>
          <w:tcPr>
            <w:tcW w:w="0" w:type="auto"/>
          </w:tcPr>
          <w:p>
            <w:pPr>
              <w:spacing w:line="240" w:lineRule="auto" w:before="0" w:after="0"/>
              <w:pStyle w:val="Compact"/>
            </w:pPr>
            <w:r>
              <w:rPr>
                <w:sz w:val="20"/>
                <w:szCs w:val="20"/>
              </w:rPr>
              <w:t xml:space="preserve">[-1.0851, 0.0393]</w:t>
            </w:r>
          </w:p>
        </w:tc>
        <w:tc>
          <w:tcPr>
            <w:tcW w:w="0" w:type="auto"/>
          </w:tcPr>
          <w:p>
            <w:pPr>
              <w:spacing w:line="240" w:lineRule="auto" w:before="0" w:after="0"/>
              <w:pStyle w:val="Compact"/>
            </w:pPr>
            <w:r>
              <w:rPr>
                <w:sz w:val="20"/>
                <w:szCs w:val="20"/>
              </w:rPr>
              <w:t xml:space="preserve">0.5928</w:t>
            </w:r>
          </w:p>
        </w:tc>
      </w:tr>
      <w:tr>
        <w:tc>
          <w:tcPr>
            <w:tcW w:w="0" w:type="auto"/>
          </w:tcPr>
          <w:p>
            <w:pPr>
              <w:spacing w:line="240" w:lineRule="auto" w:before="0" w:after="0"/>
              <w:pStyle w:val="Compact"/>
            </w:pPr>
            <w:r>
              <w:rPr>
                <w:sz w:val="20"/>
                <w:szCs w:val="20"/>
              </w:rPr>
              <w:t xml:space="preserve">n_instr</w:t>
            </w:r>
          </w:p>
        </w:tc>
        <w:tc>
          <w:tcPr>
            <w:tcW w:w="0" w:type="auto"/>
          </w:tcPr>
          <w:p>
            <w:pPr>
              <w:spacing w:line="240" w:lineRule="auto" w:before="0" w:after="0"/>
              <w:pStyle w:val="Compact"/>
            </w:pPr>
            <w:r>
              <w:rPr>
                <w:sz w:val="20"/>
                <w:szCs w:val="20"/>
              </w:rPr>
              <w:t xml:space="preserve">0.1674</w:t>
            </w:r>
          </w:p>
        </w:tc>
        <w:tc>
          <w:tcPr>
            <w:tcW w:w="0" w:type="auto"/>
          </w:tcPr>
          <w:p>
            <w:pPr>
              <w:spacing w:line="240" w:lineRule="auto" w:before="0" w:after="0"/>
              <w:pStyle w:val="Compact"/>
            </w:pPr>
            <w:r>
              <w:rPr>
                <w:sz w:val="20"/>
                <w:szCs w:val="20"/>
              </w:rPr>
              <w:t xml:space="preserve">0.1503</w:t>
            </w:r>
          </w:p>
        </w:tc>
        <w:tc>
          <w:tcPr>
            <w:tcW w:w="0" w:type="auto"/>
          </w:tcPr>
          <w:p>
            <w:pPr>
              <w:spacing w:line="240" w:lineRule="auto" w:before="0" w:after="0"/>
              <w:pStyle w:val="Compact"/>
            </w:pPr>
            <w:r>
              <w:rPr>
                <w:sz w:val="20"/>
                <w:szCs w:val="20"/>
              </w:rPr>
              <w:t xml:space="preserve">1.1138</w:t>
            </w:r>
          </w:p>
        </w:tc>
        <w:tc>
          <w:tcPr>
            <w:tcW w:w="0" w:type="auto"/>
          </w:tcPr>
          <w:p>
            <w:pPr>
              <w:spacing w:line="240" w:lineRule="auto" w:before="0" w:after="0"/>
              <w:pStyle w:val="Compact"/>
            </w:pPr>
            <w:r>
              <w:rPr>
                <w:sz w:val="20"/>
                <w:szCs w:val="20"/>
              </w:rPr>
              <w:t xml:space="preserve">0.2653</w:t>
            </w:r>
          </w:p>
        </w:tc>
        <w:tc>
          <w:tcPr>
            <w:tcW w:w="0" w:type="auto"/>
          </w:tcPr>
          <w:p>
            <w:pPr>
              <w:spacing w:line="240" w:lineRule="auto" w:before="0" w:after="0"/>
              <w:pStyle w:val="Compact"/>
            </w:pPr>
            <w:r>
              <w:rPr>
                <w:sz w:val="20"/>
                <w:szCs w:val="20"/>
              </w:rPr>
              <w:t xml:space="preserve">[-0.1271, 0.4619]</w:t>
            </w:r>
          </w:p>
        </w:tc>
        <w:tc>
          <w:tcPr>
            <w:tcW w:w="0" w:type="auto"/>
          </w:tcPr>
          <w:p>
            <w:pPr>
              <w:spacing w:line="240" w:lineRule="auto" w:before="0" w:after="0"/>
              <w:pStyle w:val="Compact"/>
            </w:pPr>
            <w:r>
              <w:rPr>
                <w:sz w:val="20"/>
                <w:szCs w:val="20"/>
              </w:rPr>
              <w:t xml:space="preserve">1.1822</w:t>
            </w:r>
          </w:p>
        </w:tc>
      </w:tr>
      <w:tr>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-0.4952</w:t>
            </w:r>
          </w:p>
        </w:tc>
        <w:tc>
          <w:tcPr>
            <w:tcW w:w="0" w:type="auto"/>
          </w:tcPr>
          <w:p>
            <w:pPr>
              <w:spacing w:line="240" w:lineRule="auto" w:before="0" w:after="0"/>
              <w:pStyle w:val="Compact"/>
            </w:pPr>
            <w:r>
              <w:rPr>
                <w:sz w:val="20"/>
                <w:szCs w:val="20"/>
              </w:rPr>
              <w:t xml:space="preserve">0.6635</w:t>
            </w:r>
          </w:p>
        </w:tc>
        <w:tc>
          <w:tcPr>
            <w:tcW w:w="0" w:type="auto"/>
          </w:tcPr>
          <w:p>
            <w:pPr>
              <w:spacing w:line="240" w:lineRule="auto" w:before="0" w:after="0"/>
              <w:pStyle w:val="Compact"/>
            </w:pPr>
            <w:r>
              <w:rPr>
                <w:sz w:val="20"/>
                <w:szCs w:val="20"/>
              </w:rPr>
              <w:t xml:space="preserve">-0.7464</w:t>
            </w:r>
          </w:p>
        </w:tc>
        <w:tc>
          <w:tcPr>
            <w:tcW w:w="0" w:type="auto"/>
          </w:tcPr>
          <w:p>
            <w:pPr>
              <w:spacing w:line="240" w:lineRule="auto" w:before="0" w:after="0"/>
              <w:pStyle w:val="Compact"/>
            </w:pPr>
            <w:r>
              <w:rPr>
                <w:sz w:val="20"/>
                <w:szCs w:val="20"/>
              </w:rPr>
              <w:t xml:space="preserve">0.4554</w:t>
            </w:r>
          </w:p>
        </w:tc>
        <w:tc>
          <w:tcPr>
            <w:tcW w:w="0" w:type="auto"/>
          </w:tcPr>
          <w:p>
            <w:pPr>
              <w:spacing w:line="240" w:lineRule="auto" w:before="0" w:after="0"/>
              <w:pStyle w:val="Compact"/>
            </w:pPr>
            <w:r>
              <w:rPr>
                <w:sz w:val="20"/>
                <w:szCs w:val="20"/>
              </w:rPr>
              <w:t xml:space="preserve">[-1.7957, 0.8052]</w:t>
            </w:r>
          </w:p>
        </w:tc>
        <w:tc>
          <w:tcPr>
            <w:tcW w:w="0" w:type="auto"/>
          </w:tcPr>
          <w:p>
            <w:pPr>
              <w:spacing w:line="240" w:lineRule="auto" w:before="0" w:after="0"/>
              <w:pStyle w:val="Compact"/>
            </w:pPr>
            <w:r>
              <w:rPr>
                <w:sz w:val="20"/>
                <w:szCs w:val="20"/>
              </w:rPr>
              <w:t xml:space="preserve">0.6094</w:t>
            </w:r>
          </w:p>
        </w:tc>
      </w:tr>
    </w:tbl>
    <w:p>
      <w:pPr>
        <w:pStyle w:val="BodyText"/>
      </w:pPr>
      <w:r>
        <w:t xml:space="preserve">Fit: N = 25 events = 14</w:t>
      </w:r>
    </w:p>
    <w:bookmarkEnd w:id="91"/>
    <w:bookmarkEnd w:id="92"/>
    <w:bookmarkEnd w:id="9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5" Target="media/rId85.png" /><Relationship Type="http://schemas.openxmlformats.org/officeDocument/2006/relationships/hyperlink" Id="rId68" Target="https://doi.org/10.1016/j.actaastro.2019.09.030" TargetMode="External" /><Relationship Type="http://schemas.openxmlformats.org/officeDocument/2006/relationships/hyperlink" Id="rId72" Target="https://doi.org/10.1016/j.actaastro.2022.12.036" TargetMode="External" /><Relationship Type="http://schemas.openxmlformats.org/officeDocument/2006/relationships/hyperlink" Id="rId70" Target="https://doi.org/10.1016/j.actaastro.2025.11.006" TargetMode="External" /><Relationship Type="http://schemas.openxmlformats.org/officeDocument/2006/relationships/hyperlink" Id="rId74" Target="https://doi.org/10.1257/jep.32.2.173"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19.09.030" TargetMode="External" /><Relationship Type="http://schemas.openxmlformats.org/officeDocument/2006/relationships/hyperlink" Id="rId72" Target="https://doi.org/10.1016/j.actaastro.2022.12.036" TargetMode="External" /><Relationship Type="http://schemas.openxmlformats.org/officeDocument/2006/relationships/hyperlink" Id="rId70" Target="https://doi.org/10.1016/j.actaastro.2025.11.006" TargetMode="External" /><Relationship Type="http://schemas.openxmlformats.org/officeDocument/2006/relationships/hyperlink" Id="rId74" Target="https://doi.org/10.1257/jep.32.2.17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2026-06-25T14:25:36Z</dcterms:created>
  <dcterms:modified xsi:type="dcterms:W3CDTF">2026-06-25T14:25:36Z</dcterms:modified>
</cp:coreProperties>
</file>

<file path=docProps/custom.xml><?xml version="1.0" encoding="utf-8"?>
<Properties xmlns="http://schemas.openxmlformats.org/officeDocument/2006/custom-properties" xmlns:vt="http://schemas.openxmlformats.org/officeDocument/2006/docPropsVTypes"/>
</file>