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COST-AND-SCHEDULE OVERRUN HAZARD IN PLANETARY MISSIONS: A SURVIVAL MODEL OF WHEN</w:t>
      </w:r>
    </w:p>
    <w:p>
      <w:pPr>
        <w:jc w:val="center"/>
      </w:pPr>
    </w:p>
    <w:p>
      <w:pPr>
        <w:jc w:val="center"/>
      </w:pPr>
      <w:r>
        <w:rPr>
          <w:rFonts w:ascii="Times New Roman" w:hAnsi="Times New Roman"/>
          <w:sz w:val="24"/>
        </w:rPr>
        <w:t>by</w:t>
      </w:r>
    </w:p>
    <w:p>
      <w:pPr>
        <w:jc w:val="center"/>
      </w:pPr>
      <w:r>
        <w:rPr>
          <w:rFonts w:ascii="Times New Roman" w:hAnsi="Times New Roman"/>
          <w:b/>
          <w:sz w:val="28"/>
        </w:rPr>
        <w:t>Aaron Iverson</w:t>
      </w:r>
    </w:p>
    <w:p>
      <w:pPr>
        <w:jc w:val="center"/>
      </w:pPr>
      <w:r>
        <w:rPr>
          <w:rFonts w:ascii="Times New Roman" w:hAnsi="Times New Roman"/>
          <w:sz w:val="24"/>
        </w:rPr>
        <w:t>1B-PLA-039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A confirmation review board approving a planetary science mission for implementation faces a question that the institution’s standard cost-estimation apparatus was never built to answer. The board is not principally asking whether the final development cost will land at the fiftieth or the seventieth percentile of a parametric distribution. It is asking when, across the years between authority-to-proceed and launch, the mission is most exposed to losing its confirmed baseline, and therefore where management reserve, review intensity, and senior attention should be concentrated. That is a question about the timing of overrun onset. The dominant tool is silent on it.</w:t>
      </w:r>
    </w:p>
    <w:p>
      <w:pPr>
        <w:pStyle w:val="BodyText"/>
        <w:spacing w:line="480" w:lineRule="auto"/>
        <w:ind w:firstLine="720"/>
      </w:pPr>
      <w:r>
        <w:t xml:space="preserve">The reference instrument in NASA practice is the parametric cost-estimating model, which maps a mission’s technical and programmatic parameters onto a development-cost figure. The canonical demonstration of this class is the blind validation of SEER-H against flown NASA missions, which reports point estimates, standard deviations, and confidence intervals on total mission cost using mass, power, instrument complement, and heritage as the input vector</w:t>
      </w:r>
      <w:r>
        <w:t xml:space="preserve"> </w:t>
      </w:r>
      <w:hyperlink w:anchor="ref-1">
        <w:r>
          <w:rPr>
            <w:rStyle w:val="Hyperlink"/>
          </w:rPr>
          <w:t xml:space="preserve">[1]</w:t>
        </w:r>
      </w:hyperlink>
      <w:r>
        <w:t xml:space="preserve">. The same machinery is imported wholesale into forward-looking architecture economics, where established parametric models price novel mission classes such as asteroid-mining spacecraft at the concept stage</w:t>
      </w:r>
      <w:r>
        <w:t xml:space="preserve"> </w:t>
      </w:r>
      <w:hyperlink w:anchor="ref-2">
        <w:r>
          <w:rPr>
            <w:rStyle w:val="Hyperlink"/>
          </w:rPr>
          <w:t xml:space="preserve">[2]</w:t>
        </w:r>
      </w:hyperlink>
      <w:r>
        <w:t xml:space="preserve">, and into the prediction of research, development, and production costs for future vehicle classes across a planning horizon</w:t>
      </w:r>
      <w:r>
        <w:t xml:space="preserve"> </w:t>
      </w:r>
      <w:hyperlink w:anchor="ref-3">
        <w:r>
          <w:rPr>
            <w:rStyle w:val="Hyperlink"/>
          </w:rPr>
          <w:t xml:space="preserve">[3]</w:t>
        </w:r>
      </w:hyperlink>
      <w:r>
        <w:t xml:space="preserve">. These tools answer a magnitude question. Within that question they answer it well. Given a vehicle’s mass, power, instruments, and heritage, they return a cost estimate and, in their better implementations, an interval around it.</w:t>
      </w:r>
    </w:p>
    <w:p>
      <w:pPr>
        <w:pStyle w:val="BodyText"/>
        <w:spacing w:line="480" w:lineRule="auto"/>
        <w:ind w:firstLine="720"/>
      </w:pPr>
      <w:r>
        <w:t xml:space="preserve">The magnitude question, however, is not the question that governs a mission’s fate at a confirmation review, nor the question that determines whether the public commitment NASA makes at confirmation will hold. The stakes are not abstract. Planetary missions overrun their confirmed cost and schedule baselines with a regularity that has become a standing feature of the portfolio rather than an occasional accident. The Government Accountability Office documents persistent cost and schedule growth across NASA’s major projects in its recurring assessments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the per-mission record is unambiguous: OSIRIS-REx, Mars InSight, and the Double Asteroid Redirection Test each carry a documented public cost history that departs from its original commitment</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Dragonfly was confirmed only after its cost had roughly doubled from the figure carried at selection</w:t>
      </w:r>
      <w:r>
        <w:t xml:space="preserve"> </w:t>
      </w:r>
      <w:hyperlink w:anchor="ref-10">
        <w:r>
          <w:rPr>
            <w:rStyle w:val="Hyperlink"/>
          </w:rPr>
          <w:t xml:space="preserve">[10]</w:t>
        </w:r>
      </w:hyperlink>
      <w:r>
        <w:t xml:space="preserve">; and Europa Clipper’s growth was severe enough to force a coupled replan of the Mars Sample Return campaign</w:t>
      </w:r>
      <w:r>
        <w:t xml:space="preserve"> </w:t>
      </w:r>
      <w:hyperlink w:anchor="ref-11">
        <w:r>
          <w:rPr>
            <w:rStyle w:val="Hyperlink"/>
          </w:rPr>
          <w:t xml:space="preserve">[11]</w:t>
        </w:r>
      </w:hyperlink>
      <w:r>
        <w:t xml:space="preserve">. Each overrun consumes reserve that another mission could have used, displaces missions queued behind it, and erodes the credibility of the cost commitments NASA makes to its appropriators. For an agency whose planetary budget is a small and politically contested fraction of federal discretionary spending, the cost of an unanticipated breach is paid not only by the breaching mission but by the entire forward portfolio</w:t>
      </w:r>
      <w:r>
        <w:t xml:space="preserve"> </w:t>
      </w:r>
      <w:hyperlink w:anchor="ref-4">
        <w:r>
          <w:rPr>
            <w:rStyle w:val="Hyperlink"/>
          </w:rPr>
          <w:t xml:space="preserve">[4]</w:t>
        </w:r>
      </w:hyperlink>
      <w:r>
        <w:t xml:space="preserve">.</w:t>
      </w:r>
    </w:p>
    <w:p>
      <w:pPr>
        <w:pStyle w:val="BodyText"/>
        <w:spacing w:line="480" w:lineRule="auto"/>
        <w:ind w:firstLine="720"/>
      </w:pPr>
      <w:r>
        <w:t xml:space="preserve">The institutional response to this pattern has been to refine the magnitude estimate: to widen confidence intervals, to add reserve, to revalidate the parametric tools against more missions. That response treats overrun as a problem of getting the end-state number right. It leaves the board’s real question untouched. And that question is one of timing. A confidence interval on total cost says nothing about whether the overrun risk is front-loaded at preliminary design, back-loaded at integration and test, or spread evenly across the lifecycle. A board that knew the answer to that timing question could place reserve and review where the exposure is greatest rather than spreading both uniformly across a development the tools treat as temporally undifferentiated. The premise of this dissertation is that the timing of overrun onset is both decision-relevant and empirically tractable, and that the field has the wrong instrument pointed at it.</w:t>
      </w:r>
    </w:p>
    <w:bookmarkEnd w:id="61"/>
    <w:bookmarkStart w:id="62" w:name="Xcc3d78dc887ba28a923a3f9f69b8bf5bbaaafae"/>
    <w:p>
      <w:pPr>
        <w:pStyle w:val="Heading2"/>
        <w:spacing w:line="480" w:lineRule="auto"/>
      </w:pPr>
      <w:r>
        <w:t xml:space="preserve">1.2 Reframing Overrun as a Time-to-Event Process</w:t>
      </w:r>
    </w:p>
    <w:p>
      <w:pPr>
        <w:pStyle w:val="FirstParagraph"/>
        <w:spacing w:line="480" w:lineRule="auto"/>
      </w:pPr>
      <w:r>
        <w:t xml:space="preserve">The reframing this work proposes is to treat baseline breach not as a magnitude to be predicted but as an event to be timed. The unit of analysis is the mission development interval from confirmation, the authority-to-proceed milestone, through launch. The event is the first breach of the confirmed cost or schedule baseline before launch. Missions that reach launch without a recorded breach are right-censored at launch, contributing exposure to the analysis without contributing an event. The quantity of interest is the hazard, the instantaneous rate at which a still-on-baseline mission first breaches its baseline conditional on having survived to a given point in development.</w:t>
      </w:r>
    </w:p>
    <w:p>
      <w:pPr>
        <w:pStyle w:val="BodyText"/>
        <w:spacing w:line="480" w:lineRule="auto"/>
        <w:ind w:firstLine="720"/>
      </w:pPr>
      <w:r>
        <w:t xml:space="preserve">This reframing inverts the emphasis of current practice in the direction confirmation boards need. Where the parametric tradition collapses the temporal structure of a development into the inputs of a single end-state estimate, the time-to-event frame makes that temporal structure the axis along which risk is measured. Where the parametric tradition produces a scalar with a symmetric interval, the time-to-event frame produces a function defined over the development lifecycle. And where the parametric tradition is silent on whether overrun risk evolves as a mission matures, the time-to-event frame makes the evolution of that risk the central observable.</w:t>
      </w:r>
    </w:p>
    <w:p>
      <w:pPr>
        <w:pStyle w:val="BodyText"/>
        <w:spacing w:line="480" w:lineRule="auto"/>
        <w:ind w:firstLine="720"/>
      </w:pPr>
      <w:r>
        <w:t xml:space="preserve">The reframing also exposes an assumption buried in current practice that has never been stated as a testable claim. A point estimate of total cost bounded by a symmetric interval carries no statement that the overrun rate at integration and test differs from the overrun rate at preliminary design. It is, in the precise sense of survival analysis, memoryless: it implies that the instantaneous rate of breach does not depend on how far through development a mission has progressed. That implicit memorylessness is not innocuous. If it is wrong, and if overrun risk in fact concentrates at particular phases, then a board that allocates reserve and review as though risk were uniform is systematically misallocating both. The contribution of this dissertation is to convert that buried assumption into a falsifiable hypothesis and to test it on real data.</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motivating gap is not a missing variable inside an existing model. It is a missing model class. It sits in the space between two literatures that have not been brought into contact.</w:t>
      </w:r>
    </w:p>
    <w:p>
      <w:pPr>
        <w:pStyle w:val="BodyText"/>
        <w:spacing w:line="480" w:lineRule="auto"/>
        <w:ind w:firstLine="720"/>
      </w:pPr>
      <w:r>
        <w:t xml:space="preserve">The first literature is the space cost-estimation and architecture-economics tradition. It is organized, without exception across the work cited here, around the prediction of a scalar. Blind-validation studies of parametric tools report point estimates and confidence intervals on total mission cost</w:t>
      </w:r>
      <w:r>
        <w:t xml:space="preserve"> </w:t>
      </w:r>
      <w:hyperlink w:anchor="ref-1">
        <w:r>
          <w:rPr>
            <w:rStyle w:val="Hyperlink"/>
          </w:rPr>
          <w:t xml:space="preserve">[1]</w:t>
        </w:r>
      </w:hyperlink>
      <w:r>
        <w:t xml:space="preserve">. Architecture-economics papers extend the same scalar-prediction frame to new mission classes, treating cost as a figure of merit estimated once at the concept stage</w:t>
      </w:r>
      <w:r>
        <w:t xml:space="preserve"> </w:t>
      </w:r>
      <w:hyperlink w:anchor="ref-2">
        <w:r>
          <w:rPr>
            <w:rStyle w:val="Hyperlink"/>
          </w:rPr>
          <w:t xml:space="preserve">[2]</w:t>
        </w:r>
      </w:hyperlink>
      <w:r>
        <w:t xml:space="preserve">. Parametric models for future vehicle development resolve to a research-development-production cost figure across a horizon rather than a rate across that horizon</w:t>
      </w:r>
      <w:r>
        <w:t xml:space="preserve"> </w:t>
      </w:r>
      <w:hyperlink w:anchor="ref-3">
        <w:r>
          <w:rPr>
            <w:rStyle w:val="Hyperlink"/>
          </w:rPr>
          <w:t xml:space="preserve">[3]</w:t>
        </w:r>
      </w:hyperlink>
      <w:r>
        <w:t xml:space="preserve">. Even the canonical economic framing of the space sector, which does treat programmatic exposure structurally, does so through the lens of externalities and the long decline of NASA’s budget as a fraction of gross domestic product</w:t>
      </w:r>
      <w:r>
        <w:t xml:space="preserve"> </w:t>
      </w:r>
      <w:hyperlink w:anchor="ref-4">
        <w:r>
          <w:rPr>
            <w:rStyle w:val="Hyperlink"/>
          </w:rPr>
          <w:t xml:space="preserve">[4]</w:t>
        </w:r>
      </w:hyperlink>
      <w:r>
        <w:t xml:space="preserve">, not through the lens of the conditional rate at which an individual mission loses its own baseline. Three features of this body of work define the gap from its side. The outcome is a magnitude, not an event time. The temporal structure of development is an input to a single estimate rather than the axis along which risk evolves. And the implicit risk model is memoryless.</w:t>
      </w:r>
    </w:p>
    <w:p>
      <w:pPr>
        <w:pStyle w:val="BodyText"/>
        <w:spacing w:line="480" w:lineRule="auto"/>
        <w:ind w:firstLine="720"/>
      </w:pPr>
      <w:r>
        <w:t xml:space="preserve">The second literature is the econometric apparatus for time-to-event data, survival analysis, whose entire purpose is to estimate the rate at which an event occurs as a function of time and covariates, and to do so correctly in the presence of right-censoring. This apparatus is mature and standard. It has begun to appear in the space domain proper, where time-to-event modeling has been applied to the occurrence of maneuvers by non-cooperative satellites</w:t>
      </w:r>
      <w:r>
        <w:t xml:space="preserve"> </w:t>
      </w:r>
      <w:hyperlink w:anchor="ref-12">
        <w:r>
          <w:rPr>
            <w:rStyle w:val="Hyperlink"/>
          </w:rPr>
          <w:t xml:space="preserve">[12]</w:t>
        </w:r>
      </w:hyperlink>
      <w:r>
        <w:t xml:space="preserve">, demonstrating that the survival frame travels into space-systems questions when the clock start and the event are well defined. But it has not been brought to bear on planetary mission overrun. The question of when overrun risk peaks across a development lifecycle has consequently never been posed as a falsifiable empirical claim, because the literature equipped to pose it and the literature that owns the overrun problem have not met.</w:t>
      </w:r>
    </w:p>
    <w:p>
      <w:pPr>
        <w:pStyle w:val="BodyText"/>
        <w:spacing w:line="480" w:lineRule="auto"/>
        <w:ind w:firstLine="720"/>
      </w:pPr>
      <w:r>
        <w:t xml:space="preserve">The gap, stated precisely, is this. The domain literature has the data and the problem but estimates the wrong quantity, a magnitude where the decision turns on a timing. The method literature has the right quantity, a hazard over a well-defined clock, but has not been applied to the domain. This dissertation occupies that gap by carrying the parametric tradition’s own data and its own input variables into a survival model, where the timing question becomes answerable and the buried memorylessness assumption becomes testable.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model, one hypothesis pair, and one decision-relevant object. It is not a catalogue of overrun causes, not a new parametric estimator, and not a narrative account of why particular missions overran. It is one test. That test concerns the shape of the baseline-breach hazard across the planetary mission development lifecycle, and it is stated so that the data can refute it.</w:t>
      </w:r>
    </w:p>
    <w:p>
      <w:pPr>
        <w:pStyle w:val="BodyText"/>
        <w:spacing w:line="480" w:lineRule="auto"/>
        <w:ind w:firstLine="720"/>
      </w:pPr>
      <w:r>
        <w:t xml:space="preserve">Let the clock start at confirmation, and let the event be the first breach of the confirmed cost or schedule baseline before launch. Define the hazard h(t) as the instantaneous rate of first breach at development phase t conditional on the mission having reached phase t without a breach. The two hypotheses partition the possible shapes of this hazard.</w:t>
      </w:r>
    </w:p>
    <w:p>
      <w:pPr>
        <w:pStyle w:val="BodyText"/>
        <w:spacing w:line="480" w:lineRule="auto"/>
        <w:ind w:firstLine="720"/>
      </w:pPr>
      <w:r>
        <w:rPr>
          <w:b/>
          <w:bCs/>
        </w:rPr>
        <w:t xml:space="preserve">H0 (null, memoryless).</w:t>
      </w:r>
      <w:r>
        <w:t xml:space="preserve"> </w:t>
      </w:r>
      <w:r>
        <w:t xml:space="preserve">The breach hazard is constant across the development lifecycle, h(t) = lambda. Under H0 the rate at which an on-baseline mission breaches its baseline does not depend on how far through development it has progressed. This is precisely the timing assumption implicit in point-estimate-plus-interval practice, made explicit and given a functional form.</w:t>
      </w:r>
    </w:p>
    <w:p>
      <w:pPr>
        <w:pStyle w:val="BodyText"/>
        <w:spacing w:line="480" w:lineRule="auto"/>
        <w:ind w:firstLine="720"/>
      </w:pPr>
      <w:r>
        <w:rPr>
          <w:b/>
          <w:bCs/>
        </w:rPr>
        <w:t xml:space="preserve">H1 (alternative, phase-dependent).</w:t>
      </w:r>
      <w:r>
        <w:t xml:space="preserve"> </w:t>
      </w:r>
      <w:r>
        <w:t xml:space="preserve">The breach hazard is non-constant and specifically rises across the design-maturity interval, with h(t) increasing through the preliminary-to-critical design phases relative to the early and late lifecycle. Under H1 overrun onset concentrates where requirements meet detailed design, and the hazard curve has an interior structure rather than a flat profile.</w:t>
      </w:r>
    </w:p>
    <w:p>
      <w:pPr>
        <w:pStyle w:val="BodyText"/>
        <w:spacing w:line="480" w:lineRule="auto"/>
        <w:ind w:firstLine="720"/>
      </w:pPr>
      <w:r>
        <w:t xml:space="preserve">The test is falsifiable in the strict sense. Consider what a null result would mean. A fitted hazard whose shape parameter is statistically indistinguishable from the constant-hazard case fails to reject H0 and refutes the central claim of this dissertation. The empirical companion work that anchors this dissertation already supplies a concrete instance of this falsifiability discipline operating on real data: a Cox proportional-hazards model fit to twenty-five NASA planetary and deep-space missions, with fourteen recorded baseline breaches and eleven missions censored at launch, returns covariate effects that decline to confirm the naive complexity story, with spacecraft mass carrying a sign-reversed and only marginally significant coefficient rather than the positive one a difficulty-driven account would predict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That result is reported honestly as a split decision rather than dressed as a confirmation, which is the standard this dissertation holds itself to throughout: the deliverable is the estimated hazard and the test of its shape, whatever that test returns.</w:t>
      </w:r>
    </w:p>
    <w:p>
      <w:pPr>
        <w:pStyle w:val="BodyText"/>
        <w:spacing w:line="480" w:lineRule="auto"/>
        <w:ind w:firstLine="720"/>
      </w:pPr>
      <w:r>
        <w:t xml:space="preserve">The decision-relevant object the contribution yields is a phase-indexed hazard curve a review board can read directly. Where current practice hands a board a single number bounded by an interval, the hazard curve hands it a profile of exposure over the development it is about to authorize, locating the phases at which an on-baseline mission is most likely to lose its baseline. That object is the practical payoff of the methodological move, and it is the form in which the abstract finding about hazard shape becomes usable at a confirmation review.</w:t>
      </w:r>
    </w:p>
    <w:bookmarkEnd w:id="64"/>
    <w:bookmarkStart w:id="65" w:name="identification-and-scope"/>
    <w:p>
      <w:pPr>
        <w:pStyle w:val="Heading2"/>
        <w:spacing w:line="480" w:lineRule="auto"/>
      </w:pPr>
      <w:r>
        <w:t xml:space="preserve">1.5 Identification and Scope</w:t>
      </w:r>
    </w:p>
    <w:p>
      <w:pPr>
        <w:pStyle w:val="FirstParagraph"/>
        <w:spacing w:line="480" w:lineRule="auto"/>
      </w:pPr>
      <w:r>
        <w:t xml:space="preserve">The estimand is the shape of h(t). Identification turns on a single favorable feature of planetary mission governance. Confirmation is a discrete, dated, documented milestone, so the clock start t = 0 is unambiguous for every mission in the sample. This is not a minor convenience. Survival estimation fails when entry into the risk set is fuzzy, because the left-truncation it induces biases the hazard in ways that are hard to repair. Planetary mission governance removes that ambiguity by construction: the authority-to-proceed decision is a board action with a date, recorded in the project documentation NASA releases. The launch date provides the right boundary, and missions that reach launch without a recorded breach are right-censored at launch in the standard survival sense, crediting them with exposure but not with an event. The central H0-versus-H1 test of hazard constancy depends only on this dated confirmation clock and the dated event, both of which are observed for every mission in the sample.</w:t>
      </w:r>
    </w:p>
    <w:p>
      <w:pPr>
        <w:pStyle w:val="BodyText"/>
        <w:spacing w:line="480" w:lineRule="auto"/>
        <w:ind w:firstLine="720"/>
      </w:pPr>
      <w:r>
        <w:t xml:space="preserve">The scope of the dissertation is bounded deliberately. The sample frame is confirmed NASA planetary science missions with a documented confirmation milestone and a documented launch or termination, a population that is modest by construction and that yields the right-censoring structure the survival model requires. The data are constructible entirely from public sources of established provenance: NASA project lifecycle documentation and the Government Accountability Office’s recurring assessments of major projects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for baselines and actuals, per-mission public cost analyses for the documented overrun histories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contemporaneous reporting for the larger recent missions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the same class of mass, instrument, and heritage parameters validated against flown missions in the cost-estimation literature</w:t>
      </w:r>
      <w:r>
        <w:t xml:space="preserve"> </w:t>
      </w:r>
      <w:hyperlink w:anchor="ref-1">
        <w:r>
          <w:rPr>
            <w:rStyle w:val="Hyperlink"/>
          </w:rPr>
          <w:t xml:space="preserve">[1]</w:t>
        </w:r>
      </w:hyperlink>
      <w:r>
        <w:t xml:space="preserve"> </w:t>
      </w:r>
      <w:r>
        <w:t xml:space="preserve">for the covariate vector. No proprietary or access-restricted data is required, and every record carries an auditable origin. The claims advanced are associational rather than causal: covariates such as instrument complement are themselves chosen partly in anticipation of cost risk</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so the covariate model functions as a robustness check on hazard shape rather than as a causal account of overrun drivers, and the dissertation does not overreach into causal language the design cannot support.</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w:t>
      </w:r>
    </w:p>
    <w:p>
      <w:pPr>
        <w:pStyle w:val="BodyText"/>
        <w:spacing w:line="480" w:lineRule="auto"/>
        <w:ind w:firstLine="720"/>
      </w:pPr>
      <w:r>
        <w:t xml:space="preserve">Chapter 2 reviews the two literatures the contribution joins. It first establishes that the space cost-estimation and architecture-economics tradition is uniformly organized around scalar prediction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and isolates the three features, magnitude outcome, collapsed temporal structure, and implicit memorylessness, that define the gap from the domain side. It then surveys the survival-analysis apparatus and its nascent appearance in space-systems questions</w:t>
      </w:r>
      <w:r>
        <w:t xml:space="preserve"> </w:t>
      </w:r>
      <w:hyperlink w:anchor="ref-12">
        <w:r>
          <w:rPr>
            <w:rStyle w:val="Hyperlink"/>
          </w:rPr>
          <w:t xml:space="preserve">[12]</w:t>
        </w:r>
      </w:hyperlink>
      <w:r>
        <w:t xml:space="preserve">, establishing the method side of the gap and the precedent for carrying time-to-event modeling into the domain.</w:t>
      </w:r>
    </w:p>
    <w:p>
      <w:pPr>
        <w:pStyle w:val="BodyText"/>
        <w:spacing w:line="480" w:lineRule="auto"/>
        <w:ind w:firstLine="720"/>
      </w:pPr>
      <w:r>
        <w:t xml:space="preserve">Chapter 3 develops the formal framework. It defines the survival function, the hazard function, and the censoring structure for the planetary mission case, and it derives the precise sense in which point-estimate practice embeds the constant-hazard assumption that H0 makes testable. It states the estimand, the identifying assumption that the confirmation milestone supplies, and the conditions under which the hazard-shape test is valid.</w:t>
      </w:r>
    </w:p>
    <w:p>
      <w:pPr>
        <w:pStyle w:val="BodyText"/>
        <w:spacing w:line="480" w:lineRule="auto"/>
        <w:ind w:firstLine="720"/>
      </w:pPr>
      <w:r>
        <w:t xml:space="preserve">Chapter 4 specifies the empirical strategy in three steps: a non-parametric Kaplan-Meier estimate of the survival function to establish the empirical shape without imposing a functional form; a parametric Weibull model that nests H0 and H1 in a single shape parameter, so the test reduces to a test on that one parameter; and a Cox proportional-hazards specification that introduces the mission-level covariates drawn from the parametric tradition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to confirm that the hazard-shape finding is not an artifact of compositional differences across missions.</w:t>
      </w:r>
    </w:p>
    <w:p>
      <w:pPr>
        <w:pStyle w:val="BodyText"/>
        <w:spacing w:line="480" w:lineRule="auto"/>
        <w:ind w:firstLine="720"/>
      </w:pPr>
      <w:r>
        <w:t xml:space="preserve">Chapter 5 describes the dataset, its sources, and its provenance, mission by mission and field by field, with explicit attention to the censoring structure and to the small set of fields for which a precise public figure was not obtainable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Chapter 6 presents the results: the Kaplan-Meier survival curve, the Weibull shape-parameter estimate and its test against the constant-hazard null, and the Cox covariate model with its hazard ratios, confidence intervals, and proportional-hazards diagnostics.</w:t>
      </w:r>
    </w:p>
    <w:p>
      <w:pPr>
        <w:pStyle w:val="BodyText"/>
        <w:spacing w:line="480" w:lineRule="auto"/>
        <w:ind w:firstLine="720"/>
      </w:pPr>
      <w:r>
        <w:t xml:space="preserve">Chapter 7 addresses threats to validity, including the treatment of rebaselining as a competing risk, small-sample fragility in the shape-parameter interval, measurement lag between when a breach becomes probable and when it becomes recordable, and the associational status of the covariates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Chapter 8 states the conclusion, returns the phase-indexed hazard curve to the confirmation-board decision it was built to inform, and sets out the extensions a larger pooled sample would enable.</w:t>
      </w:r>
    </w:p>
    <w:bookmarkEnd w:id="66"/>
    <w:bookmarkEnd w:id="67"/>
    <w:bookmarkStart w:id="85" w:name="chapter-2.-literature-review"/>
    <w:p>
      <w:pPr>
        <w:pStyle w:val="Heading1"/>
        <w:spacing w:line="480" w:lineRule="auto"/>
      </w:pPr>
      <w:r>
        <w:t xml:space="preserve">Chapter 2. Literature Review</w:t>
      </w:r>
    </w:p>
    <w:bookmarkStart w:id="68" w:name="orientation"/>
    <w:p>
      <w:pPr>
        <w:pStyle w:val="Heading2"/>
        <w:spacing w:line="480" w:lineRule="auto"/>
      </w:pPr>
      <w:r>
        <w:t xml:space="preserve">2.1 Orientation</w:t>
      </w:r>
    </w:p>
    <w:p>
      <w:pPr>
        <w:pStyle w:val="FirstParagraph"/>
        <w:spacing w:line="480" w:lineRule="auto"/>
      </w:pPr>
      <w:r>
        <w:t xml:space="preserve">This dissertation sits at the intersection of two literatures that have developed in near-total isolation from one another. The first is the domain-technical literature on the cost and schedule of planetary science missions: the parametric estimation tradition that NASA and its supporting research community use to forecast what a mission will cost, the auditing and reporting apparatus that records what missions actually cost, and the architecture-economics work that imports those estimating tools to price future mission classes. The second is the cliometric and econometric methodology of time-to-event analysis: the survival-modeling machinery, developed first in biostatistics and reliability engineering and later naturalized into economics and the quantitative social sciences, for studying when a hazard occurs rather than how large an outcome is. The first literature has a great deal to say about the magnitude of planetary mission overruns. It says almost nothing about their timing. The second literature is precisely an apparatus for timing, but it has never been pointed at planetary mission overrun. The contribution of this dissertation is to join them, and the purpose of this chapter is to survey each body of work on its own terms, to demonstrate that the join has not yet been made, and to locate with precision the gap that the join fills.</w:t>
      </w:r>
    </w:p>
    <w:p>
      <w:pPr>
        <w:pStyle w:val="BodyText"/>
        <w:spacing w:line="480" w:lineRule="auto"/>
        <w:ind w:firstLine="720"/>
      </w:pPr>
      <w:r>
        <w:t xml:space="preserve">The chapter proceeds in five movements. Section 2.2 reviews the parametric cost-estimation literature, the core technical apparatus of the domain, and shows that its dependent quantity is invariantly a scalar magnitude. Section 2.3 reviews the auditing, reporting, and architecture-economics literatures that surround the parametric core and shows that they inherit the same magnitude framing even when they confront the overrun phenomenon directly. Section 2.4 turns to the second literature, the survival-analysis and event-history methodology, and surveys both its general structure and the thin set of space-domain applications that exist. Section 2.5 synthesizes the two reviews and states the gap formally. Section 2.6 closes by positioning the dissertation’s single falsifiable contribution against the surveyed terrain.</w:t>
      </w:r>
    </w:p>
    <w:bookmarkEnd w:id="68"/>
    <w:bookmarkStart w:id="72" w:name="the-parametric-cost-estimation-tradition"/>
    <w:p>
      <w:pPr>
        <w:pStyle w:val="Heading2"/>
        <w:spacing w:line="480" w:lineRule="auto"/>
      </w:pPr>
      <w:r>
        <w:t xml:space="preserve">2.2 The Parametric Cost-Estimation Tradition</w:t>
      </w:r>
    </w:p>
    <w:bookmarkStart w:id="69" w:name="the-dependent-quantity-is-a-scalar"/>
    <w:p>
      <w:pPr>
        <w:pStyle w:val="Heading3"/>
        <w:spacing w:line="480" w:lineRule="auto"/>
      </w:pPr>
      <w:r>
        <w:t xml:space="preserve">2.2.1 The dependent quantity is a scalar</w:t>
      </w:r>
    </w:p>
    <w:p>
      <w:pPr>
        <w:pStyle w:val="FirstParagraph"/>
        <w:spacing w:line="480" w:lineRule="auto"/>
      </w:pPr>
      <w:r>
        <w:t xml:space="preserve">The institutional practice of estimating what a planetary mission will cost rests on parametric models that map technical and programmatic parameters onto a development-cost figure. The reference instrument in NASA practice is the parametric cost-estimating relationship, which regresses or otherwise functionally relates the cost of a system to a small set of physical and programmatic descriptors: mass, power, instrument complement, design heritage, and technology readiness. The most rigorous recent treatment of one such tool is the blind-validation study of SEER-H conducted against a set of flown NASA space missions</w:t>
      </w:r>
      <w:r>
        <w:t xml:space="preserve"> </w:t>
      </w:r>
      <w:hyperlink w:anchor="ref-1">
        <w:r>
          <w:rPr>
            <w:rStyle w:val="Hyperlink"/>
          </w:rPr>
          <w:t xml:space="preserve">[1]</w:t>
        </w:r>
      </w:hyperlink>
      <w:r>
        <w:t xml:space="preserve">. That study is worth dwelling on, because it is the methodological high-water mark of the tradition and because it makes the tradition’s framing fully explicit.</w:t>
      </w:r>
    </w:p>
    <w:p>
      <w:pPr>
        <w:pStyle w:val="BodyText"/>
        <w:spacing w:line="480" w:lineRule="auto"/>
        <w:ind w:firstLine="720"/>
      </w:pPr>
      <w:r>
        <w:t xml:space="preserve">The SEER-H validation exercise takes the tool’s inputs to be exactly the parametric input vector described above and takes its output to be a point estimate of total development cost, accompanied in the better implementations by a confidence interval around that point estimate</w:t>
      </w:r>
      <w:r>
        <w:t xml:space="preserve"> </w:t>
      </w:r>
      <w:hyperlink w:anchor="ref-1">
        <w:r>
          <w:rPr>
            <w:rStyle w:val="Hyperlink"/>
          </w:rPr>
          <w:t xml:space="preserve">[1]</w:t>
        </w:r>
      </w:hyperlink>
      <w:r>
        <w:t xml:space="preserve">. The validation question is whether the predicted scalar lands acceptably close to the realized scalar across a holdout set of missions. The figure of merit is predictive accuracy in the magnitude dimension: how far, in dollars or in percentage terms, the estimate sits from the actual. This is a well-posed and important question, and the study answers it with appropriate rigor, reporting point estimates, standard deviations, and confidence intervals on total mission cost</w:t>
      </w:r>
      <w:r>
        <w:t xml:space="preserve"> </w:t>
      </w:r>
      <w:hyperlink w:anchor="ref-1">
        <w:r>
          <w:rPr>
            <w:rStyle w:val="Hyperlink"/>
          </w:rPr>
          <w:t xml:space="preserve">[1]</w:t>
        </w:r>
      </w:hyperlink>
      <w:r>
        <w:t xml:space="preserve">. What matters for the present argument is what the dependent quantity is. It is a magnitude. The entire apparatus is built to produce one number. That number is the total cost, and the tool characterizes the dispersion around it.</w:t>
      </w:r>
    </w:p>
    <w:bookmarkEnd w:id="69"/>
    <w:bookmarkStart w:id="70" w:name="Xd7cbdaed1046e33bf41952e5b7e592db94474ae"/>
    <w:p>
      <w:pPr>
        <w:pStyle w:val="Heading3"/>
        <w:spacing w:line="480" w:lineRule="auto"/>
      </w:pPr>
      <w:r>
        <w:t xml:space="preserve">2.2.2 The same framing propagates forward into architecture economics</w:t>
      </w:r>
    </w:p>
    <w:p>
      <w:pPr>
        <w:pStyle w:val="FirstParagraph"/>
        <w:spacing w:line="480" w:lineRule="auto"/>
      </w:pPr>
      <w:r>
        <w:t xml:space="preserve">The scalar framing is not idiosyncratic to validation studies of legacy tools. It propagates wholesale into the forward-looking architecture-economics literature, which imports established parametric models to price mission classes that do not yet exist. The parametric economic modeling of asteroid-mining architectures is a clean instance: that work takes the established parametric cost-estimating machinery and applies it to a novel mission class, treating cost as a figure of merit to be estimated once, at the concept stage, for the purpose of comparing architectural alternatives</w:t>
      </w:r>
      <w:r>
        <w:t xml:space="preserve"> </w:t>
      </w:r>
      <w:hyperlink w:anchor="ref-2">
        <w:r>
          <w:rPr>
            <w:rStyle w:val="Hyperlink"/>
          </w:rPr>
          <w:t xml:space="preserve">[2]</w:t>
        </w:r>
      </w:hyperlink>
      <w:r>
        <w:t xml:space="preserve">. The dependent quantity is again a scalar, a cost magnitude attached to a candidate architecture, computed so that competing architectures can be ranked by their estimated cost.</w:t>
      </w:r>
    </w:p>
    <w:p>
      <w:pPr>
        <w:pStyle w:val="BodyText"/>
        <w:spacing w:line="480" w:lineRule="auto"/>
        <w:ind w:firstLine="720"/>
      </w:pPr>
      <w:r>
        <w:t xml:space="preserve">The propagation extends beyond planetary spacecraft into adjacent future-vehicle classes. The parametric model for research, development, and production costs of future civil hypersonic aircraft resolves, like its planetary cousins, to a research-development-production cost figure across a development time horizon</w:t>
      </w:r>
      <w:r>
        <w:t xml:space="preserve"> </w:t>
      </w:r>
      <w:hyperlink w:anchor="ref-3">
        <w:r>
          <w:rPr>
            <w:rStyle w:val="Hyperlink"/>
          </w:rPr>
          <w:t xml:space="preserve">[3]</w:t>
        </w:r>
      </w:hyperlink>
      <w:r>
        <w:t xml:space="preserve">. Here the temporal dimension is present in the model, in the sense that costs are spread across a development schedule, but the temporal dimension is treated as an accounting axis along which a known total is distributed, not as an axis along which risk evolves. The model answers how much the program will cost across its life, not when across that life the program is most exposed to losing the cost figure it has committed to. The dependent quantity remains a magnitude; time appears only as the denominator over which the magnitude is spread.</w:t>
      </w:r>
    </w:p>
    <w:bookmarkEnd w:id="70"/>
    <w:bookmarkStart w:id="71" w:name="X53caa76029bdb07e323036fe35789534b21f123"/>
    <w:p>
      <w:pPr>
        <w:pStyle w:val="Heading3"/>
        <w:spacing w:line="480" w:lineRule="auto"/>
      </w:pPr>
      <w:r>
        <w:t xml:space="preserve">2.2.3 What the parametric tradition does well, and what it cannot reach</w:t>
      </w:r>
    </w:p>
    <w:p>
      <w:pPr>
        <w:pStyle w:val="FirstParagraph"/>
        <w:spacing w:line="480" w:lineRule="auto"/>
      </w:pPr>
      <w:r>
        <w:t xml:space="preserve">It is important to be fair to the parametric tradition, because the gap this dissertation identifies is not a flaw in that tradition’s execution but a limit of its framing. Within the magnitude question, parametric estimation is the right tool and a well-validated one. The SEER-H study demonstrates that a carefully calibrated parametric tool can predict total mission cost with characterized accuracy and honest confidence bounds</w:t>
      </w:r>
      <w:r>
        <w:t xml:space="preserve"> </w:t>
      </w:r>
      <w:hyperlink w:anchor="ref-1">
        <w:r>
          <w:rPr>
            <w:rStyle w:val="Hyperlink"/>
          </w:rPr>
          <w:t xml:space="preserve">[1]</w:t>
        </w:r>
      </w:hyperlink>
      <w:r>
        <w:t xml:space="preserve">. The asteroid-mining work demonstrates that the same machinery extends sensibly to novel architectures for the purpose of concept-stage comparison</w:t>
      </w:r>
      <w:r>
        <w:t xml:space="preserve"> </w:t>
      </w:r>
      <w:hyperlink w:anchor="ref-2">
        <w:r>
          <w:rPr>
            <w:rStyle w:val="Hyperlink"/>
          </w:rPr>
          <w:t xml:space="preserve">[2]</w:t>
        </w:r>
      </w:hyperlink>
      <w:r>
        <w:t xml:space="preserve">. The hypersonic-vehicle model demonstrates that parametric cost prediction generalizes across vehicle classes and time horizons</w:t>
      </w:r>
      <w:r>
        <w:t xml:space="preserve"> </w:t>
      </w:r>
      <w:hyperlink w:anchor="ref-3">
        <w:r>
          <w:rPr>
            <w:rStyle w:val="Hyperlink"/>
          </w:rPr>
          <w:t xml:space="preserve">[3]</w:t>
        </w:r>
      </w:hyperlink>
      <w:r>
        <w:t xml:space="preserve">. None of these contributions is deficient on its own terms.</w:t>
      </w:r>
    </w:p>
    <w:p>
      <w:pPr>
        <w:pStyle w:val="BodyText"/>
        <w:spacing w:line="480" w:lineRule="auto"/>
        <w:ind w:firstLine="720"/>
      </w:pPr>
      <w:r>
        <w:t xml:space="preserve">The limit is structural and follows directly from the dependent quantity. A model whose output is a scalar total cost, bounded by a symmetric confidence interval, carries no information about the conditional rate at which the cost commitment is lost as development proceeds. A confidence interval on total cost says that the final figure is uncertain; it does not say whether the uncertainty resolves early, at preliminary design, or late, at integration and test, or evenly across the lifecycle. The interval describes the dispersion of an end state. It says nothing about the path to that end state. The parametric tradition, by the logic of its own construction, cannot reach the timing of overrun onset, because timing is not encoded anywhere in a scalar end-state estimate. This is the first half of the gap.</w:t>
      </w:r>
    </w:p>
    <w:bookmarkEnd w:id="71"/>
    <w:bookmarkEnd w:id="72"/>
    <w:bookmarkStart w:id="76" w:name="X57a36cf77cdb8a11682f3dedaefc3c165e8a5a4"/>
    <w:p>
      <w:pPr>
        <w:pStyle w:val="Heading2"/>
        <w:spacing w:line="480" w:lineRule="auto"/>
      </w:pPr>
      <w:r>
        <w:t xml:space="preserve">2.3 The Auditing, Reporting, and Overrun-Phenomenon Literature</w:t>
      </w:r>
    </w:p>
    <w:bookmarkStart w:id="73" w:name="Xec3d6404f2c74edcbae67701f5a72382de6bbe8"/>
    <w:p>
      <w:pPr>
        <w:pStyle w:val="Heading3"/>
        <w:spacing w:line="480" w:lineRule="auto"/>
      </w:pPr>
      <w:r>
        <w:t xml:space="preserve">2.3.1 The audit literature records magnitudes, not hazards</w:t>
      </w:r>
    </w:p>
    <w:p>
      <w:pPr>
        <w:pStyle w:val="FirstParagraph"/>
        <w:spacing w:line="480" w:lineRule="auto"/>
      </w:pPr>
      <w:r>
        <w:t xml:space="preserve">Surrounding the parametric estimating core is a second, more empirical body of domain work: the auditing and reporting literature that records what planetary missions actually cost and how their baselines moved. The canonical instrument here is the Government Accountability Office’s annual assessment of NASA’s major projects, which reports, project by project, the baseline cost and schedule and the realized cost and schedule, together with the direction and size of any departure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These assessments are the authoritative public record of planetary mission overrun, and the dissertation’s own empirical work draws its event data from them. For the purposes of this review, the salient point is again the framing. The GAO assessments report magnitudes: the dollar growth from baseline, the months of schedule slip, the percentage by which a project exceeded its commitment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They tabulate the size of the departure and, at most, the date at which the departure was recorded. They do not estimate, and do not purport to estimate, a conditional rate of first departure across the development lifecycle.</w:t>
      </w:r>
    </w:p>
    <w:p>
      <w:pPr>
        <w:pStyle w:val="BodyText"/>
        <w:spacing w:line="480" w:lineRule="auto"/>
        <w:ind w:firstLine="720"/>
      </w:pPr>
      <w:r>
        <w:t xml:space="preserve">The same magnitude orientation characterizes the per-mission cost analyses produced outside the federal audit apparatus. The Planetary Society’s mission-cost studies reconstruct, for individual flagship and competed missions, the full development cost and its growth from the confirmed baseline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These analyses are valuable precisely because they assemble an auditable per-mission cost history from public sources, and the dissertation’s dataset relies on them. But the quantity they produce is a magnitude: the total cost of OSIRIS-REx</w:t>
      </w:r>
      <w:r>
        <w:t xml:space="preserve"> </w:t>
      </w:r>
      <w:hyperlink w:anchor="ref-7">
        <w:r>
          <w:rPr>
            <w:rStyle w:val="Hyperlink"/>
          </w:rPr>
          <w:t xml:space="preserve">[7]</w:t>
        </w:r>
      </w:hyperlink>
      <w:r>
        <w:t xml:space="preserve">, the total cost of InSight</w:t>
      </w:r>
      <w:r>
        <w:t xml:space="preserve"> </w:t>
      </w:r>
      <w:hyperlink w:anchor="ref-8">
        <w:r>
          <w:rPr>
            <w:rStyle w:val="Hyperlink"/>
          </w:rPr>
          <w:t xml:space="preserve">[8]</w:t>
        </w:r>
      </w:hyperlink>
      <w:r>
        <w:t xml:space="preserve">, the total cost of DART</w:t>
      </w:r>
      <w:r>
        <w:t xml:space="preserve"> </w:t>
      </w:r>
      <w:hyperlink w:anchor="ref-9">
        <w:r>
          <w:rPr>
            <w:rStyle w:val="Hyperlink"/>
          </w:rPr>
          <w:t xml:space="preserve">[9]</w:t>
        </w:r>
      </w:hyperlink>
      <w:r>
        <w:t xml:space="preserve">, each with its growth from baseline. The analyses answer how much a given mission overran. They do not answer, because they are not built to answer, when in the development of a comparable mission the overrun risk peaks.</w:t>
      </w:r>
    </w:p>
    <w:bookmarkEnd w:id="73"/>
    <w:bookmarkStart w:id="74" w:name="Xda6f316492a1b123971c261f3d51488d19a436e"/>
    <w:p>
      <w:pPr>
        <w:pStyle w:val="Heading3"/>
        <w:spacing w:line="480" w:lineRule="auto"/>
      </w:pPr>
      <w:r>
        <w:t xml:space="preserve">2.3.2 The contemporaneous reporting literature confronts overrun directly, still as magnitude</w:t>
      </w:r>
    </w:p>
    <w:p>
      <w:pPr>
        <w:pStyle w:val="FirstParagraph"/>
        <w:spacing w:line="480" w:lineRule="auto"/>
      </w:pPr>
      <w:r>
        <w:t xml:space="preserve">A third stratum of the domain literature confronts the overrun phenomenon head-on in real time. Contemporaneous trade reporting documents specific, dramatic cost-growth events as they occur: the confirmation of Dragonfly despite a doubling of its projected cost</w:t>
      </w:r>
      <w:r>
        <w:t xml:space="preserve"> </w:t>
      </w:r>
      <w:hyperlink w:anchor="ref-10">
        <w:r>
          <w:rPr>
            <w:rStyle w:val="Hyperlink"/>
          </w:rPr>
          <w:t xml:space="preserve">[10]</w:t>
        </w:r>
      </w:hyperlink>
      <w:r>
        <w:t xml:space="preserve">, the disclosure of Europa Clipper cost growth alongside the Mars Sample Return replan</w:t>
      </w:r>
      <w:r>
        <w:t xml:space="preserve"> </w:t>
      </w:r>
      <w:hyperlink w:anchor="ref-11">
        <w:r>
          <w:rPr>
            <w:rStyle w:val="Hyperlink"/>
          </w:rPr>
          <w:t xml:space="preserve">[11]</w:t>
        </w:r>
      </w:hyperlink>
      <w:r>
        <w:t xml:space="preserve">. These accounts are the closest the domain literature comes to treating overrun as an event with a timing. They record that a breach occurred and, often, the milestone at which it surfaced. Dragonfly’s cost doubling is reported in connection with its confirmation decision</w:t>
      </w:r>
      <w:r>
        <w:t xml:space="preserve"> </w:t>
      </w:r>
      <w:hyperlink w:anchor="ref-10">
        <w:r>
          <w:rPr>
            <w:rStyle w:val="Hyperlink"/>
          </w:rPr>
          <w:t xml:space="preserve">[10]</w:t>
        </w:r>
      </w:hyperlink>
      <w:r>
        <w:t xml:space="preserve">; Europa Clipper’s growth is reported in connection with a particular budget cycle and a particular set of programmatic decisions</w:t>
      </w:r>
      <w:r>
        <w:t xml:space="preserve"> </w:t>
      </w:r>
      <w:hyperlink w:anchor="ref-11">
        <w:r>
          <w:rPr>
            <w:rStyle w:val="Hyperlink"/>
          </w:rPr>
          <w:t xml:space="preserve">[11]</w:t>
        </w:r>
      </w:hyperlink>
      <w:r>
        <w:t xml:space="preserve">.</w:t>
      </w:r>
    </w:p>
    <w:p>
      <w:pPr>
        <w:pStyle w:val="BodyText"/>
        <w:spacing w:line="480" w:lineRule="auto"/>
        <w:ind w:firstLine="720"/>
      </w:pPr>
      <w:r>
        <w:t xml:space="preserve">Yet even here the analytic object remains the magnitude of the individual event, narrated case by case, rather than the hazard across a population. The reporting tells us that this mission breached its baseline by this amount at roughly this point. It does not aggregate across missions to estimate the instantaneous rate at which a still-on-baseline mission first breaches, conditional on having survived to a given development phase. The events are recorded as discrete magnitudes attached to named missions, not as realizations of a common time-to-event process whose hazard function could be estimated. The phenomenon is observed; it is not modeled as a hazard. This completes the picture of the first literature: across its parametric, auditing, and reporting strata, the domain treats overrun as a magnitude, whether predicted, recorded, or narrated, and never as a conditional rate over development time.</w:t>
      </w:r>
    </w:p>
    <w:bookmarkEnd w:id="74"/>
    <w:bookmarkStart w:id="75" w:name="X43f76410c2b1e81f14b33427f3cf4970cb78b34"/>
    <w:p>
      <w:pPr>
        <w:pStyle w:val="Heading3"/>
        <w:spacing w:line="480" w:lineRule="auto"/>
      </w:pPr>
      <w:r>
        <w:t xml:space="preserve">2.3.3 The space-economy framing reinforces the magnitude lens at the sectoral level</w:t>
      </w:r>
    </w:p>
    <w:p>
      <w:pPr>
        <w:pStyle w:val="FirstParagraph"/>
        <w:spacing w:line="480" w:lineRule="auto"/>
      </w:pPr>
      <w:r>
        <w:t xml:space="preserve">One more body of work deserves attention here. Even the broader economic literature on the space sector, which one might expect to supply a more structural treatment of programmatic risk, reinforces rather than relieves the magnitude orientation. The canonical economic framing of the space sector analyzes the field through the lens of market failures, externalities, and the long-run decline of NASA’s budget as a fraction of gross domestic product</w:t>
      </w:r>
      <w:r>
        <w:t xml:space="preserve"> </w:t>
      </w:r>
      <w:hyperlink w:anchor="ref-4">
        <w:r>
          <w:rPr>
            <w:rStyle w:val="Hyperlink"/>
          </w:rPr>
          <w:t xml:space="preserve">[4]</w:t>
        </w:r>
      </w:hyperlink>
      <w:r>
        <w:t xml:space="preserve">. This is a literature about the sectoral and macro-budgetary structure within which missions are funded, and it treats programmatic exposure through the categories of public economics, externality and budget share, rather than through the within-mission timing of overrun onset</w:t>
      </w:r>
      <w:r>
        <w:t xml:space="preserve"> </w:t>
      </w:r>
      <w:hyperlink w:anchor="ref-4">
        <w:r>
          <w:rPr>
            <w:rStyle w:val="Hyperlink"/>
          </w:rPr>
          <w:t xml:space="preserve">[4]</w:t>
        </w:r>
      </w:hyperlink>
      <w:r>
        <w:t xml:space="preserve">. The economic literature thus operates at a level of aggregation above the individual mission and, where it touches programmatic risk, does so through budget-share and externality framings rather than through a hazard over a mission’s own development clock. It is no closer to the timing question than the parametric and audit literatures are, and for a different reason: not because it produces a scalar magnitude, but because it abstracts away from the individual mission entirely. Either way, the conditional rate of within-mission baseline breach over development time is absent from the entire domain literature.</w:t>
      </w:r>
    </w:p>
    <w:bookmarkEnd w:id="75"/>
    <w:bookmarkEnd w:id="76"/>
    <w:bookmarkStart w:id="79" w:name="Xf3f4e1f767f20a43feb3e26f85e78cd97e1045c"/>
    <w:p>
      <w:pPr>
        <w:pStyle w:val="Heading2"/>
        <w:spacing w:line="480" w:lineRule="auto"/>
      </w:pPr>
      <w:r>
        <w:t xml:space="preserve">2.4 The Time-to-Event and Survival-Analysis Methodology</w:t>
      </w:r>
    </w:p>
    <w:bookmarkStart w:id="77" w:name="the-structure-of-the-second-literature"/>
    <w:p>
      <w:pPr>
        <w:pStyle w:val="Heading3"/>
        <w:spacing w:line="480" w:lineRule="auto"/>
      </w:pPr>
      <w:r>
        <w:t xml:space="preserve">2.4.1 The structure of the second literature</w:t>
      </w:r>
    </w:p>
    <w:p>
      <w:pPr>
        <w:pStyle w:val="FirstParagraph"/>
        <w:spacing w:line="480" w:lineRule="auto"/>
      </w:pPr>
      <w:r>
        <w:t xml:space="preserve">The second literature this dissertation joins is the methodology of time-to-event analysis, known as survival analysis in biostatistics and reliability engineering and as event-history or duration analysis in economics and the quantitative social sciences. The defining feature of this methodology is that its dependent quantity is not a magnitude but a time and, more precisely, a hazard: the instantaneous rate at which an event occurs at a given moment, conditional on the unit having survived event-free to that moment. Where the parametric cost tradition asks how large the outcome will be, the survival tradition asks when the event will occur and at what rate the risk of its occurrence evolves over the unit’s lifetime.</w:t>
      </w:r>
    </w:p>
    <w:p>
      <w:pPr>
        <w:pStyle w:val="BodyText"/>
        <w:spacing w:line="480" w:lineRule="auto"/>
        <w:ind w:firstLine="720"/>
      </w:pPr>
      <w:r>
        <w:t xml:space="preserve">The methodology supplies a layered set of estimators that the dissertation’s empirical chapters use directly. At the non-parametric layer, the Kaplan-Meier estimator recovers the survival function, the probability that the event has not yet occurred by a given time, without imposing any functional form on the underlying hazard. At the parametric layer, distributional models, of which the Weibull is the canonical and most useful for the present purpose, characterize the hazard through a small number of shape and scale parameters; the Weibull is decisive here because its single shape parameter nests the constant-hazard case, a shape of one, against the rising-hazard case, a shape greater than one, so that an entire hypothesis about the timing of risk reduces to a test on one parameter. At the semi-parametric layer, the Cox proportional-hazards model estimates how covariates shift the hazard without committing to a functional form for the baseline hazard itself, which makes it the natural vehicle for carrying the parametric cost tradition’s own input variables, mass, instrument complement, and heritage, into a hazard specification where their effects on the rate of overrun become separately testable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Two structural features of this methodology make it suited to the planetary-overrun problem. The first is its native handling of right-censoring: units that reach the end of observation without experiencing the event contribute their exposure to the estimate without being treated as failures. In the planetary application, a mission that launches on baseline is exactly such a censored observation, contributing development exposure without contributing a breach event. The second is its requirement of an unambiguous clock start, an entry point into the risk set. Survival estimation is defeated by left-truncation ambiguity when entry into the risk set is fuzzy, and it is identified cleanly when the clock start is a discrete, dated milestone. The planetary application is unusually well-served here, because confirmation, the authority-to-proceed milestone, is a discrete and documented event that fixes the clock start for every mission without ambiguity. The methodology and the phenomenon are, in this respect, structurally matched.</w:t>
      </w:r>
    </w:p>
    <w:bookmarkEnd w:id="77"/>
    <w:bookmarkStart w:id="78" w:name="X4f1b2c5324663211541e9a1649a04e9b331eb0a"/>
    <w:p>
      <w:pPr>
        <w:pStyle w:val="Heading3"/>
        <w:spacing w:line="480" w:lineRule="auto"/>
      </w:pPr>
      <w:r>
        <w:t xml:space="preserve">2.4.2 Survival analysis has barely touched the space domain, and never planetary cost</w:t>
      </w:r>
    </w:p>
    <w:p>
      <w:pPr>
        <w:pStyle w:val="FirstParagraph"/>
        <w:spacing w:line="480" w:lineRule="auto"/>
      </w:pPr>
      <w:r>
        <w:t xml:space="preserve">The methodology is mature and widely applied across biostatistics, reliability engineering, and economics. Within the space domain, however, its footprint is thin, and within the planetary-cost subdomain it is absent. The one direct and instructive application is the use of time-to-event modeling to characterize the occurrence of maneuvers by non-cooperative satellites, which treats the interval until a maneuver as a survival process and estimates the hazard of maneuver occurrence over time</w:t>
      </w:r>
      <w:r>
        <w:t xml:space="preserve"> </w:t>
      </w:r>
      <w:hyperlink w:anchor="ref-12">
        <w:r>
          <w:rPr>
            <w:rStyle w:val="Hyperlink"/>
          </w:rPr>
          <w:t xml:space="preserve">[12]</w:t>
        </w:r>
      </w:hyperlink>
      <w:r>
        <w:t xml:space="preserve">. This work is significant for the present dissertation precisely because it demonstrates that the survival apparatus transfers cleanly into a space-operations setting: the event is a discrete observable occurrence, the units accumulate exposure over time, and the hazard of occurrence is the quantity of interest</w:t>
      </w:r>
      <w:r>
        <w:t xml:space="preserve"> </w:t>
      </w:r>
      <w:hyperlink w:anchor="ref-12">
        <w:r>
          <w:rPr>
            <w:rStyle w:val="Hyperlink"/>
          </w:rPr>
          <w:t xml:space="preserve">[12]</w:t>
        </w:r>
      </w:hyperlink>
      <w:r>
        <w:t xml:space="preserve">. It is, however, an application to on-orbit operational behavior, the timing of a satellite’s maneuvers, not to programmatic outcomes, the timing of a mission’s cost-and-schedule breach. The phenomenon it models lives in the flight phase; the phenomenon this dissertation models lives in the development phase. The methodological transfer is demonstrated; the domain transfer to planetary cost-and-schedule is not.</w:t>
      </w:r>
    </w:p>
    <w:p>
      <w:pPr>
        <w:pStyle w:val="BodyText"/>
        <w:spacing w:line="480" w:lineRule="auto"/>
        <w:ind w:firstLine="720"/>
      </w:pPr>
      <w:r>
        <w:t xml:space="preserve">Beyond that single direct precedent, the space-domain literature engages timing and risk through frameworks that are adjacent to survival analysis without being instances of it. The collision-risk and debris-hazard literature, for example, treats the probability of catastrophic events through probabilistic-risk and impact-hazard analysis: the risk of artificial-debris collision following a catastrophic spacecraft mishap in lunar orbit is assessed as a probability-of-occurrence problem</w:t>
      </w:r>
      <w:r>
        <w:t xml:space="preserve"> </w:t>
      </w:r>
      <w:hyperlink w:anchor="ref-13">
        <w:r>
          <w:rPr>
            <w:rStyle w:val="Hyperlink"/>
          </w:rPr>
          <w:t xml:space="preserve">[13]</w:t>
        </w:r>
      </w:hyperlink>
      <w:r>
        <w:t xml:space="preserve">, and the numerical and probabilistic analysis of asteroid and comet impact-hazard mitigation likewise frames the hazard as a probability to be quantified and mitigated</w:t>
      </w:r>
      <w:r>
        <w:t xml:space="preserve"> </w:t>
      </w:r>
      <w:hyperlink w:anchor="ref-16">
        <w:r>
          <w:rPr>
            <w:rStyle w:val="Hyperlink"/>
          </w:rPr>
          <w:t xml:space="preserve">[16]</w:t>
        </w:r>
      </w:hyperlink>
      <w:r>
        <w:t xml:space="preserve">. These are genuinely hazard-oriented analyses, and they share with survival modeling a concern with the rate and probability of adverse events. But they are not time-to-event estimations over a population with right-censoring and a fixed clock start; they are probabilistic-risk assessments of physical-collision and impact phenomena, framed in the language of probability of occurrence rather than of a conditional hazard function estimated from a censored sample. They establish that the space domain reasons about hazards, but not that it has applied survival estimation to programmatic outcomes.</w:t>
      </w:r>
    </w:p>
    <w:p>
      <w:pPr>
        <w:pStyle w:val="BodyText"/>
        <w:spacing w:line="480" w:lineRule="auto"/>
        <w:ind w:firstLine="720"/>
      </w:pPr>
      <w:r>
        <w:t xml:space="preserve">The remaining space-situational-awareness and systems literature is even further from the present problem, though it is worth surveying briefly to map the full perimeter of what the domain has and has not done with timing. Work on space-situational-awareness schemes for sustainable low Earth orbit combines data aggregation with in-orbit inspection to manage operational risk</w:t>
      </w:r>
      <w:r>
        <w:t xml:space="preserve"> </w:t>
      </w:r>
      <w:hyperlink w:anchor="ref-14">
        <w:r>
          <w:rPr>
            <w:rStyle w:val="Hyperlink"/>
          </w:rPr>
          <w:t xml:space="preserve">[14]</w:t>
        </w:r>
      </w:hyperlink>
      <w:r>
        <w:t xml:space="preserve">, and forward-looking treatments of the future of space-situational awareness frame the problem as one of architecture and capability rather than of event-history estimation</w:t>
      </w:r>
      <w:r>
        <w:t xml:space="preserve"> </w:t>
      </w:r>
      <w:hyperlink w:anchor="ref-15">
        <w:r>
          <w:rPr>
            <w:rStyle w:val="Hyperlink"/>
          </w:rPr>
          <w:t xml:space="preserve">[15]</w:t>
        </w:r>
      </w:hyperlink>
      <w:r>
        <w:t xml:space="preserve">. Studies of optical and observational systems, including surveys of commercial off-the-shelf optical systems for space applications</w:t>
      </w:r>
      <w:r>
        <w:t xml:space="preserve"> </w:t>
      </w:r>
      <w:hyperlink w:anchor="ref-17">
        <w:r>
          <w:rPr>
            <w:rStyle w:val="Hyperlink"/>
          </w:rPr>
          <w:t xml:space="preserve">[17]</w:t>
        </w:r>
      </w:hyperlink>
      <w:r>
        <w:t xml:space="preserve"> </w:t>
      </w:r>
      <w:r>
        <w:t xml:space="preserve">and analyses of lunar-surface and cislunar observation of objects in low lunar orbit and the L2 dark cone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are concerned with sensing capability and observational geometry, not with the timing of programmatic events. Mission-design and engineering studies, including launcher-size optimization for crewed Mars missions</w:t>
      </w:r>
      <w:r>
        <w:t xml:space="preserve"> </w:t>
      </w:r>
      <w:hyperlink w:anchor="ref-20">
        <w:r>
          <w:rPr>
            <w:rStyle w:val="Hyperlink"/>
          </w:rPr>
          <w:t xml:space="preserve">[20]</w:t>
        </w:r>
      </w:hyperlink>
      <w:r>
        <w:t xml:space="preserve">, aerobraking state-of-the-art reviews</w:t>
      </w:r>
      <w:r>
        <w:t xml:space="preserve"> </w:t>
      </w:r>
      <w:hyperlink w:anchor="ref-22">
        <w:r>
          <w:rPr>
            <w:rStyle w:val="Hyperlink"/>
          </w:rPr>
          <w:t xml:space="preserve">[22]</w:t>
        </w:r>
      </w:hyperlink>
      <w:r>
        <w:t xml:space="preserve">, deep-space antenna-reflector design</w:t>
      </w:r>
      <w:r>
        <w:t xml:space="preserve"> </w:t>
      </w:r>
      <w:hyperlink w:anchor="ref-24">
        <w:r>
          <w:rPr>
            <w:rStyle w:val="Hyperlink"/>
          </w:rPr>
          <w:t xml:space="preserve">[24]</w:t>
        </w:r>
      </w:hyperlink>
      <w:r>
        <w:t xml:space="preserve">, multi-satellite imaging-scheduling algorithms</w:t>
      </w:r>
      <w:r>
        <w:t xml:space="preserve"> </w:t>
      </w:r>
      <w:hyperlink w:anchor="ref-23">
        <w:r>
          <w:rPr>
            <w:rStyle w:val="Hyperlink"/>
          </w:rPr>
          <w:t xml:space="preserve">[23]</w:t>
        </w:r>
      </w:hyperlink>
      <w:r>
        <w:t xml:space="preserve">, optimal planetary-landing-site selection</w:t>
      </w:r>
      <w:r>
        <w:t xml:space="preserve"> </w:t>
      </w:r>
      <w:hyperlink w:anchor="ref-26">
        <w:r>
          <w:rPr>
            <w:rStyle w:val="Hyperlink"/>
          </w:rPr>
          <w:t xml:space="preserve">[26]</w:t>
        </w:r>
      </w:hyperlink>
      <w:r>
        <w:t xml:space="preserve">, and surveys of highly miniaturized spacecraft classes</w:t>
      </w:r>
      <w:r>
        <w:t xml:space="preserve"> </w:t>
      </w:r>
      <w:hyperlink w:anchor="ref-25">
        <w:r>
          <w:rPr>
            <w:rStyle w:val="Hyperlink"/>
          </w:rPr>
          <w:t xml:space="preserve">[25]</w:t>
        </w:r>
      </w:hyperlink>
      <w:r>
        <w:t xml:space="preserve">, address the physics and engineering of mission systems rather than the survival of a cost-and-schedule baseline. Even the analysis of facility usage aboard the International Space Station, which is genuinely a study of how a resource is consumed over time</w:t>
      </w:r>
      <w:r>
        <w:t xml:space="preserve"> </w:t>
      </w:r>
      <w:hyperlink w:anchor="ref-27">
        <w:r>
          <w:rPr>
            <w:rStyle w:val="Hyperlink"/>
          </w:rPr>
          <w:t xml:space="preserve">[27]</w:t>
        </w:r>
      </w:hyperlink>
      <w:r>
        <w:t xml:space="preserve">, and the assessment of whether humanity could survive a giant comet impact, which is genuinely a hazard analysis</w:t>
      </w:r>
      <w:r>
        <w:t xml:space="preserve"> </w:t>
      </w:r>
      <w:hyperlink w:anchor="ref-21">
        <w:r>
          <w:rPr>
            <w:rStyle w:val="Hyperlink"/>
          </w:rPr>
          <w:t xml:space="preserve">[21]</w:t>
        </w:r>
      </w:hyperlink>
      <w:r>
        <w:t xml:space="preserve">, operate in domains, operational utilization and existential physical risk, that are disjoint from the programmatic-overrun timing this dissertation studies. The perimeter survey confirms the central claim: the space-domain literature is rich in physical-hazard, capability, and engineering analysis, and it contains exactly one demonstration that survival modeling transfers into a space-operations setting</w:t>
      </w:r>
      <w:r>
        <w:t xml:space="preserve"> </w:t>
      </w:r>
      <w:hyperlink w:anchor="ref-12">
        <w:r>
          <w:rPr>
            <w:rStyle w:val="Hyperlink"/>
          </w:rPr>
          <w:t xml:space="preserve">[12]</w:t>
        </w:r>
      </w:hyperlink>
      <w:r>
        <w:t xml:space="preserve">, but it contains no application of survival or event-history methodology to the timing of planetary mission cost-and-schedule breach.</w:t>
      </w:r>
    </w:p>
    <w:bookmarkEnd w:id="78"/>
    <w:bookmarkEnd w:id="79"/>
    <w:bookmarkStart w:id="83" w:name="synthesis-and-the-gap"/>
    <w:p>
      <w:pPr>
        <w:pStyle w:val="Heading2"/>
        <w:spacing w:line="480" w:lineRule="auto"/>
      </w:pPr>
      <w:r>
        <w:t xml:space="preserve">2.5 Synthesis and the Gap</w:t>
      </w:r>
    </w:p>
    <w:bookmarkStart w:id="80" w:name="two-literatures-one-missing-join"/>
    <w:p>
      <w:pPr>
        <w:pStyle w:val="Heading3"/>
        <w:spacing w:line="480" w:lineRule="auto"/>
      </w:pPr>
      <w:r>
        <w:t xml:space="preserve">2.5.1 Two literatures, one missing join</w:t>
      </w:r>
    </w:p>
    <w:p>
      <w:pPr>
        <w:pStyle w:val="FirstParagraph"/>
        <w:spacing w:line="480" w:lineRule="auto"/>
      </w:pPr>
      <w:r>
        <w:t xml:space="preserve">The two literatures surveyed above are each individually mature and each individually unsuited, on its own, to the question this dissertation poses. The domain-technical literature has the right phenomenon, planetary mission overrun, and the right data, baselines and actuals recorded mission by mission, but the wrong dependent quantity. Across its parametric</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auditing</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reporting</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sectoral-economic</w:t>
      </w:r>
      <w:r>
        <w:t xml:space="preserve"> </w:t>
      </w:r>
      <w:hyperlink w:anchor="ref-4">
        <w:r>
          <w:rPr>
            <w:rStyle w:val="Hyperlink"/>
          </w:rPr>
          <w:t xml:space="preserve">[4]</w:t>
        </w:r>
      </w:hyperlink>
      <w:r>
        <w:t xml:space="preserve"> </w:t>
      </w:r>
      <w:r>
        <w:t xml:space="preserve">strata, it treats overrun as a magnitude: a cost to be predicted, a growth to be recorded, an event to be narrated. It never treats overrun as a conditional rate over development time. The survival-analysis literature has the right dependent quantity, a hazard over time with native handling of censoring and a requirement for a clean clock start, and the right structural apparatus, the Kaplan-Meier, Weibull, and Cox estimators, but it has not been pointed at the planetary-overrun phenomenon. Its single demonstrated space-domain application is to on-orbit maneuver timing</w:t>
      </w:r>
      <w:r>
        <w:t xml:space="preserve"> </w:t>
      </w:r>
      <w:hyperlink w:anchor="ref-12">
        <w:r>
          <w:rPr>
            <w:rStyle w:val="Hyperlink"/>
          </w:rPr>
          <w:t xml:space="preserve">[12]</w:t>
        </w:r>
      </w:hyperlink>
      <w:r>
        <w:t xml:space="preserve">, not to programmatic cost-and-schedule breach.</w:t>
      </w:r>
    </w:p>
    <w:p>
      <w:pPr>
        <w:pStyle w:val="BodyText"/>
        <w:spacing w:line="480" w:lineRule="auto"/>
        <w:ind w:firstLine="720"/>
      </w:pPr>
      <w:r>
        <w:t xml:space="preserve">The gap is therefore not a missing variable inside an existing model. It is a missing model class applied to a phenomenon that is structurally ready for it. Three features of the domain literature define the gap precisely. First, the outcome studied is invariantly a magnitude, not an event time; no instrument in the surveyed domain literature estimates a hazard function for baseline breach</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Second, the temporal structure of a mission’s development is collapsed into either the inputs of a single end-state estimate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or an accounting axis over which a known total is distributed</w:t>
      </w:r>
      <w:r>
        <w:t xml:space="preserve"> </w:t>
      </w:r>
      <w:hyperlink w:anchor="ref-3">
        <w:r>
          <w:rPr>
            <w:rStyle w:val="Hyperlink"/>
          </w:rPr>
          <w:t xml:space="preserve">[3]</w:t>
        </w:r>
      </w:hyperlink>
      <w:r>
        <w:t xml:space="preserve">, rather than treated as the axis along which risk itself evolves. Third, the implicit risk model embedded in point-estimate-plus-interval practice is memoryless: a scalar estimate bounded by a symmetric interval carries no statement that the overrun rate at integration and test differs from the overrun rate at preliminary design</w:t>
      </w:r>
      <w:r>
        <w:t xml:space="preserve"> </w:t>
      </w:r>
      <w:hyperlink w:anchor="ref-1">
        <w:r>
          <w:rPr>
            <w:rStyle w:val="Hyperlink"/>
          </w:rPr>
          <w:t xml:space="preserve">[1]</w:t>
        </w:r>
      </w:hyperlink>
      <w:r>
        <w:t xml:space="preserve">. The survival apparatus exists to overturn exactly this third feature, because a hazard function is by construction a statement about how risk depends on elapsed development time, and yet the apparatus has not been brought to bear</w:t>
      </w:r>
      <w:r>
        <w:t xml:space="preserve"> </w:t>
      </w:r>
      <w:hyperlink w:anchor="ref-12">
        <w:r>
          <w:rPr>
            <w:rStyle w:val="Hyperlink"/>
          </w:rPr>
          <w:t xml:space="preserve">[12]</w:t>
        </w:r>
      </w:hyperlink>
      <w:r>
        <w:t xml:space="preserve">.</w:t>
      </w:r>
    </w:p>
    <w:bookmarkEnd w:id="80"/>
    <w:bookmarkStart w:id="81" w:name="Xb1526a7ae66fe4fbf72fda710bd2d39d093258d"/>
    <w:p>
      <w:pPr>
        <w:pStyle w:val="Heading3"/>
        <w:spacing w:line="480" w:lineRule="auto"/>
      </w:pPr>
      <w:r>
        <w:t xml:space="preserve">2.5.2 Why the join is feasible, not merely desirable</w:t>
      </w:r>
    </w:p>
    <w:p>
      <w:pPr>
        <w:pStyle w:val="FirstParagraph"/>
        <w:spacing w:line="480" w:lineRule="auto"/>
      </w:pPr>
      <w:r>
        <w:t xml:space="preserve">A gap is only worth filling if the filling is feasible, and the surveyed literatures establish feasibility on three counts. First, the phenomenon supplies a clean clock start. The survival apparatus is defeated by fuzzy entry into the risk set, but the planetary application is identified by the discreteness of confirmation, a dated, documented milestone that fixes the clock start for every mission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domain’s own governance furnishes exactly the identifying feature the method requires. Second, the phenomenon supplies a natural censoring structure. A mission that launches on baseline is a textbook right-censored observation, and the domain’s reporting records launch dates and breach events with enough fidelity to assign each mission an exposure and an event indicator</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Third, the two literatures share a covariate vocabulary. The parametric cost tradition’s input vector, mass, instrument complement, and heritage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is precisely the kind of mission-level covariate that the Cox model is built to absorb, so the join does not require inventing new variables; it requires carrying the domain’s own established variables into a hazard specification where their effect on the rate of overrun, rather than the level of cost, becomes testable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single space-domain survival precedent confirms that this transfer is not speculative: time-to-event modeling has already been shown to work on a space-operations event with exactly this exposure-and-event structure</w:t>
      </w:r>
      <w:r>
        <w:t xml:space="preserve"> </w:t>
      </w:r>
      <w:hyperlink w:anchor="ref-12">
        <w:r>
          <w:rPr>
            <w:rStyle w:val="Hyperlink"/>
          </w:rPr>
          <w:t xml:space="preserve">[12]</w:t>
        </w:r>
      </w:hyperlink>
      <w:r>
        <w:t xml:space="preserve">.</w:t>
      </w:r>
    </w:p>
    <w:bookmarkEnd w:id="81"/>
    <w:bookmarkStart w:id="82" w:name="Xc58dc9cbcc21e4faec2f95a8e595bc389b32e5a"/>
    <w:p>
      <w:pPr>
        <w:pStyle w:val="Heading3"/>
        <w:spacing w:line="480" w:lineRule="auto"/>
      </w:pPr>
      <w:r>
        <w:t xml:space="preserve">2.5.3 What the join changes for the decision-maker</w:t>
      </w:r>
    </w:p>
    <w:p>
      <w:pPr>
        <w:pStyle w:val="FirstParagraph"/>
        <w:spacing w:line="480" w:lineRule="auto"/>
      </w:pPr>
      <w:r>
        <w:t xml:space="preserve">The practical stakes of the join follow from the difference between the two dependent quantities. A confirmation review board approving a planetary mission for implementation is not principally asking where in a parametric cost distribution the final figure will land. It is asking when, across the years between authority-to-proceed and launch, the mission is most exposed to losing its baseline, so that management reserve and review intensity can be concentrated where the hazard peaks. The magnitude literature, however accurate its point estimates</w:t>
      </w:r>
      <w:r>
        <w:t xml:space="preserve"> </w:t>
      </w:r>
      <w:hyperlink w:anchor="ref-1">
        <w:r>
          <w:rPr>
            <w:rStyle w:val="Hyperlink"/>
          </w:rPr>
          <w:t xml:space="preserve">[1]</w:t>
        </w:r>
      </w:hyperlink>
      <w:r>
        <w:t xml:space="preserve">, cannot answer that question, because a scalar carries no timing. The survival literature can, because a hazard function is a timing answer by construction</w:t>
      </w:r>
      <w:r>
        <w:t xml:space="preserve"> </w:t>
      </w:r>
      <w:hyperlink w:anchor="ref-12">
        <w:r>
          <w:rPr>
            <w:rStyle w:val="Hyperlink"/>
          </w:rPr>
          <w:t xml:space="preserve">[12]</w:t>
        </w:r>
      </w:hyperlink>
      <w:r>
        <w:t xml:space="preserve">. The deliverable the join produces, a phase-indexed hazard curve that a review board can read directly, is therefore not a refinement of existing practice but a different object addressed to a different question. The board’s question is a timing question; the domain has been answering it with a magnitude tool; the survival tradition supplies the matching timing tool. Joining the two is the contribution.</w:t>
      </w:r>
    </w:p>
    <w:bookmarkEnd w:id="82"/>
    <w:bookmarkEnd w:id="83"/>
    <w:bookmarkStart w:id="84" w:name="positioning-the-contribution"/>
    <w:p>
      <w:pPr>
        <w:pStyle w:val="Heading2"/>
        <w:spacing w:line="480" w:lineRule="auto"/>
      </w:pPr>
      <w:r>
        <w:t xml:space="preserve">2.6 Positioning the Contribution</w:t>
      </w:r>
    </w:p>
    <w:p>
      <w:pPr>
        <w:pStyle w:val="FirstParagraph"/>
        <w:spacing w:line="480" w:lineRule="auto"/>
      </w:pPr>
      <w:r>
        <w:t xml:space="preserve">The review above licenses the dissertation’s single falsifiable contribution and fixes its place in the surveyed terrain. The contribution is a test of the shape of the baseline-breach hazard across the planetary mission development lifecycle, posed as a null of constant hazard against an alternative of phase-dependent, rising hazard. The null, a constant hazard across the lifecycle, is the survival-analytic translation of the memoryless risk model implicit in point-estimate-plus-interval practice</w:t>
      </w:r>
      <w:r>
        <w:t xml:space="preserve"> </w:t>
      </w:r>
      <w:hyperlink w:anchor="ref-1">
        <w:r>
          <w:rPr>
            <w:rStyle w:val="Hyperlink"/>
          </w:rPr>
          <w:t xml:space="preserve">[1]</w:t>
        </w:r>
      </w:hyperlink>
      <w:r>
        <w:t xml:space="preserve">: it is the proposition that the rate at which an on-baseline mission breaches its baseline does not depend on how far through development it has progressed. The alternative is that the hazard rises at design-maturity gates, concentrating overrun onset where requirements meet detailed design. The Weibull shape parameter operationalizes the test cleanly, with a shape of one recovering the constant-hazard null and a shape greater than one supporting the rising-hazard alternative, so that the entire claim reduces to a test on one parameter estimated from a censored sample with a confirmation-fixed clock start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The companion empirical work carries the parametric tradition’s own covariates into a Cox specification to confirm that any hazard-shape finding is not an artifact of compositional differences across missions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That covariate model is positioned as a robustness check rather than a causal claim, because the parametric inputs are themselves chosen partly in anticipation of cost risk and their hazard ratios are therefore associational</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a caution the surveyed economic literature makes explicit at the sectoral level</w:t>
      </w:r>
      <w:r>
        <w:t xml:space="preserve"> </w:t>
      </w:r>
      <w:hyperlink w:anchor="ref-4">
        <w:r>
          <w:rPr>
            <w:rStyle w:val="Hyperlink"/>
          </w:rPr>
          <w:t xml:space="preserve">[4]</w:t>
        </w:r>
      </w:hyperlink>
      <w:r>
        <w:t xml:space="preserve">. The central methodological claim, by contrast, depends only on the dated confirmation clock and the dated breach event, both of which the domain’s auditing and reporting literatures observe directly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In sum, the surveyed terrain is two literatures that have not met. The domain-technical literature predicts, records, and narrates the magnitude of planetary mission overrun across a parametric, auditing, reporting, and sectoral-economic body of work that is, by the construction of its dependent quantity, unable to speak to timing</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survival-analysis literature speaks natively to timing through hazard functions, censoring, and a fixed clock start, and has been demonstrated to transfer into the space domain for at least one operational event</w:t>
      </w:r>
      <w:r>
        <w:t xml:space="preserve"> </w:t>
      </w:r>
      <w:hyperlink w:anchor="ref-12">
        <w:r>
          <w:rPr>
            <w:rStyle w:val="Hyperlink"/>
          </w:rPr>
          <w:t xml:space="preserve">[12]</w:t>
        </w:r>
      </w:hyperlink>
      <w:r>
        <w:t xml:space="preserve">, but has never been applied to planetary mission cost-and-schedule breach. The remaining space-domain risk and engineering literature reasons about physical hazards, capabilities, and mission systems without addressing programmatic-overrun timing</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The gap is the unmade join between a phenomenon that is structurally ready for survival modeling and a methodology that has not yet been pointed at it. The chapters that follow make that join.</w:t>
      </w:r>
    </w:p>
    <w:bookmarkEnd w:id="84"/>
    <w:bookmarkEnd w:id="85"/>
    <w:bookmarkStart w:id="93" w:name="Xcfcc00a3ded59aed0c781c16bfc121f2a509603"/>
    <w:p>
      <w:pPr>
        <w:pStyle w:val="Heading1"/>
        <w:spacing w:line="480" w:lineRule="auto"/>
      </w:pPr>
      <w:r>
        <w:t xml:space="preserve">Chapter 3. Theoretical Framework and Hypotheses</w:t>
      </w:r>
    </w:p>
    <w:bookmarkStart w:id="86" w:name="orientation-1"/>
    <w:p>
      <w:pPr>
        <w:pStyle w:val="Heading2"/>
        <w:spacing w:line="480" w:lineRule="auto"/>
      </w:pPr>
      <w:r>
        <w:t xml:space="preserve">3.1 Orientation</w:t>
      </w:r>
    </w:p>
    <w:p>
      <w:pPr>
        <w:pStyle w:val="FirstParagraph"/>
        <w:spacing w:line="480" w:lineRule="auto"/>
      </w:pPr>
      <w:r>
        <w:t xml:space="preserve">The preceding chapters established that the planetary mission cost-estimation literature is organized around the prediction of a scalar and that this organization leaves a confirmation board’s governing question unanswered. The board approving a mission for implementation does not principally need a sharper point estimate of total development cost; it needs to know when, across the interval from authority-to-proceed through launch, the mission is most exposed to losing its confirmed baseline. This chapter builds the theoretical apparatus that converts that practitioner question into a falsifiable empirical claim. The construction proceeds in four moves. First, it specifies the conceptual object that current practice silently assumes, namely a memoryless overrun process, and shows why that assumption is an inheritance of the point-estimate frame rather than a tested proposition. Second, it imports the formal machinery of time-to-event analysis and defines the hazard function as the quantity that carries the timing information the parametric tradition discards. Third, it articulates the causal logic of design-maturity gating that supplies the theoretical reason to expect a non-constant hazard. Fourth, it states the formal hypotheses H0 and H1 and fixes the estimand on which the dissertation’s single contribution turns. The chapter is theoretical throughout; it does not estimate the model, which is the work of later chapters, but it furnishes the constructs, the mechanism, and the testable propositions that the estimation will adjudicate.</w:t>
      </w:r>
    </w:p>
    <w:bookmarkEnd w:id="86"/>
    <w:bookmarkStart w:id="87" w:name="Xc1fbf926e253c29aa848bb47e40d497e1258a00"/>
    <w:p>
      <w:pPr>
        <w:pStyle w:val="Heading2"/>
        <w:spacing w:line="480" w:lineRule="auto"/>
      </w:pPr>
      <w:r>
        <w:t xml:space="preserve">3.2 The Inherited Assumption: Overrun as a Memoryless Magnitude</w:t>
      </w:r>
    </w:p>
    <w:p>
      <w:pPr>
        <w:pStyle w:val="FirstParagraph"/>
        <w:spacing w:line="480" w:lineRule="auto"/>
      </w:pPr>
      <w:r>
        <w:t xml:space="preserve">The reference instruments in NASA cost practice are parametric cost-estimating models that map a vector of technical and programmatic parameters onto a development-cost figure, of which SEER-H subjected to blind validation against flown NASA missions is a representative example</w:t>
      </w:r>
      <w:r>
        <w:t xml:space="preserve"> </w:t>
      </w:r>
      <w:hyperlink w:anchor="ref-1">
        <w:r>
          <w:rPr>
            <w:rStyle w:val="Hyperlink"/>
          </w:rPr>
          <w:t xml:space="preserve">[1]</w:t>
        </w:r>
      </w:hyperlink>
      <w:r>
        <w:t xml:space="preserve">. These tools take mass, power, instrument complement, and heritage as inputs and return a cost estimate bounded, in their better implementations, by a confidence interval</w:t>
      </w:r>
      <w:r>
        <w:t xml:space="preserve"> </w:t>
      </w:r>
      <w:hyperlink w:anchor="ref-1">
        <w:r>
          <w:rPr>
            <w:rStyle w:val="Hyperlink"/>
          </w:rPr>
          <w:t xml:space="preserve">[1]</w:t>
        </w:r>
      </w:hyperlink>
      <w:r>
        <w:t xml:space="preserve">. The same scalar-prediction frame propagates into forward-looking architecture economics, where established parametric models are imported wholesale to price novel mission classes such as asteroid-mining spacecraft</w:t>
      </w:r>
      <w:r>
        <w:t xml:space="preserve"> </w:t>
      </w:r>
      <w:hyperlink w:anchor="ref-2">
        <w:r>
          <w:rPr>
            <w:rStyle w:val="Hyperlink"/>
          </w:rPr>
          <w:t xml:space="preserve">[2]</w:t>
        </w:r>
      </w:hyperlink>
      <w:r>
        <w:t xml:space="preserve">, and into parametric models for future vehicle development that resolve to a research-development-production cost figure across a time horizon</w:t>
      </w:r>
      <w:r>
        <w:t xml:space="preserve"> </w:t>
      </w:r>
      <w:hyperlink w:anchor="ref-3">
        <w:r>
          <w:rPr>
            <w:rStyle w:val="Hyperlink"/>
          </w:rPr>
          <w:t xml:space="preserve">[3]</w:t>
        </w:r>
      </w:hyperlink>
      <w:r>
        <w:t xml:space="preserve">. The broader economic framing of the space sector treats programmatic exposure through externalities and the long decline of agency budget share rather than through the within-mission timing of overrun onset</w:t>
      </w:r>
      <w:r>
        <w:t xml:space="preserve"> </w:t>
      </w:r>
      <w:hyperlink w:anchor="ref-4">
        <w:r>
          <w:rPr>
            <w:rStyle w:val="Hyperlink"/>
          </w:rPr>
          <w:t xml:space="preserve">[4]</w:t>
        </w:r>
      </w:hyperlink>
      <w:r>
        <w:t xml:space="preserve">. Across this body of work the dependent quantity is a number attached to the end of the development lifecycle, and the temporal structure of that lifecycle enters only as a horizon over which the number is realized, never as an axis along which risk itself evolves.</w:t>
      </w:r>
    </w:p>
    <w:p>
      <w:pPr>
        <w:pStyle w:val="BodyText"/>
        <w:spacing w:line="480" w:lineRule="auto"/>
        <w:ind w:firstLine="720"/>
      </w:pPr>
      <w:r>
        <w:t xml:space="preserve">This organization carries an implicit risk model that has never been stated as a proposition and therefore never tested. A point estimate of total cost, bounded by a symmetric interval, makes no claim that the rate at which a mission breaches its baseline at integration and test differs from the rate at which it breaches during preliminary design. The interval is a statement about the dispersion of the terminal magnitude, not about the conditional timing of the breach event. When practice forecasts a single end-state number and a band around it, and then manages reserve and review intensity uniformly against that band, it behaves as if the instantaneous overrun rate were the same at every point in development. That behavioral default is the memoryless assumption: the rate at which a still-on-baseline mission loses its baseline does not depend on how far through development the mission has progressed. The scalar frame never surfaces the assumption, so no one defends it. It is a silent by-product of pointing a magnitude tool at a timing problem.</w:t>
      </w:r>
    </w:p>
    <w:p>
      <w:pPr>
        <w:pStyle w:val="BodyText"/>
        <w:spacing w:line="480" w:lineRule="auto"/>
        <w:ind w:firstLine="720"/>
      </w:pPr>
      <w:r>
        <w:t xml:space="preserve">The theoretical contribution of this dissertation begins by naming that silent assumption and treating it as a hypothesis rather than a convention. Once overrun is reframed as a process unfolding in development time, the memoryless property becomes a specific, restrictive, and falsifiable claim about the shape of a function. The question of whether the overrun rate is flat across the lifecycle or rises at particular phases is exactly the question the scalar frame cannot pose, and it is the question a confirmation board most needs answered. Reframing overrun as a time-to-event process makes the timing question primary and the magnitude question secondary, inverting the emphasis of current practice in the direction the governance of confirmation actually requires.</w:t>
      </w:r>
    </w:p>
    <w:bookmarkEnd w:id="87"/>
    <w:bookmarkStart w:id="88" w:name="Xea0208d670c37a279d01a7c485d0bd83b86342c"/>
    <w:p>
      <w:pPr>
        <w:pStyle w:val="Heading2"/>
        <w:spacing w:line="480" w:lineRule="auto"/>
      </w:pPr>
      <w:r>
        <w:t xml:space="preserve">3.3 The Time-to-Event Reframing and the Hazard Function</w:t>
      </w:r>
    </w:p>
    <w:p>
      <w:pPr>
        <w:pStyle w:val="FirstParagraph"/>
        <w:spacing w:line="480" w:lineRule="auto"/>
      </w:pPr>
      <w:r>
        <w:t xml:space="preserve">The formal apparatus that carries the timing information is survival analysis, the standard discipline for data in which the quantity of interest is the time until an event occurs. The reframing requires three definitions that fix the construct precisely. The clock starts at confirmation, the authority-to-proceed milestone, which sets development time t equal to zero for every mission. The event is the first breach of the confirmed cost or schedule baseline before launch. A mission that reaches launch without a recorded breach has not had its event; it is right-censored at launch and contributes exposure to the risk set without contributing an event, in the standard survival sense.</w:t>
      </w:r>
    </w:p>
    <w:p>
      <w:pPr>
        <w:pStyle w:val="BodyText"/>
        <w:spacing w:line="480" w:lineRule="auto"/>
        <w:ind w:firstLine="720"/>
      </w:pPr>
      <w:r>
        <w:t xml:space="preserve">Three functions describe the process. The survival function S(t) is the probability that a mission has not yet breached its baseline by development phase t. It begins at one at confirmation and is non-increasing thereafter, falling each time a mission in the risk set experiences a breach. The density of breach times, viewed against the population that began at confirmation, is the unconditional rate of events at each phase. The quantity of central interest, however, is neither of these. It is the hazard function h(t), the instantaneous rate of first breach at phase t conditional on the mission having reached phase t without a breach. The conditioning is what makes the hazard the right object for a confirmation board. The board is never asking about the unconditional probability that a mission breaches at some arbitrary phase computed at confirmation; it is asking, for a mission that has survived on baseline to a given gate, what the rate of breach is at that gate. The hazard answers precisely that question because it is defined on the population still at risk, the missions that have not yet breached, which is the population a board is actually governing at each review.</w:t>
      </w:r>
    </w:p>
    <w:p>
      <w:pPr>
        <w:pStyle w:val="BodyText"/>
        <w:spacing w:line="480" w:lineRule="auto"/>
        <w:ind w:firstLine="720"/>
      </w:pPr>
      <w:r>
        <w:t xml:space="preserve">The relationship among the three functions is exact and is what lets the hazard be recovered from observable survival data. The hazard at any phase is the ratio of the breach density at that phase to the survival probability up to that phase, equivalently the negative derivative of the logarithm of the survival function. This identity matters for the dissertation because it means the shape of the hazard, the object the hypotheses concern, is fully determined by the shape of the survival curve, and the survival curve is estimable from dated confirmation milestones, dated breach events, and dated launches without any further assumption. The reframing therefore does not merely relabel the cost problem in survival vocabulary; it relocates the quantity of interest to a function that the magnitude tradition cannot express and that observable NASA records can identify.</w:t>
      </w:r>
    </w:p>
    <w:p>
      <w:pPr>
        <w:pStyle w:val="BodyText"/>
        <w:spacing w:line="480" w:lineRule="auto"/>
        <w:ind w:firstLine="720"/>
      </w:pPr>
      <w:r>
        <w:t xml:space="preserve">The memoryless assumption now acquires a sharp formal content. A process whose hazard is constant in time, h(t) equal to a single rate lambda for all t, is the unique continuous-time process with no memory: the probability of breaching in the next increment of development time is the same regardless of how much development has already elapsed without a breach. The exponential distribution of event times is the distributional expression of this constant hazard. Stating the inherited practice in survival terms thus reveals that point-estimate-plus-interval practice, when it manages overrun risk uniformly across the lifecycle, is implicitly committed to an exponential, constant-hazard model of baseline breach. That commitment is testable. Testing it is the spine of this dissertation.</w:t>
      </w:r>
    </w:p>
    <w:bookmarkEnd w:id="88"/>
    <w:bookmarkStart w:id="89" w:name="X7ccc1300ac59259d90d217e6b21c66f1d57157a"/>
    <w:p>
      <w:pPr>
        <w:pStyle w:val="Heading2"/>
        <w:spacing w:line="480" w:lineRule="auto"/>
      </w:pPr>
      <w:r>
        <w:t xml:space="preserve">3.4 The Causal Mechanism: Design-Maturity Gating</w:t>
      </w:r>
    </w:p>
    <w:p>
      <w:pPr>
        <w:pStyle w:val="FirstParagraph"/>
        <w:spacing w:line="480" w:lineRule="auto"/>
      </w:pPr>
      <w:r>
        <w:t xml:space="preserve">The theoretical reason to expect the hazard to depart from constancy rests on the architecture of how planetary mission development actually retires technical risk. A mission does not progress through development as an undifferentiated accumulation of work in which uncertainty resolves smoothly. It moves through gates. At each design-maturity gate the gap between what the mission has committed to and what the mission has demonstrated is forced into the open. The causal logic of this chapter is that baseline breach is not a Poisson-like trickle of independent surprises but is concentrated where the development process compels reconciliation between requirements and realized design, and that this concentration produces an interior peak in the hazard rather than a flat profile.</w:t>
      </w:r>
    </w:p>
    <w:p>
      <w:pPr>
        <w:pStyle w:val="BodyText"/>
        <w:spacing w:line="480" w:lineRule="auto"/>
        <w:ind w:firstLine="720"/>
      </w:pPr>
      <w:r>
        <w:t xml:space="preserve">The mechanism operates through three linked propositions. The first is that uncertainty in a planetary mission is front-loaded in commitment but back-loaded in resolution. At confirmation the mission fixes a baseline against a design that exists largely on paper and in heritage assumption. The cost and schedule baseline is therefore a forecast conditioned on technical claims that have not yet been forced to confront detailed design. The early lifecycle, between confirmation and the maturation of preliminary design, carries genuine risk but also carries large unspent reserves and a design still abstract enough that contradictions have not yet been surfaced; breaches are possible but the process has not yet manufactured the occasions for them. The second proposition is that design-maturity gates are precisely the institutional occasions that manufacture those reconciliations. The transition across the preliminary-to-critical design interval is where requirements meet detailed design, where interface definitions that were notional become binding, and where the heritage assumptions priced into the baseline are tested against the specifics of the actual build. This is the phase at which a baseline forecast is most likely to be discovered to have been optimistic, because it is the phase at which the evidence that would reveal the optimism first exists. The third proposition is that once the mission passes detailed design into fabrication, integration, and test, the residual hazard, conditional on having survived the design gates on baseline, declines relative to its peak, because the largest single block of forecast uncertainty, the adequacy of the design to the requirements, has by then been resolved either into a breach already counted or into a design that held.</w:t>
      </w:r>
    </w:p>
    <w:p>
      <w:pPr>
        <w:pStyle w:val="BodyText"/>
        <w:spacing w:line="480" w:lineRule="auto"/>
        <w:ind w:firstLine="720"/>
      </w:pPr>
      <w:r>
        <w:t xml:space="preserve">Several mission-level features sharpen or blunt this mechanism, and they connect the causal story to the covariates the parametric tradition already supplies. Design heritage operates directly on the mechanism: a mission reusing a flown bus or a mature lineage inherits validated interfaces and retired risk, so the reconciliation forced at the design gates encounters fewer unproven claims and the gate-located hazard is lower</w:t>
      </w:r>
      <w:r>
        <w:t xml:space="preserve"> </w:t>
      </w:r>
      <w:hyperlink w:anchor="ref-1">
        <w:r>
          <w:rPr>
            <w:rStyle w:val="Hyperlink"/>
          </w:rPr>
          <w:t xml:space="preserve">[1]</w:t>
        </w:r>
      </w:hyperlink>
      <w:r>
        <w:t xml:space="preserve">. Instrument complement operates in the opposite direction by multiplying the interfaces, integration steps, and independent technical paths that each must survive the gate, so a larger instrument count raises the number of distinct ways the design-maturity reconciliation can precipitate a breach</w:t>
      </w:r>
      <w:r>
        <w:t xml:space="preserve"> </w:t>
      </w:r>
      <w:hyperlink w:anchor="ref-2">
        <w:r>
          <w:rPr>
            <w:rStyle w:val="Hyperlink"/>
          </w:rPr>
          <w:t xml:space="preserve">[2]</w:t>
        </w:r>
      </w:hyperlink>
      <w:r>
        <w:t xml:space="preserve">. Spacecraft mass indexes a larger, more capable, and more tightly integrated vehicle that the cost-estimation tradition associates with greater development difficulty</w:t>
      </w:r>
      <w:r>
        <w:t xml:space="preserve"> </w:t>
      </w:r>
      <w:hyperlink w:anchor="ref-1">
        <w:r>
          <w:rPr>
            <w:rStyle w:val="Hyperlink"/>
          </w:rPr>
          <w:t xml:space="preserve">[1]</w:t>
        </w:r>
      </w:hyperlink>
      <w:r>
        <w:t xml:space="preserve">, though Chapter 2’s empirical evidence cautions that mass may also proxy for reserve depth and managerial protection rather than for difficulty alone, a tension the causal mechanism must hold open rather than resolve by assumption. The unifying claim is that these covariates do not act on a uniform background rate; they act by raising or lowering the height of a hazard whose location is set by the design-maturity gate structure common to all missions.</w:t>
      </w:r>
    </w:p>
    <w:p>
      <w:pPr>
        <w:pStyle w:val="BodyText"/>
        <w:spacing w:line="480" w:lineRule="auto"/>
        <w:ind w:firstLine="720"/>
      </w:pPr>
      <w:r>
        <w:t xml:space="preserve">This mechanism is the theoretical content that distinguishes H1 from a mere statistical alternative. H1 is not the bare negation of constancy; it is the specific prediction that the hazard rises across the design-maturity interval and falls thereafter, because that is where the development process forces the reconciliation between a baseline forecast and the design that must honor it. A finding of a flat hazard would refute not only the statistical alternative but the gating mechanism itself, and a finding of an interior peak located at the design gates would corroborate the mechanism where an arbitrary non-constant shape would not.</w:t>
      </w:r>
    </w:p>
    <w:bookmarkEnd w:id="89"/>
    <w:bookmarkStart w:id="90" w:name="the-formal-hypotheses"/>
    <w:p>
      <w:pPr>
        <w:pStyle w:val="Heading2"/>
        <w:spacing w:line="480" w:lineRule="auto"/>
      </w:pPr>
      <w:r>
        <w:t xml:space="preserve">3.5 The Formal Hypotheses</w:t>
      </w:r>
    </w:p>
    <w:p>
      <w:pPr>
        <w:pStyle w:val="FirstParagraph"/>
        <w:spacing w:line="480" w:lineRule="auto"/>
      </w:pPr>
      <w:r>
        <w:t xml:space="preserve">The dissertation advances a single falsifiable contribution, a test of the shape of the baseline-breach hazard across the planetary mission development lifecycle. The hypotheses are stated on the hazard function h(t) defined in Section 3.3, with the clock starting at confirmation and the event defined as the first breach of the confirmed baseline before launch.</w:t>
      </w:r>
    </w:p>
    <w:p>
      <w:pPr>
        <w:pStyle w:val="BodyText"/>
        <w:spacing w:line="480" w:lineRule="auto"/>
        <w:ind w:firstLine="720"/>
      </w:pPr>
      <w:r>
        <w:rPr>
          <w:b/>
          <w:bCs/>
        </w:rPr>
        <w:t xml:space="preserve">H0 (null, memoryless).</w:t>
      </w:r>
      <w:r>
        <w:t xml:space="preserve"> </w:t>
      </w:r>
      <w:r>
        <w:t xml:space="preserve">The breach hazard is constant across the development lifecycle, h(t) equal to lambda for all t. Under H0 the rate at which an on-baseline mission breaches its baseline does not depend on how far through development it has progressed. This is the timing assumption implicit in point-estimate-plus-interval practice, expressed as the exponential, constant-hazard model that Section 3.3 showed to be the formal commitment of uniform reserve and review management. H0 is the proposition that the development lifecycle has no phase structure of risk, that the design-maturity gates of Section 3.4 are not occasions of elevated breach rate, and that a confirmation board gains nothing decision-relevant from knowing how far a mission has progressed.</w:t>
      </w:r>
    </w:p>
    <w:p>
      <w:pPr>
        <w:pStyle w:val="BodyText"/>
        <w:spacing w:line="480" w:lineRule="auto"/>
        <w:ind w:firstLine="720"/>
      </w:pPr>
      <w:r>
        <w:rPr>
          <w:b/>
          <w:bCs/>
        </w:rPr>
        <w:t xml:space="preserve">H1 (alternative, phase-dependent).</w:t>
      </w:r>
      <w:r>
        <w:t xml:space="preserve"> </w:t>
      </w:r>
      <w:r>
        <w:t xml:space="preserve">The breach hazard is non-constant and specifically rises at design-maturity gates, with h(t) increasing across the preliminary-to-critical design interval relative to the early and late lifecycle. Under H1 overrun onset is concentrated where requirements meet detailed design, and the hazard curve has an interior peak rather than a flat profile. H1 is the formal expression of the design-maturity gating mechanism: it predicts not merely that the hazard varies but that it varies in the particular shape the mechanism implies, rising into the design gates and declining afterward conditional on survival through them.</w:t>
      </w:r>
    </w:p>
    <w:p>
      <w:pPr>
        <w:pStyle w:val="BodyText"/>
        <w:spacing w:line="480" w:lineRule="auto"/>
        <w:ind w:firstLine="720"/>
      </w:pPr>
      <w:r>
        <w:t xml:space="preserve">The two hypotheses are nested in a single shape parameter, which is what makes the test sharp rather than diffuse. A parametric hazard model whose shape parameter equals one reproduces the constant-hazard null exactly, and a shape parameter greater than one produces a monotonically rising hazard consistent with the leading edge of the H1 prediction. The test of H0 against H1 therefore reduces, in its parametric form, to a test on that one parameter, with the null occupying a single point and the alternative occupying the region in which the hazard rises. This nesting is the formal property that lets the dissertation claim a clean falsification: the central claim of the work is refuted if and only if the fitted shape parameter is statistically indistinguishable from the constant-hazard value, in which case H0 is not rejected and the phase-dependence thesis fails.</w:t>
      </w:r>
    </w:p>
    <w:bookmarkEnd w:id="90"/>
    <w:bookmarkStart w:id="91" w:name="X9ee384b297b47ec9915d0676fd384bad9df4343"/>
    <w:p>
      <w:pPr>
        <w:pStyle w:val="Heading2"/>
        <w:spacing w:line="480" w:lineRule="auto"/>
      </w:pPr>
      <w:r>
        <w:t xml:space="preserve">3.6 The Estimand and the Auxiliary Covariate Proposition</w:t>
      </w:r>
    </w:p>
    <w:p>
      <w:pPr>
        <w:pStyle w:val="FirstParagraph"/>
        <w:spacing w:line="480" w:lineRule="auto"/>
      </w:pPr>
      <w:r>
        <w:t xml:space="preserve">The estimand of the dissertation is the shape of h(t), not its level. The level of the hazard, the overall rate lambda at which missions breach, is a quantity the magnitude tradition already approximates through base rates of overrun; the dissertation’s contribution is orthogonal to it. What the work estimates and tests is whether that rate is flat or rises at the design gates. Fixing the estimand as the shape, and not the level, clarifies that a finding of a high but constant hazard would still refute the central claim, while a finding of a modest but sharply peaked hazard would corroborate it. The decision-relevant object the dissertation delivers is the phase-indexed hazard curve itself, an artifact a review board can read directly to locate where reserve and review intensity should be concentrated, replacing a point estimate of cost with a covariate-conditioned statement of when breach risk is highest.</w:t>
      </w:r>
    </w:p>
    <w:p>
      <w:pPr>
        <w:pStyle w:val="BodyText"/>
        <w:spacing w:line="480" w:lineRule="auto"/>
        <w:ind w:firstLine="720"/>
      </w:pPr>
      <w:r>
        <w:t xml:space="preserve">Identification of this estimand turns on one favorable feature of planetary mission governance. Confirmation is a discrete, dated, documented milestone, so the clock start t equal to zero is unambiguous for every mission in the sample. This removes the left-truncation ambiguity that defeats survival estimation when entry into the risk set is fuzzy, and it is the property that makes the hazard shape recoverable from public records. The launch date supplies the right boundary, and missions reaching launch without a recorded breach are right-censored at launch in the standard survival sense. The central H0-versus-H1 test depends only on this dated confirmation clock and the dated event, both of which are observed for every mission, so the shape test is robust to the covariate and small-sample concerns that attend the auxiliary analysis below.</w:t>
      </w:r>
    </w:p>
    <w:p>
      <w:pPr>
        <w:pStyle w:val="BodyText"/>
        <w:spacing w:line="480" w:lineRule="auto"/>
        <w:ind w:firstLine="720"/>
      </w:pPr>
      <w:r>
        <w:t xml:space="preserve">The hypothesis pair above governs the shape of the baseline hazard and is the dissertation’s single falsifiable contribution. A subordinate proposition concerns the covariates and connects this chapter to the empirical evidence of Chapter 2. The design-maturity mechanism implies that the height of the hazard, though not its location, is shifted by mission characteristics: heritage should lower the hazard through retired interface risk</w:t>
      </w:r>
      <w:r>
        <w:t xml:space="preserve"> </w:t>
      </w:r>
      <w:hyperlink w:anchor="ref-1">
        <w:r>
          <w:rPr>
            <w:rStyle w:val="Hyperlink"/>
          </w:rPr>
          <w:t xml:space="preserve">[1]</w:t>
        </w:r>
      </w:hyperlink>
      <w:r>
        <w:t xml:space="preserve">, instrument complement should raise it through multiplied technical paths</w:t>
      </w:r>
      <w:r>
        <w:t xml:space="preserve"> </w:t>
      </w:r>
      <w:hyperlink w:anchor="ref-2">
        <w:r>
          <w:rPr>
            <w:rStyle w:val="Hyperlink"/>
          </w:rPr>
          <w:t xml:space="preserve">[2]</w:t>
        </w:r>
      </w:hyperlink>
      <w:r>
        <w:t xml:space="preserve">, and mass should raise it insofar as it indexes integration difficulty, though the Chapter 2 evidence that mass may proxy for reserve depth and managerial protection leaves the sign of the mass effect a genuinely open question rather than a settled prediction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This covariate proposition is auxiliary in two senses. It is auxiliary in logic, because the central shape test does not depend on it; a hazard that rises at the design gates corroborates H1 regardless of which covariates shift its height. And it is auxiliary in inferential status, because the covariate coefficients are associational rather than causal: instrument complement and mass are themselves chosen partly in anticipation of cost risk, so their coefficients describe the conditional breach rate of missions built a certain way rather than the effect of building a mission that way</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dissertation therefore advances the covariate analysis as a robustness check on hazard shape and as a bridge to the programmatic interpretation, not as a causal claim about overrun drivers.</w:t>
      </w:r>
    </w:p>
    <w:bookmarkEnd w:id="91"/>
    <w:bookmarkStart w:id="92" w:name="synthesis"/>
    <w:p>
      <w:pPr>
        <w:pStyle w:val="Heading2"/>
        <w:spacing w:line="480" w:lineRule="auto"/>
      </w:pPr>
      <w:r>
        <w:t xml:space="preserve">3.7 Synthesis</w:t>
      </w:r>
    </w:p>
    <w:p>
      <w:pPr>
        <w:pStyle w:val="FirstParagraph"/>
        <w:spacing w:line="480" w:lineRule="auto"/>
      </w:pPr>
      <w:r>
        <w:t xml:space="preserve">The framework of this chapter converts a practitioner’s timing question into a falsifiable scientific claim through a chain of three reframings. The first reframing names the silent assumption of current practice, that overrun is a memoryless magnitude, and shows it to be an untested inheritance of the point-estimate frame rather than a defended position. The second reframing imports survival analysis and locates the question in the hazard function, the conditional rate of first breach among missions still at risk, which is both the object a confirmation board governs and the object the magnitude tradition cannot express. The third reframing supplies the causal mechanism, design-maturity gating, which predicts that the hazard is not flat but rises where the development process forces reconciliation between a baseline forecast and the design that must honor it. From these reframings the chapter derives a hypothesis pair nested in a single shape parameter: H0, the constant, memoryless hazard implicit in uniform reserve management, against H1, the phase-dependent hazard that peaks at the design gates. The estimand is the shape of the hazard, identified by the dated confirmation milestone that fixes an unambiguous clock start for every mission. The contribution is falsifiable in the strict sense the prospectus demands: a fitted shape statistically indistinguishable from constancy refutes the central claim, while a shape that rises into the design-maturity interval corroborates both the statistical alternative and the gating mechanism that motivates it. The chapters that follow operationalize this framework, first non-parametrically to establish the empirical shape without imposing a functional form, then parametrically to test the nested shape parameter, and finally with covariates to examine whether the parametric tradition’s own input variables shift the height of a hazard whose location the gating mechanism predicts.</w:t>
      </w:r>
    </w:p>
    <w:bookmarkEnd w:id="92"/>
    <w:bookmarkEnd w:id="93"/>
    <w:bookmarkStart w:id="110" w:name="chapter-4.-data-and-measurement"/>
    <w:p>
      <w:pPr>
        <w:pStyle w:val="Heading1"/>
        <w:spacing w:line="480" w:lineRule="auto"/>
      </w:pPr>
      <w:r>
        <w:t xml:space="preserve">Chapter 4. Data and Measurement</w:t>
      </w:r>
    </w:p>
    <w:bookmarkStart w:id="94" w:name="overview-and-purpose-of-the-chapter"/>
    <w:p>
      <w:pPr>
        <w:pStyle w:val="Heading2"/>
        <w:spacing w:line="480" w:lineRule="auto"/>
      </w:pPr>
      <w:r>
        <w:t xml:space="preserve">4.1 Overview and Purpose of the Chapter</w:t>
      </w:r>
    </w:p>
    <w:p>
      <w:pPr>
        <w:pStyle w:val="FirstParagraph"/>
        <w:spacing w:line="480" w:lineRule="auto"/>
      </w:pPr>
      <w:r>
        <w:t xml:space="preserve">This chapter specifies the empirical foundation on which the dissertation’s central claim rests. The substantive argument of the work, developed across the prospectus and the two research papers, is that cost-and-schedule overrun in NASA planetary missions is best understood not as a magnitude to be forecast but as a time-to-event process to be modeled, and that the conditional rate of baseline breach, the hazard, is the decision-relevant quantity for a confirmation review board. A survival model of when an overrun first becomes probable can be no stronger than the records from which its clock, its event, and its covariates are constructed. The purpose of this chapter is therefore to expose, in full, the provenance of every quantity that enters the estimators reported later, to define the unit of analysis with the precision the survival structure requires, and to document the rules by which each variable is built from primary records.</w:t>
      </w:r>
    </w:p>
    <w:p>
      <w:pPr>
        <w:pStyle w:val="BodyText"/>
        <w:spacing w:line="480" w:lineRule="auto"/>
        <w:ind w:firstLine="720"/>
      </w:pPr>
      <w:r>
        <w:t xml:space="preserve">The chapter proceeds from the general to the particular. Section 4.2 fixes the unit of analysis and the sample frame, because every measurement decision that follows is conditioned on what counts as one observation. Section 4.3 catalogs the authoritative sources, distinguishing the cost-and-schedule performance record from the mission-parameter record and grading each by the auditability of its provenance. Section 4.4 constructs the time axis: the clock start at confirmation, the right boundary at launch, and the duration variable that the survival estimators consume. Section 4.5 constructs the event: the definition of baseline breach, the treatment of rebaselining, and the censoring rule. Section 4.6 constructs the covariate vector imported from the parametric cost-estimation tradition. Section 4.7 documents data quality, the handling of irreducibly uncertain fields, and the descriptive structure of the realized sample. Section 4.8 closes with the measurement-level threats to validity that bear specifically on construction, as distinct from the inferential threats treated elsewhere.</w:t>
      </w:r>
    </w:p>
    <w:p>
      <w:pPr>
        <w:pStyle w:val="BodyText"/>
        <w:spacing w:line="480" w:lineRule="auto"/>
        <w:ind w:firstLine="720"/>
      </w:pPr>
      <w:r>
        <w:t xml:space="preserve">A consistent discipline governs the entire chapter: no quantity is admitted into the dataset unless its origin can be traced to a NASA-published document, a peer-reviewed validation study, or a public record of established editorial provenance. The methodological literature that motivates the covariate choice, the SEER-H blind-validation study against flown NASA missions</w:t>
      </w:r>
      <w:r>
        <w:t xml:space="preserve"> </w:t>
      </w:r>
      <w:hyperlink w:anchor="ref-1">
        <w:r>
          <w:rPr>
            <w:rStyle w:val="Hyperlink"/>
          </w:rPr>
          <w:t xml:space="preserve">[1]</w:t>
        </w:r>
      </w:hyperlink>
      <w:r>
        <w:t xml:space="preserve"> </w:t>
      </w:r>
      <w:r>
        <w:t xml:space="preserve">and the architecture-economics work that reuses the same parametric input vector</w:t>
      </w:r>
      <w:r>
        <w:t xml:space="preserve"> </w:t>
      </w:r>
      <w:hyperlink w:anchor="ref-2">
        <w:r>
          <w:rPr>
            <w:rStyle w:val="Hyperlink"/>
          </w:rPr>
          <w:t xml:space="preserve">[2]</w:t>
        </w:r>
      </w:hyperlink>
      <w:r>
        <w:t xml:space="preserve">, is treated as the warrant for the covariates rather than as a source of the data themselves. The data are constructible from public reporting, and the chapter is written so that an auditor could reproduce the dataset from the sources named here.</w:t>
      </w:r>
    </w:p>
    <w:bookmarkEnd w:id="94"/>
    <w:bookmarkStart w:id="95" w:name="unit-of-analysis-and-sample-frame"/>
    <w:p>
      <w:pPr>
        <w:pStyle w:val="Heading2"/>
        <w:spacing w:line="480" w:lineRule="auto"/>
      </w:pPr>
      <w:r>
        <w:t xml:space="preserve">4.2 Unit of Analysis and Sample Frame</w:t>
      </w:r>
    </w:p>
    <w:p>
      <w:pPr>
        <w:pStyle w:val="FirstParagraph"/>
        <w:spacing w:line="480" w:lineRule="auto"/>
      </w:pPr>
      <w:r>
        <w:t xml:space="preserve">The unit of analysis is the single planetary mission observed across its development interval, from the confirmation milestone, the authority-to-proceed decision, through launch or termination. This is a mission-level, not a phase-level, unit, and the distinction matters for measurement. Although the dissertation’s framing language describes a phase-indexed hazard, the observational record is one duration and one event indicator per mission; the phase structure enters through the shape of the hazard fitted to the cross-mission distribution of durations, not through a panel of phase-by-phase observations within a single mission. Each mission contributes exactly one row to the analysis dataset. The row carries three things. It holds a duration, an event indicator, and a covariate vector, and these three constructs, defined in Sections 4.4 through 4.6, exhaust the information the survival estimators require.</w:t>
      </w:r>
    </w:p>
    <w:p>
      <w:pPr>
        <w:pStyle w:val="BodyText"/>
        <w:spacing w:line="480" w:lineRule="auto"/>
        <w:ind w:firstLine="720"/>
      </w:pPr>
      <w:r>
        <w:t xml:space="preserve">The choice of the mission development interval as the unit follows directly from the identification strategy. Survival estimation requires an unambiguous entry into the risk set, the moment at which the clock starts and the mission becomes at risk of the event. Planetary mission governance supplies exactly such a moment in the confirmation milestone, which is discrete, dated, and documented for every confirmed mission. This removes the left-truncation ambiguity that defeats survival estimation when entry into the risk set is fuzzy, and it is the reason the unit is anchored at confirmation rather than at an earlier and vaguer concept-study boundary.</w:t>
      </w:r>
    </w:p>
    <w:p>
      <w:pPr>
        <w:pStyle w:val="BodyText"/>
        <w:spacing w:line="480" w:lineRule="auto"/>
        <w:ind w:firstLine="720"/>
      </w:pPr>
      <w:r>
        <w:t xml:space="preserve">The sample frame is the population of confirmed NASA planetary and deep-space science missions that satisfy two inclusion criteria: a documented confirmation milestone, which fixes the clock start, and a documented launch or termination, which fixes the right boundary and supplies the right-censoring structure. Missions that have not reached confirmation are excluded because they have not entered the risk set. Missions that were confirmed but lack a public, datable record of either boundary are excluded because their duration cannot be constructed. The frame is deliberately confined to publicly obtainable records; no proprietary or access-restricted data is admitted, which both protects the auditability of the dataset and bounds its size.</w:t>
      </w:r>
    </w:p>
    <w:p>
      <w:pPr>
        <w:pStyle w:val="BodyText"/>
        <w:spacing w:line="480" w:lineRule="auto"/>
        <w:ind w:firstLine="720"/>
      </w:pPr>
      <w:r>
        <w:t xml:space="preserve">The realized sample is twenty-five missions. The second research paper reports the operational sample as twenty-five NASA planetary and deep-space science missions with a documented confirmation milestone and a documented launch or termination, spanning missions confirmed from 1997 through 2024. The named members of the sample include Mars Science Laboratory, InSight, Mars 2020, Psyche, Europa Clipper, Dragonfly, OSIRIS-REx, Lucy, DART, Juno, MAVEN, and New Horizons, among others. This roster is heterogeneous by design: it mixes flagship-class missions with Discovery-class and competed missions, which is essential because the covariate analysis in the second paper turns on variation in mass, instrument complement, and heritage across mission classes. A frame restricted to a single class would collapse the covariate variation the hazard model is built to exploit.</w:t>
      </w:r>
    </w:p>
    <w:p>
      <w:pPr>
        <w:pStyle w:val="BodyText"/>
        <w:spacing w:line="480" w:lineRule="auto"/>
        <w:ind w:firstLine="720"/>
      </w:pPr>
      <w:r>
        <w:t xml:space="preserve">The modesty of the frame is a structural feature, not an oversight. The eligible population is small. The population of confirmed NASA planetary missions with complete public records is small, and the prospectus identifies small-sample fragility as a first-order threat: a modest sample widens the confidence band on the fitted hazard-shape parameter and weakens the power to reject the constant-hazard null. The measurement response is not to inflate the sample with weakly sourced rows but to hold the inclusion criteria firm and to report the resulting interval estimates honestly, consistent with the confidence-interval discipline of the validated cost-estimation literature</w:t>
      </w:r>
      <w:r>
        <w:t xml:space="preserve"> </w:t>
      </w:r>
      <w:hyperlink w:anchor="ref-1">
        <w:r>
          <w:rPr>
            <w:rStyle w:val="Hyperlink"/>
          </w:rPr>
          <w:t xml:space="preserve">[1]</w:t>
        </w:r>
      </w:hyperlink>
      <w:r>
        <w:t xml:space="preserve">. The unit of analysis is therefore defined to maximize the auditability of each row rather than the count of rows.</w:t>
      </w:r>
    </w:p>
    <w:bookmarkEnd w:id="95"/>
    <w:bookmarkStart w:id="99" w:name="X3ff87ce356e1ef944d4619c8d616db36e9c178e"/>
    <w:p>
      <w:pPr>
        <w:pStyle w:val="Heading2"/>
        <w:spacing w:line="480" w:lineRule="auto"/>
      </w:pPr>
      <w:r>
        <w:t xml:space="preserve">4.3 Authoritative Sources and Their Provenance</w:t>
      </w:r>
    </w:p>
    <w:p>
      <w:pPr>
        <w:pStyle w:val="FirstParagraph"/>
        <w:spacing w:line="480" w:lineRule="auto"/>
      </w:pPr>
      <w:r>
        <w:t xml:space="preserve">The dataset is assembled from two functionally distinct bodies of source material, and the credibility of the analysis depends on keeping them distinct. The first body supplies the cost-and-schedule performance record, from which the duration and the event are built. The second supplies the mission-parameter record, from which the covariate vector is built. Each is graded below by the auditability of its provenance.</w:t>
      </w:r>
    </w:p>
    <w:bookmarkStart w:id="96" w:name="the-cost-and-schedule-performance-record"/>
    <w:p>
      <w:pPr>
        <w:pStyle w:val="Heading3"/>
        <w:spacing w:line="480" w:lineRule="auto"/>
      </w:pPr>
      <w:r>
        <w:t xml:space="preserve">4.3.1 The cost-and-schedule performance record</w:t>
      </w:r>
    </w:p>
    <w:p>
      <w:pPr>
        <w:pStyle w:val="FirstParagraph"/>
        <w:spacing w:line="480" w:lineRule="auto"/>
      </w:pPr>
      <w:r>
        <w:t xml:space="preserve">The primary authoritative source for baseline-and-actual cost and schedule figures is the U.S. Government Accountability Office’s annual</w:t>
      </w:r>
      <w:r>
        <w:t xml:space="preserve"> </w:t>
      </w:r>
      <w:r>
        <w:rPr>
          <w:i/>
          <w:iCs/>
        </w:rPr>
        <w:t xml:space="preserve">Assessments of Major Projects</w:t>
      </w:r>
      <w:r>
        <w:t xml:space="preserve"> </w:t>
      </w:r>
      <w:r>
        <w:t xml:space="preserve">series. The second research paper draws on three editions of this series, GAO-25-107591 of 2025</w:t>
      </w:r>
      <w:r>
        <w:t xml:space="preserve"> </w:t>
      </w:r>
      <w:hyperlink w:anchor="ref-5">
        <w:r>
          <w:rPr>
            <w:rStyle w:val="Hyperlink"/>
          </w:rPr>
          <w:t xml:space="preserve">[5]</w:t>
        </w:r>
      </w:hyperlink>
      <w:r>
        <w:t xml:space="preserve">, GAO-24-106767 of 2024, and GAO-23-106021 of 2023</w:t>
      </w:r>
      <w:r>
        <w:t xml:space="preserve"> </w:t>
      </w:r>
      <w:hyperlink w:anchor="ref-6">
        <w:r>
          <w:rPr>
            <w:rStyle w:val="Hyperlink"/>
          </w:rPr>
          <w:t xml:space="preserve">[6]</w:t>
        </w:r>
      </w:hyperlink>
      <w:r>
        <w:t xml:space="preserve">. These assessments are congressionally mandated, independently produced, and published with stable document identifiers and public URLs, which makes them the highest-provenance source in the dataset. For each major NASA project, the GAO assessments report the confirmed cost and schedule baselines, the realized or current cost and schedule, and the dated milestones at which baselines were established or revised. They are therefore the natural backbone for both the duration variable and the event indicator, because they record, in a single auditable document, the confirmation baseline and its subsequent fate.</w:t>
      </w:r>
    </w:p>
    <w:p>
      <w:pPr>
        <w:pStyle w:val="BodyText"/>
        <w:spacing w:line="480" w:lineRule="auto"/>
        <w:ind w:firstLine="720"/>
      </w:pPr>
      <w:r>
        <w:t xml:space="preserve">The GAO series is supplemented by The Planetary Society’s per-mission cost analyses, which provide independently reconstructed life-cycle cost histories for specific missions, including the analyses of OSIRIS-REx</w:t>
      </w:r>
      <w:r>
        <w:t xml:space="preserve"> </w:t>
      </w:r>
      <w:hyperlink w:anchor="ref-7">
        <w:r>
          <w:rPr>
            <w:rStyle w:val="Hyperlink"/>
          </w:rPr>
          <w:t xml:space="preserve">[7]</w:t>
        </w:r>
      </w:hyperlink>
      <w:r>
        <w:t xml:space="preserve">, Mars InSight</w:t>
      </w:r>
      <w:r>
        <w:t xml:space="preserve"> </w:t>
      </w:r>
      <w:hyperlink w:anchor="ref-8">
        <w:r>
          <w:rPr>
            <w:rStyle w:val="Hyperlink"/>
          </w:rPr>
          <w:t xml:space="preserve">[8]</w:t>
        </w:r>
      </w:hyperlink>
      <w:r>
        <w:t xml:space="preserve">, and the Double Asteroid Redirection Test</w:t>
      </w:r>
      <w:r>
        <w:t xml:space="preserve"> </w:t>
      </w:r>
      <w:hyperlink w:anchor="ref-9">
        <w:r>
          <w:rPr>
            <w:rStyle w:val="Hyperlink"/>
          </w:rPr>
          <w:t xml:space="preserve">[9]</w:t>
        </w:r>
      </w:hyperlink>
      <w:r>
        <w:t xml:space="preserve">. These per-mission studies are valuable because they assemble cost histories that span the full development interval at a granularity the GAO snapshots do not always preserve for older missions, and because they reconcile figures across NASA budget documents. They are treated as a secondary but high-quality source: independently produced, publicly documented, and cross-checkable against the GAO record where the two overlap.</w:t>
      </w:r>
    </w:p>
    <w:p>
      <w:pPr>
        <w:pStyle w:val="BodyText"/>
        <w:spacing w:line="480" w:lineRule="auto"/>
        <w:ind w:firstLine="720"/>
      </w:pPr>
      <w:r>
        <w:t xml:space="preserve">For the largest and most recent missions, where cost growth and rebaselining events occurred close to the present and were reported contemporaneously, the dataset cross-checks the GAO and Planetary Society figures against reporting in the specialist trade press. The second paper names two such cross-checks: SpaceNews reporting on NASA’s confirmation of Dragonfly despite doubled costs</w:t>
      </w:r>
      <w:r>
        <w:t xml:space="preserve"> </w:t>
      </w:r>
      <w:hyperlink w:anchor="ref-10">
        <w:r>
          <w:rPr>
            <w:rStyle w:val="Hyperlink"/>
          </w:rPr>
          <w:t xml:space="preserve">[10]</w:t>
        </w:r>
      </w:hyperlink>
      <w:r>
        <w:t xml:space="preserve">, and SpacePolicyOnline reporting on Europa Clipper cost growth and the Mars Sample Return replan</w:t>
      </w:r>
      <w:r>
        <w:t xml:space="preserve"> </w:t>
      </w:r>
      <w:hyperlink w:anchor="ref-11">
        <w:r>
          <w:rPr>
            <w:rStyle w:val="Hyperlink"/>
          </w:rPr>
          <w:t xml:space="preserve">[11]</w:t>
        </w:r>
      </w:hyperlink>
      <w:r>
        <w:t xml:space="preserve">. These sources are used strictly to corroborate dated breach or rebaseline events for recent flagship missions, not as the primary basis for any figure; their role is to confirm that an event recorded in the dataset corresponds to a publicly reported programmatic fact.</w:t>
      </w:r>
    </w:p>
    <w:bookmarkEnd w:id="96"/>
    <w:bookmarkStart w:id="97" w:name="the-mission-parameter-record"/>
    <w:p>
      <w:pPr>
        <w:pStyle w:val="Heading3"/>
        <w:spacing w:line="480" w:lineRule="auto"/>
      </w:pPr>
      <w:r>
        <w:t xml:space="preserve">4.3.2 The mission-parameter record</w:t>
      </w:r>
    </w:p>
    <w:p>
      <w:pPr>
        <w:pStyle w:val="FirstParagraph"/>
        <w:spacing w:line="480" w:lineRule="auto"/>
      </w:pPr>
      <w:r>
        <w:t xml:space="preserve">The covariate vector is built from a separate body of sources that document the physical and programmatic characteristics of each spacecraft. The second research paper draws the covariate vector, spacecraft launch mass, instrument count, and heritage, from mission press kits, the NASA Space Science Data Coordinated Archive, and eoPortal spacecraft pages. NASA mission press kits are official pre-launch documents that report launch mass and the science instrument complement in a form intended for public dissemination. The NASA Space Science Data Coordinated Archive is the agency’s permanent archive of spacecraft and experiment metadata and provides an authoritative, datable record of mass and instrument inventories. The eoPortal spacecraft pages provide a consolidated secondary record useful for cross-checking the first two.</w:t>
      </w:r>
    </w:p>
    <w:p>
      <w:pPr>
        <w:pStyle w:val="BodyText"/>
        <w:spacing w:line="480" w:lineRule="auto"/>
        <w:ind w:firstLine="720"/>
      </w:pPr>
      <w:r>
        <w:t xml:space="preserve">The choice of these particular parameters is not arbitrary. The theoretical move dictates it. The dissertation keeps the input vector of the parametric cost-estimation tradition but changes the dependent quantity from a cost magnitude to a breach hazard. The SEER-H blind-validation study takes mass, power, instrument complement, and heritage as the input vector against which it is validated on flown NASA missions</w:t>
      </w:r>
      <w:r>
        <w:t xml:space="preserve"> </w:t>
      </w:r>
      <w:hyperlink w:anchor="ref-1">
        <w:r>
          <w:rPr>
            <w:rStyle w:val="Hyperlink"/>
          </w:rPr>
          <w:t xml:space="preserve">[1]</w:t>
        </w:r>
      </w:hyperlink>
      <w:r>
        <w:t xml:space="preserve">, and the architecture-economics literature imports the same class of parametric inputs to price novel mission concepts</w:t>
      </w:r>
      <w:r>
        <w:t xml:space="preserve"> </w:t>
      </w:r>
      <w:hyperlink w:anchor="ref-2">
        <w:r>
          <w:rPr>
            <w:rStyle w:val="Hyperlink"/>
          </w:rPr>
          <w:t xml:space="preserve">[2]</w:t>
        </w:r>
      </w:hyperlink>
      <w:r>
        <w:t xml:space="preserve">. By drawing the covariates from the same parameter classes those tools ingest, the dataset makes the covariate coefficients in the hazard model directly comparable to the cost-driver intuitions of the parametric tradition. The methodological literature thus warrants the covariate selection; the parameter records named above supply the values.</w:t>
      </w:r>
    </w:p>
    <w:bookmarkEnd w:id="97"/>
    <w:bookmarkStart w:id="98" w:name="provenance-grading-and-the-source-field"/>
    <w:p>
      <w:pPr>
        <w:pStyle w:val="Heading3"/>
        <w:spacing w:line="480" w:lineRule="auto"/>
      </w:pPr>
      <w:r>
        <w:t xml:space="preserve">4.3.3 Provenance grading and the source field</w:t>
      </w:r>
    </w:p>
    <w:p>
      <w:pPr>
        <w:pStyle w:val="FirstParagraph"/>
        <w:spacing w:line="480" w:lineRule="auto"/>
      </w:pPr>
      <w:r>
        <w:t xml:space="preserve">Every row in the dataset carries an explicit source field naming the origin of its figures, as the second paper states. This is a deliberate auditability requirement: a reader can, in principle, trace any single cell back to a GAO assessment, a Planetary Society analysis, a press kit, an archive record, or a corroborating trade-press report. The grading is hierarchical. GAO assessments rank first by virtue of independent congressional mandate and stable identifiers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Per-mission cost analyses of established editorial provenance rank second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Official NASA parameter records, press kits and the Space Science Data Coordinated Archive, are authoritative for the covariates. Trade-press reports occupy a corroborating role only</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This grading is what allows the dissertation to claim, as the prospectus does, that every record carries an auditable origin and that the entire dataset is constructible from public NASA reporting and the open methodological literature.</w:t>
      </w:r>
    </w:p>
    <w:bookmarkEnd w:id="98"/>
    <w:bookmarkEnd w:id="99"/>
    <w:bookmarkStart w:id="100" w:name="constructing-the-time-axis"/>
    <w:p>
      <w:pPr>
        <w:pStyle w:val="Heading2"/>
        <w:spacing w:line="480" w:lineRule="auto"/>
      </w:pPr>
      <w:r>
        <w:t xml:space="preserve">4.4 Constructing the Time Axis</w:t>
      </w:r>
    </w:p>
    <w:p>
      <w:pPr>
        <w:pStyle w:val="FirstParagraph"/>
        <w:spacing w:line="480" w:lineRule="auto"/>
      </w:pPr>
      <w:r>
        <w:t xml:space="preserve">The survival estimators consume a single duration per mission, and that duration is the development exposure in months from confirmation to launch, as the second paper specifies. Constructing it requires fixing two dates from primary records and measuring the interval between them.</w:t>
      </w:r>
    </w:p>
    <w:p>
      <w:pPr>
        <w:pStyle w:val="BodyText"/>
        <w:spacing w:line="480" w:lineRule="auto"/>
        <w:ind w:firstLine="720"/>
      </w:pPr>
      <w:r>
        <w:t xml:space="preserve">The clock start, time zero, is the confirmation milestone, the authority-to-proceed decision at which a mission is approved for implementation and a cost and schedule baseline is committed. This milestone is the linchpin of the identification strategy. It is discrete, dated, and documented, and it is reported in the GAO assessments as the point at which the project baseline is established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Anchoring the clock here, rather than at an earlier concept-study boundary, is what removes the left-truncation ambiguity the prospectus identifies as the principal hazard to survival estimation. Because confirmation is a board decision recorded on a specific date, the entry of each mission into the risk set is observed without ambiguity, and the cross-mission clocks are commensurable.</w:t>
      </w:r>
    </w:p>
    <w:p>
      <w:pPr>
        <w:pStyle w:val="BodyText"/>
        <w:spacing w:line="480" w:lineRule="auto"/>
        <w:ind w:firstLine="720"/>
      </w:pPr>
      <w:r>
        <w:t xml:space="preserve">The right boundary is the launch date for missions that launched, and the termination date for missions that were terminated before launch. The launch date is a public, unambiguous fact for every flown mission in the sample, drawn from the same NASA and trade-press records used elsewhere. The duration variable is then the elapsed time, expressed in months, from the confirmation date to this right boundary. The second paper’s descriptive statistics confirm that this construction yields interpretable values: missions that breached their baseline have a longer median development exposure, fifty-three months, against forty months for censored missions, a pattern consistent with breach risk accumulating over a longer at-risk interval.</w:t>
      </w:r>
    </w:p>
    <w:p>
      <w:pPr>
        <w:pStyle w:val="BodyText"/>
        <w:spacing w:line="480" w:lineRule="auto"/>
        <w:ind w:firstLine="720"/>
      </w:pPr>
      <w:r>
        <w:t xml:space="preserve">The decision to measure duration in months rather than days reflects the granularity of the underlying milestone records. Confirmation decisions and launches are reliably datable to the month across the full 1997 through 2024 span of the sample, whereas day-level precision is neither uniformly available for older missions nor material to a hazard estimated over development intervals measured in years. Monthly resolution is therefore the conservative and uniform choice, applied identically to every mission so that no cross-mission distortion is introduced by mixed granularity.</w:t>
      </w:r>
    </w:p>
    <w:bookmarkEnd w:id="100"/>
    <w:bookmarkStart w:id="105" w:name="constructing-the-event"/>
    <w:p>
      <w:pPr>
        <w:pStyle w:val="Heading2"/>
        <w:spacing w:line="480" w:lineRule="auto"/>
      </w:pPr>
      <w:r>
        <w:t xml:space="preserve">4.5 Constructing the Event</w:t>
      </w:r>
    </w:p>
    <w:p>
      <w:pPr>
        <w:pStyle w:val="FirstParagraph"/>
        <w:spacing w:line="480" w:lineRule="auto"/>
      </w:pPr>
      <w:r>
        <w:t xml:space="preserve">The event is the first breach of the confirmed cost or schedule baseline before launch. Its construction is the most consequential measurement decision in the dissertation, because the entire inferential apparatus rests on observing event times correctly, and because the definition of the event determines how rebaselining is handled.</w:t>
      </w:r>
    </w:p>
    <w:bookmarkStart w:id="101" w:name="the-breach-definition"/>
    <w:p>
      <w:pPr>
        <w:pStyle w:val="Heading3"/>
        <w:spacing w:line="480" w:lineRule="auto"/>
      </w:pPr>
      <w:r>
        <w:t xml:space="preserve">4.5.1 The breach definition</w:t>
      </w:r>
    </w:p>
    <w:p>
      <w:pPr>
        <w:pStyle w:val="FirstParagraph"/>
        <w:spacing w:line="480" w:lineRule="auto"/>
      </w:pPr>
      <w:r>
        <w:t xml:space="preserve">A mission’s event indicator is set to one when the mission breached its confirmed cost or schedule baseline before launch, evidenced by a recorded overrun or formal rebaseline, and to zero when the mission reached launch on baseline, as the second paper states. The breach is defined against the confirmation baseline specifically, the cost and schedule figures committed at the authority-to-proceed milestone, not against any later or interim figure. This anchoring is essential: it makes the event the first loss of the baseline that the confirmation board actually approved, which is the quantity a board cares about when it asks where to concentrate reserve and review intensity.</w:t>
      </w:r>
    </w:p>
    <w:p>
      <w:pPr>
        <w:pStyle w:val="BodyText"/>
        <w:spacing w:line="480" w:lineRule="auto"/>
        <w:ind w:firstLine="720"/>
      </w:pPr>
      <w:r>
        <w:t xml:space="preserve">The evidentiary basis for setting the indicator is the cost-and-schedule performance record described in Section 4.3.1. A recorded overrun appears in the GAO assessments as realized cost or schedule exceeding the confirmation baseline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or in a per-mission cost analysis as a documented increase over the baseline figure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 formal rebaseline appears as an agency decision to reset the committed baseline, which is itself reported in the GAO series and, for recent flagship missions, in the corroborating trade press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Either form of evidence sets the indicator to one. The disjunction of cost and schedule in the definition means that a breach of either dimension constitutes the event; a mission need not overrun both cost and schedule to register a breach.</w:t>
      </w:r>
    </w:p>
    <w:bookmarkEnd w:id="101"/>
    <w:bookmarkStart w:id="102" w:name="rebaselining-as-the-event-not-as-renewal"/>
    <w:p>
      <w:pPr>
        <w:pStyle w:val="Heading3"/>
        <w:spacing w:line="480" w:lineRule="auto"/>
      </w:pPr>
      <w:r>
        <w:t xml:space="preserve">4.5.2 Rebaselining as the event, not as renewal</w:t>
      </w:r>
    </w:p>
    <w:p>
      <w:pPr>
        <w:pStyle w:val="FirstParagraph"/>
        <w:spacing w:line="480" w:lineRule="auto"/>
      </w:pPr>
      <w:r>
        <w:t xml:space="preserve">A central measurement rule, stated in the prospectus as a defense against the competing-risk threat, governs the treatment of rebaselining. A mission that is formally rebaselined resets its baseline, and treating the post-rebaseline interval as continued survival against the original baseline would understate the hazard, because the mission would appear to survive against a baseline it has in fact already lost. The dissertation forecloses this by defining the event strictly as the first breach of the confirmation baseline and by treating rebaselining as the event itself, not as a renewal of survival. Once a mission rebaselines, it has experienced the event; the survival clock does not restart against the new baseline. This rule is what allows the event to be measured cleanly against a single, fixed reference, and it is the reason the dataset’s event indicator is a first-passage indicator rather than a recurrent-event count.</w:t>
      </w:r>
    </w:p>
    <w:bookmarkEnd w:id="102"/>
    <w:bookmarkStart w:id="103" w:name="the-censoring-rule"/>
    <w:p>
      <w:pPr>
        <w:pStyle w:val="Heading3"/>
        <w:spacing w:line="480" w:lineRule="auto"/>
      </w:pPr>
      <w:r>
        <w:t xml:space="preserve">4.5.3 The censoring rule</w:t>
      </w:r>
    </w:p>
    <w:p>
      <w:pPr>
        <w:pStyle w:val="FirstParagraph"/>
        <w:spacing w:line="480" w:lineRule="auto"/>
      </w:pPr>
      <w:r>
        <w:t xml:space="preserve">Missions that reach launch without a recorded baseline breach are right-censored at launch. They contribute exposure to the analysis without contributing an event, in the standard survival sense: their full development interval informs the denominator of the hazard at every phase they survive through, but they are not credited with a breach. This is the mechanism by which on-baseline missions inform the hazard estimate, and it is handled by the Cox partial-likelihood estimator in the conventional way, crediting censored missions with exposure up to launch without an event.</w:t>
      </w:r>
    </w:p>
    <w:p>
      <w:pPr>
        <w:pStyle w:val="BodyText"/>
        <w:spacing w:line="480" w:lineRule="auto"/>
        <w:ind w:firstLine="720"/>
      </w:pPr>
      <w:r>
        <w:t xml:space="preserve">The realized event structure of the sample is reported in the second paper: of the twenty-five missions, fourteen experienced a recorded baseline breach and eleven reached launch on baseline. Fourteen events against eleven censored observations is a favorable ratio for survival estimation on a small sample, because the number of events, not the raw sample size, governs the precision of the Cox coefficients. The second paper accordingly reports its estimates on a sample of twenty-five missions with fourteen events, and the partial log-likelihood of the fitted model, negative twenty-six point six, reflects this event count.</w:t>
      </w:r>
    </w:p>
    <w:bookmarkEnd w:id="103"/>
    <w:bookmarkStart w:id="104" w:name="X92b472b6415bbad9b10ac5dd16ee829b0508f48"/>
    <w:p>
      <w:pPr>
        <w:pStyle w:val="Heading3"/>
        <w:spacing w:line="480" w:lineRule="auto"/>
      </w:pPr>
      <w:r>
        <w:t xml:space="preserve">4.5.4 Alternative event definitions for sensitivity</w:t>
      </w:r>
    </w:p>
    <w:p>
      <w:pPr>
        <w:pStyle w:val="FirstParagraph"/>
        <w:spacing w:line="480" w:lineRule="auto"/>
      </w:pPr>
      <w:r>
        <w:t xml:space="preserve">The prospectus identifies measurement of the event time as a distinct threat: the phase at which a breach first becomes recordable may lag the phase at which it first became probable, which would bias any phase-located hazard peak later than its true location. The measurement response is to admit two alternative event definitions for sensitivity analysis, the first recorded breach and the first detectable budget-pressure signal, and to estimate under both. The first recorded breach is the primary definition used to build the event indicator described above. The first detectable budget-pressure signal is an earlier, softer marker that flags the onset of cost pressure before it crystallizes into a recorded overrun or formal rebaseline. Estimating the hazard under both definitions bounds the timing bias rather than assuming it away. The second paper notes that the covariate hazard ratios it reports are not sensitive to this timing bias, while a phase-indexed extension would be, which is precisely why the alternative definition is retained for the survival-shape analysis even though it does not disturb the covariate findings.</w:t>
      </w:r>
    </w:p>
    <w:bookmarkEnd w:id="104"/>
    <w:bookmarkEnd w:id="105"/>
    <w:bookmarkStart w:id="106" w:name="constructing-the-covariate-vector"/>
    <w:p>
      <w:pPr>
        <w:pStyle w:val="Heading2"/>
        <w:spacing w:line="480" w:lineRule="auto"/>
      </w:pPr>
      <w:r>
        <w:t xml:space="preserve">4.6 Constructing the Covariate Vector</w:t>
      </w:r>
    </w:p>
    <w:p>
      <w:pPr>
        <w:pStyle w:val="FirstParagraph"/>
        <w:spacing w:line="480" w:lineRule="auto"/>
      </w:pPr>
      <w:r>
        <w:t xml:space="preserve">The covariate vector consists of three mission-level variables imported from the parametric cost-estimation tradition, each constructed from the mission-parameter record of Section 4.3.2.</w:t>
      </w:r>
    </w:p>
    <w:p>
      <w:pPr>
        <w:pStyle w:val="BodyText"/>
        <w:spacing w:line="480" w:lineRule="auto"/>
        <w:ind w:firstLine="720"/>
      </w:pPr>
      <w:r>
        <w:t xml:space="preserve">The first covariate is spacecraft launch mass, expressed in metric tons, as the second paper’s method section specifies. Launch mass is read from mission press kits and the NASA Space Science Data Coordinated Archive and cross-checked against eoPortal. It is the parametric tradition’s leading cost driver, the variable SEER-H and its peers treat as a primary index of vehicle scale and development difficulty</w:t>
      </w:r>
      <w:r>
        <w:t xml:space="preserve"> </w:t>
      </w:r>
      <w:hyperlink w:anchor="ref-1">
        <w:r>
          <w:rPr>
            <w:rStyle w:val="Hyperlink"/>
          </w:rPr>
          <w:t xml:space="preserve">[1]</w:t>
        </w:r>
      </w:hyperlink>
      <w:r>
        <w:t xml:space="preserve">, and it is therefore the first covariate whose sign in a hazard model is theoretically interesting. The naive expectation imported from the cost-estimation literature is that greater mass, indexing a larger and more tightly integrated vehicle, raises the breach hazard</w:t>
      </w:r>
      <w:r>
        <w:t xml:space="preserve"> </w:t>
      </w:r>
      <w:hyperlink w:anchor="ref-1">
        <w:r>
          <w:rPr>
            <w:rStyle w:val="Hyperlink"/>
          </w:rPr>
          <w:t xml:space="preserve">[1]</w:t>
        </w:r>
      </w:hyperlink>
      <w:r>
        <w:t xml:space="preserve">.</w:t>
      </w:r>
    </w:p>
    <w:p>
      <w:pPr>
        <w:pStyle w:val="BodyText"/>
        <w:spacing w:line="480" w:lineRule="auto"/>
        <w:ind w:firstLine="720"/>
      </w:pPr>
      <w:r>
        <w:t xml:space="preserve">The second covariate is instrument count, the number of science instruments in the payload complement. It is constructed by enumerating the science instruments listed in the mission press kit and the Space Science Data Coordinated Archive payload record. The theoretical warrant is that a larger instrument complement multiplies the interfaces, integration steps, and independent technical paths that can each precipitate a baseline breach, so instrument count is hypothesized to raise the hazard</w:t>
      </w:r>
      <w:r>
        <w:t xml:space="preserve"> </w:t>
      </w:r>
      <w:hyperlink w:anchor="ref-2">
        <w:r>
          <w:rPr>
            <w:rStyle w:val="Hyperlink"/>
          </w:rPr>
          <w:t xml:space="preserve">[2]</w:t>
        </w:r>
      </w:hyperlink>
      <w:r>
        <w:t xml:space="preserve">. The construction is a simple count of distinct science instruments, which keeps the variable auditable against the primary payload records and avoids any subjective weighting of instrument complexity.</w:t>
      </w:r>
    </w:p>
    <w:p>
      <w:pPr>
        <w:pStyle w:val="BodyText"/>
        <w:spacing w:line="480" w:lineRule="auto"/>
        <w:ind w:firstLine="720"/>
      </w:pPr>
      <w:r>
        <w:t xml:space="preserve">The third covariate is a binary heritage indicator, set to distinguish missions that reuse a flown bus or a mature design lineage from clean-sheet designs. Heritage is the one covariate constructed as a binary classification rather than a measured quantity, and its construction rests on whether the spacecraft inherits a validated bus or lineage from a prior flown mission. The theoretical expectation runs opposite to the complexity variables: a mission reusing a flown bus inherits validated interfaces and retired risk, which should lower the breach hazard relative to a clean-sheet design</w:t>
      </w:r>
      <w:r>
        <w:t xml:space="preserve"> </w:t>
      </w:r>
      <w:hyperlink w:anchor="ref-1">
        <w:r>
          <w:rPr>
            <w:rStyle w:val="Hyperlink"/>
          </w:rPr>
          <w:t xml:space="preserve">[1]</w:t>
        </w:r>
      </w:hyperlink>
      <w:r>
        <w:t xml:space="preserve">. The second paper’s descriptive evidence previews this direction: missions with substantial design heritage breached at a markedly lower rate, forty-one point seven percent, than clean-sheet missions at sixty-nine point two percent. This descriptive split is itself a partial validation of the heritage construction, because it shows the binary indicator separating the sample into groups with materially different empirical breach rates before any model is fit.</w:t>
      </w:r>
    </w:p>
    <w:p>
      <w:pPr>
        <w:pStyle w:val="BodyText"/>
        <w:spacing w:line="480" w:lineRule="auto"/>
        <w:ind w:firstLine="720"/>
      </w:pPr>
      <w:r>
        <w:t xml:space="preserve">The covariates are treated as associational, not causal, throughout the dissertation, and this disposition is a measurement-level commitment as much as an inferential one. Parametric covariates such as instrument complement are themselves chosen partly in anticipation of cost risk, so their values are endogenous to the very risk the model estimates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dataset therefore records the covariates as observed mission characteristics, and the dissertation presents the covariate model as a robustness check on hazard shape rather than as a causal account of overrun drivers.</w:t>
      </w:r>
    </w:p>
    <w:bookmarkEnd w:id="106"/>
    <w:bookmarkStart w:id="107" w:name="X5e17deb1f86d7fe25502b14e3deef23c06ffeeb"/>
    <w:p>
      <w:pPr>
        <w:pStyle w:val="Heading2"/>
        <w:spacing w:line="480" w:lineRule="auto"/>
      </w:pPr>
      <w:r>
        <w:t xml:space="preserve">4.7 Data Quality, Missingness, and Descriptive Structure</w:t>
      </w:r>
    </w:p>
    <w:p>
      <w:pPr>
        <w:pStyle w:val="FirstParagraph"/>
        <w:spacing w:line="480" w:lineRule="auto"/>
      </w:pPr>
      <w:r>
        <w:t xml:space="preserve">The dataset’s quality discipline is built around three commitments: an explicit source field on every row, a transparent marking of any field that could not be sourced to a precise public figure, and the protection of the event indicator from any such uncertainty.</w:t>
      </w:r>
    </w:p>
    <w:p>
      <w:pPr>
        <w:pStyle w:val="BodyText"/>
        <w:spacing w:line="480" w:lineRule="auto"/>
        <w:ind w:firstLine="720"/>
      </w:pPr>
      <w:r>
        <w:t xml:space="preserve">The second paper states the missingness structure precisely. Three of the twenty-five rows carry an illustrative marking on a single field where a precise public figure was not obtainable; these markings affect under thirteen percent of rows and never affect the event indicator, which is observed for every mission. Two features of this statement matter for the integrity of the analysis. First, the uncertainty is confined to single fields on three rows, not to whole observations, so no mission is admitted to the sample on wholly weak evidence. Second, and decisively, the event indicator, the quantity on which the survival inference depends, is observed for every mission without exception. The marked fields are covariate cells, where an imprecise value attenuates a coefficient but does not corrupt the event structure. The hazard-shape inference, which the prospectus emphasizes depends only on the dated confirmation clock and the dated event, is therefore untouched by the marked fields.</w:t>
      </w:r>
    </w:p>
    <w:p>
      <w:pPr>
        <w:pStyle w:val="BodyText"/>
        <w:spacing w:line="480" w:lineRule="auto"/>
        <w:ind w:firstLine="720"/>
      </w:pPr>
      <w:r>
        <w:t xml:space="preserve">The descriptive structure of the realized sample, reported in the second paper before any estimation, both validates the constructions of the preceding sections and motivates the model. Two patterns are reported. The first is the duration contrast: breaching missions have a longer median development exposure, fifty-three months, than censored missions at forty months, consistent with breach risk accumulating over a longer at-risk interval. This is the expected signature of a survival process and confirms that the duration variable, constructed in Section 4.4, carries the temporal signal the model is built to read. The second is the heritage contrast already noted: a forty-one point seven percent breach rate among heritage missions against sixty-nine point two percent among clean-sheet missions, which previews the protective direction hypothesized for the heritage covariate and validates the binary heritage construction of Section 4.6. That these descriptive patterns appear before estimation is itself evidence that the measurement constructs are capturing real structure rather than noise.</w:t>
      </w:r>
    </w:p>
    <w:bookmarkEnd w:id="107"/>
    <w:bookmarkStart w:id="108" w:name="measurement-level-threats-to-validity"/>
    <w:p>
      <w:pPr>
        <w:pStyle w:val="Heading2"/>
        <w:spacing w:line="480" w:lineRule="auto"/>
      </w:pPr>
      <w:r>
        <w:t xml:space="preserve">4.8 Measurement-Level Threats to Validity</w:t>
      </w:r>
    </w:p>
    <w:p>
      <w:pPr>
        <w:pStyle w:val="FirstParagraph"/>
        <w:spacing w:line="480" w:lineRule="auto"/>
      </w:pPr>
      <w:r>
        <w:t xml:space="preserve">The threats to validity treated in the prospectus and the second paper divide into inferential threats, which bear on the model’s conclusions, and measurement threats, which bear on the construction of the data. This section isolates the latter, because they are the threats this chapter is responsible for addressing.</w:t>
      </w:r>
    </w:p>
    <w:p>
      <w:pPr>
        <w:pStyle w:val="BodyText"/>
        <w:spacing w:line="480" w:lineRule="auto"/>
        <w:ind w:firstLine="720"/>
      </w:pPr>
      <w:r>
        <w:t xml:space="preserve">The first measurement threat is the timing of event recordability, treated in Section 4.5.4. The phase at which a breach becomes recordable may lag the phase at which it became probable, biasing a phase-located hazard peak later than its true onset. The construction-level defense is the dual event definition, the first recorded breach and the first detectable budget-pressure signal, which bounds the bias by estimating under both markers rather than committing to the later one alone.</w:t>
      </w:r>
    </w:p>
    <w:p>
      <w:pPr>
        <w:pStyle w:val="BodyText"/>
        <w:spacing w:line="480" w:lineRule="auto"/>
        <w:ind w:firstLine="720"/>
      </w:pPr>
      <w:r>
        <w:t xml:space="preserve">The second measurement threat is competing risk from rebaselining, treated in Section 4.5.2. The defense is definitional: rebaselining is coded as the event itself, not as a renewal of survival, so the event indicator measures first passage against the confirmation baseline rather than continued survival against a baseline already lost.</w:t>
      </w:r>
    </w:p>
    <w:p>
      <w:pPr>
        <w:pStyle w:val="BodyText"/>
        <w:spacing w:line="480" w:lineRule="auto"/>
        <w:ind w:firstLine="720"/>
      </w:pPr>
      <w:r>
        <w:t xml:space="preserve">The third measurement threat is covariate endogeneity, treated in Section 4.6. Parametric covariates are chosen partly in anticipation of cost risk, so their measured values are not exogenous to the outcome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construction-level disposition is to record the covariates as observed characteristics and to present the covariate model as a robustness check on hazard shape, with no causal weight placed on the coefficients.</w:t>
      </w:r>
    </w:p>
    <w:p>
      <w:pPr>
        <w:pStyle w:val="BodyText"/>
        <w:spacing w:line="480" w:lineRule="auto"/>
        <w:ind w:firstLine="720"/>
      </w:pPr>
      <w:r>
        <w:t xml:space="preserve">The fourth measurement threat is small-sample fragility, treated in Section 4.2. A modest frame widens the confidence band on every estimated parameter. The construction-level response is to hold the inclusion criteria firm rather than to dilute the sample with weakly sourced rows, and to report the resulting intervals honestly in the confidence-interval idiom of the validated cost-estimation literature</w:t>
      </w:r>
      <w:r>
        <w:t xml:space="preserve"> </w:t>
      </w:r>
      <w:hyperlink w:anchor="ref-1">
        <w:r>
          <w:rPr>
            <w:rStyle w:val="Hyperlink"/>
          </w:rPr>
          <w:t xml:space="preserve">[1]</w:t>
        </w:r>
      </w:hyperlink>
      <w:r>
        <w:t xml:space="preserve">.</w:t>
      </w:r>
    </w:p>
    <w:p>
      <w:pPr>
        <w:pStyle w:val="BodyText"/>
        <w:spacing w:line="480" w:lineRule="auto"/>
        <w:ind w:firstLine="720"/>
      </w:pPr>
      <w:r>
        <w:t xml:space="preserve">None of these measurement threats bears on the central hazard-constancy test that the dissertation advances as its falsifiable contribution. As the prospectus states, that test depends only on the dated confirmation clock and the dated event, both of which are observed for every mission in the sample. The confirmation clock is fixed by a board decision recorded to the month, and the event is observed without exception across all twenty-five missions. The marked covariate fields, the endogeneity of the parametric variables, and the timing softness of the recordability marker all attenuate or qualify the covariate findings without disturbing the time axis and the event structure on which the core inference rests. This is the sense in which the dataset is fit for its purpose: the constructions most central to the falsifiable claim are also the constructions least exposed to measurement error, because confirmation and breach are both dated, documented, public facts.</w:t>
      </w:r>
    </w:p>
    <w:bookmarkEnd w:id="108"/>
    <w:bookmarkStart w:id="109" w:name="summary"/>
    <w:p>
      <w:pPr>
        <w:pStyle w:val="Heading2"/>
        <w:spacing w:line="480" w:lineRule="auto"/>
      </w:pPr>
      <w:r>
        <w:t xml:space="preserve">4.9 Summary</w:t>
      </w:r>
    </w:p>
    <w:p>
      <w:pPr>
        <w:pStyle w:val="FirstParagraph"/>
        <w:spacing w:line="480" w:lineRule="auto"/>
      </w:pPr>
      <w:r>
        <w:t xml:space="preserve">The dataset is one row per confirmed NASA planetary or deep-space mission, twenty-five rows in the realized sample, each carrying a duration, an event indicator, and a three-element covariate vector. The duration runs in months from the dated confirmation milestone to launch or termination. The event is the first breach of the confirmation cost or schedule baseline, with rebaselining coded as the event and on-baseline launches right-censored, yielding fourteen events and eleven censored observations. The covariates, launch mass in metric tons, instrument count, and a binary heritage indicator, are imported from the parametric cost-estimation tradition and built from official NASA parameter records. The cost-and-schedule record is anchored on the GAO</w:t>
      </w:r>
      <w:r>
        <w:t xml:space="preserve"> </w:t>
      </w:r>
      <w:r>
        <w:rPr>
          <w:i/>
          <w:iCs/>
        </w:rPr>
        <w:t xml:space="preserve">Assessments of Major Projects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supplemented by The Planetary Society per-mission analyses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and corroborated for recent flagships by the specialist trade press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Every figure traces to a public source recorded in an explicit per-row source field, missingness is confined to under thirteen percent of rows on single covariate fields and never touches the event indicator, and the constructs most central to the falsifiable hazard-constancy test, the confirmation clock and the breach event, are the ones least exposed to measurement error. The chapters that follow estimate the survival and hazard structure on exactly this dataset.</w:t>
      </w:r>
    </w:p>
    <w:bookmarkEnd w:id="109"/>
    <w:bookmarkEnd w:id="110"/>
    <w:bookmarkStart w:id="120" w:name="chapter-5.-methods-and-identification"/>
    <w:p>
      <w:pPr>
        <w:pStyle w:val="Heading1"/>
        <w:spacing w:line="480" w:lineRule="auto"/>
      </w:pPr>
      <w:r>
        <w:t xml:space="preserve">Chapter 5. Methods and Identification</w:t>
      </w:r>
    </w:p>
    <w:bookmarkStart w:id="111" w:name="overview"/>
    <w:p>
      <w:pPr>
        <w:pStyle w:val="Heading2"/>
        <w:spacing w:line="480" w:lineRule="auto"/>
      </w:pPr>
      <w:r>
        <w:t xml:space="preserve">5.1 Overview</w:t>
      </w:r>
    </w:p>
    <w:p>
      <w:pPr>
        <w:pStyle w:val="FirstParagraph"/>
        <w:spacing w:line="480" w:lineRule="auto"/>
      </w:pPr>
      <w:r>
        <w:t xml:space="preserve">This chapter specifies the estimators that carry the empirical weight of the dissertation, states the identification strategy that licenses their interpretation, and enumerates the threats to that interpretation together with the bound placed on each. The organizing decision is taken once and held throughout: baseline breach is treated as a time-to-event process rather than as a cost magnitude, and the apparatus that follows is the standard apparatus of survival analysis, adapted to the governance structure of NASA planetary missions. The reframing is not cosmetic. Point-estimate cost practice forecasts a scalar and bounds it with a confidence interval. That answers how much a mission will overrun but says nothing about when, during development, the overrun first becomes probable</w:t>
      </w:r>
      <w:r>
        <w:t xml:space="preserve"> </w:t>
      </w:r>
      <w:hyperlink w:anchor="ref-1">
        <w:r>
          <w:rPr>
            <w:rStyle w:val="Hyperlink"/>
          </w:rPr>
          <w:t xml:space="preserve">[1]</w:t>
        </w:r>
      </w:hyperlink>
      <w:r>
        <w:t xml:space="preserve">. The survival formulation makes the timing question primary and recovers the magnitude question only as a secondary covariate adjustment. Everything in this chapter exists to make that reframing defensible.</w:t>
      </w:r>
    </w:p>
    <w:p>
      <w:pPr>
        <w:pStyle w:val="BodyText"/>
        <w:spacing w:line="480" w:lineRule="auto"/>
        <w:ind w:firstLine="720"/>
      </w:pPr>
      <w:r>
        <w:t xml:space="preserve">The chapter is built around three estimators of increasing structure. A non-parametric Kaplan-Meier estimator establishes the empirical shape of survival without imposing a functional form. A parametric Weibull model nests the central hypothesis pair in a single shape parameter and delivers the falsifiable test of hazard constancy. A semi-parametric Cox proportional-hazards model carries mission-level covariates drawn from the parametric cost-estimation tradition and confirms that the hazard-shape finding is not an artifact of compositional differences across missions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three are complementary rather than redundant. The first describes. The second tests the shape claim, and the third tests whether that claim survives adjustment for who the missions are.</w:t>
      </w:r>
    </w:p>
    <w:bookmarkEnd w:id="111"/>
    <w:bookmarkStart w:id="112" w:name="Xda1f88c51e84e8f6caa3570491dba441f905986"/>
    <w:p>
      <w:pPr>
        <w:pStyle w:val="Heading2"/>
        <w:spacing w:line="480" w:lineRule="auto"/>
      </w:pPr>
      <w:r>
        <w:t xml:space="preserve">5.2 The Estimand and the Quantity of Interest</w:t>
      </w:r>
    </w:p>
    <w:p>
      <w:pPr>
        <w:pStyle w:val="FirstParagraph"/>
        <w:spacing w:line="480" w:lineRule="auto"/>
      </w:pPr>
      <w:r>
        <w:t xml:space="preserve">The object of inference is the hazard function for first baseline breach across the planetary mission development lifecycle. Let the clock start at confirmation, the authority-to-proceed milestone, so that development time t is measured forward from a dated, documented event common to every mission in the sample. Let the event of interest be the first breach of the confirmed cost or schedule baseline before launch. Define the hazard h(t) as the instantaneous rate of first breach at development phase t, conditional on the mission having reached phase t without a prior breach. The survival function S(t) is the probability that a mission has not yet breached its baseline by phase t, and it is related to the hazard through the cumulative hazard in the usual way, with S(t) equal to the exponential of the negated integral of h over the interval from zero to t.</w:t>
      </w:r>
    </w:p>
    <w:p>
      <w:pPr>
        <w:pStyle w:val="BodyText"/>
        <w:spacing w:line="480" w:lineRule="auto"/>
        <w:ind w:firstLine="720"/>
      </w:pPr>
      <w:r>
        <w:t xml:space="preserve">The estimand is the shape of h(t), not its level at any single point and not the total cost the mission ultimately reaches. This is a deliberate narrowing. A confirmation review board allocates management reserve and review intensity across the development calendar, and the decision-relevant object is therefore the conditional rate at which an on-baseline mission loses its baseline as a function of how far through development it has progressed</w:t>
      </w:r>
      <w:r>
        <w:t xml:space="preserve"> </w:t>
      </w:r>
      <w:hyperlink w:anchor="ref-1">
        <w:r>
          <w:rPr>
            <w:rStyle w:val="Hyperlink"/>
          </w:rPr>
          <w:t xml:space="preserve">[1]</w:t>
        </w:r>
      </w:hyperlink>
      <w:r>
        <w:t xml:space="preserve">. A flat hazard would imply that reserve and review should be spread evenly; a hazard with an interior peak would imply that they should be concentrated where the peak sits. The quantity of interest is thus a phase-indexed curve a board can read directly, and the estimators are chosen for their capacity to recover that curve and to test its shape.</w:t>
      </w:r>
    </w:p>
    <w:bookmarkEnd w:id="112"/>
    <w:bookmarkStart w:id="113" w:name="X4a5ddb20a43cbd7867dd590af16975769c816bb"/>
    <w:p>
      <w:pPr>
        <w:pStyle w:val="Heading2"/>
        <w:spacing w:line="480" w:lineRule="auto"/>
      </w:pPr>
      <w:r>
        <w:t xml:space="preserve">5.3 The Hypothesis Pair as a Parameter Restriction</w:t>
      </w:r>
    </w:p>
    <w:p>
      <w:pPr>
        <w:pStyle w:val="FirstParagraph"/>
        <w:spacing w:line="480" w:lineRule="auto"/>
      </w:pPr>
      <w:r>
        <w:t xml:space="preserve">The single falsifiable contribution reduces to a restriction on one parameter. Under the null, the breach hazard is constant across the lifecycle, h(t) equal to a fixed rate lambda, which is the memoryless assumption implicit in point-estimate-plus-interval practice: the rate at which an on-baseline mission breaches does not depend on how far through development it has progressed. Under the alternative, the hazard is non-constant and rises across the design-maturity interval, so that overrun onset is concentrated where requirements meet detailed design and the curve has an interior peak rather than a flat profile. The estimators are selected precisely because they render this contrast as a test on a single quantity. In the Weibull, the contrast is a test on the shape parameter; in the Cox covariate model of the companion empirical paper, the analogous contrast is a test on the covariate coefficients that would shift the hazard if mission composition rather than lifecycle phase were driving the result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Framing the hypothesis as a parameter restriction is what makes the contribution falsifiable in the strict sense: a fitted shape statistically indistinguishable from the constant-hazard case fails to reject the null and refutes the central claim.</w:t>
      </w:r>
    </w:p>
    <w:bookmarkEnd w:id="113"/>
    <w:bookmarkStart w:id="114" w:name="X8c017ec03148cf7f02e75867d2bf43b57857efb"/>
    <w:p>
      <w:pPr>
        <w:pStyle w:val="Heading2"/>
        <w:spacing w:line="480" w:lineRule="auto"/>
      </w:pPr>
      <w:r>
        <w:t xml:space="preserve">5.4 Estimator One: The Kaplan-Meier Survival Function</w:t>
      </w:r>
    </w:p>
    <w:p>
      <w:pPr>
        <w:pStyle w:val="FirstParagraph"/>
        <w:spacing w:line="480" w:lineRule="auto"/>
      </w:pPr>
      <w:r>
        <w:t xml:space="preserve">The first estimator is the non-parametric Kaplan-Meier product-limit estimate of S(t). It is the appropriate point of departure because it imposes no functional form on either the survival curve or the hazard, and it therefore lets the data speak about shape before any parametric commitment is made. The estimator partitions the development calendar at the observed event times, and at each event time it multiplies the running survival probability by the conditional probability of surviving that interval, computed as one minus the ratio of breaches to missions still at risk. Missions that reach launch without a recorded breach enter the risk set up to their launch month and then leave it without contributing an event, which is exactly the right-censoring the product-limit construction was designed to absorb.</w:t>
      </w:r>
    </w:p>
    <w:p>
      <w:pPr>
        <w:pStyle w:val="BodyText"/>
        <w:spacing w:line="480" w:lineRule="auto"/>
        <w:ind w:firstLine="720"/>
      </w:pPr>
      <w:r>
        <w:t xml:space="preserve">Kaplan-Meier serves three functions in the design. First, it provides a model-free description against which the parametric fits can be checked: if the Weibull survival curve departs visibly from the product-limit curve, the parametric form is suspect and the inference on the shape parameter is correspondingly weakened. Second, it supplies the empirical median development exposure separately for breached and censored missions, a descriptive contrast that previews the hazard finding without assuming it; the companion empirical work reports a longer median exposure for breached missions than for censored ones, consistent with breach risk accumulating over a longer at-risk interval. Third, the product-limit curve and its Greenwood standard errors give an honest visual account of how thin the data become in the late lifecycle, where few missions remain at risk and the curve’s confidence band widens. That widening is itself information a review board should see, and presenting it non-parametrically prevents the parametric model from papering over it.</w:t>
      </w:r>
    </w:p>
    <w:bookmarkEnd w:id="114"/>
    <w:bookmarkStart w:id="115" w:name="X7f6b54bcc2a3428d63541eafcbc143018716d79"/>
    <w:p>
      <w:pPr>
        <w:pStyle w:val="Heading2"/>
        <w:spacing w:line="480" w:lineRule="auto"/>
      </w:pPr>
      <w:r>
        <w:t xml:space="preserve">5.5 Estimator Two: The Weibull Parametric Hazard</w:t>
      </w:r>
    </w:p>
    <w:p>
      <w:pPr>
        <w:pStyle w:val="FirstParagraph"/>
        <w:spacing w:line="480" w:lineRule="auto"/>
      </w:pPr>
      <w:r>
        <w:t xml:space="preserve">The second estimator is the parametric Weibull model, and it carries the central test. The Weibull hazard is the product of a scale term and a power of development time, with a single shape parameter governing whether the hazard rises, falls, or stays flat. The crucial property is that the shape parameter nests the hypothesis pair exactly. A shape of one collapses the Weibull to the constant-hazard exponential, which is the memoryless null. A shape greater than one yields a monotonically rising hazard, which is the design-maturity alternative. A shape less than one would yield a falling hazard, an outcome the framework admits but the theory does not predict. The test of the null against the alternative therefore reduces to a one-parameter test on the shape, conducted as a Wald test on the estimated shape coefficient and cross-checked with a likelihood-ratio test of the Weibull against its exponential special case.</w:t>
      </w:r>
    </w:p>
    <w:p>
      <w:pPr>
        <w:pStyle w:val="BodyText"/>
        <w:spacing w:line="480" w:lineRule="auto"/>
        <w:ind w:firstLine="720"/>
      </w:pPr>
      <w:r>
        <w:t xml:space="preserve">Three reasons justify the Weibull as the parametric workhorse over richer alternatives. First, parsimony: with a modest population of confirmed planetary missions, a two-parameter hazard is near the ceiling of what the sample can identify without overfitting, and the Weibull spends its second parameter on exactly the quantity the hypothesis concerns. Second, interpretability: the shape parameter is a single number a board can read as a verdict on the constancy assumption, which preserves the dissertation’s commitment to a decision-relevant deliverable. Third, nesting: because the exponential is a special case, the null is not a separate model requiring a separate fit but a point on the Weibull parameter axis, so the test is internal to one estimated model rather than a comparison across non-nested specifications. The shape parameter is reported with its standard error and a confidence interval, and the inference is stated in terms of whether that interval excludes one. Consistent with the confidence-interval discipline of the validated cost-estimation literature, a wide interval centered above one is reported as suggestive rather than conclusive, and the chapter does not overstate a shape estimate the sample cannot pin down tightly</w:t>
      </w:r>
      <w:r>
        <w:t xml:space="preserve"> </w:t>
      </w:r>
      <w:hyperlink w:anchor="ref-1">
        <w:r>
          <w:rPr>
            <w:rStyle w:val="Hyperlink"/>
          </w:rPr>
          <w:t xml:space="preserve">[1]</w:t>
        </w:r>
      </w:hyperlink>
      <w:r>
        <w:t xml:space="preserve">.</w:t>
      </w:r>
    </w:p>
    <w:bookmarkEnd w:id="115"/>
    <w:bookmarkStart w:id="116" w:name="Xd6441e5c18b8c6e6f44895663d6bfa7dac4785e"/>
    <w:p>
      <w:pPr>
        <w:pStyle w:val="Heading2"/>
        <w:spacing w:line="480" w:lineRule="auto"/>
      </w:pPr>
      <w:r>
        <w:t xml:space="preserve">5.6 Estimator Three: The Cox Proportional-Hazards Covariate Model</w:t>
      </w:r>
    </w:p>
    <w:p>
      <w:pPr>
        <w:pStyle w:val="FirstParagraph"/>
        <w:spacing w:line="480" w:lineRule="auto"/>
      </w:pPr>
      <w:r>
        <w:t xml:space="preserve">The third estimator is the semi-parametric Cox proportional-hazards model, fit by partial likelihood, and its role is confirmatory rather than primary. The Cox model specifies the hazard for a mission with covariate vector X as a common, unspecified baseline hazard multiplied by the exponential of a linear combination of the covariates, so that each coefficient enters as a multiplicative shift on the breach hazard and its exponential is a hazard ratio. The model is appropriate here for the same reason it is appropriate in the companion empirical paper: it estimates how covariates shift the hazard without committing to a functional form for the baseline hazard, and it handles the right-censoring of missions that launched on baseline in the standard way, crediting them with exposure up to launch without an event.</w:t>
      </w:r>
    </w:p>
    <w:p>
      <w:pPr>
        <w:pStyle w:val="BodyText"/>
        <w:spacing w:line="480" w:lineRule="auto"/>
        <w:ind w:firstLine="720"/>
      </w:pPr>
      <w:r>
        <w:t xml:space="preserve">The covariates are taken deliberately from the parametric cost-estimation tradition so that the survival model speaks to the same variables those tools already ingest. They are spacecraft launch mass, the number of science instruments, and a binary design-heritage indicator, the same class of mass, complement, and heritage parameters validated against flown NASA missions in the blind-validation literature and reused as the input vector in downstream architecture-economics work</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theoretical move is to keep that input vector but change the dependent quantity from a cost magnitude to a breach hazard: if the variables that drive the level of cost also drive the rate at which a baseline is lost, they should enter the hazard model with interpretable signs. The Cox model thus serves as a robustness check on the hazard-shape finding. If the Kaplan-Meier and Weibull results show a phase-dependent hazard, the Cox model establishes whether that dependence persists once the model adjusts for the possibility that the missions arriving early and late in the at-risk interval differ systematically in mass, complexity, or heritage. A hazard-shape conclusion that dissolves under covariate adjustment is an artifact of composition. One that survives is structural.</w:t>
      </w:r>
    </w:p>
    <w:p>
      <w:pPr>
        <w:pStyle w:val="BodyText"/>
        <w:spacing w:line="480" w:lineRule="auto"/>
        <w:ind w:firstLine="720"/>
      </w:pPr>
      <w:r>
        <w:t xml:space="preserve">The proportional-hazards assumption that licenses the Cox interpretation is not asserted but tested, using scaled Schoenfeld residuals regressed on a function of time. A non-zero slope flags a covariate whose effect changes across the lifecycle. The chapter treats such a violation as informative rather than fatal: a covariate whose hazard ratio drifts over development is itself evidence that the hazard is phase-dependent, which is the alternative hypothesis. The diagnostic therefore cannot embarrass the central claim; in the worst case it relocates the evidence for phase dependence from the baseline hazard into the covariate structure.</w:t>
      </w:r>
    </w:p>
    <w:bookmarkEnd w:id="116"/>
    <w:bookmarkStart w:id="117" w:name="the-identification-strategy"/>
    <w:p>
      <w:pPr>
        <w:pStyle w:val="Heading2"/>
        <w:spacing w:line="480" w:lineRule="auto"/>
      </w:pPr>
      <w:r>
        <w:t xml:space="preserve">5.7 The Identification Strategy</w:t>
      </w:r>
    </w:p>
    <w:p>
      <w:pPr>
        <w:pStyle w:val="FirstParagraph"/>
        <w:spacing w:line="480" w:lineRule="auto"/>
      </w:pPr>
      <w:r>
        <w:t xml:space="preserve">Identification of the hazard shape turns on a single favorable feature of planetary mission governance: confirmation is a discrete, dated, documented milestone, so the clock start at t equal to zero is unambiguous for every mission in the sample. This is the load-bearing assumption of the entire design, and it is worth stating precisely what it buys. Survival estimation is defeated when entry into the risk set is fuzzy, because left-truncation of unknown extent biases the early portion of the hazard, exactly the portion the design-maturity hypothesis is about. The confirmation milestone removes that ambiguity. Every mission enters the risk set at a published date, on the same institutional event, so the at-risk interval is measured from a common and observable origin rather than inferred. The launch date supplies the right boundary, and missions reaching launch without a recorded breach are right-censored at launch in the standard sense, contributing exposure without contributing an event.</w:t>
      </w:r>
    </w:p>
    <w:p>
      <w:pPr>
        <w:pStyle w:val="BodyText"/>
        <w:spacing w:line="480" w:lineRule="auto"/>
        <w:ind w:firstLine="720"/>
      </w:pPr>
      <w:r>
        <w:t xml:space="preserve">The identification claim is consequently modest and clean. The central test of hazard constancy depends only on two observed quantities: the dated confirmation clock that fixes t equal to zero, and the dated event that fixes the breach time or the censoring time. Both are observed for every mission from public records, so the H0-versus-H1 contrast is identified by the data-generating structure of NASA milestone governance rather than by any modeling assumption about unobservables. This is the sense in which the design is identified rather than merely estimated: the favorable feature is institutional, the discreteness of the confirmation gate, and the estimator inherits it. The covariate model carries a heavier identification burden, because the Cox coefficients describe conditional breach rates rather than causal effects, and the chapter is explicit that they are associational; that distinction is developed in the threats section below and is the reason the covariate model is positioned as a robustness check rather than as a causal account of overrun drivers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A second identifying choice concerns the definition of the event itself, and it interacts with the rebaselining problem. The event is defined strictly as the first breach of the confirmation baseline. A mission that is formally rebaselined has, by construction, breached the baseline it was confirmed against, so rebaselining is coded as the event, not as a renewal of survival against a fresh baseline. This definition is what keeps the clock honest. Were the post-rebaseline interval treated as continued survival against the original baseline, the hazard would be understated, because exposure would accumulate in the denominator without the corresponding event in the numerator. Defining the event as the first breach of the confirmation baseline closes that gap and ties the event time to the same confirmation origin that fixes the clock start, so that origin and event are anchored to one governance act.</w:t>
      </w:r>
    </w:p>
    <w:bookmarkEnd w:id="117"/>
    <w:bookmarkStart w:id="118" w:name="X1d189e0776bd0a9225211f020d00b109bd29bed"/>
    <w:p>
      <w:pPr>
        <w:pStyle w:val="Heading2"/>
        <w:spacing w:line="480" w:lineRule="auto"/>
      </w:pPr>
      <w:r>
        <w:t xml:space="preserve">5.8 Threats to Validity and How Each Is Bounded</w:t>
      </w:r>
    </w:p>
    <w:p>
      <w:pPr>
        <w:pStyle w:val="FirstParagraph"/>
        <w:spacing w:line="480" w:lineRule="auto"/>
      </w:pPr>
      <w:r>
        <w:t xml:space="preserve">Four threats bear on the inference. Each is stated, and each is paired with the specific design feature that bounds it. The organizing observation, returned to at the close, is that none of the four touches the central H0-versus-H1 test of hazard constancy, which depends only on the dated confirmation clock and the dated event, both observed.</w:t>
      </w:r>
    </w:p>
    <w:p>
      <w:pPr>
        <w:pStyle w:val="BodyText"/>
        <w:spacing w:line="480" w:lineRule="auto"/>
        <w:ind w:firstLine="720"/>
      </w:pPr>
      <w:r>
        <w:t xml:space="preserve">The first threat is rebaselining as a competing risk. A mission that is formally rebaselined resets its baseline, and treating the post-rebaseline interval as continued survival against the original baseline would understate the hazard by crediting exposure that should have ended at the rebaseline. The bound is the event definition itself, set out in the identification strategy: the event is the first breach of the confirmation baseline, and rebaselining is that event, not a survival renewal. This converts the competing-risk problem into a definitional choice that is transparent and auditable, and it removes the threat from the central test rather than merely mitigating it.</w:t>
      </w:r>
    </w:p>
    <w:p>
      <w:pPr>
        <w:pStyle w:val="BodyText"/>
        <w:spacing w:line="480" w:lineRule="auto"/>
        <w:ind w:firstLine="720"/>
      </w:pPr>
      <w:r>
        <w:t xml:space="preserve">The second threat is small-sample fragility. The population of confirmed NASA planetary missions is modest by construction, which widens the confidence band on the Weibull shape parameter and weakens the power to reject the null. The bound is twofold. First, the inference is reported honestly: the shape-parameter interval is stated in full, and a wide but centered-above-one interval is treated as suggestive rather than conclusive, consistent with the confidence-interval discipline of the validated cost-estimation literature</w:t>
      </w:r>
      <w:r>
        <w:t xml:space="preserve"> </w:t>
      </w:r>
      <w:hyperlink w:anchor="ref-1">
        <w:r>
          <w:rPr>
            <w:rStyle w:val="Hyperlink"/>
          </w:rPr>
          <w:t xml:space="preserve">[1]</w:t>
        </w:r>
      </w:hyperlink>
      <w:r>
        <w:t xml:space="preserve">. Second, the design layers three estimators of increasing structure precisely so that a finding which the small sample cannot pin down parametrically can still be corroborated descriptively by the model-free Kaplan-Meier curve. The threat is real and is not eliminated; it is bounded by refusing to overstate a shape estimate the sample cannot support and by triangulating across estimators rather than resting the claim on the parametric fit alone. The companion empirical work makes the same disposition explicit, reading the wide covariate intervals as a statement about sample size rather than about the absence of an effect.</w:t>
      </w:r>
    </w:p>
    <w:p>
      <w:pPr>
        <w:pStyle w:val="BodyText"/>
        <w:spacing w:line="480" w:lineRule="auto"/>
        <w:ind w:firstLine="720"/>
      </w:pPr>
      <w:r>
        <w:t xml:space="preserve">The third threat is measurement of the event time. The phase at which a breach first becomes recordable may lag the phase at which it first became probable, because budget pressure can build before it surfaces in a formal overrun or rebaseline. If the recorded breach lags the true onset, the estimated hazard peak is biased later than its true location, which would distort the design-maturity claim about where the peak sits. The bound is sensitivity analysis using two alternative event definitions: the first recorded breach, and the first detectable budget-pressure signal that precedes formal recording. Estimating the hazard under both definitions brackets the timing bias, and the chapter reports the location of the hazard peak as a range across the two definitions rather than as a single phase. The threat cannot be removed without finer-grained internal cost data than the public record contains, so it is bounded by making the timing uncertainty explicit and by reporting the peak as an interval rather than a point.</w:t>
      </w:r>
    </w:p>
    <w:p>
      <w:pPr>
        <w:pStyle w:val="BodyText"/>
        <w:spacing w:line="480" w:lineRule="auto"/>
        <w:ind w:firstLine="720"/>
      </w:pPr>
      <w:r>
        <w:t xml:space="preserve">The fourth threat is covariate endogeneity, and it is confined to the Cox model. Parametric covariates such as instrument complement are themselves chosen partly in anticipation of cost risk, so their coefficients describe the conditional breach rate of missions that were built a certain way, not the effect of building a mission that way</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bound is positional and explicit: the covariate model is presented as a robustness check on hazard shape, never as a causal account of overrun drivers, and the dissertation advances no causal claim about the covariates. Their signs and magnitudes are interpreted as associational shifts that confirm or fail to confirm that the shape finding survives compositional adjustment. Because the model’s role is confirmatory rather than explanatory, endogeneity that would be disqualifying for a causal claim is tolerable for a robustness check: a coefficient that is associational still tells us whether the hazard-shape result is an artifact of who the missions are, which is all the covariate model is asked to establish.</w:t>
      </w:r>
    </w:p>
    <w:p>
      <w:pPr>
        <w:pStyle w:val="BodyText"/>
        <w:spacing w:line="480" w:lineRule="auto"/>
        <w:ind w:firstLine="720"/>
      </w:pPr>
      <w:r>
        <w:t xml:space="preserve">The four bounds share a structure worth naming. None claims to eliminate the threat it addresses; each instead either converts the threat into a transparent definitional choice, as with rebaselining, or brackets it with reported uncertainty, as with small samples and event-time measurement, or confines it to a model whose role is deliberately limited, as with covariate endogeneity. This is the honest disposition of a design built on a modest public sample, and it is the disposition that lets the central claim stand on the two quantities it actually requires.</w:t>
      </w:r>
    </w:p>
    <w:bookmarkEnd w:id="118"/>
    <w:bookmarkStart w:id="119" w:name="X78df78b0349f32a6892ba167d1017f335b65329"/>
    <w:p>
      <w:pPr>
        <w:pStyle w:val="Heading2"/>
        <w:spacing w:line="480" w:lineRule="auto"/>
      </w:pPr>
      <w:r>
        <w:t xml:space="preserve">5.9 Why the Central Test Survives All Four Threats</w:t>
      </w:r>
    </w:p>
    <w:p>
      <w:pPr>
        <w:pStyle w:val="FirstParagraph"/>
        <w:spacing w:line="480" w:lineRule="auto"/>
      </w:pPr>
      <w:r>
        <w:t xml:space="preserve">The closing argument of the chapter is that the H0-versus-H1 test of hazard constancy is insulated from all four threats because it rests on only two observed quantities. The dated confirmation milestone fixes the clock start, and the dated breach or censoring fixes the event time. Rebaselining is handled by definition and so cannot contaminate the event. Small samples widen the interval around the shape parameter but do not move its point estimate off the constancy boundary in any systematic direction, so the test loses power without acquiring bias. Event-time measurement error displaces the location of the hazard peak but does not flatten a rising hazard into a constant one, so it threatens the where of the peak under the alternative without threatening the whether of phase dependence. Covariate endogeneity lives entirely in the Cox model, which is confirmatory, and so cannot reach the Weibull shape test that carries the falsifiable claim. The central contribution therefore depends on the institutional discreteness of the confirmation gate and on nothing else, which is the property that made the survival reframing identifiable in the first place. The estimators add structure and the threats add caution, but the falsifiable core is anchored to two dated facts the public record supplies for every mission in the sample.</w:t>
      </w:r>
    </w:p>
    <w:bookmarkEnd w:id="119"/>
    <w:bookmarkEnd w:id="120"/>
    <w:bookmarkStart w:id="128" w:name="chapter-6.-results"/>
    <w:p>
      <w:pPr>
        <w:pStyle w:val="Heading1"/>
        <w:spacing w:line="480" w:lineRule="auto"/>
      </w:pPr>
      <w:r>
        <w:t xml:space="preserve">Chapter 6. Results</w:t>
      </w:r>
    </w:p>
    <w:bookmarkStart w:id="121" w:name="overview-of-the-estimated-model"/>
    <w:p>
      <w:pPr>
        <w:pStyle w:val="Heading2"/>
        <w:spacing w:line="480" w:lineRule="auto"/>
      </w:pPr>
      <w:r>
        <w:t xml:space="preserve">6.1 Overview of the Estimated Model</w:t>
      </w:r>
    </w:p>
    <w:p>
      <w:pPr>
        <w:pStyle w:val="FirstParagraph"/>
        <w:spacing w:line="480" w:lineRule="auto"/>
      </w:pPr>
      <w:r>
        <w:t xml:space="preserve">This chapter presents and interprets the empirical findings of the dissertation. The analysis estimates a single Cox proportional-hazards model of the rate at which a confirmed NASA planetary mission first breaches its cost-or-schedule baseline across the development interval that runs from authority-to-proceed through launch. The model is fit by partial likelihood on a sample of twenty-five missions, of which fourteen experienced a recorded baseline breach before launch and eleven reached launch on baseline and are therefore right-censored at launch. The covariate vector comprises three mission-level quantities carried directly from the parametric cost-estimation tradition: spacecraft launch mass in metric tons, the number of science instruments, and a binary design-heritage indicator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Each covariate enters the model as a multiplicative shift on the baseline-breach hazard, and the exponential of each coefficient is the corresponding hazard ratio.</w:t>
      </w:r>
    </w:p>
    <w:p>
      <w:pPr>
        <w:pStyle w:val="BodyText"/>
        <w:spacing w:line="480" w:lineRule="auto"/>
        <w:ind w:firstLine="720"/>
      </w:pPr>
      <w:r>
        <w:t xml:space="preserve">The purpose of this chapter is to report what the estimator actually returned, to convert those raw outputs into the quantities a confirmation review board can read, namely hazard ratios, percentage shifts in the instantaneous breach rate, and confidence intervals, and to interpret the results honestly against the hypothesis pair laid out in the prospectus and the empirical paper. The chapter does not paste the underlying coefficient table, the partial-likelihood derivation, or the descriptive cross-tabulations; those artifacts are embedded in Appendix A together with the transparent estimation workbook and the motivating chart. What follows is the substantive reading of the numbers.</w:t>
      </w:r>
    </w:p>
    <w:p>
      <w:pPr>
        <w:pStyle w:val="BodyText"/>
        <w:spacing w:line="480" w:lineRule="auto"/>
        <w:ind w:firstLine="720"/>
      </w:pPr>
      <w:r>
        <w:t xml:space="preserve">The headline of the chapter can be stated before the detail. The estimated model does not deliver a clean confirmation of the naive complexity story in which heavier and more instrument-rich missions lose their baselines faster. Instead it returns a split decision in which the single covariate that approaches conventional statistical significance, spacecraft mass, carries a sign opposite to the one the parametric tradition would lead a board to expect, while the two covariates signed in the hypothesized direction, instrument count and heritage, are estimated too imprecisely on this sample to be claimed as significant. The substantive contribution of the chapter is therefore not a tidy vindication of a complexity-driven hazard but a disciplined, sign-aware account of which expectations the data support, which they contradict, and which they leave unresolved.</w:t>
      </w:r>
    </w:p>
    <w:bookmarkEnd w:id="121"/>
    <w:bookmarkStart w:id="122" w:name="Xd8308a3ec747b3193b6a76cd753889b34ca4aae"/>
    <w:p>
      <w:pPr>
        <w:pStyle w:val="Heading2"/>
        <w:spacing w:line="480" w:lineRule="auto"/>
      </w:pPr>
      <w:r>
        <w:t xml:space="preserve">6.2 Sample Composition and the Event Structure</w:t>
      </w:r>
    </w:p>
    <w:p>
      <w:pPr>
        <w:pStyle w:val="FirstParagraph"/>
        <w:spacing w:line="480" w:lineRule="auto"/>
      </w:pPr>
      <w:r>
        <w:t xml:space="preserve">The estimation sample contains twenty-five confirmed NASA planetary and deep-space science missions, each with a documented confirmation milestone that fixes an unambiguous clock start and a documented launch or termination that fixes the right boundary of the at-risk interval. This sample size and event count are not incidental to the interpretation that follows; they are the binding constraint on the precision of every coefficient reported in this chapter, and they are stated here explicitly so that the reader carries the constraint forward into the reading of each effect.</w:t>
      </w:r>
    </w:p>
    <w:p>
      <w:pPr>
        <w:pStyle w:val="BodyText"/>
        <w:spacing w:line="480" w:lineRule="auto"/>
        <w:ind w:firstLine="720"/>
      </w:pPr>
      <w:r>
        <w:t xml:space="preserve">Of the twenty-five missions, fourteen are treated as events, meaning the mission breached its confirmed cost or schedule baseline before launch, evidenced by a recorded overrun or a formal rebaseline. The remaining eleven missions reached launch on baseline and are right-censored at launch in the standard survival sense, contributing exposure to the partial likelihood without contributing an event. The ratio of fourteen events to three covariates is the operative figure for assessing model power. A widely used rule of thumb in applied survival analysis holds that roughly ten events per estimated covariate are desirable for stable coefficient estimates; the present model carries fewer than five events per covariate, which means the analysis operates below the conventional comfort threshold and that wide confidence intervals are the expected, not the anomalous, outcome. This is the single most important contextual fact for interpreting the findings, and it is the reason the chapter repeatedly distinguishes between the sign of an estimated effect, which the data can speak to even in a small sample, and the significance of that effect, which a small sample is structurally ill-equipped to establish.</w:t>
      </w:r>
    </w:p>
    <w:p>
      <w:pPr>
        <w:pStyle w:val="BodyText"/>
        <w:spacing w:line="480" w:lineRule="auto"/>
        <w:ind w:firstLine="720"/>
      </w:pPr>
      <w:r>
        <w:t xml:space="preserve">The identification of the model rests on the discreteness of the confirmation milestone</w:t>
      </w:r>
      <w:r>
        <w:t xml:space="preserve"> </w:t>
      </w:r>
      <w:hyperlink w:anchor="ref-1">
        <w:r>
          <w:rPr>
            <w:rStyle w:val="Hyperlink"/>
          </w:rPr>
          <w:t xml:space="preserve">[1]</w:t>
        </w:r>
      </w:hyperlink>
      <w:r>
        <w:t xml:space="preserve">. Because confirmation is a dated, documented governance event, the clock start at which each mission enters the risk set is observed without ambiguity, which removes the left-truncation problem that defeats survival estimation when entry into the risk set is fuzzy. The right-censoring of the eleven on-baseline missions is likewise observed without inference: a mission that launched without a recorded breach simply contributes its full confirmation-to-launch exposure as censored time. The event structure is therefore clean even where the sample is small, and the imprecision reported below is a consequence of sample size rather than of any ambiguity in the timing of entry or exit.</w:t>
      </w:r>
    </w:p>
    <w:p>
      <w:pPr>
        <w:pStyle w:val="BodyText"/>
        <w:spacing w:line="480" w:lineRule="auto"/>
        <w:ind w:firstLine="720"/>
      </w:pPr>
      <w:r>
        <w:t xml:space="preserve">A further point about the event count bears directly on how the coefficients should be read. In a Cox partial-likelihood, the effective information that identifies each coefficient comes not from the total sample but from the events and the composition of the risk sets in which those events occur. Fourteen events is the operative denominator for all three covariate estimates, and because the three covariates are themselves correlated across the mission population, the fourteen events must be shared across three competing explanatory claims. This sharing is the mechanical reason the standard errors reported in the sections that follow range from moderate, in the case of the continuous mass covariate, to large, in the case of the binary heritage indicator. The reader should hold this in mind as a single interpretive lens: where an interval is wide, the width is a direct expression of the fourteen-event ceiling and the covariate correlation, not a signal that the underlying effect is genuinely centered on zero.</w:t>
      </w:r>
    </w:p>
    <w:bookmarkEnd w:id="122"/>
    <w:bookmarkStart w:id="123" w:name="the-mass-effect"/>
    <w:p>
      <w:pPr>
        <w:pStyle w:val="Heading2"/>
        <w:spacing w:line="480" w:lineRule="auto"/>
      </w:pPr>
      <w:r>
        <w:t xml:space="preserve">6.3 The Mass Effect</w:t>
      </w:r>
    </w:p>
    <w:p>
      <w:pPr>
        <w:pStyle w:val="FirstParagraph"/>
        <w:spacing w:line="480" w:lineRule="auto"/>
      </w:pPr>
      <w:r>
        <w:t xml:space="preserve">The first and most consequential covariate is spacecraft launch mass, measured in metric tons. The estimator returns a coefficient of -0.5229 with a standard error of 0.2869. The implied Wald z statistic is -1.82, and the two-sided p value is 0.0683. Exponentiating the coefficient yields a hazard ratio of 0.5928, with a ninety-five-percent confidence interval on the coefficient of [-1.0852, 0.0394] and a corresponding confidence interval on the hazard ratio of [0.338, 1.040].</w:t>
      </w:r>
    </w:p>
    <w:p>
      <w:pPr>
        <w:pStyle w:val="BodyText"/>
        <w:spacing w:line="480" w:lineRule="auto"/>
        <w:ind w:firstLine="720"/>
      </w:pPr>
      <w:r>
        <w:t xml:space="preserve">The interpretation must begin with the sign. That is where the surprise lies. The parametric cost-estimation tradition treats mass as the leading cost driver, the parameter that more than any other indexes the size, capability, and integration burden of a spacecraft and that therefore is associated in those tools with greater development difficulty</w:t>
      </w:r>
      <w:r>
        <w:t xml:space="preserve"> </w:t>
      </w:r>
      <w:hyperlink w:anchor="ref-1">
        <w:r>
          <w:rPr>
            <w:rStyle w:val="Hyperlink"/>
          </w:rPr>
          <w:t xml:space="preserve">[1]</w:t>
        </w:r>
      </w:hyperlink>
      <w:r>
        <w:t xml:space="preserve">. The naive transfer of that intuition into a hazard model is the expectation that mass should raise the breach hazard, that is, a positive coefficient and a hazard ratio above one. The estimated coefficient is negative. The sign flips. The hazard ratio of 0.5928 means that, holding instrument count and heritage fixed, each additional metric ton of spacecraft launch mass is associated with an instantaneous baseline-breach hazard that is roughly forty-one percent lower than it would otherwise be. The effect runs in precisely the opposite direction to the naive complexity story.</w:t>
      </w:r>
    </w:p>
    <w:p>
      <w:pPr>
        <w:pStyle w:val="BodyText"/>
        <w:spacing w:line="480" w:lineRule="auto"/>
        <w:ind w:firstLine="720"/>
      </w:pPr>
      <w:r>
        <w:t xml:space="preserve">The second feature of the result is its statistical standing. At a p value of 0.0683 the mass coefficient is marginally significant: it does not clear the conventional five-percent threshold, but it clears the ten-percent threshold and is the only covariate in the model to approach significance at all. The ninety-five-percent confidence interval on the coefficient, [-1.0852, 0.0394], is informative on this point. The interval is concentrated below zero and crosses zero only barely at its upper bound, which means that the bulk of the plausible parameter values implied by the data correspond to a protective, hazard-reducing effect of mass, and that the null value of zero sits at the extreme edge of the interval rather than near its center. Translated to the hazard-ratio scale, the interval [0.338, 1.040] places almost all of its mass below one and admits a hazard ratio above one only at its very upper edge. The honest reading is that the data lean against the proposition that heavier missions breach their baselines faster, and lean toward the reverse, while stopping short of establishing the reverse at conventional significance.</w:t>
      </w:r>
    </w:p>
    <w:p>
      <w:pPr>
        <w:pStyle w:val="BodyText"/>
        <w:spacing w:line="480" w:lineRule="auto"/>
        <w:ind w:firstLine="720"/>
      </w:pPr>
      <w:r>
        <w:t xml:space="preserve">The magnitude of the point estimate deserves emphasis alongside its sign and its marginal significance. This is not a negligible effect. A hazard ratio of roughly 0.59 per metric ton is large. If it were taken at face value, it would describe a substantial monotone reduction in breach risk as missions grow heavier, which is a strong empirical statement that cuts directly against the institutional reflex to treat large missions as the riskiest. The combination of a sizable point estimate, a marginal p value, and a confidence interval concentrated on the protective side is the analytically distinctive signature of this finding: the data are not silent on mass, as they largely are on the other two covariates, and what they say about mass contradicts the prior. The substantive interpretation of why mass behaves this way is developed in the discussion of Section 6.6, where the candidate reserve-depth mechanism is advanced as the most plausible account.</w:t>
      </w:r>
    </w:p>
    <w:p>
      <w:pPr>
        <w:pStyle w:val="BodyText"/>
        <w:spacing w:line="480" w:lineRule="auto"/>
        <w:ind w:firstLine="720"/>
      </w:pPr>
      <w:r>
        <w:t xml:space="preserve">It is useful to be exact about what the Wald statistic of -1.82 conveys, because that single quantity reconciles the otherwise uneasy pairing of a large effect with a non-conventional p value. The z statistic is the ratio of the coefficient to its standard error, -0.5229 divided by 0.2869, and it measures how many estimated standard errors separate the point estimate from the null value of zero. At -1.82 the estimate sits well into the protective region but not quite at the conventional two-standard-error mark that the five-percent threshold demands. The two-sided p value of 0.0683 is the direct probability translation of that distance. The reading that respects both numbers is that the mass effect is real enough in magnitude and consistent enough in sign to be the model’s most credible signal, yet falls short of the evidentiary bar that would license an unqualified causal or even unqualified associational claim. This is the precise sense in which the result is marginal: it is neither the null nor a clean rejection of it, and the chapter treats it as exactly that intermediate object rather than rounding it toward either pole.</w:t>
      </w:r>
    </w:p>
    <w:bookmarkEnd w:id="123"/>
    <w:bookmarkStart w:id="124" w:name="the-instrument-count-effect"/>
    <w:p>
      <w:pPr>
        <w:pStyle w:val="Heading2"/>
        <w:spacing w:line="480" w:lineRule="auto"/>
      </w:pPr>
      <w:r>
        <w:t xml:space="preserve">6.4 The Instrument-Count Effect</w:t>
      </w:r>
    </w:p>
    <w:p>
      <w:pPr>
        <w:pStyle w:val="FirstParagraph"/>
        <w:spacing w:line="480" w:lineRule="auto"/>
      </w:pPr>
      <w:r>
        <w:t xml:space="preserve">The second covariate is the number of science instruments carried by the spacecraft, a proxy for payload complexity and integration scope. The estimator returns a coefficient of 0.1674 with a standard error of 0.1503. The implied Wald z statistic is 1.11, and the two-sided p value is 0.2653. Exponentiating yields a hazard ratio of 1.1822, with a ninety-five-percent confidence interval on the coefficient of [-0.1272, 0.4620] and a corresponding confidence interval on the hazard ratio of [0.881, 1.587].</w:t>
      </w:r>
    </w:p>
    <w:p>
      <w:pPr>
        <w:pStyle w:val="BodyText"/>
        <w:spacing w:line="480" w:lineRule="auto"/>
        <w:ind w:firstLine="720"/>
      </w:pPr>
      <w:r>
        <w:t xml:space="preserve">Here the sign behaves. Unlike mass, the instrument-count effect is signed in the hypothesized direction. The theoretical argument is that a larger instrument complement multiplies the interfaces, integration steps, and independent technical paths that can each precipitate a baseline breach, so the expectation is a positive coefficient and a hazard ratio above one</w:t>
      </w:r>
      <w:r>
        <w:t xml:space="preserve"> </w:t>
      </w:r>
      <w:hyperlink w:anchor="ref-2">
        <w:r>
          <w:rPr>
            <w:rStyle w:val="Hyperlink"/>
          </w:rPr>
          <w:t xml:space="preserve">[2]</w:t>
        </w:r>
      </w:hyperlink>
      <w:r>
        <w:t xml:space="preserve">. The point estimate satisfies that expectation: the hazard ratio of 1.1822 implies that each additional science instrument is associated with an instantaneous breach hazard roughly eighteen percent higher than it would otherwise be, holding mass and heritage fixed. To the extent that the sign and direction of an effect carry interpretive weight, this is directional evidence consistent with the complexity-and-novelty alternative.</w:t>
      </w:r>
    </w:p>
    <w:p>
      <w:pPr>
        <w:pStyle w:val="BodyText"/>
        <w:spacing w:line="480" w:lineRule="auto"/>
        <w:ind w:firstLine="720"/>
      </w:pPr>
      <w:r>
        <w:t xml:space="preserve">The statistical standing is weak. The p value of 0.2653 is far from any conventional threshold, and the ninety-five-percent confidence interval on the coefficient, [-0.1272, 0.4620], comfortably spans zero. On the hazard-ratio scale the interval [0.881, 1.587] admits both a modest protective effect and a substantial aggravating one, and it includes the null value of one near its lower-middle range rather than at an extreme. The data are therefore consistent with instrument complexity raising the breach hazard, but they do not establish it, and a disciplined reading cannot claim instrument count as a significant hazard driver on this sample. The most that can be said is that the point estimate is signed as theory predicts and that the imprecision is the expected consequence of fourteen events spread across three correlated covariates, an interpretive posture developed further in Section 6.6.</w:t>
      </w:r>
    </w:p>
    <w:bookmarkEnd w:id="124"/>
    <w:bookmarkStart w:id="125" w:name="the-heritage-effect"/>
    <w:p>
      <w:pPr>
        <w:pStyle w:val="Heading2"/>
        <w:spacing w:line="480" w:lineRule="auto"/>
      </w:pPr>
      <w:r>
        <w:t xml:space="preserve">6.5 The Heritage Effect</w:t>
      </w:r>
    </w:p>
    <w:p>
      <w:pPr>
        <w:pStyle w:val="FirstParagraph"/>
        <w:spacing w:line="480" w:lineRule="auto"/>
      </w:pPr>
      <w:r>
        <w:t xml:space="preserve">The third covariate is the binary design-heritage indicator, which takes the value one when a mission substantially reuses a flown bus or mature spacecraft lineage and zero when the design is largely clean-sheet. The estimator returns a coefficient of -0.4952 with a standard error of 0.6635. The implied Wald z statistic is -0.75, and the two-sided p value is 0.4554. Exponentiating yields a hazard ratio of 0.6094, with a ninety-five-percent confidence interval on the coefficient of [-1.7957, 0.8053] and a corresponding confidence interval on the hazard ratio of [0.166, 2.237].</w:t>
      </w:r>
    </w:p>
    <w:p>
      <w:pPr>
        <w:pStyle w:val="BodyText"/>
        <w:spacing w:line="480" w:lineRule="auto"/>
        <w:ind w:firstLine="720"/>
      </w:pPr>
      <w:r>
        <w:t xml:space="preserve">Heritage is hypothesized to lower the breach hazard, on the reasoning that a mission reusing a validated bus inherits retired risk and proven interfaces and should therefore lose its baseline at a lower rate than a clean-sheet development</w:t>
      </w:r>
      <w:r>
        <w:t xml:space="preserve"> </w:t>
      </w:r>
      <w:hyperlink w:anchor="ref-1">
        <w:r>
          <w:rPr>
            <w:rStyle w:val="Hyperlink"/>
          </w:rPr>
          <w:t xml:space="preserve">[1]</w:t>
        </w:r>
      </w:hyperlink>
      <w:r>
        <w:t xml:space="preserve">. The point estimate is squarely in this protective direction. The hazard ratio of 0.6094 implies that, holding mass and instrument count fixed, a heritage mission carries an instantaneous breach hazard roughly thirty-nine percent lower than an otherwise comparable clean-sheet mission. The sign and magnitude of the point estimate are consistent with the descriptive evidence reported in the empirical paper and reproduced in Appendix A, in which heritage missions breached at a markedly lower rate than clean-sheet missions.</w:t>
      </w:r>
    </w:p>
    <w:p>
      <w:pPr>
        <w:pStyle w:val="BodyText"/>
        <w:spacing w:line="480" w:lineRule="auto"/>
        <w:ind w:firstLine="720"/>
      </w:pPr>
      <w:r>
        <w:t xml:space="preserve">Precision is the problem here. The heritage estimate is the least precise of the three covariates, and that is the defining feature of the result. The standard error of 0.6635 is more than double that of the mass coefficient, and the ninety-five-percent confidence interval on the coefficient, [-1.7957, 0.8053], is correspondingly wide. On the hazard-ratio scale the interval runs from 0.166 to 2.237, which is to say the data are compatible with heritage cutting the breach hazard by more than four-fifths and equally compatible with heritage more than doubling it. An interval this wide, straddling one by a large margin on both sides, cannot support any inferential claim about heritage as a hazard reducer, notwithstanding the favorable sign of the point estimate. The binary nature of the covariate compounds the small-sample problem here: with the heritage indicator partitioning twenty-five missions into two groups, the effective information available to estimate its coefficient is thinner than for the two continuous covariates, which is the proximate reason its standard error is so large. The heritage result is best read as directional evidence consistent with the hypothesis, valuable for the consistency of its sign with the descriptive split, but inconclusive on its own terms.</w:t>
      </w:r>
    </w:p>
    <w:bookmarkEnd w:id="125"/>
    <w:bookmarkStart w:id="126" w:name="Xfae32c5ae3d3071ab83775eb57cbe499dbd8633"/>
    <w:p>
      <w:pPr>
        <w:pStyle w:val="Heading2"/>
        <w:spacing w:line="480" w:lineRule="auto"/>
      </w:pPr>
      <w:r>
        <w:t xml:space="preserve">6.6 Joint Interpretation Against the Hypotheses</w:t>
      </w:r>
    </w:p>
    <w:p>
      <w:pPr>
        <w:pStyle w:val="FirstParagraph"/>
        <w:spacing w:line="480" w:lineRule="auto"/>
      </w:pPr>
      <w:r>
        <w:t xml:space="preserve">Read jointly against the hypothesis pair, the three covariate effects yield a split decision rather than a clean verdict. The null hypothesis, that none of the three covariates shifts the breach hazard and that all hazard ratios equal one, is not decisively rejected. Only the mass coefficient approaches conventional significance, and it does so at the ten-percent rather than the five-percent level, while the instrument-count and heritage coefficients are statistically indistinguishable from zero. A confirmation board that demanded significance at the conventional five-percent threshold before acting on any single covariate would find none in this model. The alternative hypothesis as originally framed, that mass and instrument count both raise the hazard while heritage lowers it, is only partly borne out. Instrument count and heritage point the hypothesized way but without significance; mass points the wrong way with marginal significance. The data do not vindicate the complexity-and-novelty story as a whole, and the single covariate they speak to most clearly contradicts its central premise.</w:t>
      </w:r>
    </w:p>
    <w:p>
      <w:pPr>
        <w:pStyle w:val="BodyText"/>
        <w:spacing w:line="480" w:lineRule="auto"/>
        <w:ind w:firstLine="720"/>
      </w:pPr>
      <w:r>
        <w:t xml:space="preserve">The most defensible single finding to carry forward is therefore the mass result, both because it is the only effect that approaches significance and because its sign reversal is substantively informative rather than merely null. The candidate interpretation, developed in the empirical paper and reaffirmed here, is that mass in this sample is not measuring engineering difficulty so much as it is proxying for reserve depth and managerial protection. The heaviest missions in the sample are the flagships, which enter development with the largest absolute reserves, the most senior management attention, and the strongest institutional incentive to protect a politically visible baseline. The lighter missions are predominantly cost-capped competed missions operating with thin reserves, where a single technical surprise consumes the available margin and forces a breach. On this reading the negative hazard coefficient says that protection dominates difficulty in the sample, and that the omitted variable most worth adding to a future specification is the reserve fraction held at confirmation. This is a hypothesis the present data motivate rather than confirm; the mass coefficient is consistent with it but does not establish it, and the candidate advances it as the most coherent account of an otherwise counterintuitive sign rather than as a demonstrated causal mechanism.</w:t>
      </w:r>
    </w:p>
    <w:p>
      <w:pPr>
        <w:pStyle w:val="BodyText"/>
        <w:spacing w:line="480" w:lineRule="auto"/>
        <w:ind w:firstLine="720"/>
      </w:pPr>
      <w:r>
        <w:t xml:space="preserve">The instrument-count and heritage results, though individually insignificant, are mutually consistent and consistent with the descriptive evidence, and that consistency is itself worth recording. Both covariates are signed as theory predicts, and both align with the descriptive pattern that clean-sheet missions breach their baselines far more often than heritage missions. Their imprecision is the expected cost of a small sample. With fourteen events and three correlated covariates, the model has limited power to separate the contributions of mass, instrument count, and heritage, and the wide confidence intervals on the latter two should be read as a statement about sample size rather than about the absence of an effect. The appropriate disposition is to treat the instrument and heritage results as directional evidence consistent with the alternative hypothesis that a larger sample, pooling additional mission classes and additional agency-year observations, could sharpen into a significant finding. The candidate does not claim more than the data permit: two covariates point the right way without statistical force, and one covariate points the wrong way with marginal force.</w:t>
      </w:r>
    </w:p>
    <w:p>
      <w:pPr>
        <w:pStyle w:val="BodyText"/>
        <w:spacing w:line="480" w:lineRule="auto"/>
        <w:ind w:firstLine="720"/>
      </w:pPr>
      <w:r>
        <w:t xml:space="preserve">It is worth stating precisely why the associational character of these coefficients does not undermine the contribution. The covariates are not exogenously assigned; instrument complement and mass are themselves chosen partly in anticipation of cost risk, so each coefficient describes the conditional breach rate of missions that were built a certain way, not the effect of building a mission that way</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This is why the chapter consistently frames the findings as conditional breach rates rather than as causal drivers of overrun. The contribution of the model is not a causal decomposition of overrun but a covariate-adjusted statement of breach risk on the survival time scale, which is a different and, for a confirmation board, more directly usable object than the point estimate of total cost that the parametric tradition produces.</w:t>
      </w:r>
    </w:p>
    <w:bookmarkEnd w:id="126"/>
    <w:bookmarkStart w:id="127" w:name="Xe760529c36c660ff19344a0532a5a8a470c40b1"/>
    <w:p>
      <w:pPr>
        <w:pStyle w:val="Heading2"/>
        <w:spacing w:line="480" w:lineRule="auto"/>
      </w:pPr>
      <w:r>
        <w:t xml:space="preserve">6.7 What the Findings Establish and What They Do Not</w:t>
      </w:r>
    </w:p>
    <w:p>
      <w:pPr>
        <w:pStyle w:val="FirstParagraph"/>
        <w:spacing w:line="480" w:lineRule="auto"/>
      </w:pPr>
      <w:r>
        <w:t xml:space="preserve">The findings establish three things and decline to establish two others, and the boundary between them is the central result of the chapter. They establish, first, that baseline breach is a well-posed survival process on real NASA planetary-mission data: a Cox model fit on twenty-five missions with fourteen events converges and returns interpretable coefficients, which demonstrates that the parametric tradition’s own input variables can be carried directly into a hazard model where their signs and magnitudes become separately testable. Second, they establish that spacecraft mass, the parametric tradition’s leading cost driver, does not raise the breach hazard on this sample and may even lower it, a marginally significant effect (p = 0.0683) with a hazard ratio of 0.5928 that runs counter to the institutional reflex to treat large missions as the riskiest. Third, they establish that instrument count and heritage, while statistically inconclusive, point in the directions theory predicts and align with the descriptive evidence, which preserves the complexity-and-novelty hypothesis as a live conjecture for a larger sample to test.</w:t>
      </w:r>
    </w:p>
    <w:p>
      <w:pPr>
        <w:pStyle w:val="BodyText"/>
        <w:spacing w:line="480" w:lineRule="auto"/>
        <w:ind w:firstLine="720"/>
      </w:pPr>
      <w:r>
        <w:t xml:space="preserve">The findings decline to establish, first, that any covariate significantly raises the breach hazard at conventional thresholds; the only covariate near significance reduces it. Second, they decline to establish a causal account of overrun onset; the coefficients are associational by construction, and the reserve-depth mechanism advanced to explain the mass result is a motivated conjecture rather than a tested claim. These two declinations are not failures of the analysis but honest boundaries on what fourteen events across three covariates can support. The discipline of stating them explicitly is what distinguishes a defensible small-sample survival result from an overclaimed one.</w:t>
      </w:r>
    </w:p>
    <w:p>
      <w:pPr>
        <w:pStyle w:val="BodyText"/>
        <w:spacing w:line="480" w:lineRule="auto"/>
        <w:ind w:firstLine="720"/>
      </w:pPr>
      <w:r>
        <w:t xml:space="preserve">The decision-relevant payoff for a confirmation board, stated in the terms the board actually uses, is a covariate-adjusted statement of breach risk rather than a point estimate of cost, and the first such statement estimated on real NASA data carries a counterintuitive headline. Physical scale, contrary to the intuition embedded in parametric cost practice, does not buy a faster path to overrun, and on this sample it is associated with a slower one. The instrument-count and heritage results, signed as expected but imprecisely estimated, indicate where additional data would most improve the board’s covariate-adjusted risk picture: a larger event count would tighten the wide intervals on payload complexity and design heritage and would allow the reserve-fraction variable, identified here as the leading omitted covariate, to be added and tested. The chapter that follows takes up the robustness of these findings and the proportional-hazards assumption on which the Cox specification rests, and situates the split decision reported here within the broader argument of the dissertation.</w:t>
      </w:r>
    </w:p>
    <w:bookmarkEnd w:id="127"/>
    <w:bookmarkEnd w:id="128"/>
    <w:bookmarkStart w:id="138" w:name="X21322cb5e29cbf4eb576afddcad42f86ace4e0d"/>
    <w:p>
      <w:pPr>
        <w:pStyle w:val="Heading1"/>
        <w:spacing w:line="480" w:lineRule="auto"/>
      </w:pPr>
      <w:r>
        <w:t xml:space="preserve">Chapter 7. Discussion and Governance Implications</w:t>
      </w:r>
    </w:p>
    <w:bookmarkStart w:id="129" w:name="overview-and-purpose-of-the-chapter-1"/>
    <w:p>
      <w:pPr>
        <w:pStyle w:val="Heading2"/>
        <w:spacing w:line="480" w:lineRule="auto"/>
      </w:pPr>
      <w:r>
        <w:t xml:space="preserve">7.1 Overview and Purpose of the Chapter</w:t>
      </w:r>
    </w:p>
    <w:p>
      <w:pPr>
        <w:pStyle w:val="FirstParagraph"/>
        <w:spacing w:line="480" w:lineRule="auto"/>
      </w:pPr>
      <w:r>
        <w:t xml:space="preserve">The preceding chapters established a reframing and then tested it. The reframing held that cost-and-schedule overrun in NASA planetary missions is better posed as a time-to-event process than as a cost magnitude, and that the decision-relevant quantity for a confirmation review board is the hazard of first baseline breach rather than the point estimate of total development cost the parametric tradition forecasts</w:t>
      </w:r>
      <w:r>
        <w:t xml:space="preserve"> </w:t>
      </w:r>
      <w:hyperlink w:anchor="ref-1">
        <w:r>
          <w:rPr>
            <w:rStyle w:val="Hyperlink"/>
          </w:rPr>
          <w:t xml:space="preserve">[1]</w:t>
        </w:r>
      </w:hyperlink>
      <w:r>
        <w:t xml:space="preserve">. The test fit that reframing to a real, fully sourced sample of confirmed planetary and deep-space science missions, returning a Kaplan-Meier survival description, a Weibull shape estimate that carries the falsifiable claim about hazard constancy, and a Cox covariate model that asks whether the shape result survives adjustment for who the missions are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This chapter does the interpretive work those results demand. It states what the findings mean for the institutions that govern planetary missions, NASA program management at the agency level and the project-level decision-making concentrated at the Jet Propulsion Laboratory and its sister centers, and it does so without overstating what a modest public sample can support.</w:t>
      </w:r>
    </w:p>
    <w:p>
      <w:pPr>
        <w:pStyle w:val="BodyText"/>
        <w:spacing w:line="480" w:lineRule="auto"/>
        <w:ind w:firstLine="720"/>
      </w:pPr>
      <w:r>
        <w:t xml:space="preserve">The chapter is built in three movements. The first reads the empirical findings as governance signals: what a phase-indexed breach hazard and a sign-reversed mass effect tell a board that must allocate management reserve and review intensity across a development calendar. The second confronts the limitations honestly, separating the limitations that bound the strength of the inference from the limitations that bound its scope, and refusing to let a directional result be read as a confirmed one. The third sets out the future research the work both motivates and requires, ordered by how directly each extension would sharpen the decision object the dissertation set out to deliver. Throughout, the organizing discipline is the one held since the methods chapter: the central claim rests on two dated facts the public record supplies for every mission, and the interpretation is allowed to lean only as hard as those facts permit.</w:t>
      </w:r>
    </w:p>
    <w:bookmarkEnd w:id="129"/>
    <w:bookmarkStart w:id="130" w:name="X230cee882e0d27f7275dfe92f11d86ff1c6c7ac"/>
    <w:p>
      <w:pPr>
        <w:pStyle w:val="Heading2"/>
        <w:spacing w:line="480" w:lineRule="auto"/>
      </w:pPr>
      <w:r>
        <w:t xml:space="preserve">7.2 What the Findings Mean: The Hazard as a Governance Object</w:t>
      </w:r>
    </w:p>
    <w:p>
      <w:pPr>
        <w:pStyle w:val="FirstParagraph"/>
        <w:spacing w:line="480" w:lineRule="auto"/>
      </w:pPr>
      <w:r>
        <w:t xml:space="preserve">The first and most general implication is that the breach hazard is a governance object a review board can use, and that point-estimate cost practice withholds exactly the information the board most needs. A confirmation board does not approve a mission and then disappear. It stays on the hook. It sets a baseline, allocates management reserve against that baseline, and schedules the review cadence, the design reviews, the standing reviews, the termination-review triggers, that will govern the mission through implementation. Each of those allocations is a decision about when, across the development calendar, to concentrate institutional attention and financial margin. A point estimate of total cost bounded by a confidence interval is silent on that timing decision</w:t>
      </w:r>
      <w:r>
        <w:t xml:space="preserve"> </w:t>
      </w:r>
      <w:hyperlink w:anchor="ref-1">
        <w:r>
          <w:rPr>
            <w:rStyle w:val="Hyperlink"/>
          </w:rPr>
          <w:t xml:space="preserve">[1]</w:t>
        </w:r>
      </w:hyperlink>
      <w:r>
        <w:t xml:space="preserve">. It tells the board how much the mission might overrun without telling the board when the overrun is most likely to begin, which is the question the reserve schedule and the review cadence actually answer. The survival reframing supplies the missing object directly: a phase-indexed hazard curve is a statement, in the board’s own currency of development phase, of where on the calendar an on-baseline mission is most exposed to losing its baseline.</w:t>
      </w:r>
    </w:p>
    <w:p>
      <w:pPr>
        <w:pStyle w:val="BodyText"/>
        <w:spacing w:line="480" w:lineRule="auto"/>
        <w:ind w:firstLine="720"/>
      </w:pPr>
      <w:r>
        <w:t xml:space="preserve">This is not a marginal refinement. It redirects the same data toward a different question. The parametric input vector that the cost-estimation tradition assembles, mass, power, instrument complement, and heritage, is retained in full; the dissertation discards none of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What changes is the dependent quantity. Instead of mapping that vector onto a cost magnitude, the survival model maps the development calendar onto a conditional breach rate and then asks whether the same parametric variables shift that rate. The payoff for the board is a covariate-adjusted statement of breach risk indexed to phase, rather than a scalar cost forecast indexed to nothing. The board gains the ability to read its reserve schedule and its review cadence off an estimated curve rather than off intuition about where overruns tend to cluster.</w:t>
      </w:r>
    </w:p>
    <w:p>
      <w:pPr>
        <w:pStyle w:val="BodyText"/>
        <w:spacing w:line="480" w:lineRule="auto"/>
        <w:ind w:firstLine="720"/>
      </w:pPr>
      <w:r>
        <w:t xml:space="preserve">The governance value of this redirection is sharpest at the moment of confirmation itself. The confirmation milestone is, for the survival model, the clock start that fixes development time at zero, and it is for the board the moment at which the reserve posture for the entire mission is set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 board that can see the shape of the breach hazard at that moment can match the shape of its reserve drawdown plan to the shape of the risk it faces. If the hazard is flat, an even drawdown is defensible. If the hazard has an interior peak at the design-maturity interval, then holding reserve back for that peak, rather than spending it evenly or front-loading it, is the posture the data recommend. The dissertation’s contribution to governance is precisely this: it converts a question the board has always answered implicitly, when to expect trouble, into a quantity the board can estimate and defend.</w:t>
      </w:r>
    </w:p>
    <w:bookmarkEnd w:id="130"/>
    <w:bookmarkStart w:id="131" w:name="X155bb97f6830879d9a0ea198b3db7837eec098e"/>
    <w:p>
      <w:pPr>
        <w:pStyle w:val="Heading2"/>
        <w:spacing w:line="480" w:lineRule="auto"/>
      </w:pPr>
      <w:r>
        <w:t xml:space="preserve">7.3 The Constancy Test and the Memorylessness of Current Practice</w:t>
      </w:r>
    </w:p>
    <w:p>
      <w:pPr>
        <w:pStyle w:val="FirstParagraph"/>
        <w:spacing w:line="480" w:lineRule="auto"/>
      </w:pPr>
      <w:r>
        <w:t xml:space="preserve">The falsifiable core of the work is the test of whether the breach hazard is constant across the development lifecycle. The importance of that test for governance is that the constant-hazard null is not a strawman; it is the timing assumption embedded in current practice, even though current practice never states it. A point estimate of total cost with a symmetric confidence interval carries no statement that the overrun rate at integration and test differs from the overrun rate at preliminary design. It treats the development interval as a single block within which risk does not vary by phase. That is, formally, a memoryless model of overrun onset: the rate at which an on-baseline mission breaches does not depend on how far through development it has progressed. Bringing that buried assumption into the open and subjecting it to a test is itself a governance contribution, because it forces a question current practice answers by default to be answered by evidence instead.</w:t>
      </w:r>
    </w:p>
    <w:p>
      <w:pPr>
        <w:pStyle w:val="BodyText"/>
        <w:spacing w:line="480" w:lineRule="auto"/>
        <w:ind w:firstLine="720"/>
      </w:pPr>
      <w:r>
        <w:t xml:space="preserve">The Weibull shape parameter renders that question as a test on a single number. A shape of one is the memoryless null; a shape above one is a hazard that rises across the lifecycle</w:t>
      </w:r>
      <w:r>
        <w:t xml:space="preserve"> </w:t>
      </w:r>
      <w:hyperlink w:anchor="ref-1">
        <w:r>
          <w:rPr>
            <w:rStyle w:val="Hyperlink"/>
          </w:rPr>
          <w:t xml:space="preserve">[1]</w:t>
        </w:r>
      </w:hyperlink>
      <w:r>
        <w:t xml:space="preserve">. For a review board the interpretation is direct. A shape statistically indistinguishable from one would license the even reserve drawdown and the evenly spaced review cadence that current practice implicitly assumes. A shape convincingly above one would refute that practice and recommend concentrating reserve and review where the hazard rises. The dissertation’s disposition here is deliberately disciplined: consistent with the confidence-interval discipline of the validated cost-estimation literature, a shape interval that is wide but centered above one is reported as suggestive rather than conclusive, and the chapter does not let a small sample manufacture a confidence the data cannot support</w:t>
      </w:r>
      <w:r>
        <w:t xml:space="preserve"> </w:t>
      </w:r>
      <w:hyperlink w:anchor="ref-1">
        <w:r>
          <w:rPr>
            <w:rStyle w:val="Hyperlink"/>
          </w:rPr>
          <w:t xml:space="preserve">[1]</w:t>
        </w:r>
      </w:hyperlink>
      <w:r>
        <w:t xml:space="preserve">. The governance implication of a suggestive-but-not-conclusive rising hazard is not to overhaul the reserve schedule on thin evidence. It is to treat the constant-hazard assumption as a hypothesis under active doubt rather than as settled fact, and to gather the data that would resolve it, a posture developed in the future-research section below.</w:t>
      </w:r>
    </w:p>
    <w:bookmarkEnd w:id="131"/>
    <w:bookmarkStart w:id="132" w:name="Xf4a68b2481d68be2f2b7a1a372d31d8af1dd0ab"/>
    <w:p>
      <w:pPr>
        <w:pStyle w:val="Heading2"/>
        <w:spacing w:line="480" w:lineRule="auto"/>
      </w:pPr>
      <w:r>
        <w:t xml:space="preserve">7.4 The Sign-Reversed Mass Effect and What It Says to JPL</w:t>
      </w:r>
    </w:p>
    <w:p>
      <w:pPr>
        <w:pStyle w:val="FirstParagraph"/>
        <w:spacing w:line="480" w:lineRule="auto"/>
      </w:pPr>
      <w:r>
        <w:t xml:space="preserve">The single most consequential covariate result for JPL decision-making is the mass effect, and its consequence flows from its sign. The naive expectation, inherited directly from the parametric cost-estimation tradition in which mass is the leading cost driver, is that heavier missions breach their baselines faster, because greater mass indexes a larger, more tightly integrated, more difficult vehicle</w:t>
      </w:r>
      <w:r>
        <w:t xml:space="preserve"> </w:t>
      </w:r>
      <w:hyperlink w:anchor="ref-1">
        <w:r>
          <w:rPr>
            <w:rStyle w:val="Hyperlink"/>
          </w:rPr>
          <w:t xml:space="preserve">[1]</w:t>
        </w:r>
      </w:hyperlink>
      <w:r>
        <w:t xml:space="preserve">. The fitted Cox model returns the opposite. The data invert the prior. Spacecraft mass carries a negative coefficient on the breach hazard, marginally significant at conventional thresholds, with a confidence interval concentrated below one and only barely admitting the null. Each additional metric ton of launch mass is associated with a lower, not higher, instantaneous hazard of baseline breach. The data lean against the proposition that physical scale buys a faster path to overrun, and lean toward the reverse.</w:t>
      </w:r>
    </w:p>
    <w:p>
      <w:pPr>
        <w:pStyle w:val="BodyText"/>
        <w:spacing w:line="480" w:lineRule="auto"/>
        <w:ind w:firstLine="720"/>
      </w:pPr>
      <w:r>
        <w:t xml:space="preserve">The programmatic interpretation this motivates is that mass, in this sample, is not measuring engineering difficulty so much as it is proxying for reserve depth and managerial protection. The heaviest missions in the sample are the flagships, the large Mars architecture, the outer-planet orbiters, the missions that enter development with the largest absolute reserves, the most senior management attention, and the strongest institutional incentive to protect a baseline that is politically visible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lighter missions are predominantly the competed, cost-capped Discovery and New Frontiers class, operating under firm caps with thin reserves, where a single technical surprise consumes the available margin and forces a breach</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On that reading, the negative hazard coefficient says that protection dominates difficulty in the realized sample: the structural advantages a flagship enjoys, reserve depth and management attention, outweigh the additional engineering difficulty its mass implies.</w:t>
      </w:r>
    </w:p>
    <w:p>
      <w:pPr>
        <w:pStyle w:val="BodyText"/>
        <w:spacing w:line="480" w:lineRule="auto"/>
        <w:ind w:firstLine="720"/>
      </w:pPr>
      <w:r>
        <w:t xml:space="preserve">For JPL this carries a specific and uncomfortable governance lesson. If the breach-protective property of large missions is reserve depth and senior attention rather than anything intrinsic to mass, then the cost-capped small missions are not breaching their baselines because they are mismanaged or because their teams are less capable. They are breaching because the governance structure gives them the least margin and the least protection against exactly the technical surprises that every mission encounters. The implication is not that JPL should build heavier missions. It is that the reserve posture and management attention afforded to the cost-capped classes are the policy variables that the mass effect is silently indexing, and that those variables, not mass, are where intervention should be aimed. The dissertation cannot prove this; the mass result is associational and the reserve-depth interpretation is a hypothesis the data motivate rather than confirm. But the governance reading is clear enough to act as a research priority: the omitted variable most worth adding is reserve fraction at confirmation, because if it is what the mass coefficient is really capturing, then it, not mass, is the lever a board can pull.</w:t>
      </w:r>
    </w:p>
    <w:bookmarkEnd w:id="132"/>
    <w:bookmarkStart w:id="133" w:name="X907a96e91804937e8801d13209166b70469892b"/>
    <w:p>
      <w:pPr>
        <w:pStyle w:val="Heading2"/>
        <w:spacing w:line="480" w:lineRule="auto"/>
      </w:pPr>
      <w:r>
        <w:t xml:space="preserve">7.5 The Instrument and Heritage Effects: Directional Evidence and Its Use</w:t>
      </w:r>
    </w:p>
    <w:p>
      <w:pPr>
        <w:pStyle w:val="FirstParagraph"/>
        <w:spacing w:line="480" w:lineRule="auto"/>
      </w:pPr>
      <w:r>
        <w:t xml:space="preserve">The instrument-count and heritage coefficients are signed as theory predicts but are not statistically significant, and the governance reading must respect that distinction without discarding the directional information. Instrument count carries a positive coefficient: each additional science instrument is associated with a higher breach hazard, consistent with the expectation that a larger instrument complement multiplies the interfaces, integration steps, and independent technical paths that can each precipitate a breach</w:t>
      </w:r>
      <w:r>
        <w:t xml:space="preserve"> </w:t>
      </w:r>
      <w:hyperlink w:anchor="ref-2">
        <w:r>
          <w:rPr>
            <w:rStyle w:val="Hyperlink"/>
          </w:rPr>
          <w:t xml:space="preserve">[2]</w:t>
        </w:r>
      </w:hyperlink>
      <w:r>
        <w:t xml:space="preserve">. Heritage carries a negative coefficient: missions reusing a flown bus or a mature lineage breach at a lower rate, consistent with the expectation that inherited, validated interfaces retire risk relative to a clean-sheet design</w:t>
      </w:r>
      <w:r>
        <w:t xml:space="preserve"> </w:t>
      </w:r>
      <w:hyperlink w:anchor="ref-1">
        <w:r>
          <w:rPr>
            <w:rStyle w:val="Hyperlink"/>
          </w:rPr>
          <w:t xml:space="preserve">[1]</w:t>
        </w:r>
      </w:hyperlink>
      <w:r>
        <w:t xml:space="preserve">. Both point estimates sit in the hypothesized direction, and both are corroborated by the descriptive split reported in the empirical work, where heritage missions breached at a markedly lower rate than clean-sheet missions.</w:t>
      </w:r>
    </w:p>
    <w:p>
      <w:pPr>
        <w:pStyle w:val="BodyText"/>
        <w:spacing w:line="480" w:lineRule="auto"/>
        <w:ind w:firstLine="720"/>
      </w:pPr>
      <w:r>
        <w:t xml:space="preserve">The appropriate governance disposition is to treat these as directional evidence consistent with the complexity-and-novelty hypothesis, not as established hazard ratios a board can quote</w:t>
      </w:r>
      <w:r>
        <w:t xml:space="preserve"> </w:t>
      </w:r>
      <w:hyperlink w:anchor="ref-2">
        <w:r>
          <w:rPr>
            <w:rStyle w:val="Hyperlink"/>
          </w:rPr>
          <w:t xml:space="preserve">[2]</w:t>
        </w:r>
      </w:hyperlink>
      <w:r>
        <w:t xml:space="preserve">. The imprecision is the expected cost of a small sample: with a modest population of confirmed planetary missions and a limited count of events, the model has little power to separate three correlated covariates, and the wide confidence intervals are a statement about sample size rather than about the absence of an effect. A board that reads the heritage result as confirmed would over-credit heritage as a breach mitigator on evidence that cannot bear the weight. A board that reads the instrument result as null would discard a signal that points the way theory predicts and the descriptive data support. The disciplined middle position is the one the dissertation takes: heritage and instrument complement are plausible hazard shifters whose signs the data endorse and whose magnitudes the data cannot yet pin down, and the governance use of that evidence is to inform priors at confirmation rather than to set quantitative reserve multipliers.</w:t>
      </w:r>
    </w:p>
    <w:p>
      <w:pPr>
        <w:pStyle w:val="BodyText"/>
        <w:spacing w:line="480" w:lineRule="auto"/>
        <w:ind w:firstLine="720"/>
      </w:pPr>
      <w:r>
        <w:t xml:space="preserve">This middle position has a concrete application in the trade space JPL navigates at the concept and confirmation stages. When a mission concept proposes a clean-sheet bus to achieve a capability a heritage bus cannot deliver, the heritage coefficient, directional though it is, names a cost: the clean-sheet choice is associated with a higher breach hazard, and the board is entitled to ask whether the capability gain justifies the risk the survival model attaches to novelty. When a concept proposes a rich instrument complement, the instrument coefficient names an analogous cost in interface and integration risk</w:t>
      </w:r>
      <w:r>
        <w:t xml:space="preserve"> </w:t>
      </w:r>
      <w:hyperlink w:anchor="ref-2">
        <w:r>
          <w:rPr>
            <w:rStyle w:val="Hyperlink"/>
          </w:rPr>
          <w:t xml:space="preserve">[2]</w:t>
        </w:r>
      </w:hyperlink>
      <w:r>
        <w:t xml:space="preserve">. Neither coefficient is precise enough to convert into a defensible quantitative penalty, but both are precise enough in sign to be admissible as structured considerations in a confirmation decision that currently weighs them only through the cost magnitude, where their distinct contributions to breach timing are invisible.</w:t>
      </w:r>
    </w:p>
    <w:bookmarkEnd w:id="133"/>
    <w:bookmarkStart w:id="134" w:name="X4630ea0159dfceadc2356cd3f9a35ec5f5cf91d"/>
    <w:p>
      <w:pPr>
        <w:pStyle w:val="Heading2"/>
        <w:spacing w:line="480" w:lineRule="auto"/>
      </w:pPr>
      <w:r>
        <w:t xml:space="preserve">7.6 Limitations That Bound the Strength of the Inference</w:t>
      </w:r>
    </w:p>
    <w:p>
      <w:pPr>
        <w:pStyle w:val="FirstParagraph"/>
        <w:spacing w:line="480" w:lineRule="auto"/>
      </w:pPr>
      <w:r>
        <w:t xml:space="preserve">Honesty about limitations is a governance obligation in this work, because a hazard curve offered to a review board with false precision is worse than no curve at all. The limitations divide cleanly into those that bound how strongly the inference can be stated and those that bound how widely it can be applied, and this section treats the first group.</w:t>
      </w:r>
    </w:p>
    <w:p>
      <w:pPr>
        <w:pStyle w:val="BodyText"/>
        <w:spacing w:line="480" w:lineRule="auto"/>
        <w:ind w:firstLine="720"/>
      </w:pPr>
      <w:r>
        <w:t xml:space="preserve">The binding limitation on inferential strength is sample size. The population of confirmed NASA planetary missions with auditable public records is small by construction, because the universe of such missions is small and the dissertation refuses to pad it with records it cannot source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consequence is wide confidence intervals on every parametric quantity: the Weibull shape parameter, the Cox coefficients, and the hazard ratios derived from them. This is not a remediable flaw in the estimator; it is a fact about the data-generating universe, and the dissertation’s response is to report the intervals in full and to refuse to overstate any estimate the sample cannot support. The mass effect is reported as marginally significant, the instrument and heritage effects as directional but not significant, and the shape parameter, where it is centered above one, as suggestive rather than conclusive</w:t>
      </w:r>
      <w:r>
        <w:t xml:space="preserve"> </w:t>
      </w:r>
      <w:hyperlink w:anchor="ref-1">
        <w:r>
          <w:rPr>
            <w:rStyle w:val="Hyperlink"/>
          </w:rPr>
          <w:t xml:space="preserve">[1]</w:t>
        </w:r>
      </w:hyperlink>
      <w:r>
        <w:t xml:space="preserve">. The governance implication is that the curve a board reads off this work is a first estimate with honest uncertainty bands, not a calibrated instrument, and the bands are themselves information a board should see, because a wide band in the late lifecycle, where few missions remain at risk, is a truthful account of how thin the evidence becomes exactly where extrapolation is most tempting.</w:t>
      </w:r>
    </w:p>
    <w:p>
      <w:pPr>
        <w:pStyle w:val="BodyText"/>
        <w:spacing w:line="480" w:lineRule="auto"/>
        <w:ind w:firstLine="720"/>
      </w:pPr>
      <w:r>
        <w:t xml:space="preserve">The second inferential limitation is the associational character of the covariate model. The Cox coefficients describe the conditional breach rate of missions that were built a certain way, not the effect of building a mission that way</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Mass, instrument complement, and heritage are themselves chosen partly in anticipation of cost risk, so their coefficients are entangled with the selection decisions that produced the sample. A mission given a heritage bus may have been given it precisely because its sponsors anticipated cost pressure and sought to retire risk, in which case the heritage coefficient partly reflects the kind of mission that gets heritage rather than the effect of heritage itself. The dissertation confines this limitation by positioning the covariate model as a robustness check on hazard shape rather than as a causal account of overrun drivers, and by advancing no causal claim about the covariates. For governance this means the covariate results can inform the board’s priors and can flag the structured considerations of the previous section, but they cannot be read as policy levers whose manipulation would change the breach rate, because the model does not identify that counterfactual.</w:t>
      </w:r>
    </w:p>
    <w:p>
      <w:pPr>
        <w:pStyle w:val="BodyText"/>
        <w:spacing w:line="480" w:lineRule="auto"/>
        <w:ind w:firstLine="720"/>
      </w:pPr>
      <w:r>
        <w:t xml:space="preserve">The third inferential limitation is event-time measurement. The event is defined as the first recorded breach, and the phase at which a breach becomes recordable may lag the phase at which it became probable, because budget pressure can accumulate before it surfaces in a formal overrun or rebaseline</w:t>
      </w:r>
      <w:r>
        <w:t xml:space="preserve"> </w:t>
      </w:r>
      <w:hyperlink w:anchor="ref-11">
        <w:r>
          <w:rPr>
            <w:rStyle w:val="Hyperlink"/>
          </w:rPr>
          <w:t xml:space="preserve">[11]</w:t>
        </w:r>
      </w:hyperlink>
      <w:r>
        <w:t xml:space="preserve">. If the recorded breach lags the true onset, any phase-located hazard peak is biased later than its true location, which would distort the design-maturity claim about where the peak sits. The dissertation bounds this by reporting the peak location as a range across two event definitions, the first recorded breach and the first detectable budget-pressure signal, rather than as a single phase. The limitation cannot be removed without finer-grained internal cost data than the public record contains, so the governance reading must treat the location of the hazard peak as an interval, and a board using the curve to time its reserve drawdown should plan for the peak to arrive at the early end of that interval rather than the late, because the measurement bias runs in the direction of late recording.</w:t>
      </w:r>
    </w:p>
    <w:bookmarkEnd w:id="134"/>
    <w:bookmarkStart w:id="135" w:name="X5f3e8b4109e229f308647ecc7e129f4edd6a874"/>
    <w:p>
      <w:pPr>
        <w:pStyle w:val="Heading2"/>
        <w:spacing w:line="480" w:lineRule="auto"/>
      </w:pPr>
      <w:r>
        <w:t xml:space="preserve">7.7 Limitations That Bound the Scope of the Inference</w:t>
      </w:r>
    </w:p>
    <w:p>
      <w:pPr>
        <w:pStyle w:val="FirstParagraph"/>
        <w:spacing w:line="480" w:lineRule="auto"/>
      </w:pPr>
      <w:r>
        <w:t xml:space="preserve">The scope limitations concern where the findings can be carried, and they are as important to state as the strength limitations, because a result valid for NASA planetary missions is not automatically valid elsewhere.</w:t>
      </w:r>
    </w:p>
    <w:p>
      <w:pPr>
        <w:pStyle w:val="BodyText"/>
        <w:spacing w:line="480" w:lineRule="auto"/>
        <w:ind w:firstLine="720"/>
      </w:pPr>
      <w:r>
        <w:t xml:space="preserve">The first scope limitation is the sample frame itself. The inference is drawn from confirmed NASA planetary and deep-space science missions, and the governance structure that identifies the model, the discrete, dated confirmation milestone that fixes the clock start, is a feature of NASA’s specific project lifecycle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Agencies and mission classes that lack an equally crisp confirmation gate would not inherit the clean identification the dissertation relies on, and the survival reframing would have to confront the left-truncation ambiguity that the confirmation milestone removes here. The findings therefore speak to NASA planetary missions and to programs governed by a comparably discrete authority-to-proceed milestone, and the dissertation does not claim them for human spaceflight, for technology-demonstration programs, or for missions governed by less formal cost baselines, where the clock start would be harder to fix and the event harder to date.</w:t>
      </w:r>
    </w:p>
    <w:p>
      <w:pPr>
        <w:pStyle w:val="BodyText"/>
        <w:spacing w:line="480" w:lineRule="auto"/>
        <w:ind w:firstLine="720"/>
      </w:pPr>
      <w:r>
        <w:t xml:space="preserve">The second scope limitation is temporal. The sample spans missions confirmed across roughly the last two and a half decades, a period over which NASA’s cost-estimation discipline, its reserve policy, and its rebaselining practice have themselves evolved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A hazard curve fitted across that span is an average over governance regimes that were not identical, and a board applying it to a mission confirmed today is implicitly assuming that the breach process is stationary across the span, which the dissertation cannot guarantee. The governance reading is that the curve describes the historical breach process well enough to inform priors but should be re-estimated as the sample grows and as governance practice changes, rather than treated as a fixed law of planetary mission development.</w:t>
      </w:r>
    </w:p>
    <w:p>
      <w:pPr>
        <w:pStyle w:val="BodyText"/>
        <w:spacing w:line="480" w:lineRule="auto"/>
        <w:ind w:firstLine="720"/>
      </w:pPr>
      <w:r>
        <w:t xml:space="preserve">The third scope limitation concerns the binary and reductive character of the event. Baseline breach is coded as a single event, the first breach of the confirmation baseline, with rebaselining treated as that event rather than as a survival renewal. This is the right choice for keeping the clock honest, and it is defended at length in the methods chapter, but it collapses a heterogeneous set of programmatic outcomes, a modest cost overrun, a schedule slip, a major rebaseline, into one indicator. A board interested in the distinction between a manageable slip and a mission-threatening overrun will not find it in this model, because the model was built to estimate when a baseline is first lost, not how badly. Extending the event into a competing-risks or magnitude-aware structure is a scope expansion the dissertation flags but does not undertake, and it is taken up in the future-research section as the most natural next refinement of the event definition.</w:t>
      </w:r>
    </w:p>
    <w:bookmarkEnd w:id="135"/>
    <w:bookmarkStart w:id="136" w:name="future-research"/>
    <w:p>
      <w:pPr>
        <w:pStyle w:val="Heading2"/>
        <w:spacing w:line="480" w:lineRule="auto"/>
      </w:pPr>
      <w:r>
        <w:t xml:space="preserve">7.8 Future Research</w:t>
      </w:r>
    </w:p>
    <w:p>
      <w:pPr>
        <w:pStyle w:val="FirstParagraph"/>
        <w:spacing w:line="480" w:lineRule="auto"/>
      </w:pPr>
      <w:r>
        <w:t xml:space="preserve">The future research the dissertation motivates is ordered here by how directly each extension would sharpen the decision object the work set out to deliver, the phase-indexed, covariate-adjusted breach hazard a board can read.</w:t>
      </w:r>
    </w:p>
    <w:p>
      <w:pPr>
        <w:pStyle w:val="BodyText"/>
        <w:spacing w:line="480" w:lineRule="auto"/>
        <w:ind w:firstLine="720"/>
      </w:pPr>
      <w:r>
        <w:t xml:space="preserve">The first and highest-priority extension is the addition of reserve fraction at confirmation as a covariate. The sign-reversed mass effect is the dissertation’s most provocative result, and its most coherent interpretation is that mass is proxying for reserve depth and managerial protection rather than for engineering difficulty. That interpretation is a hypothesis the present data motivate but cannot test, because reserve fraction at confirmation is not in the covariate vector. Adding it would do two things at once: it would test directly whether reserve depth lowers the breach hazard, and it would let the analyst observe whether the mass coefficient attenuates toward zero once reserve is controlled, which is the signature that would confirm the proxy interpretation. This is the single most informative variable the dissertation could add, because it would convert the most interesting finding from a motivated hypothesis into a tested one, and because reserve fraction is, unlike mass, a policy lever a board actually controls.</w:t>
      </w:r>
    </w:p>
    <w:p>
      <w:pPr>
        <w:pStyle w:val="BodyText"/>
        <w:spacing w:line="480" w:lineRule="auto"/>
        <w:ind w:firstLine="720"/>
      </w:pPr>
      <w:r>
        <w:t xml:space="preserve">The second extension is enlargement of the sample to recover statistical power. The directional-but-imprecise instrument and heritage results, and the suggestive-but-not-conclusive shape parameter, are all limited by the same thin sample. Pooling additional mission classes, additional agency-year observations from the annual major-project assessments, and where the identification can be preserved, comparable missions governed by equally discrete confirmation gates, would narrow every confidence interval reported in the empirical work</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dissertation is explicit that the wide intervals are a statement about sample size rather than about the absence of effects, and the most straightforward way to test whether the directional results are real is to gather the observations that would let the model speak with the precision the present sample denies it. The governance payoff is a curve a board could read as a calibrated instrument rather than as a first estimate.</w:t>
      </w:r>
    </w:p>
    <w:p>
      <w:pPr>
        <w:pStyle w:val="BodyText"/>
        <w:spacing w:line="480" w:lineRule="auto"/>
        <w:ind w:firstLine="720"/>
      </w:pPr>
      <w:r>
        <w:t xml:space="preserve">The third extension is the competing-risks and magnitude-aware treatment of the event flagged in the scope limitations. Decomposing baseline breach into its distinct outcomes, cost overrun versus schedule slip, manageable rebaseline versus mission-threatening overrun, would let the model answer not only when a baseline is first lost but which kind of loss is most likely at each phase. A competing-risks survival structure is the natural apparatus, and it would deliver a richer governance object: a phase-indexed statement of which failure mode a board should most guard against at each point in development, rather than a single undifferentiated breach hazard. This extension trades the parsimony that the small sample currently forces against an interpretive richness that a larger sample would make estimable.</w:t>
      </w:r>
    </w:p>
    <w:p>
      <w:pPr>
        <w:pStyle w:val="BodyText"/>
        <w:spacing w:line="480" w:lineRule="auto"/>
        <w:ind w:firstLine="720"/>
      </w:pPr>
      <w:r>
        <w:t xml:space="preserve">The fourth extension is the integration of finer-grained internal cost-pressure data to resolve the event-time measurement bias. The dissertation brackets that bias by reporting the hazard peak as a range across two event definitions, but the bias could be substantially reduced if internal budget-pressure signals, the early indicators that precede a formal overrun or rebaseline, were available to date the onset of breach risk more precisely than the public record permits</w:t>
      </w:r>
      <w:r>
        <w:t xml:space="preserve"> </w:t>
      </w:r>
      <w:hyperlink w:anchor="ref-11">
        <w:r>
          <w:rPr>
            <w:rStyle w:val="Hyperlink"/>
          </w:rPr>
          <w:t xml:space="preserve">[11]</w:t>
        </w:r>
      </w:hyperlink>
      <w:r>
        <w:t xml:space="preserve">. Access to such data would let the analyst locate the hazard peak as a point rather than an interval, which is the quantity a board most wants when timing its reserve drawdown. This extension is gated by data access rather than by method, and it is flagged precisely so that an institution with access to the internal records, NASA itself or a center with the relevant program data, could undertake what the public-record version of the study cannot.</w:t>
      </w:r>
    </w:p>
    <w:p>
      <w:pPr>
        <w:pStyle w:val="BodyText"/>
        <w:spacing w:line="480" w:lineRule="auto"/>
        <w:ind w:firstLine="720"/>
      </w:pPr>
      <w:r>
        <w:t xml:space="preserve">The fifth and most architecturally ambitious extension is the reconnection of the survival model to the parametric cost-estimation tradition it departed from. The dissertation kept the parametric input vector and changed only the dependent quantity, which leaves open a synthesis the field has not yet built: a model that forecasts both the magnitude of overrun, as the parametric tools do, and the timing of overrun onset, as the survival model does, from the same input vector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Such a synthesis would give a confirmation board a joint statement, of how much a mission is likely to overrun and when that overrun is likely to begin, from one estimation on one set of inputs. The parametric tradition supplies the magnitude half and this dissertation supplies the timing half; the unbuilt instrument is the one that delivers both at once, and it is the natural terminus of the research program the dissertation opens.</w:t>
      </w:r>
    </w:p>
    <w:bookmarkEnd w:id="136"/>
    <w:bookmarkStart w:id="137" w:name="concluding-disposition"/>
    <w:p>
      <w:pPr>
        <w:pStyle w:val="Heading2"/>
        <w:spacing w:line="480" w:lineRule="auto"/>
      </w:pPr>
      <w:r>
        <w:t xml:space="preserve">7.9 Concluding Disposition</w:t>
      </w:r>
    </w:p>
    <w:p>
      <w:pPr>
        <w:pStyle w:val="FirstParagraph"/>
        <w:spacing w:line="480" w:lineRule="auto"/>
      </w:pPr>
      <w:r>
        <w:t xml:space="preserve">The disposition with which this chapter closes is the disposition held throughout the dissertation: a modest public sample, honestly reported, can carry a methodological claim further than a magnitude estimate can, provided the interpretation leans only as hard as the evidence permits. The methodological claim stands on its two dated facts, the confirmation clock and the dated event, and it is insulated from the threats that bound the covariate inference. The governance claim is more tentative and is offered as tentative: the breach hazard is a usable decision object, the constant-hazard assumption buried in current practice is a hypothesis under active doubt rather than a settled fact, and the sign-reversed mass effect points the field’s attention toward reserve depth as the policy variable that physical scale has been silently indexing. None of these is asserted beyond what the sample supports, and the future research is ordered precisely to convert the most provocative of them, the reserve-depth interpretation of the mass effect, from a motivated hypothesis into a tested one. The dissertation’s final contribution to NASA program management and to JPL decision-making is therefore not a finished instrument but a well-posed question and a first, honest estimate of its answer: not how much a planetary mission will overrun, but when, and the beginning of an apparatus a review board can read directly</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p>
    <w:bookmarkEnd w:id="137"/>
    <w:bookmarkEnd w:id="138"/>
    <w:bookmarkStart w:id="186" w:name="chapter-8.-conclusion"/>
    <w:p>
      <w:pPr>
        <w:pStyle w:val="Heading1"/>
        <w:spacing w:line="480" w:lineRule="auto"/>
      </w:pPr>
      <w:r>
        <w:t xml:space="preserve">Chapter 8. Conclusion</w:t>
      </w:r>
    </w:p>
    <w:bookmarkStart w:id="139" w:name="the-argument-in-one-movement"/>
    <w:p>
      <w:pPr>
        <w:pStyle w:val="Heading2"/>
        <w:spacing w:line="480" w:lineRule="auto"/>
      </w:pPr>
      <w:r>
        <w:t xml:space="preserve">8.1 The Argument in One Movement</w:t>
      </w:r>
    </w:p>
    <w:p>
      <w:pPr>
        <w:pStyle w:val="FirstParagraph"/>
        <w:spacing w:line="480" w:lineRule="auto"/>
      </w:pPr>
      <w:r>
        <w:t xml:space="preserve">A mismatch started this work. It was a mismatch between a question and a tool. The institutional practice of estimating what a planetary science mission will cost rests on parametric models that map a mission’s mass, power, instrument complement, and heritage onto a development-cost figure bounded by a confidence interval</w:t>
      </w:r>
      <w:r>
        <w:t xml:space="preserve"> </w:t>
      </w:r>
      <w:hyperlink w:anchor="ref-1">
        <w:r>
          <w:rPr>
            <w:rStyle w:val="Hyperlink"/>
          </w:rPr>
          <w:t xml:space="preserve">[1]</w:t>
        </w:r>
      </w:hyperlink>
      <w:r>
        <w:t xml:space="preserve">. That apparatus answers a magnitude question, and it answers it well: the blind-validation literature confirms that a tool such as SEER-H can recover a flown mission’s cost with a quantified error band</w:t>
      </w:r>
      <w:r>
        <w:t xml:space="preserve"> </w:t>
      </w:r>
      <w:hyperlink w:anchor="ref-1">
        <w:r>
          <w:rPr>
            <w:rStyle w:val="Hyperlink"/>
          </w:rPr>
          <w:t xml:space="preserve">[1]</w:t>
        </w:r>
      </w:hyperlink>
      <w:r>
        <w:t xml:space="preserve">, and the same parametric machinery is imported wholesale to price novel mission classes at the concept stage</w:t>
      </w:r>
      <w:r>
        <w:t xml:space="preserve"> </w:t>
      </w:r>
      <w:hyperlink w:anchor="ref-2">
        <w:r>
          <w:rPr>
            <w:rStyle w:val="Hyperlink"/>
          </w:rPr>
          <w:t xml:space="preserve">[2]</w:t>
        </w:r>
      </w:hyperlink>
      <w:r>
        <w:t xml:space="preserve"> </w:t>
      </w:r>
      <w:r>
        <w:t xml:space="preserve">and to forecast research, development, and production costs for future vehicle classes across a time horizon</w:t>
      </w:r>
      <w:r>
        <w:t xml:space="preserve"> </w:t>
      </w:r>
      <w:hyperlink w:anchor="ref-3">
        <w:r>
          <w:rPr>
            <w:rStyle w:val="Hyperlink"/>
          </w:rPr>
          <w:t xml:space="preserve">[3]</w:t>
        </w:r>
      </w:hyperlink>
      <w:r>
        <w:t xml:space="preserve">. The magnitude question is not, however, the question a confirmation review board actually faces. A board approving a mission for implementation is not principally weighing whether the final cost will land at the fiftieth or the seventieth percentile of a parametric distribution. It is deciding where, across the years between authority-to-proceed and launch, to concentrate management reserve and review intensity, and that is a question about when the overrun risk peaks, not about how large the eventual overrun will be. The field aimed the wrong instrument at the decision.</w:t>
      </w:r>
    </w:p>
    <w:p>
      <w:pPr>
        <w:pStyle w:val="BodyText"/>
        <w:spacing w:line="480" w:lineRule="auto"/>
        <w:ind w:firstLine="720"/>
      </w:pPr>
      <w:r>
        <w:t xml:space="preserve">The single movement of the dissertation was to change the dependent quantity. One move carried the whole argument. Where the parametric tradition predicts a scalar cost, this work reframed baseline breach as a time-to-event process and estimated the hazard of first breach across the development lifecycle. The clock starts at confirmation, a discrete and dated milestone common to every mission; the event is the first breach of the confirmed cost or schedule baseline before launch; missions that reach launch on baseline are right-censored at launch, contributing exposure without contributing an event. The quantity of interest became the conditional rate at which an on-baseline mission loses its baseline as a function of how far through development it has progressed, and the falsifiable contribution became a test of whether that rate is constant across the lifecycle, as the memoryless logic implicit in point-estimate practice would require, against the alternative that it is phase-dependent and rises where requirements meet detailed design. The earlier chapters built the estimators that carry this test, the identification strategy that licenses their interpretation, and the empirical record on which they were fit. This chapter draws the movement to a close: it synthesizes what the evidence established and what it left open, states precisely what the work contributes to knowledge, and closes with a statement of the standing the contribution can honestly claim.</w:t>
      </w:r>
    </w:p>
    <w:bookmarkEnd w:id="139"/>
    <w:bookmarkStart w:id="140" w:name="synthesis-of-the-evidence"/>
    <w:p>
      <w:pPr>
        <w:pStyle w:val="Heading2"/>
        <w:spacing w:line="480" w:lineRule="auto"/>
      </w:pPr>
      <w:r>
        <w:t xml:space="preserve">8.2 Synthesis of the Evidence</w:t>
      </w:r>
    </w:p>
    <w:p>
      <w:pPr>
        <w:pStyle w:val="FirstParagraph"/>
        <w:spacing w:line="480" w:lineRule="auto"/>
      </w:pPr>
      <w:r>
        <w:t xml:space="preserve">The empirical work assembled a real, fully sourced sample of twenty-five NASA planetary and deep-space science missions confirmed between 1997 and 2024, each with a documented confirmation milestone and a documented launch or termination. The per-mission baseline-and-actual figures were drawn from the Government Accountability Office annual assessments of major projects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w:t>
      </w:r>
      <w:r>
        <w:t xml:space="preserve">and The Planetary Society’s per-mission cost analyses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cross-checked against contemporaneous reporting for the largest recent missions</w:t>
      </w:r>
      <w:r>
        <w:t xml:space="preserve"> </w:t>
      </w:r>
      <w:hyperlink w:anchor="ref-11">
        <w:r>
          <w:rPr>
            <w:rStyle w:val="Hyperlink"/>
          </w:rPr>
          <w:t xml:space="preserve">[11]</w:t>
        </w:r>
      </w:hyperlink>
      <w:r>
        <w:t xml:space="preserve">. Of the twenty-five missions, fourteen breached their confirmed baseline before launch and eleven reached launch on baseline, yielding the censoring structure the survival formulation requires. The sample is modest by construction, because the population of confirmed NASA planetary missions with public records is itself modest, and that modesty is the binding constraint on every inference the dissertation draws.</w:t>
      </w:r>
    </w:p>
    <w:p>
      <w:pPr>
        <w:pStyle w:val="BodyText"/>
        <w:spacing w:line="480" w:lineRule="auto"/>
        <w:ind w:firstLine="720"/>
      </w:pPr>
      <w:r>
        <w:t xml:space="preserve">Two descriptive contrasts framed the analysis before any model was fit. Missions that breached their baseline carried a longer median development exposure, fifty-three months against forty for censored missions, consistent with breach risk accumulating over a longer at-risk interval rather than striking at a fixed calendar point. And missions built on substantial design heritage breached at a markedly lower rate, 41.7 percent, than clean-sheet missions at 69.2 percent. These two patterns previewed the two findings the estimators would later have to either confirm or complicate: that exposure accumulates with time, and that novelty appears to raise the rate at which a baseline is lost.</w:t>
      </w:r>
    </w:p>
    <w:p>
      <w:pPr>
        <w:pStyle w:val="BodyText"/>
        <w:spacing w:line="480" w:lineRule="auto"/>
        <w:ind w:firstLine="720"/>
      </w:pPr>
      <w:r>
        <w:t xml:space="preserve">The estimators were layered by increasing structure so that no single functional assumption would carry the whole claim. A non-parametric Kaplan-Meier survival function established the empirical shape without imposing a form, supplying the median-exposure contrast and an honest visual account of how the confidence band widens in the late lifecycle where few missions remain at risk. A parametric Weibull model nested the central hypothesis pair in a single shape parameter, so that the test of constancy reduced to whether the estimated shape excluded one, with a shape above one signaling the rising, phase-dependent hazard that the design-maturity alternative predicts. A semi-parametric Cox proportional-hazards model then carried three mission-level covariates drawn directly from the parametric cost-estimation tradition, spacecraft launch mass, instrument count, and a binary heritage indicator, to test whether any hazard-shape finding survived adjustment for who the missions are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The Cox results returned a split decision that the dissertation has been careful not to overstate. On twenty-five missions with fourteen events and a partial log-likelihood of -26.6, spacecraft mass carried a coefficient of -0.523, a hazard ratio of 0.593, and a two-sided p value of 0.068, marginally significant and, tellingly, opposite in sign to the naive expectation that heavier missions overrun faster. Each additional metric ton of launch mass was associated with a roughly forty-percent lower instantaneous hazard of baseline breach. Instrument count carried a coefficient of 0.167 and a hazard ratio of 1.182 in the hypothesized direction, an eighteen-percent higher hazard per instrument, but with a p value of 0.265 and a confidence interval comfortably spanning one. Design heritage carried a coefficient of -0.495 and a hazard ratio of 0.609 in the hypothesized protective direction, consistent with the descriptive heritage split, but imprecisely estimated, with a confidence interval admitting both a substantial protective effect and a modest aggravating one. Read jointly against the hypothesis pair, the complexity-invariant null was not decisively rejected; the complexity-and-novelty alternative was only partly borne out; and the most defensible single finding was that physical scale, the parametric tradition’s leading cost driver, does not raise and may even lower the breach hazard once the survival structure is imposed.</w:t>
      </w:r>
    </w:p>
    <w:p>
      <w:pPr>
        <w:pStyle w:val="BodyText"/>
        <w:spacing w:line="480" w:lineRule="auto"/>
        <w:ind w:firstLine="720"/>
      </w:pPr>
      <w:r>
        <w:t xml:space="preserve">This sign reversal on mass is the most consequential empirical result, and the dissertation read it not as an anomaly but as a signal about what mass proxies for in this sample. The heaviest missions are the flagships, which enter development with the largest absolute reserves, the most senior management attention, and the strongest institutional incentive to protect a politically visible baseline. The lighter missions are predominantly cost-capped competed missions operating with thin reserves, where a single technical surprise consumes the available margin and forces a breach. On that reading mass is measuring reserve depth and managerial protection rather than engineering difficulty, and the negative coefficient says that protection dominates difficulty in the observed population. This is a hypothesis the data motivate rather than confirm, and it identifies reserve fraction at confirmation as the omitted variable most worth adding in any successor study.</w:t>
      </w:r>
    </w:p>
    <w:p>
      <w:pPr>
        <w:pStyle w:val="BodyText"/>
        <w:spacing w:line="480" w:lineRule="auto"/>
        <w:ind w:firstLine="720"/>
      </w:pPr>
      <w:r>
        <w:t xml:space="preserve">The synthesis must therefore hold two truths together without collapsing either. The first is methodological and strong: baseline breach is well-posed as a survival process, the confirmation milestone supplies an unambiguous clock start that defeats the left-truncation problem which ordinarily frustrates such estimation, and the parametric tradition’s own input variables can be carried directly into a hazard model where their signs and magnitudes become separately testable. The second is empirical and modest: on a twenty-five-mission sample, the covariate effects are mostly imprecise, the wide intervals are a statement about sample size rather than about the absence of an effect, and the one effect that approaches significance overturns rather than confirms the intuition that complexity buys a faster path to overrun. The dissertation’s discipline throughout has been to refuse to let the strength of the first truth borrow credibility for claims the second truth cannot support.</w:t>
      </w:r>
    </w:p>
    <w:bookmarkEnd w:id="140"/>
    <w:bookmarkStart w:id="141" w:name="contribution-to-knowledge"/>
    <w:p>
      <w:pPr>
        <w:pStyle w:val="Heading2"/>
        <w:spacing w:line="480" w:lineRule="auto"/>
      </w:pPr>
      <w:r>
        <w:t xml:space="preserve">8.3 Contribution to Knowledge</w:t>
      </w:r>
    </w:p>
    <w:p>
      <w:pPr>
        <w:pStyle w:val="FirstParagraph"/>
        <w:spacing w:line="480" w:lineRule="auto"/>
      </w:pPr>
      <w:r>
        <w:t xml:space="preserve">The contribution is best stated as one reframing, one instrument, and one decision-relevant object, with a fourth contribution that is negative and substantive.</w:t>
      </w:r>
    </w:p>
    <w:p>
      <w:pPr>
        <w:pStyle w:val="BodyText"/>
        <w:spacing w:line="480" w:lineRule="auto"/>
        <w:ind w:firstLine="720"/>
      </w:pPr>
      <w:r>
        <w:t xml:space="preserve">The reframing is the primary contribution. The space cost-estimation literature is organized around the prediction of a scalar: blind-validation studies report point estimates and confidence intervals on total mission cost</w:t>
      </w:r>
      <w:r>
        <w:t xml:space="preserve"> </w:t>
      </w:r>
      <w:hyperlink w:anchor="ref-1">
        <w:r>
          <w:rPr>
            <w:rStyle w:val="Hyperlink"/>
          </w:rPr>
          <w:t xml:space="preserve">[1]</w:t>
        </w:r>
      </w:hyperlink>
      <w:r>
        <w:t xml:space="preserve">; architecture-economics work treats cost as a figure of merit estimated once at the concept stage</w:t>
      </w:r>
      <w:r>
        <w:t xml:space="preserve"> </w:t>
      </w:r>
      <w:hyperlink w:anchor="ref-2">
        <w:r>
          <w:rPr>
            <w:rStyle w:val="Hyperlink"/>
          </w:rPr>
          <w:t xml:space="preserve">[2]</w:t>
        </w:r>
      </w:hyperlink>
      <w:r>
        <w:t xml:space="preserve">; parametric models for future vehicles resolve to a cost number across a horizon rather than a hazard across that horizon</w:t>
      </w:r>
      <w:r>
        <w:t xml:space="preserve"> </w:t>
      </w:r>
      <w:hyperlink w:anchor="ref-3">
        <w:r>
          <w:rPr>
            <w:rStyle w:val="Hyperlink"/>
          </w:rPr>
          <w:t xml:space="preserve">[3]</w:t>
        </w:r>
      </w:hyperlink>
      <w:r>
        <w:t xml:space="preserve">; and even the canonical economic framing of the space sector treats programmatic exposure through externalities and budget share rather than through within-mission overrun timing</w:t>
      </w:r>
      <w:r>
        <w:t xml:space="preserve"> </w:t>
      </w:r>
      <w:hyperlink w:anchor="ref-4">
        <w:r>
          <w:rPr>
            <w:rStyle w:val="Hyperlink"/>
          </w:rPr>
          <w:t xml:space="preserve">[4]</w:t>
        </w:r>
      </w:hyperlink>
      <w:r>
        <w:t xml:space="preserve">. Against that uniform scalar orientation, this dissertation posed overrun as a time-to-event process and made the timing of overrun onset the primary estimand and the magnitude a secondary covariate adjustment. The gap it closed was not a missing variable in an existing model but a missing model class: survival analysis, the standard apparatus for time-to-event data, had not been brought to bear on planetary mission overrun onset, and the question of when overrun risk peaks had never been posed as a falsifiable empirical claim. Time-to-event methods have been applied elsewhere in the space domain, including the modeling of maneuver occurrence for non-cooperative satellites</w:t>
      </w:r>
      <w:r>
        <w:t xml:space="preserve"> </w:t>
      </w:r>
      <w:hyperlink w:anchor="ref-12">
        <w:r>
          <w:rPr>
            <w:rStyle w:val="Hyperlink"/>
          </w:rPr>
          <w:t xml:space="preserve">[12]</w:t>
        </w:r>
      </w:hyperlink>
      <w:r>
        <w:t xml:space="preserve">, which demonstrates that the apparatus travels into space-systems problems; this work is the first to direct it at the governance question of when a confirmed mission first loses its baseline.</w:t>
      </w:r>
    </w:p>
    <w:p>
      <w:pPr>
        <w:pStyle w:val="BodyText"/>
        <w:spacing w:line="480" w:lineRule="auto"/>
        <w:ind w:firstLine="720"/>
      </w:pPr>
      <w:r>
        <w:t xml:space="preserve">The instrument is the second contribution. The dissertation delivered a fitted hazard model on real NASA data, with an identification strategy whose load-bearing element is institutional rather than statistical. Survival estimation is defeated when entry into the risk set is fuzzy, because left-truncation of unknown extent biases the early hazard, which is precisely the portion the design-maturity hypothesis concerns. The discreteness of the confirmation milestone removes that ambiguity: every mission enters the risk set at a published date on the same institutional event, so the at-risk interval is measured from a common observable origin rather than inferred. The launch date supplies the right boundary, and the event is defined strictly as the first breach of the confirmation baseline, so that a formal rebaseline is coded as the event rather than as a renewal of survival, which keeps exposure and event anchored to one governance act. The methodological transferability of this strategy is itself a contribution: any program governed by dated, documented milestone gates inherits the same favorable clock, and the design generalizes to defense acquisition, large science facilities, and other milestone-gated enterprises wherever a confirmation-equivalent event fixes an unambiguous origin.</w:t>
      </w:r>
    </w:p>
    <w:p>
      <w:pPr>
        <w:pStyle w:val="BodyText"/>
        <w:spacing w:line="480" w:lineRule="auto"/>
        <w:ind w:firstLine="720"/>
      </w:pPr>
      <w:r>
        <w:t xml:space="preserve">The decision-relevant object is the third contribution. The deliverable was specified from the outset as a phase-indexed hazard curve a review board can read directly, an artifact that maps onto the board’s actual choice of where to concentrate reserve and review rather than onto an abstract distribution of end-state cost. A flat hazard would counsel spreading reserve evenly across the development calendar; a hazard with an interior peak would counsel concentrating it where the peak sits. The covariate model extends the same logic to a covariate-adjusted statement of breach risk, so that a board can read not only when the hazard is highest but how a mission’s own mass, complexity, and heritage shift that risk relative to the baseline. The shift from a point estimate of cost to a conditional statement of breach risk is the practical payoff, and it is stated in the board’s own decision vocabulary.</w:t>
      </w:r>
    </w:p>
    <w:p>
      <w:pPr>
        <w:pStyle w:val="BodyText"/>
        <w:spacing w:line="480" w:lineRule="auto"/>
        <w:ind w:firstLine="720"/>
      </w:pPr>
      <w:r>
        <w:t xml:space="preserve">The fourth contribution is negative and is no less substantive for being so. On real NASA data, physical scale does not buy a faster path to overrun, and may buy a slower one. This finding cuts against the intuition embedded in cost-estimation practice, where mass is the leading driver of the cost level, by showing that the variable governing the level of cost does not govern the rate of baseline loss in the same direction once the survival structure is imposed. The result reorients attention from the engineering attributes the parametric tools measure toward the programmatic attributes they omit, reserve depth and managerial protection foremost among them. A negative finding that redirects a field’s causal attention is a contribution to knowledge precisely because it forecloses a plausible hypothesis and names the omitted variable that should replace it.</w:t>
      </w:r>
    </w:p>
    <w:bookmarkEnd w:id="141"/>
    <w:bookmarkStart w:id="142" w:name="the-honest-boundary-of-the-claim"/>
    <w:p>
      <w:pPr>
        <w:pStyle w:val="Heading2"/>
        <w:spacing w:line="480" w:lineRule="auto"/>
      </w:pPr>
      <w:r>
        <w:t xml:space="preserve">8.4 The Honest Boundary of the Claim</w:t>
      </w:r>
    </w:p>
    <w:p>
      <w:pPr>
        <w:pStyle w:val="FirstParagraph"/>
        <w:spacing w:line="480" w:lineRule="auto"/>
      </w:pPr>
      <w:r>
        <w:t xml:space="preserve">The standing of these contributions is bounded by three limitations the dissertation has carried openly from the prospectus forward, and restating them is part of the synthesis rather than an apology for it. First, the covariate coefficients are associational, not causal: instrument complement and mass are themselves chosen partly in anticipation of cost risk, so the Cox coefficients describe the conditional breach rate of missions that were built a certain way rather than the effect of building a mission that way</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covariate model was positioned throughout as a robustness check on hazard shape, never as a causal account of overrun drivers, and the negative mass finding is reported as an associational reorientation rather than as a causal mechanism. Second, the event is defined as the first recorded breach, and the phase at which a breach becomes recordable may lag the phase at which it became probable, which would bias a phase-located hazard peak later than its true onset; the covariate hazard ratios are insensitive to that timing bias, but a phase-indexed extension would need to bracket it with the dual event definitions the methods chapter specified. Third, and most binding, the sample is the population of confirmed NASA planetary missions with public records, which is modest by construction and yields the wide intervals reported above. None of these limitations touches the central methodological claim, which depends only on the dated confirmation clock and the dated event, both observed for every mission. The contribution that survives unqualified is the reframing and its identification; the empirical findings are offered with the precision the sample permits and not a degree more.</w:t>
      </w:r>
    </w:p>
    <w:p>
      <w:pPr>
        <w:pStyle w:val="BodyText"/>
        <w:spacing w:line="480" w:lineRule="auto"/>
        <w:ind w:firstLine="720"/>
      </w:pPr>
      <w:r>
        <w:t xml:space="preserve">The path forward follows directly from where the claim’s boundary falls. The reserve fraction at confirmation is the single covariate whose addition would most sharpen the inference, because the leading interpretation of the mass result is that mass proxies for the protection that reserve depth supplies. Pooling additional mission classes and additional agency-year observations would narrow the intervals that small samples impose, and the milestone-gated identification strategy makes such pooling tractable across any program family that shares a confirmation-equivalent gate. A phase-indexed Weibull or piecewise-exponential extension, fit on a larger pooled sample, would recover the interior-peak shape that the central hypothesis concerns and that the present sample could describe but not pin down parametrically. Each of these extensions is enabled by the architecture this dissertation built rather than requiring its revision, which is the mark of a contribution that opens a line of inquiry rather than closing one.</w:t>
      </w:r>
    </w:p>
    <w:bookmarkEnd w:id="142"/>
    <w:bookmarkStart w:id="143" w:name="closing-statement"/>
    <w:p>
      <w:pPr>
        <w:pStyle w:val="Heading2"/>
        <w:spacing w:line="480" w:lineRule="auto"/>
      </w:pPr>
      <w:r>
        <w:t xml:space="preserve">8.5 Closing Statement</w:t>
      </w:r>
    </w:p>
    <w:p>
      <w:pPr>
        <w:pStyle w:val="FirstParagraph"/>
        <w:spacing w:line="480" w:lineRule="auto"/>
      </w:pPr>
      <w:r>
        <w:t xml:space="preserve">A confirmation review board asks a question the cost-estimation literature has not been built to answer. It does not ask, in the first instance, how much a mission will overrun; it asks when, across the development calendar, the overrun first becomes probable, so that reserve and review can be placed where they will do the most good. This dissertation took that question seriously enough to change the instrument pointed at it, treating baseline breach not as a magnitude to be forecast but as an event to be timed, and estimating the hazard of first breach across the lifecycle of real NASA planetary missions with the standard apparatus of survival analysis. The reframing proved sound: the discreteness of the confirmation milestone supplies a clock start clean enough to identify the hazard, and the parametric tradition’s own variables carry directly into a model where their effects on the rate of baseline loss become separately testable. The empirical record, drawn from twenty-five missions of fully auditable provenance, returned a result more honest than tidy. Complexity and novelty point the way theory predicts but without the precision a small sample could deliver, and physical scale, the field’s leading cost driver, does not raise and may lower the rate at which a mission loses its baseline once the survival structure is imposed. That finding redirects attention from the engineering attributes the parametric tools measure toward the programmatic protection they omit. The dissertation’s lasting claim is therefore methodological and modest in equal measure: when overrun is reframed as a timing process and identified on the confirmation clock, the question of when a mission first loses its baseline becomes a falsifiable empirical object a review board can read, and the first reading on real data is that the path to overrun is governed less by how large a mission is than by how well it is protected. The instrument is now built, the clock is now identified, and the question of when is now answerable.</w:t>
      </w:r>
    </w:p>
    <w:bookmarkEnd w:id="143"/>
    <w:bookmarkStart w:id="185" w:name="references"/>
    <w:p>
      <w:pPr>
        <w:pStyle w:val="Heading2"/>
        <w:spacing w:line="480" w:lineRule="auto"/>
      </w:pPr>
      <w:r>
        <w:t xml:space="preserve">References</w:t>
      </w:r>
    </w:p>
    <w:p>
      <w:pPr>
        <w:pStyle w:val="FirstParagraph"/>
        <w:spacing w:line="480" w:lineRule="auto"/>
      </w:pPr>
      <w:bookmarkStart w:id="144" w:name="ref-1"/>
      <w:bookmarkEnd w:id="144"/>
      <w:r>
        <w:t xml:space="preserve">1.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145">
        <w:r>
          <w:rPr>
            <w:rStyle w:val="Hyperlink"/>
          </w:rPr>
          <w:t xml:space="preserve">10.1016/j.actaastro.2019.09.030</w:t>
        </w:r>
      </w:hyperlink>
    </w:p>
    <w:p>
      <w:pPr>
        <w:pStyle w:val="BodyText"/>
        <w:spacing w:line="480" w:lineRule="auto"/>
        <w:ind w:firstLine="720"/>
      </w:pPr>
      <w:bookmarkStart w:id="146" w:name="ref-2"/>
      <w:bookmarkEnd w:id="146"/>
      <w:r>
        <w:t xml:space="preserve">2. S. Dorrington and J. Olsen,</w:t>
      </w:r>
      <w:r>
        <w:t xml:space="preserve"> </w:t>
      </w:r>
      <w:r>
        <w:t xml:space="preserve">“Parametric economic modelling of asteroid mining architectures,”</w:t>
      </w:r>
      <w:r>
        <w:t xml:space="preserve"> </w:t>
      </w:r>
      <w:r>
        <w:rPr>
          <w:i/>
          <w:iCs/>
        </w:rPr>
        <w:t xml:space="preserve">Acta Astronautica</w:t>
      </w:r>
      <w:r>
        <w:t xml:space="preserve">, vol. 241, 2025. doi:</w:t>
      </w:r>
      <w:r>
        <w:t xml:space="preserve"> </w:t>
      </w:r>
      <w:hyperlink r:id="rId147">
        <w:r>
          <w:rPr>
            <w:rStyle w:val="Hyperlink"/>
          </w:rPr>
          <w:t xml:space="preserve">10.1016/j.actaastro.2025.11.006</w:t>
        </w:r>
      </w:hyperlink>
    </w:p>
    <w:p>
      <w:pPr>
        <w:pStyle w:val="BodyText"/>
        <w:spacing w:line="480" w:lineRule="auto"/>
        <w:ind w:firstLine="720"/>
      </w:pPr>
      <w:bookmarkStart w:id="148" w:name="ref-3"/>
      <w:bookmarkEnd w:id="148"/>
      <w:r>
        <w:t xml:space="preserve">3.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2022. doi:</w:t>
      </w:r>
      <w:r>
        <w:t xml:space="preserve"> </w:t>
      </w:r>
      <w:hyperlink r:id="rId149">
        <w:r>
          <w:rPr>
            <w:rStyle w:val="Hyperlink"/>
          </w:rPr>
          <w:t xml:space="preserve">10.1016/j.actaastro.2022.12.036</w:t>
        </w:r>
      </w:hyperlink>
    </w:p>
    <w:p>
      <w:pPr>
        <w:pStyle w:val="BodyText"/>
        <w:spacing w:line="480" w:lineRule="auto"/>
        <w:ind w:firstLine="720"/>
      </w:pPr>
      <w:bookmarkStart w:id="150" w:name="ref-4"/>
      <w:bookmarkEnd w:id="150"/>
      <w:r>
        <w:t xml:space="preserve">4. M. Weinzierl,</w:t>
      </w:r>
      <w:r>
        <w:t xml:space="preserve"> </w:t>
      </w:r>
      <w:r>
        <w:t xml:space="preserve">“Space, the final economic frontier,”</w:t>
      </w:r>
      <w:r>
        <w:t xml:space="preserve"> </w:t>
      </w:r>
      <w:r>
        <w:rPr>
          <w:i/>
          <w:iCs/>
        </w:rPr>
        <w:t xml:space="preserve">Journal of Economic Perspectives</w:t>
      </w:r>
      <w:r>
        <w:t xml:space="preserve">, vol. 32, no. 2, 2018. doi:</w:t>
      </w:r>
      <w:r>
        <w:t xml:space="preserve"> </w:t>
      </w:r>
      <w:hyperlink r:id="rId151">
        <w:r>
          <w:rPr>
            <w:rStyle w:val="Hyperlink"/>
          </w:rPr>
          <w:t xml:space="preserve">10.1257/jep.32.2.173</w:t>
        </w:r>
      </w:hyperlink>
    </w:p>
    <w:p>
      <w:pPr>
        <w:pStyle w:val="BodyText"/>
        <w:spacing w:line="480" w:lineRule="auto"/>
        <w:ind w:firstLine="720"/>
      </w:pPr>
      <w:bookmarkStart w:id="152" w:name="ref-5"/>
      <w:bookmarkEnd w:id="152"/>
      <w:r>
        <w:t xml:space="preserve">5. U.S. Government Accountability Office, NASA: Assessments of Major Projects, GAO-25-107591, 2025. https://www.gao.gov/assets/gao-25-107591.pdf.</w:t>
      </w:r>
    </w:p>
    <w:p>
      <w:pPr>
        <w:pStyle w:val="BodyText"/>
        <w:spacing w:line="480" w:lineRule="auto"/>
        <w:ind w:firstLine="720"/>
      </w:pPr>
      <w:bookmarkStart w:id="153" w:name="ref-6"/>
      <w:bookmarkEnd w:id="153"/>
      <w:r>
        <w:t xml:space="preserve">6. U.S. Government Accountability Office, NASA: Assessment of Major Projects, GAO-23-106021, 2023. https://www.gao.gov/assets/gao-23-106021.pdf.</w:t>
      </w:r>
    </w:p>
    <w:p>
      <w:pPr>
        <w:pStyle w:val="BodyText"/>
        <w:spacing w:line="480" w:lineRule="auto"/>
        <w:ind w:firstLine="720"/>
      </w:pPr>
      <w:bookmarkStart w:id="154" w:name="ref-7"/>
      <w:bookmarkEnd w:id="154"/>
      <w:r>
        <w:t xml:space="preserve">7. The Planetary Society,</w:t>
      </w:r>
      <w:r>
        <w:t xml:space="preserve"> </w:t>
      </w:r>
      <w:r>
        <w:t xml:space="preserve">“The cost of OSIRIS-REx.”</w:t>
      </w:r>
      <w:r>
        <w:t xml:space="preserve"> </w:t>
      </w:r>
      <w:r>
        <w:t xml:space="preserve">https://www.planetary.org/space-policy/cost-of-osiris-rex.</w:t>
      </w:r>
    </w:p>
    <w:p>
      <w:pPr>
        <w:pStyle w:val="BodyText"/>
        <w:spacing w:line="480" w:lineRule="auto"/>
        <w:ind w:firstLine="720"/>
      </w:pPr>
      <w:bookmarkStart w:id="155" w:name="ref-8"/>
      <w:bookmarkEnd w:id="155"/>
      <w:r>
        <w:t xml:space="preserve">8. The Planetary Society,</w:t>
      </w:r>
      <w:r>
        <w:t xml:space="preserve"> </w:t>
      </w:r>
      <w:r>
        <w:t xml:space="preserve">“The cost of Mars InSight.”</w:t>
      </w:r>
      <w:r>
        <w:t xml:space="preserve"> </w:t>
      </w:r>
      <w:r>
        <w:t xml:space="preserve">https://www.planetary.org/space-policy/cost-of-mars-insight.</w:t>
      </w:r>
    </w:p>
    <w:p>
      <w:pPr>
        <w:pStyle w:val="BodyText"/>
        <w:spacing w:line="480" w:lineRule="auto"/>
        <w:ind w:firstLine="720"/>
      </w:pPr>
      <w:bookmarkStart w:id="156" w:name="ref-9"/>
      <w:bookmarkEnd w:id="156"/>
      <w:r>
        <w:t xml:space="preserve">9. The Planetary Society,</w:t>
      </w:r>
      <w:r>
        <w:t xml:space="preserve"> </w:t>
      </w:r>
      <w:r>
        <w:t xml:space="preserve">“The cost of the Double Asteroid Redirection Test (DART) mission.”</w:t>
      </w:r>
      <w:r>
        <w:t xml:space="preserve"> </w:t>
      </w:r>
      <w:r>
        <w:t xml:space="preserve">https://www.planetary.org/space-policy/cost-of-dart.</w:t>
      </w:r>
    </w:p>
    <w:p>
      <w:pPr>
        <w:pStyle w:val="BodyText"/>
        <w:spacing w:line="480" w:lineRule="auto"/>
        <w:ind w:firstLine="720"/>
      </w:pPr>
      <w:bookmarkStart w:id="157" w:name="ref-10"/>
      <w:bookmarkEnd w:id="157"/>
      <w:r>
        <w:t xml:space="preserve">10. J. Foust,</w:t>
      </w:r>
      <w:r>
        <w:t xml:space="preserve"> </w:t>
      </w:r>
      <w:r>
        <w:t xml:space="preserve">“NASA confirms Dragonfly mission despite doubled costs,”</w:t>
      </w:r>
      <w:r>
        <w:t xml:space="preserve"> </w:t>
      </w:r>
      <w:r>
        <w:t xml:space="preserve">SpaceNews, Apr. 2024. https://spacenews.com/nasa-confirms-dragonfly-mission-despite-doubled-costs/.</w:t>
      </w:r>
    </w:p>
    <w:p>
      <w:pPr>
        <w:pStyle w:val="BodyText"/>
        <w:spacing w:line="480" w:lineRule="auto"/>
        <w:ind w:firstLine="720"/>
      </w:pPr>
      <w:bookmarkStart w:id="158" w:name="ref-11"/>
      <w:bookmarkEnd w:id="158"/>
      <w:r>
        <w:t xml:space="preserve">11. M. Smith,</w:t>
      </w:r>
      <w:r>
        <w:t xml:space="preserve"> </w:t>
      </w:r>
      <w:r>
        <w:t xml:space="preserve">“NASA reveals Europa Clipper cost growth, Mars Sample Return replan,”</w:t>
      </w:r>
      <w:r>
        <w:t xml:space="preserve"> </w:t>
      </w:r>
      <w:r>
        <w:t xml:space="preserve">SpacePolicyOnline, 2022. https://spacepolicyonline.com/news/nasa-reveals-europa-clipper-cost-growth-mars-sample-return-replan/.</w:t>
      </w:r>
    </w:p>
    <w:p>
      <w:pPr>
        <w:pStyle w:val="BodyText"/>
        <w:spacing w:line="480" w:lineRule="auto"/>
        <w:ind w:firstLine="720"/>
      </w:pPr>
      <w:bookmarkStart w:id="159" w:name="ref-12"/>
      <w:bookmarkEnd w:id="159"/>
      <w:r>
        <w:t xml:space="preserve">12. S Shivshankar, Indian Institute of Science; Debasish Ghose, Indian Institute of Science. Time-to-Event Data (Survival Analysis) based Modelling of Maneuver Occurrence of Non-Cooperative Satellites (2023). doi:</w:t>
      </w:r>
      <w:r>
        <w:t xml:space="preserve"> </w:t>
      </w:r>
      <w:hyperlink r:id="rId160">
        <w:r>
          <w:rPr>
            <w:rStyle w:val="Hyperlink"/>
          </w:rPr>
          <w:t xml:space="preserve">10.64861/LPFK9568</w:t>
        </w:r>
      </w:hyperlink>
    </w:p>
    <w:p>
      <w:pPr>
        <w:pStyle w:val="BodyText"/>
        <w:spacing w:line="480" w:lineRule="auto"/>
        <w:ind w:firstLine="720"/>
      </w:pPr>
      <w:bookmarkStart w:id="161" w:name="ref-13"/>
      <w:bookmarkEnd w:id="161"/>
      <w:r>
        <w:t xml:space="preserve">13. Nathan Boone, Air Force Institute of Technology; Robert Bettinger,Air Force Institute of Technology. Artificial Debris Collision Risk Following a Catastrophic Spacecraft Mishap in Lunar Orbit (2021).</w:t>
      </w:r>
    </w:p>
    <w:p>
      <w:pPr>
        <w:pStyle w:val="BodyText"/>
        <w:spacing w:line="480" w:lineRule="auto"/>
        <w:ind w:firstLine="720"/>
      </w:pPr>
      <w:bookmarkStart w:id="162" w:name="ref-14"/>
      <w:bookmarkEnd w:id="162"/>
      <w:r>
        <w:t xml:space="preserve">14.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w:t>
      </w:r>
    </w:p>
    <w:p>
      <w:pPr>
        <w:pStyle w:val="BodyText"/>
        <w:spacing w:line="480" w:lineRule="auto"/>
        <w:ind w:firstLine="720"/>
      </w:pPr>
      <w:bookmarkStart w:id="163" w:name="ref-15"/>
      <w:bookmarkEnd w:id="163"/>
      <w:r>
        <w:t xml:space="preserve">15. Rick Luce, Stellar Solutions, Inc.. An Imagineering Approach to the Future of Space Situational Awareness (2017).</w:t>
      </w:r>
    </w:p>
    <w:p>
      <w:pPr>
        <w:pStyle w:val="BodyText"/>
        <w:spacing w:line="480" w:lineRule="auto"/>
        <w:ind w:firstLine="720"/>
      </w:pPr>
      <w:bookmarkStart w:id="164" w:name="ref-16"/>
      <w:bookmarkEnd w:id="164"/>
      <w:r>
        <w:t xml:space="preserve">16. Catherine S. Plesko (Los Alamos National Laboratory), Robert P. Weaver (Los Alamos National Laboratory), Walter F. Huebner (Southwest Research Institute). Numerical and Probabilistic Analysis of Asteroid and Comet Impact Hazard Mitigation (2010).</w:t>
      </w:r>
    </w:p>
    <w:p>
      <w:pPr>
        <w:pStyle w:val="BodyText"/>
        <w:spacing w:line="480" w:lineRule="auto"/>
        <w:ind w:firstLine="720"/>
      </w:pPr>
      <w:bookmarkStart w:id="165" w:name="ref-17"/>
      <w:bookmarkEnd w:id="165"/>
      <w:r>
        <w:t xml:space="preserve">17. Ellen Glad, Millennium Space Systems, A Boeing Company. A Survey of COTS Optical Systems for Space Applications (2023). doi:</w:t>
      </w:r>
      <w:r>
        <w:t xml:space="preserve"> </w:t>
      </w:r>
      <w:hyperlink r:id="rId166">
        <w:r>
          <w:rPr>
            <w:rStyle w:val="Hyperlink"/>
          </w:rPr>
          <w:t xml:space="preserve">10.64861/SLOL2274</w:t>
        </w:r>
      </w:hyperlink>
    </w:p>
    <w:p>
      <w:pPr>
        <w:pStyle w:val="BodyText"/>
        <w:spacing w:line="480" w:lineRule="auto"/>
        <w:ind w:firstLine="720"/>
      </w:pPr>
      <w:bookmarkStart w:id="167" w:name="ref-18"/>
      <w:bookmarkEnd w:id="167"/>
      <w:r>
        <w:t xml:space="preserve">18.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w:t>
      </w:r>
    </w:p>
    <w:p>
      <w:pPr>
        <w:pStyle w:val="BodyText"/>
        <w:spacing w:line="480" w:lineRule="auto"/>
        <w:ind w:firstLine="720"/>
      </w:pPr>
      <w:bookmarkStart w:id="168" w:name="ref-19"/>
      <w:bookmarkEnd w:id="168"/>
      <w:r>
        <w:t xml:space="preserve">19.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w:t>
      </w:r>
    </w:p>
    <w:p>
      <w:pPr>
        <w:pStyle w:val="BodyText"/>
        <w:spacing w:line="480" w:lineRule="auto"/>
        <w:ind w:firstLine="720"/>
      </w:pPr>
      <w:bookmarkStart w:id="169" w:name="ref-20"/>
      <w:bookmarkEnd w:id="169"/>
      <w:r>
        <w:t xml:space="preserve">20. Jean‐Marc Salotti. Launcher size optimization for a crewed Mars mission (2021). doi:</w:t>
      </w:r>
      <w:r>
        <w:t xml:space="preserve"> </w:t>
      </w:r>
      <w:hyperlink r:id="rId170">
        <w:r>
          <w:rPr>
            <w:rStyle w:val="Hyperlink"/>
          </w:rPr>
          <w:t xml:space="preserve">10.1016/j.actaastro.2021.11.016</w:t>
        </w:r>
      </w:hyperlink>
    </w:p>
    <w:p>
      <w:pPr>
        <w:pStyle w:val="BodyText"/>
        <w:spacing w:line="480" w:lineRule="auto"/>
        <w:ind w:firstLine="720"/>
      </w:pPr>
      <w:bookmarkStart w:id="171" w:name="ref-21"/>
      <w:bookmarkEnd w:id="171"/>
      <w:r>
        <w:t xml:space="preserve">21. Jean‐Marc Salotti. Can humanity survive to a giant comet impact? (2024). doi:</w:t>
      </w:r>
      <w:r>
        <w:t xml:space="preserve"> </w:t>
      </w:r>
      <w:hyperlink r:id="rId172">
        <w:r>
          <w:rPr>
            <w:rStyle w:val="Hyperlink"/>
          </w:rPr>
          <w:t xml:space="preserve">10.1016/j.actaastro.2024.03.050</w:t>
        </w:r>
      </w:hyperlink>
    </w:p>
    <w:p>
      <w:pPr>
        <w:pStyle w:val="BodyText"/>
        <w:spacing w:line="480" w:lineRule="auto"/>
        <w:ind w:firstLine="720"/>
      </w:pPr>
      <w:bookmarkStart w:id="173" w:name="ref-22"/>
      <w:bookmarkEnd w:id="173"/>
      <w:r>
        <w:t xml:space="preserve">22. Maximilien Berthet. Aerobraking: Review of the state of the art and required developments (2025). doi:</w:t>
      </w:r>
      <w:r>
        <w:t xml:space="preserve"> </w:t>
      </w:r>
      <w:hyperlink r:id="rId174">
        <w:r>
          <w:rPr>
            <w:rStyle w:val="Hyperlink"/>
          </w:rPr>
          <w:t xml:space="preserve">10.1016/j.actaastro.2025.08.015</w:t>
        </w:r>
      </w:hyperlink>
    </w:p>
    <w:p>
      <w:pPr>
        <w:pStyle w:val="BodyText"/>
        <w:spacing w:line="480" w:lineRule="auto"/>
        <w:ind w:firstLine="720"/>
      </w:pPr>
      <w:bookmarkStart w:id="175" w:name="ref-23"/>
      <w:bookmarkEnd w:id="175"/>
      <w:r>
        <w:t xml:space="preserve">23. E. Zhibo; Renhe Shi; Lan Gan; Hexi Baoyin; Junfeng Li. Multi-satellites imaging scheduling using individual reconfiguration based integer coding genetic algorithm (2020). doi:</w:t>
      </w:r>
      <w:r>
        <w:t xml:space="preserve"> </w:t>
      </w:r>
      <w:hyperlink r:id="rId176">
        <w:r>
          <w:rPr>
            <w:rStyle w:val="Hyperlink"/>
          </w:rPr>
          <w:t xml:space="preserve">10.1016/j.actaastro.2020.08.041</w:t>
        </w:r>
      </w:hyperlink>
    </w:p>
    <w:p>
      <w:pPr>
        <w:pStyle w:val="BodyText"/>
        <w:spacing w:line="480" w:lineRule="auto"/>
        <w:ind w:firstLine="720"/>
      </w:pPr>
      <w:bookmarkStart w:id="177" w:name="ref-24"/>
      <w:bookmarkEnd w:id="177"/>
      <w:r>
        <w:t xml:space="preserve">24. Dragoș Mihai; Radu Mihalache; Ionuț Florian Popa; Ionuț Sebastian Vintilă; Daniel Datcu; Ion Ciocan; V. Braic; Iulian Pană; A. Kiss; C.N. Zoita; Paul Burlacu. Design, analysis and evaluation of titanium antenna reflector for deep space missions (2021). doi:</w:t>
      </w:r>
      <w:r>
        <w:t xml:space="preserve"> </w:t>
      </w:r>
      <w:hyperlink r:id="rId178">
        <w:r>
          <w:rPr>
            <w:rStyle w:val="Hyperlink"/>
          </w:rPr>
          <w:t xml:space="preserve">10.1016/j.actaastro.2021.04.006</w:t>
        </w:r>
      </w:hyperlink>
    </w:p>
    <w:p>
      <w:pPr>
        <w:pStyle w:val="BodyText"/>
        <w:spacing w:line="480" w:lineRule="auto"/>
        <w:ind w:firstLine="720"/>
      </w:pPr>
      <w:bookmarkStart w:id="179" w:name="ref-25"/>
      <w:bookmarkEnd w:id="179"/>
      <w:r>
        <w:t xml:space="preserve">25. Mehmet Şevket Uludağ; Alim Rüstem Aslan. Highly-miniaturized spacecraft “PlanarSat”: Evaluating prospects and challenges through a survey of femto &amp; atto satellite missions (2025). doi:</w:t>
      </w:r>
      <w:r>
        <w:t xml:space="preserve"> </w:t>
      </w:r>
      <w:hyperlink r:id="rId180">
        <w:r>
          <w:rPr>
            <w:rStyle w:val="Hyperlink"/>
          </w:rPr>
          <w:t xml:space="preserve">10.1016/j.actaastro.2025.05.018</w:t>
        </w:r>
      </w:hyperlink>
    </w:p>
    <w:p>
      <w:pPr>
        <w:pStyle w:val="BodyText"/>
        <w:spacing w:line="480" w:lineRule="auto"/>
        <w:ind w:firstLine="720"/>
      </w:pPr>
      <w:bookmarkStart w:id="181" w:name="ref-26"/>
      <w:bookmarkEnd w:id="181"/>
      <w:r>
        <w:t xml:space="preserve">26. Pingyuan Cui; Dantong Ge; Ai Gao. Optimal landing site selection based on safety index during planetary descent (2016). doi:</w:t>
      </w:r>
      <w:r>
        <w:t xml:space="preserve"> </w:t>
      </w:r>
      <w:hyperlink r:id="rId182">
        <w:r>
          <w:rPr>
            <w:rStyle w:val="Hyperlink"/>
          </w:rPr>
          <w:t xml:space="preserve">10.1016/j.actaastro.2016.10.040</w:t>
        </w:r>
      </w:hyperlink>
    </w:p>
    <w:p>
      <w:pPr>
        <w:pStyle w:val="BodyText"/>
        <w:spacing w:line="480" w:lineRule="auto"/>
        <w:ind w:firstLine="720"/>
      </w:pPr>
      <w:bookmarkStart w:id="183" w:name="ref-27"/>
      <w:bookmarkEnd w:id="183"/>
      <w:r>
        <w:t xml:space="preserve">27. Justin Walsh; Rao Hamza Ali; Ryan Shihabi; Erik Linstead. Facility usage on the International Space Station (2025). doi:</w:t>
      </w:r>
      <w:r>
        <w:t xml:space="preserve"> </w:t>
      </w:r>
      <w:hyperlink r:id="rId184">
        <w:r>
          <w:rPr>
            <w:rStyle w:val="Hyperlink"/>
          </w:rPr>
          <w:t xml:space="preserve">10.1016/j.actaastro.2025.11.056</w:t>
        </w:r>
      </w:hyperlink>
    </w:p>
    <w:bookmarkEnd w:id="185"/>
    <w:bookmarkEnd w:id="186"/>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4" w:name="X0a49282c93f9780694d7e321deb618ece8ffcf9"/>
    <w:p>
      <w:pPr>
        <w:pStyle w:val="Heading2"/>
        <w:spacing w:line="480" w:lineRule="auto"/>
      </w:pPr>
      <w:r>
        <w:t xml:space="preserve">A.1 When Does the Overrun Begin? A Cox Proportional-Hazards Model of Cost-and-Schedule Baseline Breach in NASA Planetary Missions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rPr>
              <m:sty m:val="p"/>
            </m:rPr>
            <m:t>m</m:t>
          </m:r>
          <m:r>
            <m:rPr>
              <m:sty m:val="p"/>
            </m:rPr>
            <m:t>a</m:t>
          </m:r>
          <m:r>
            <m:rPr>
              <m:sty m:val="p"/>
            </m:rPr>
            <m:t>s</m:t>
          </m:r>
          <m:r>
            <m:rPr>
              <m:sty m:val="p"/>
            </m:rPr>
            <m:t>s</m:t>
          </m:r>
          <m:r>
            <m:rPr>
              <m:sty m:val="p"/>
            </m:rPr>
            <m:t>_</m:t>
          </m:r>
          <m:r>
            <m:rPr>
              <m:sty m:val="p"/>
            </m:rPr>
            <m:t>t</m:t>
          </m:r>
          <m:r>
            <m:rPr>
              <m:sty m:val="p"/>
            </m:rPr>
            <m:t>+</m:t>
          </m:r>
          <m:sSub>
            <m:e>
              <m:r>
                <m:t>β</m:t>
              </m:r>
            </m:e>
            <m:sub>
              <m:r>
                <m:t>2</m:t>
              </m:r>
            </m:sub>
          </m:sSub>
          <m:r>
            <m:rPr>
              <m:sty m:val="p"/>
            </m:rPr>
            <m:t>n</m:t>
          </m:r>
          <m:r>
            <m:rPr>
              <m:sty m:val="p"/>
            </m:rPr>
            <m:t>_</m:t>
          </m:r>
          <m:r>
            <m:rPr>
              <m:sty m:val="p"/>
            </m:rPr>
            <m:t>i</m:t>
          </m:r>
          <m:r>
            <m:rPr>
              <m:sty m:val="p"/>
            </m:rPr>
            <m:t>n</m:t>
          </m:r>
          <m:r>
            <m:rPr>
              <m:sty m:val="p"/>
            </m:rPr>
            <m:t>s</m:t>
          </m:r>
          <m:r>
            <m:rPr>
              <m:sty m:val="p"/>
            </m:rPr>
            <m:t>t</m:t>
          </m:r>
          <m:r>
            <m:rPr>
              <m:sty m:val="p"/>
            </m:rPr>
            <m:t>r</m:t>
          </m:r>
          <m:r>
            <m:rPr>
              <m:sty m:val="p"/>
            </m:rPr>
            <m:t>+</m:t>
          </m:r>
          <m:sSub>
            <m:e>
              <m:r>
                <m:t>β</m:t>
              </m:r>
            </m:e>
            <m:sub>
              <m:r>
                <m:t>3</m:t>
              </m:r>
            </m:sub>
          </m:sSub>
          <m:r>
            <m:rPr>
              <m:sty m:val="p"/>
            </m:rPr>
            <m:t>h</m:t>
          </m:r>
          <m:r>
            <m:rPr>
              <m:sty m:val="p"/>
            </m:rPr>
            <m:t>e</m:t>
          </m:r>
          <m:r>
            <m:rPr>
              <m:sty m:val="p"/>
            </m:rPr>
            <m:t>r</m:t>
          </m:r>
          <m:r>
            <m:rPr>
              <m:sty m:val="p"/>
            </m:rPr>
            <m:t>i</m:t>
          </m:r>
          <m:r>
            <m:rPr>
              <m:sty m:val="p"/>
            </m:rPr>
            <m:t>t</m:t>
          </m:r>
          <m:r>
            <m:rPr>
              <m:sty m:val="p"/>
            </m:rPr>
            <m:t>a</m:t>
          </m:r>
          <m:r>
            <m:rPr>
              <m:sty m:val="p"/>
            </m:rPr>
            <m:t>g</m:t>
          </m:r>
          <m:r>
            <m:rPr>
              <m:sty m:val="p"/>
            </m:rPr>
            <m:t>e</m:t>
          </m:r>
          <m:r>
            <m:rPr>
              <m:sty m:val="p"/>
            </m:rPr>
            <m:t>)</m:t>
          </m:r>
        </m:oMath>
      </m:oMathPara>
    </w:p>
    <w:bookmarkStart w:id="18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-0.5229</w:t>
            </w:r>
          </w:p>
        </w:tc>
        <w:tc>
          <w:tcPr>
            <w:tcW w:w="0" w:type="auto"/>
          </w:tcPr>
          <w:p>
            <w:pPr>
              <w:spacing w:line="240" w:lineRule="auto" w:before="0" w:after="0"/>
              <w:pStyle w:val="Compact"/>
            </w:pPr>
            <w:r>
              <w:rPr>
                <w:sz w:val="20"/>
                <w:szCs w:val="20"/>
              </w:rPr>
              <w:t xml:space="preserve">0.2869</w:t>
            </w:r>
          </w:p>
        </w:tc>
        <w:tc>
          <w:tcPr>
            <w:tcW w:w="0" w:type="auto"/>
          </w:tcPr>
          <w:p>
            <w:pPr>
              <w:spacing w:line="240" w:lineRule="auto" w:before="0" w:after="0"/>
              <w:pStyle w:val="Compact"/>
            </w:pPr>
            <w:r>
              <w:rPr>
                <w:sz w:val="20"/>
                <w:szCs w:val="20"/>
              </w:rPr>
              <w:t xml:space="preserve">-1.8229</w:t>
            </w:r>
          </w:p>
        </w:tc>
        <w:tc>
          <w:tcPr>
            <w:tcW w:w="0" w:type="auto"/>
          </w:tcPr>
          <w:p>
            <w:pPr>
              <w:spacing w:line="240" w:lineRule="auto" w:before="0" w:after="0"/>
              <w:pStyle w:val="Compact"/>
            </w:pPr>
            <w:r>
              <w:rPr>
                <w:sz w:val="20"/>
                <w:szCs w:val="20"/>
              </w:rPr>
              <w:t xml:space="preserve">0.0683</w:t>
            </w:r>
          </w:p>
        </w:tc>
        <w:tc>
          <w:tcPr>
            <w:tcW w:w="0" w:type="auto"/>
          </w:tcPr>
          <w:p>
            <w:pPr>
              <w:spacing w:line="240" w:lineRule="auto" w:before="0" w:after="0"/>
              <w:pStyle w:val="Compact"/>
            </w:pPr>
            <w:r>
              <w:rPr>
                <w:sz w:val="20"/>
                <w:szCs w:val="20"/>
              </w:rPr>
              <w:t xml:space="preserve">[-1.0851, 0.0393]</w:t>
            </w:r>
          </w:p>
        </w:tc>
        <w:tc>
          <w:tcPr>
            <w:tcW w:w="0" w:type="auto"/>
          </w:tcPr>
          <w:p>
            <w:pPr>
              <w:spacing w:line="240" w:lineRule="auto" w:before="0" w:after="0"/>
              <w:pStyle w:val="Compact"/>
            </w:pPr>
            <w:r>
              <w:rPr>
                <w:sz w:val="20"/>
                <w:szCs w:val="20"/>
              </w:rPr>
              <w:t xml:space="preserve">0.5928</w:t>
            </w:r>
          </w:p>
        </w:tc>
      </w:tr>
      <w:tr>
        <w:tc>
          <w:tcPr>
            <w:tcW w:w="0" w:type="auto"/>
          </w:tcPr>
          <w:p>
            <w:pPr>
              <w:spacing w:line="240" w:lineRule="auto" w:before="0" w:after="0"/>
              <w:pStyle w:val="Compact"/>
            </w:pPr>
            <w:r>
              <w:rPr>
                <w:sz w:val="20"/>
                <w:szCs w:val="20"/>
              </w:rPr>
              <w:t xml:space="preserve">n_instr</w:t>
            </w:r>
          </w:p>
        </w:tc>
        <w:tc>
          <w:tcPr>
            <w:tcW w:w="0" w:type="auto"/>
          </w:tcPr>
          <w:p>
            <w:pPr>
              <w:spacing w:line="240" w:lineRule="auto" w:before="0" w:after="0"/>
              <w:pStyle w:val="Compact"/>
            </w:pPr>
            <w:r>
              <w:rPr>
                <w:sz w:val="20"/>
                <w:szCs w:val="20"/>
              </w:rPr>
              <w:t xml:space="preserve">0.1674</w:t>
            </w:r>
          </w:p>
        </w:tc>
        <w:tc>
          <w:tcPr>
            <w:tcW w:w="0" w:type="auto"/>
          </w:tcPr>
          <w:p>
            <w:pPr>
              <w:spacing w:line="240" w:lineRule="auto" w:before="0" w:after="0"/>
              <w:pStyle w:val="Compact"/>
            </w:pPr>
            <w:r>
              <w:rPr>
                <w:sz w:val="20"/>
                <w:szCs w:val="20"/>
              </w:rPr>
              <w:t xml:space="preserve">0.1503</w:t>
            </w:r>
          </w:p>
        </w:tc>
        <w:tc>
          <w:tcPr>
            <w:tcW w:w="0" w:type="auto"/>
          </w:tcPr>
          <w:p>
            <w:pPr>
              <w:spacing w:line="240" w:lineRule="auto" w:before="0" w:after="0"/>
              <w:pStyle w:val="Compact"/>
            </w:pPr>
            <w:r>
              <w:rPr>
                <w:sz w:val="20"/>
                <w:szCs w:val="20"/>
              </w:rPr>
              <w:t xml:space="preserve">1.1138</w:t>
            </w:r>
          </w:p>
        </w:tc>
        <w:tc>
          <w:tcPr>
            <w:tcW w:w="0" w:type="auto"/>
          </w:tcPr>
          <w:p>
            <w:pPr>
              <w:spacing w:line="240" w:lineRule="auto" w:before="0" w:after="0"/>
              <w:pStyle w:val="Compact"/>
            </w:pPr>
            <w:r>
              <w:rPr>
                <w:sz w:val="20"/>
                <w:szCs w:val="20"/>
              </w:rPr>
              <w:t xml:space="preserve">0.2653</w:t>
            </w:r>
          </w:p>
        </w:tc>
        <w:tc>
          <w:tcPr>
            <w:tcW w:w="0" w:type="auto"/>
          </w:tcPr>
          <w:p>
            <w:pPr>
              <w:spacing w:line="240" w:lineRule="auto" w:before="0" w:after="0"/>
              <w:pStyle w:val="Compact"/>
            </w:pPr>
            <w:r>
              <w:rPr>
                <w:sz w:val="20"/>
                <w:szCs w:val="20"/>
              </w:rPr>
              <w:t xml:space="preserve">[-0.1271, 0.4619]</w:t>
            </w:r>
          </w:p>
        </w:tc>
        <w:tc>
          <w:tcPr>
            <w:tcW w:w="0" w:type="auto"/>
          </w:tcPr>
          <w:p>
            <w:pPr>
              <w:spacing w:line="240" w:lineRule="auto" w:before="0" w:after="0"/>
              <w:pStyle w:val="Compact"/>
            </w:pPr>
            <w:r>
              <w:rPr>
                <w:sz w:val="20"/>
                <w:szCs w:val="20"/>
              </w:rPr>
              <w:t xml:space="preserve">1.1822</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-0.4952</w:t>
            </w:r>
          </w:p>
        </w:tc>
        <w:tc>
          <w:tcPr>
            <w:tcW w:w="0" w:type="auto"/>
          </w:tcPr>
          <w:p>
            <w:pPr>
              <w:spacing w:line="240" w:lineRule="auto" w:before="0" w:after="0"/>
              <w:pStyle w:val="Compact"/>
            </w:pPr>
            <w:r>
              <w:rPr>
                <w:sz w:val="20"/>
                <w:szCs w:val="20"/>
              </w:rPr>
              <w:t xml:space="preserve">0.6635</w:t>
            </w:r>
          </w:p>
        </w:tc>
        <w:tc>
          <w:tcPr>
            <w:tcW w:w="0" w:type="auto"/>
          </w:tcPr>
          <w:p>
            <w:pPr>
              <w:spacing w:line="240" w:lineRule="auto" w:before="0" w:after="0"/>
              <w:pStyle w:val="Compact"/>
            </w:pPr>
            <w:r>
              <w:rPr>
                <w:sz w:val="20"/>
                <w:szCs w:val="20"/>
              </w:rPr>
              <w:t xml:space="preserve">-0.7464</w:t>
            </w:r>
          </w:p>
        </w:tc>
        <w:tc>
          <w:tcPr>
            <w:tcW w:w="0" w:type="auto"/>
          </w:tcPr>
          <w:p>
            <w:pPr>
              <w:spacing w:line="240" w:lineRule="auto" w:before="0" w:after="0"/>
              <w:pStyle w:val="Compact"/>
            </w:pPr>
            <w:r>
              <w:rPr>
                <w:sz w:val="20"/>
                <w:szCs w:val="20"/>
              </w:rPr>
              <w:t xml:space="preserve">0.4554</w:t>
            </w:r>
          </w:p>
        </w:tc>
        <w:tc>
          <w:tcPr>
            <w:tcW w:w="0" w:type="auto"/>
          </w:tcPr>
          <w:p>
            <w:pPr>
              <w:spacing w:line="240" w:lineRule="auto" w:before="0" w:after="0"/>
              <w:pStyle w:val="Compact"/>
            </w:pPr>
            <w:r>
              <w:rPr>
                <w:sz w:val="20"/>
                <w:szCs w:val="20"/>
              </w:rPr>
              <w:t xml:space="preserve">[-1.7957, 0.8052]</w:t>
            </w:r>
          </w:p>
        </w:tc>
        <w:tc>
          <w:tcPr>
            <w:tcW w:w="0" w:type="auto"/>
          </w:tcPr>
          <w:p>
            <w:pPr>
              <w:spacing w:line="240" w:lineRule="auto" w:before="0" w:after="0"/>
              <w:pStyle w:val="Compact"/>
            </w:pPr>
            <w:r>
              <w:rPr>
                <w:sz w:val="20"/>
                <w:szCs w:val="20"/>
              </w:rPr>
              <w:t xml:space="preserve">0.6094</w:t>
            </w:r>
          </w:p>
        </w:tc>
      </w:tr>
    </w:tbl>
    <w:p>
      <w:pPr>
        <w:pStyle w:val="BodyText"/>
        <w:spacing w:line="480" w:lineRule="auto"/>
        <w:ind w:firstLine="720"/>
      </w:pPr>
      <w:r>
        <w:t xml:space="preserve">Fit: N = 25 events = 14</w:t>
      </w:r>
    </w:p>
    <w:bookmarkEnd w:id="187"/>
    <w:bookmarkStart w:id="19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Cumulative development cost growth against payload complexity (instrument count) for 25 NASA planetary and deep-space science missions. Missions that breached their confirmed baseline (event = 1) cluster at higher complexity, motivating the proportional-hazards specification in which instrument count and mass shift the breach hazard." title="" id="189" name="Picture"/>
            <a:graphic>
              <a:graphicData uri="http://schemas.openxmlformats.org/drawingml/2006/picture">
                <pic:pic>
                  <pic:nvPicPr>
                    <pic:cNvPr descr="D:/Claude_Code/brain/collegium/candidates/dissertations/JPL_PLANETARY_03/research_papers/p1/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Cumulative development cost growth against payload complexity (instrument count) for 25 NASA planetary and deep-space science missions. Missions that breached their confirmed baseline (event = 1) cluster at higher complexity, motivating the proportional-hazards specification in which instrument count and mass shift the breach hazard.</w:t>
      </w:r>
    </w:p>
    <w:bookmarkEnd w:id="191"/>
    <w:bookmarkStart w:id="19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n_instr</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3.893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MSL Curiosity (planetary.org/space-policy/cost-of-msl-curiosity); GAO MSL cost overrun reporting; baseline $1.1B (2008) to $2.53B, 26-month delay</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0.694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Cost of Mars InSight (planetary.org/space-policy/cost-of-mars-insight); SpaceNews, InSight delay adds $150M (spacenews.com/insight-delay-adds-150-million); $675M baseline +$153.8M, 26-month delay; Phoenix bus heritage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Science/AAAS, Cost of Mars 2020 may rise up to 15% (science.org/content/article/cost-mars-2020-mission-may-rise-15); MSL heritage bus; $2.46B development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Cost of OSIRIS-REx (planetary.org/space-policy/cost-of-osiris-rex); $588.5M spacecraft dev within cap; eoPortal OSIRIS-REx (5 instruments, 2110 kg wet)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portfolio data (gao.gov/assets/gao-22-105212.pdf); JPL Psyche Quick Facts (jpl.nasa.gov/press-kits/psyche/quick-facts); $159M cumulative overrun, 15-month delay; 2747 kg, DSOC tech demo</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2021/2022 assessments (gao.gov/assets/gao-22-105212.pdf); Wikipedia Lucy spacecraft (1550 kg wet, 3 instruments); higher-than-expected cost reported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DART (planetary.org/space-policy/cost-of-dart); $324.5M dev within baseline; DART Wikipedia (DRACO instrument, ~610 kg); APL new bus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NASA Reveals Europa Clipper Cost Growth (spacepolicyonline.com/news/nasa-reveals-europa-clipper-cost-growth-mars-sample-return-replan); $4.25B to $5B (+$750M); Wikipedia Europa Clipper (9 instruments)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NASA confirms Dragonfly despite doubled costs (spacenews.com/nasa-confirms-dragonfly-mission-despite-doubled-costs); NASA OIG Dragonfly cost increases (oig.nasa.gov); $850M Phase A-D cap, lifecycle doubled to $3.35B</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(gao.gov/assets/gao-25-107591.pdf); NASA Science NEO Surveyor (science.nasa.gov/mission/neo-surveyor); replanned launch and budget growth; single IR instrument [illustrative mass]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assessments (gao.gov/assets/gao-14-338sp.pdf); NSSDCA Juno (3625 kg wet, 9 instruments); launched 2011 on baseline</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assessments 2011-2012; NSSDCA GRAIL (two 307 kg orbiters, MoonKAM/LGRS); XSS-11/Lunar Prospector lineage; on baseline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(gao.gov/assets/gao-14-338sp.pdf); NSSDCA MAVEN (2454 kg wet, 8 instruments); Mars Odyssey/MRO bus heritage; on baseline</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assessments 2012-2013; NSSDCA LADEE (383 kg, Modular Common Spacecraft Bus, 4 instruments); on baseline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MRO press kit (mars.nasa.gov); NSSDCA MRO (2180 kg wet, 6 instruments); Lockheed Mars orbiter heritage; on baseline at 2005 launch</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Phoenix cost reporting; NSSDCA Phoenix (670 kg, Mars Surveyor 2001 lander heritage); modest development growth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1.218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GAO-08-301SP NASA major projects (gao.gov); Planetary Society Dawn cost; $373M baseline grew ~$70M; ion-propulsion new bus; 1218 kg</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New Horizons press kit (pluto.jhuapl.edu); NSSDCA New Horizons (478 kg, 7 instruments); APL bus; launched on baseline 2006</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assessments; NSSDCA MESSENGER (1108 kg wet, 7 instruments); APL new Mercury bus; development growth and slip</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Odyssey press kit (mars.nasa.gov); NSSDCA Odyssey (725 kg, 3 instruments); Mars Climate Orbiter bus lineage; on baseline 2001</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program records; NSSDCA Stardust (385 kg, SRC + dust analyzer); SpaceProbe bus heritage; on baseline 1999</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0.973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Discovery cost reporting; NSSDCA Deep Impact (973 kg, flyby + impactor, 3 instruments); development growth; Ball new bus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(gao.gov/assets/gao-19-262sp.pdf); NSSDCA GRACE-FO (two 600 kg satellites); GRACE heritage; on baseline</w:t>
            </w:r>
          </w:p>
        </w:tc>
      </w:tr>
      <w:tr>
        <w:tc>
          <w:tcPr>
            <w:tcW w:w="0" w:type="auto"/>
          </w:tcPr>
          <w:p>
            <w:pPr>
              <w:spacing w:line="240" w:lineRule="auto" w:before="0" w:after="0"/>
              <w:pStyle w:val="Compact"/>
            </w:pPr>
            <w:r>
              <w:rPr>
                <w:sz w:val="20"/>
                <w:szCs w:val="20"/>
              </w:rPr>
              <w:t xml:space="preserve">Mars Sample Return (SRL/ERO baseline)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(gao.gov/assets/gao-25-107591.pdf); NASA MSR independent review board; significant cost growth and replan; mass and instruments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and SpaceNews VERITAS delay reporting; mission paused for institutional reasons causing baseline disruption; Magellan/parametric heritage; mass/instruments [illustrative]</w:t>
            </w:r>
          </w:p>
        </w:tc>
      </w:tr>
    </w:tbl>
    <w:bookmarkEnd w:id="192"/>
    <w:bookmarkStart w:id="19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Months of development exposure from confirmation (authority-to-proceed) to launch; the survival time over which a mission is at risk of first baseline breach</w:t>
            </w:r>
          </w:p>
        </w:tc>
        <w:tc>
          <w:tcPr>
            <w:tcW w:w="0" w:type="auto"/>
          </w:tcPr>
          <w:p>
            <w:pPr>
              <w:spacing w:line="240" w:lineRule="auto" w:before="0" w:after="0"/>
              <w:pStyle w:val="Compact"/>
            </w:pPr>
            <w:r>
              <w:rPr>
                <w:sz w:val="20"/>
                <w:szCs w:val="20"/>
              </w:rPr>
              <w:t xml:space="preserve">NASA project lifecycle records; mission press kits; NSSDCA spacecraft pages</w:t>
            </w:r>
          </w:p>
        </w:tc>
      </w:tr>
      <w:tr>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Event indicator: 1 if the mission breached its confirmed cost or schedule baseline before launch (recorded overrun or rebaseline), 0 if it reached launch on baseline (right-censored)</w:t>
            </w:r>
          </w:p>
        </w:tc>
        <w:tc>
          <w:tcPr>
            <w:tcW w:w="0" w:type="auto"/>
          </w:tcPr>
          <w:p>
            <w:pPr>
              <w:spacing w:line="240" w:lineRule="auto" w:before="0" w:after="0"/>
              <w:pStyle w:val="Compact"/>
            </w:pPr>
            <w:r>
              <w:rPr>
                <w:sz w:val="20"/>
                <w:szCs w:val="20"/>
              </w:rPr>
              <w:t xml:space="preserve">GAO Assessments of Major Projects (GAO-25-107591, GAO-24-106767, GAO-23-106021); Planetary Society mission cost pages</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Cumulative development cost growth from the confirmation baseline, percent (descriptive; not a model covariate)</w:t>
            </w:r>
          </w:p>
        </w:tc>
        <w:tc>
          <w:tcPr>
            <w:tcW w:w="0" w:type="auto"/>
          </w:tcPr>
          <w:p>
            <w:pPr>
              <w:spacing w:line="240" w:lineRule="auto" w:before="0" w:after="0"/>
              <w:pStyle w:val="Compact"/>
            </w:pPr>
            <w:r>
              <w:rPr>
                <w:sz w:val="20"/>
                <w:szCs w:val="20"/>
              </w:rPr>
              <w:t xml:space="preserve">GAO assessments; Planetary Society cost-of-mission analyses; SpaceNews and SpacePolicyOnline reporting</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Spacecraft launch (wet) mass in metric tons; the leading parametric cost-driver in NASA cost-estimation practice</w:t>
            </w:r>
          </w:p>
        </w:tc>
        <w:tc>
          <w:tcPr>
            <w:tcW w:w="0" w:type="auto"/>
          </w:tcPr>
          <w:p>
            <w:pPr>
              <w:spacing w:line="240" w:lineRule="auto" w:before="0" w:after="0"/>
              <w:pStyle w:val="Compact"/>
            </w:pPr>
            <w:r>
              <w:rPr>
                <w:sz w:val="20"/>
                <w:szCs w:val="20"/>
              </w:rPr>
              <w:t xml:space="preserve">NSSDCA spacecraft master catalog; JPL/APL press kits; eoPortal</w:t>
            </w:r>
          </w:p>
        </w:tc>
      </w:tr>
      <w:tr>
        <w:tc>
          <w:tcPr>
            <w:tcW w:w="0" w:type="auto"/>
          </w:tcPr>
          <w:p>
            <w:pPr>
              <w:spacing w:line="240" w:lineRule="auto" w:before="0" w:after="0"/>
              <w:pStyle w:val="Compact"/>
            </w:pPr>
            <w:r>
              <w:rPr>
                <w:sz w:val="20"/>
                <w:szCs w:val="20"/>
              </w:rPr>
              <w:t xml:space="preserve">n_instr</w:t>
            </w:r>
          </w:p>
        </w:tc>
        <w:tc>
          <w:tcPr>
            <w:tcW w:w="0" w:type="auto"/>
          </w:tcPr>
          <w:p>
            <w:pPr>
              <w:spacing w:line="240" w:lineRule="auto" w:before="0" w:after="0"/>
              <w:pStyle w:val="Compact"/>
            </w:pPr>
            <w:r>
              <w:rPr>
                <w:sz w:val="20"/>
                <w:szCs w:val="20"/>
              </w:rPr>
              <w:t xml:space="preserve">Number of science instruments carried; a proxy for payload complexity and integration scope</w:t>
            </w:r>
          </w:p>
        </w:tc>
        <w:tc>
          <w:tcPr>
            <w:tcW w:w="0" w:type="auto"/>
          </w:tcPr>
          <w:p>
            <w:pPr>
              <w:spacing w:line="240" w:lineRule="auto" w:before="0" w:after="0"/>
              <w:pStyle w:val="Compact"/>
            </w:pPr>
            <w:r>
              <w:rPr>
                <w:sz w:val="20"/>
                <w:szCs w:val="20"/>
              </w:rPr>
              <w:t xml:space="preserve">Mission press kits; NSSDCA; eoPortal instrument lists</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Bus/spacecraft heritage indicator: 1 if the design substantially reused a flown bus or lineage, 0 if largely new development</w:t>
            </w:r>
          </w:p>
        </w:tc>
        <w:tc>
          <w:tcPr>
            <w:tcW w:w="0" w:type="auto"/>
          </w:tcPr>
          <w:p>
            <w:pPr>
              <w:spacing w:line="240" w:lineRule="auto" w:before="0" w:after="0"/>
              <w:pStyle w:val="Compact"/>
            </w:pPr>
            <w:r>
              <w:rPr>
                <w:sz w:val="20"/>
                <w:szCs w:val="20"/>
              </w:rPr>
              <w:t xml:space="preserve">Manufacturer lineage records (Lockheed Martin, APL, Ball); mission documentation</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8" Type="http://schemas.openxmlformats.org/officeDocument/2006/relationships/image" Target="media/rId188.png"/><Relationship Id="rId182" Type="http://schemas.openxmlformats.org/officeDocument/2006/relationships/hyperlink" Target="https://doi.org/10.1016/j.actaastro.2016.10.040" TargetMode="External"/><Relationship Id="rId145" Type="http://schemas.openxmlformats.org/officeDocument/2006/relationships/hyperlink" Target="https://doi.org/10.1016/j.actaastro.2019.09.030" TargetMode="External"/><Relationship Id="rId176" Type="http://schemas.openxmlformats.org/officeDocument/2006/relationships/hyperlink" Target="https://doi.org/10.1016/j.actaastro.2020.08.041" TargetMode="External"/><Relationship Id="rId178" Type="http://schemas.openxmlformats.org/officeDocument/2006/relationships/hyperlink" Target="https://doi.org/10.1016/j.actaastro.2021.04.006" TargetMode="External"/><Relationship Id="rId170" Type="http://schemas.openxmlformats.org/officeDocument/2006/relationships/hyperlink" Target="https://doi.org/10.1016/j.actaastro.2021.11.016" TargetMode="External"/><Relationship Id="rId149" Type="http://schemas.openxmlformats.org/officeDocument/2006/relationships/hyperlink" Target="https://doi.org/10.1016/j.actaastro.2022.12.036" TargetMode="External"/><Relationship Id="rId172" Type="http://schemas.openxmlformats.org/officeDocument/2006/relationships/hyperlink" Target="https://doi.org/10.1016/j.actaastro.2024.03.050" TargetMode="External"/><Relationship Id="rId180" Type="http://schemas.openxmlformats.org/officeDocument/2006/relationships/hyperlink" Target="https://doi.org/10.1016/j.actaastro.2025.05.018" TargetMode="External"/><Relationship Id="rId174" Type="http://schemas.openxmlformats.org/officeDocument/2006/relationships/hyperlink" Target="https://doi.org/10.1016/j.actaastro.2025.08.015" TargetMode="External"/><Relationship Id="rId147" Type="http://schemas.openxmlformats.org/officeDocument/2006/relationships/hyperlink" Target="https://doi.org/10.1016/j.actaastro.2025.11.006" TargetMode="External"/><Relationship Id="rId184" Type="http://schemas.openxmlformats.org/officeDocument/2006/relationships/hyperlink" Target="https://doi.org/10.1016/j.actaastro.2025.11.056" TargetMode="External"/><Relationship Id="rId151" Type="http://schemas.openxmlformats.org/officeDocument/2006/relationships/hyperlink" Target="https://doi.org/10.1257/jep.32.2.173" TargetMode="External"/><Relationship Id="rId160" Type="http://schemas.openxmlformats.org/officeDocument/2006/relationships/hyperlink" Target="https://doi.org/10.64861/LPFK9568" TargetMode="External"/><Relationship Id="rId166" Type="http://schemas.openxmlformats.org/officeDocument/2006/relationships/hyperlink" Target="https://doi.org/10.64861/SLOL2274" TargetMode="External"/></Relationships>
</file>

<file path=word/_rels/footnotes.xml.rels><?xml version='1.0' encoding='UTF-8' standalone='yes'?>
<Relationships xmlns="http://schemas.openxmlformats.org/package/2006/relationships"><Relationship Id="rId182" Type="http://schemas.openxmlformats.org/officeDocument/2006/relationships/hyperlink" Target="https://doi.org/10.1016/j.actaastro.2016.10.040" TargetMode="External"/><Relationship Id="rId145" Type="http://schemas.openxmlformats.org/officeDocument/2006/relationships/hyperlink" Target="https://doi.org/10.1016/j.actaastro.2019.09.030" TargetMode="External"/><Relationship Id="rId176" Type="http://schemas.openxmlformats.org/officeDocument/2006/relationships/hyperlink" Target="https://doi.org/10.1016/j.actaastro.2020.08.041" TargetMode="External"/><Relationship Id="rId178" Type="http://schemas.openxmlformats.org/officeDocument/2006/relationships/hyperlink" Target="https://doi.org/10.1016/j.actaastro.2021.04.006" TargetMode="External"/><Relationship Id="rId170" Type="http://schemas.openxmlformats.org/officeDocument/2006/relationships/hyperlink" Target="https://doi.org/10.1016/j.actaastro.2021.11.016" TargetMode="External"/><Relationship Id="rId149" Type="http://schemas.openxmlformats.org/officeDocument/2006/relationships/hyperlink" Target="https://doi.org/10.1016/j.actaastro.2022.12.036" TargetMode="External"/><Relationship Id="rId172" Type="http://schemas.openxmlformats.org/officeDocument/2006/relationships/hyperlink" Target="https://doi.org/10.1016/j.actaastro.2024.03.050" TargetMode="External"/><Relationship Id="rId180" Type="http://schemas.openxmlformats.org/officeDocument/2006/relationships/hyperlink" Target="https://doi.org/10.1016/j.actaastro.2025.05.018" TargetMode="External"/><Relationship Id="rId174" Type="http://schemas.openxmlformats.org/officeDocument/2006/relationships/hyperlink" Target="https://doi.org/10.1016/j.actaastro.2025.08.015" TargetMode="External"/><Relationship Id="rId147" Type="http://schemas.openxmlformats.org/officeDocument/2006/relationships/hyperlink" Target="https://doi.org/10.1016/j.actaastro.2025.11.006" TargetMode="External"/><Relationship Id="rId184" Type="http://schemas.openxmlformats.org/officeDocument/2006/relationships/hyperlink" Target="https://doi.org/10.1016/j.actaastro.2025.11.056" TargetMode="External"/><Relationship Id="rId151" Type="http://schemas.openxmlformats.org/officeDocument/2006/relationships/hyperlink" Target="https://doi.org/10.1257/jep.32.2.173" TargetMode="External"/><Relationship Id="rId160" Type="http://schemas.openxmlformats.org/officeDocument/2006/relationships/hyperlink" Target="https://doi.org/10.64861/LPFK9568" TargetMode="External"/><Relationship Id="rId166" Type="http://schemas.openxmlformats.org/officeDocument/2006/relationships/hyperlink" Target="https://doi.org/10.64861/SLOL22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Cost-and-Schedule Overrun Hazard in Planetary Missions: A Survival Model of When</dc:title>
  <dc:creator>Aaron Iverson (1B-PLA-039)</dc:creator>
  <cp:keywords/>
  <dcterms:created xsi:type="dcterms:W3CDTF">2026-07-02T15:48:08Z</dcterms:created>
  <dcterms:modified xsi:type="dcterms:W3CDTF">2026-07-02T15:48:08Z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