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media/rId75.png" ContentType="image/png"/>
  <Override PartName="/word/media/image14.jpeg" ContentType="image/jpeg"/>
  <Override PartName="/word/media/image1.jpeg" ContentType="image/jpeg"/>
  <Override PartName="/word/media/image2.jpeg" ContentType="image/jpe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jpeg" ContentType="image/jpeg"/>
  <Override PartName="/word/media/image9.png" ContentType="image/png"/>
  <Override PartName="/word/media/image10.png" ContentType="image/png"/>
  <Override PartName="/word/media/image11.png" ContentType="image/png"/>
  <Override PartName="/word/media/image13.png" ContentType="image/png"/>
  <Override PartName="/word/media/image12.png" ContentType="image/png"/>
  <Override PartName="/word/media/image15.jpeg" ContentType="image/jpeg"/>
  <Override PartName="/word/media/image16.png" ContentType="image/png"/>
  <Override PartName="/word/media/image17.png" ContentType="image/png"/>
  <Override PartName="/word/media/image18.png" ContentType="image/png"/>
  <Override PartName="/word/media/image19.jpeg" ContentType="image/jpeg"/>
  <Override PartName="/word/media/image20.png" ContentType="image/png"/>
  <Override PartName="/word/media/image21.png" ContentType="image/png"/>
  <Override PartName="/word/media/image22.png" ContentType="image/png"/>
  <Override PartName="/word/media/image23.png" ContentType="image/png"/>
  <Override PartName="/word/media/image24.jpeg" ContentType="image/jpeg"/>
  <Override PartName="/word/media/image25.jpeg" ContentType="image/jpe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83" w:name="X87ea29eb7689099a011acf8270458f98ccac713"/>
    <w:p>
      <w:pPr>
        <w:pStyle w:val="Heading1"/>
      </w:pPr>
      <w:r>
        <w:t xml:space="preserve">Cost, Complexity, and the Hazard of Schedule Slip: A Proportional-Hazards Model of NASA Planetary and Major Science Missions</w:t>
      </w:r>
    </w:p>
    <w:bookmarkStart w:id="61" w:name="introduction"/>
    <w:p>
      <w:pPr>
        <w:pStyle w:val="Heading2"/>
      </w:pPr>
      <w:r>
        <w:t xml:space="preserve">1. Introduction</w:t>
      </w:r>
    </w:p>
    <w:p>
      <w:pPr>
        <w:pStyle w:val="FirstParagraph"/>
      </w:pPr>
      <w:r>
        <w:t xml:space="preserve">A planetary mission is committed at a confirmation milestone that fixes both a cost baseline and a launch date, and the credibility of every downstream return-per-dollar comparison rests on whether that schedule baseline holds. Schedule is not a bookkeeping detail. A launch that slips carries marching-army costs, forfeited planetary alignments, and the deferral of the scientific output that justified the expenditure in the first place. The companion productivity study in this dissertation treats realized science as the output of a mission and its committed cost as the priced input; the present paper turns to the schedule dimension of that same input, and asks a sharper question about timing rather than about money alone. Among the missions a science agency confirms, what distinguishes those that reach the pad on their baselined date from those whose launch slips, and does the slip arrive sooner or later in the development run.</w:t>
      </w:r>
    </w:p>
    <w:p>
      <w:pPr>
        <w:pStyle w:val="BodyText"/>
      </w:pPr>
      <w:r>
        <w:t xml:space="preserve">The natural statistical object for that question is not a regression of slip magnitude on mission attributes but a model of the time elapsed until launch and the rate at which a slip event materializes along the way. Survival analysis supplies exactly that object. It has migrated into the space domain through the modeling of non-cooperative satellite behavior, where time-to-event methods describe the rate at which a maneuver occurs in an observation record</w:t>
      </w:r>
      <w:r>
        <w:t xml:space="preserve"> </w:t>
      </w:r>
      <w:hyperlink w:anchor="ref-1">
        <m:oMathPara>
          <m:oMathParaPr>
            <m:jc m:val="center"/>
          </m:oMathParaPr>
          <m:oMath>
            <m:r>
              <m:t>1</m:t>
            </m:r>
          </m:oMath>
        </m:oMathPara>
      </w:hyperlink>
      <w:r>
        <w:t xml:space="preserve">, and the same machinery applies cleanly to the development history of a mission, where the run from confirmation to launch is the duration and a documented slip from the baseline is the event. This paper estimates a Cox proportional-hazards model of that slip event across twenty-two NASA planetary and major science missions, with development cost and instrument complexity as the covariates whose influence on the slip hazard is the quantity of interest.</w:t>
      </w:r>
    </w:p>
    <w:p>
      <w:pPr>
        <w:pStyle w:val="FirstParagraph"/>
      </w:pPr>
      <w:r>
        <w:t xml:space="preserve">The contribution is a falsifiable test of a widely assumed but rarely measured proposition: that bigger and more complex missions are more prone to schedule slip. The proposition is intuitive and it animates much of the programmatic caution around flagship-class commitments, yet it has not been subjected to a hazard model on the documented record. The finding reported here does not confirm it.</w:t>
      </w:r>
    </w:p>
    <w:bookmarkEnd w:id="61"/>
    <w:bookmarkStart w:id="62" w:name="theory-and-hypotheses"/>
    <w:p>
      <w:pPr>
        <w:pStyle w:val="Heading2"/>
      </w:pPr>
      <w:r>
        <w:t xml:space="preserve">2. Theory and Hypotheses</w:t>
      </w:r>
    </w:p>
    <w:p>
      <w:pPr>
        <w:pStyle w:val="FirstParagraph"/>
      </w:pPr>
      <w:r>
        <w:t xml:space="preserve">The economics that motivate this dissertation describe government-directed exploration as structurally prone to weak allocative discipline and to the poor aggregation of the dispersed information that would otherwise constrain commitments</w:t>
      </w:r>
      <w:r>
        <w:t xml:space="preserve"> </w:t>
      </w:r>
      <w:hyperlink w:anchor="ref-2">
        <m:oMathPara>
          <m:oMathParaPr>
            <m:jc m:val="center"/>
          </m:oMathParaPr>
          <m:oMath>
            <m:r>
              <m:t>2</m:t>
            </m:r>
          </m:oMath>
        </m:oMathPara>
      </w:hyperlink>
      <w:r>
        <w:t xml:space="preserve">. Schedule slip is one observable symptom of that condition. When a confirmed launch date is not met, the gap between the committed plan and the realized outcome is a measurable signal of how well the program priced its own ambition. The broader space-economy literature recognizes that exploration generates value beyond direct financial return, including a scientific-knowledge return that conventional accounting does not capture</w:t>
      </w:r>
      <w:r>
        <w:t xml:space="preserve"> </w:t>
      </w:r>
      <w:hyperlink w:anchor="ref-3">
        <m:oMathPara>
          <m:oMathParaPr>
            <m:jc m:val="center"/>
          </m:oMathParaPr>
          <m:oMath>
            <m:r>
              <m:t>3</m:t>
            </m:r>
          </m:oMath>
        </m:oMathPara>
      </w:hyperlink>
      <w:r>
        <w:t xml:space="preserve">; schedule slip is the mechanism through which that knowledge return is deferred, and so the timing of slip is itself an economic variable.</w:t>
      </w:r>
    </w:p>
    <w:p>
      <w:pPr>
        <w:pStyle w:val="FirstParagraph"/>
      </w:pPr>
      <w:r>
        <w:t xml:space="preserve">A second strand of motivation is methodological. Evaluation frameworks in adjacent space domains have moved from consensus assertion toward quantitative, data-driven decision criteria that score a contribution against the mission it serves</w:t>
      </w:r>
      <w:r>
        <w:t xml:space="preserve"> </w:t>
      </w:r>
      <w:hyperlink w:anchor="ref-4">
        <m:oMathPara>
          <m:oMathParaPr>
            <m:jc m:val="center"/>
          </m:oMathParaPr>
          <m:oMath>
            <m:r>
              <m:t>4</m:t>
            </m:r>
          </m:oMath>
        </m:oMathPara>
      </w:hyperlink>
      <w:r>
        <w:t xml:space="preserve">. Modeling slip as a hazard rather than asserting it as a tendency is the same move applied to schedule performance. The hazard formulation has a specific virtue here: it conditions on how far a mission has already progressed, so that a slip arriving deep into a long development run is treated differently from one arriving early, and missions that reach the pad on time enter the estimate as censored survivors rather than as discarded cases.</w:t>
      </w:r>
    </w:p>
    <w:p>
      <w:pPr>
        <w:pStyle w:val="FirstParagraph"/>
      </w:pPr>
      <w:r>
        <w:t xml:space="preserve">The covariates follow from the cost-ambition logic. Development cost proxies the scale of the commitment and, with it, the number of interfaces, the depth of the supply chain, and the integration burden that schedule risk is thought to track. Instrument count proxies payload complexity directly, since each instrument adds a development thread, a calibration campaign, and an interface to the spacecraft bus. The hypotheses are stated on the hazard.</w:t>
      </w:r>
    </w:p>
    <w:p>
      <w:pPr>
        <w:pStyle w:val="BodyText"/>
      </w:pPr>
      <w:r>
        <w:t xml:space="preserve">H0 holds that cost and instrument complexity have no association with the slip hazard, so that the coefficient on log cost and the coefficient on instrument count are both zero. H1 holds that higher cost and a larger instrument complement raise the slip hazard, so that both coefficients are positive and the corresponding hazard ratios exceed one. H1 is the proposition embedded in the programmatic folklore of flagship caution. It is falsifiable in the strict sense: a hazard ratio at or below one, or an estimate indistinguishable from one, refutes it.</w:t>
      </w:r>
    </w:p>
    <w:bookmarkEnd w:id="62"/>
    <w:bookmarkStart w:id="63" w:name="data"/>
    <w:p>
      <w:pPr>
        <w:pStyle w:val="Heading2"/>
      </w:pPr>
      <w:r>
        <w:t xml:space="preserve">3. Data</w:t>
      </w:r>
    </w:p>
    <w:p>
      <w:pPr>
        <w:pStyle w:val="FirstParagraph"/>
      </w:pPr>
      <w:r>
        <w:t xml:space="preserve">The unit of analysis is the individual mission. The sample is twenty-two NASA planetary and major science missions confirmed between the early 1980s and the mid-2010s and launched between 1989 and 2024, spanning Discovery, New Frontiers, and flagship-class planetary missions together with a set of major astrophysics, heliophysics, and Earth-science missions that broaden the cost and complexity range. Each row carries the mission’s confirmation or selection year, its actual launch year and month, its development cost in millions of current dollars, its instrument count, and a slip indicator, with a source citation attached to every observation in the final column of the dataset.</w:t>
      </w:r>
    </w:p>
    <w:p>
      <w:pPr>
        <w:pStyle w:val="BodyText"/>
      </w:pPr>
      <w:r>
        <w:t xml:space="preserve">The duration variable is the development schedule length in months, computed from the documented confirmation or selection date to the actual launch month and year. The event variable is the slip indicator, coded one where the documented record shows a launch slipped beyond its originally baselined date or window, and zero where the mission launched on the baseline, in which case the observation is right-censored at its on-time launch. Confirmation dates, planned-versus-actual launch records, cost figures, and instrument complements are drawn from NASA and Jet Propulsion Laboratory press kits and from sourced mission documentation. Three cost figures that are available only as approximate secondary estimates are marked illustrative in the dataset; they constitute under fourteen percent of the rows and affect only the cost field, never the slip coding or the schedule measurement. The dataset is reproducible by a reader holding only the public mission record, and every figure traces to its named source.</w:t>
      </w:r>
    </w:p>
    <w:bookmarkEnd w:id="63"/>
    <w:bookmarkStart w:id="64" w:name="method"/>
    <w:p>
      <w:pPr>
        <w:pStyle w:val="Heading2"/>
      </w:pPr>
      <w:r>
        <w:t xml:space="preserve">4. Method</w:t>
      </w:r>
    </w:p>
    <w:p>
      <w:pPr>
        <w:pStyle w:val="FirstParagraph"/>
      </w:pPr>
      <w:r>
        <w:t xml:space="preserve">The estimator is the Cox proportional-hazards model. The hazard of a slip event at development month t for a mission with covariate vector x is the product of an unspecified baseline hazard and an exponential function of the covariates, so that the baseline schedule risk common to all missions is left nonparametric and only the covariate effects are estimated. The two covariates are the natural log of development cost in millions of dollars and the instrument count. Coefficients are reported as hazard ratios, the exponentiated coefficients, so that a value above one marks a covariate that raises the slip hazard and a value below one marks a covariate that lowers it. Standard errors, z-statistics, p-values, and ninety-five-percent confidence intervals accompany each estimate, and the model reports the number of observations and the number of events.</w:t>
      </w:r>
    </w:p>
    <w:p>
      <w:pPr>
        <w:pStyle w:val="BodyText"/>
      </w:pPr>
      <w:r>
        <w:t xml:space="preserve">Log cost rather than raw cost enters the model because mission budgets span more than an order of magnitude, from a few hundred million dollars to nearly ten billion, and the log scale renders the cost covariate comparable across that range while reducing the leverage of the largest programs. The proportional-hazards specification is the appropriate baseline for a small sample with a mix of events and censored survivors, since it uses the full duration information without imposing a parametric form on the baseline hazard. Robustness is examined through leave-one-out re-estimation that drops the most extreme observations and through single-covariate models, both reported in the discussion.</w:t>
      </w:r>
    </w:p>
    <w:bookmarkEnd w:id="64"/>
    <w:bookmarkStart w:id="65" w:name="findings"/>
    <w:p>
      <w:pPr>
        <w:pStyle w:val="Heading2"/>
      </w:pPr>
      <w:r>
        <w:t xml:space="preserve">5. Findings</w:t>
      </w:r>
    </w:p>
    <w:p>
      <w:pPr>
        <w:pStyle w:val="FirstParagraph"/>
      </w:pPr>
      <w:r>
        <w:t xml:space="preserve">The model is estimated on twenty-two missions, of which seven recorded a documented slip event and fifteen launched on their baseline and entered as censored survivors. Neither covariate is a statistically significant predictor of the slip hazard, and the direction of the cost estimate runs opposite to the hypothesized sign.</w:t>
      </w:r>
    </w:p>
    <w:p>
      <w:pPr>
        <w:pStyle w:val="BodyText"/>
      </w:pPr>
      <w:r>
        <w:t xml:space="preserve">The coefficient on log cost is negative, with a value of about negative one and a half and a standard error near one, giving a hazard ratio of roughly 0.22 with a p-value of 0.13. Read literally, a one-unit increase in log cost is associated with a lower instantaneous hazard of slip, the reverse of what H1 predicts, although the estimate does not reach significance at conventional levels. The coefficient on instrument count is essentially zero, with a value near negative 0.03, a standard error of about 0.15, a hazard ratio of approximately 0.97, and a p-value of 0.84. Instrument complexity carries no detectable signal for the slip hazard in this sample. On both covariates the data fail to support H1, and on the cost covariate the point estimate is pointed the wrong way for the hypothesis.</w:t>
      </w:r>
    </w:p>
    <w:p>
      <w:pPr>
        <w:pStyle w:val="BodyText"/>
      </w:pPr>
      <w:r>
        <w:t xml:space="preserve">The robustness checks sharpen rather than soften this reading. Dropping the most extreme observation, the heavily delayed James Webb Space Telescope, leaves the cost hazard ratio near 0.28 with the sign unchanged, and dropping the long-development Cassini mission leaves it near 0.26; the negative cost association is not an artifact of a single influential point. In the single-covariate model the cost hazard ratio falls to about 0.21 and the p-value tightens to 0.09, marginally significant and still negative, while the instrument-only model returns a hazard ratio near 0.90 with a p-value of 0.46. Across every specification the instrument covariate is null and the cost covariate, where it approaches significance, points toward lower rather than higher slip hazard for more expensive missions.</w:t>
      </w:r>
    </w:p>
    <w:bookmarkEnd w:id="65"/>
    <w:bookmarkStart w:id="66" w:name="discussion"/>
    <w:p>
      <w:pPr>
        <w:pStyle w:val="Heading2"/>
      </w:pPr>
      <w:r>
        <w:t xml:space="preserve">6. Discussion</w:t>
      </w:r>
    </w:p>
    <w:p>
      <w:pPr>
        <w:pStyle w:val="FirstParagraph"/>
      </w:pPr>
      <w:r>
        <w:t xml:space="preserve">The headline result is a clean refutation of the hypothesis the model was built to test. In this sample, neither development cost nor instrument count raises the hazard of schedule slip, and the cost estimate, to the extent it carries any signal, runs in the opposite direction. The folklore that bigger and more complex missions are inherently more slip-prone does not survive contact with the documented record once the question is posed as a hazard rather than as an anecdote.</w:t>
      </w:r>
    </w:p>
    <w:p>
      <w:pPr>
        <w:pStyle w:val="BodyText"/>
      </w:pPr>
      <w:r>
        <w:t xml:space="preserve">Two readings of the negative cost estimate are worth distinguishing, because the difference matters for how a program office should use the finding. The first is selection: the most expensive missions are also the most scrutinized, carry the deepest reserves, and receive the management attention that smaller competed missions cannot command, so that their schedule risk is actively bought down in a way the raw cost figure does not reveal. The negative hazard ratio would then reflect not a property of size but the institutional response that size provokes. The second reading is structural and cautionary: the duration axis in this model is the development schedule itself, so missions that slip accumulate longer schedules by construction, and the hazard model conditions on that accumulated time. The cost covariate is therefore estimating the slip hazard at a given point in the development run rather than the unconditional probability that a mission slips at all, and the two quantities can diverge. The honest statement is the conditional one: holding development progress fixed, higher cost is not associated with greater slip hazard in these data, and may be associated with less.</w:t>
      </w:r>
    </w:p>
    <w:p>
      <w:pPr>
        <w:pStyle w:val="BodyText"/>
      </w:pPr>
      <w:r>
        <w:t xml:space="preserve">The instrument-count null is the more straightforward result and the more useful one for planning. Payload complexity, measured by the number of instruments, simply does not track schedule slip across this sample. A mission with a dozen instruments is no more likely to slip, at any point in its development, than a mission with three. If schedule risk has a complexity driver, instrument count is not it, and the search should move to the harder-to-measure dimensions of integration, technology readiness, and supply-chain depth that a count cannot capture.</w:t>
      </w:r>
    </w:p>
    <w:p>
      <w:pPr>
        <w:pStyle w:val="BodyText"/>
      </w:pPr>
      <w:r>
        <w:t xml:space="preserve">The limits of the estimate are those of a small, observational sample. With twenty-two missions and seven events the model is thinly powered, the confidence intervals are wide, and the cost coefficient sits near but not across the conventional significance threshold. The slip coding is binary and absorbs slips of very different magnitudes into a single event, and the duration measure begins at confirmation, which standardizes the start point but cannot capture pre-confirmation formulation risk. These are reasons to treat the negative cost association as a conditional finding rather than a causal claim. They are not reasons to retain H1, which the data decline to support under every specification examined. The contribution stands as a measured, falsifiable result: the proposition that cost and complexity raise the schedule-slip hazard of NASA planetary and major science missions is not borne out, and a program that wishes to forecast slip will have to look beyond the size of the budget and the length of the instrument list.</w:t>
      </w:r>
    </w:p>
    <w:bookmarkEnd w:id="66"/>
    <w:bookmarkStart w:id="73" w:name="references"/>
    <w:p>
      <w:pPr>
        <w:pStyle w:val="Heading2"/>
      </w:pPr>
      <w:r>
        <w:t xml:space="preserve">References</w:t>
      </w:r>
    </w:p>
    <w:p>
      <w:pPr>
        <w:pStyle w:val="FirstParagraph"/>
      </w:pPr>
      <w:bookmarkStart w:id="67" w:name="ref-1"/>
      <w:bookmarkEnd w:id="67"/>
      <w:r>
        <w:t xml:space="preserve">1. N. Singh and colleagues,</w:t>
      </w:r>
      <w:r>
        <w:t xml:space="preserve"> </w:t>
      </w:r>
      <w:r>
        <w:t xml:space="preserve">“Time-to-Event Data (Survival Analysis) based Modelling of Maneuver Occurrence of Non-Cooperative Satellites,”</w:t>
      </w:r>
      <w:r>
        <w:t xml:space="preserve"> </w:t>
      </w:r>
      <w:r>
        <w:t xml:space="preserve">Proc. Advanced Maui Optical and Space Surveillance Technologies (AMOS) Conference, 2023. doi:</w:t>
      </w:r>
      <w:r>
        <w:t xml:space="preserve"> </w:t>
      </w:r>
      <w:hyperlink r:id="rId68">
        <w:r>
          <w:rPr>
            <w:rStyle w:val="Hyperlink"/>
          </w:rPr>
          <w:t xml:space="preserve">10.64861/LPFK9568</w:t>
        </w:r>
      </w:hyperlink>
    </w:p>
    <w:p>
      <w:pPr>
        <w:pStyle w:val="BodyText"/>
      </w:pPr>
      <w:bookmarkStart w:id="69" w:name="ref-2"/>
      <w:bookmarkEnd w:id="69"/>
      <w:r>
        <w:t xml:space="preserve">2. M. Weinzierl,</w:t>
      </w:r>
      <w:r>
        <w:t xml:space="preserve"> </w:t>
      </w:r>
      <w:r>
        <w:t xml:space="preserve">“Space, the Final Economic Frontier,”</w:t>
      </w:r>
      <w:r>
        <w:t xml:space="preserve"> </w:t>
      </w:r>
      <w:r>
        <w:t xml:space="preserve">Space Economy Papers corpus, source SD18, 2018.</w:t>
      </w:r>
    </w:p>
    <w:p>
      <w:pPr>
        <w:pStyle w:val="BodyText"/>
      </w:pPr>
      <w:bookmarkStart w:id="70" w:name="ref-3"/>
      <w:bookmarkEnd w:id="70"/>
      <w:r>
        <w:t xml:space="preserve">3.</w:t>
      </w:r>
      <w:r>
        <w:t xml:space="preserve"> </w:t>
      </w:r>
      <w:r>
        <w:t xml:space="preserve">“OCEA: Forecasting the Space Economy,”</w:t>
      </w:r>
      <w:r>
        <w:t xml:space="preserve"> </w:t>
      </w:r>
      <w:r>
        <w:t xml:space="preserve">Space Economy Papers corpus.</w:t>
      </w:r>
    </w:p>
    <w:p>
      <w:pPr>
        <w:pStyle w:val="BodyText"/>
      </w:pPr>
      <w:bookmarkStart w:id="71" w:name="ref-4"/>
      <w:bookmarkEnd w:id="71"/>
      <w:r>
        <w:t xml:space="preserve">4. P. Schmedeman, J. Gerber, and D. Herber,</w:t>
      </w:r>
      <w:r>
        <w:t xml:space="preserve"> </w:t>
      </w:r>
      <w:r>
        <w:t xml:space="preserve">“A Mission-Oriented Framework for Evaluating Space Situational Awareness Data,”</w:t>
      </w:r>
      <w:r>
        <w:t xml:space="preserve"> </w:t>
      </w:r>
      <w:r>
        <w:t xml:space="preserve">Proc. Advanced Maui Optical and Space Surveillance Technologies (AMOS) Conference, 2025. doi:</w:t>
      </w:r>
      <w:r>
        <w:t xml:space="preserve"> </w:t>
      </w:r>
      <w:hyperlink r:id="rId72">
        <w:r>
          <w:rPr>
            <w:rStyle w:val="Hyperlink"/>
          </w:rPr>
          <w:t xml:space="preserve">10.64861/QAOZ6812</w:t>
        </w:r>
      </w:hyperlink>
    </w:p>
    <w:bookmarkEnd w:id="73"/>
    <w:bookmarkStart w:id="74" w:name="specification"/>
    <w:p>
      <w:pPr>
        <w:pStyle w:val="Heading2"/>
      </w:pPr>
      <w:r>
        <w:t xml:space="preserve">Specification</w:t>
      </w:r>
    </w:p>
    <w:p>
      <w:pPr>
        <w:pStyle w:val="FirstParagraph"/>
      </w:pPr>
      <m:oMathPara>
        <m:oMathParaPr>
          <m:jc m:val="center"/>
        </m:oMathParaPr>
        <m:oMath>
          <m:r>
            <m:t>h</m:t>
          </m:r>
          <m:r>
            <m:rPr>
              <m:sty m:val="p"/>
            </m:rPr>
            <m:t>(</m:t>
          </m:r>
          <m:r>
            <m:t>t</m:t>
          </m:r>
          <m:r>
            <m:rPr>
              <m:sty m:val="p"/>
            </m:rPr>
            <m:t>∣</m:t>
          </m:r>
          <m:r>
            <m:t>x</m:t>
          </m:r>
          <m:r>
            <m:rPr>
              <m:sty m:val="p"/>
            </m:rPr>
            <m:t>)</m:t>
          </m:r>
          <m:r>
            <m:rPr>
              <m:sty m:val="p"/>
            </m:rPr>
            <m:t>=</m:t>
          </m:r>
          <m:sSub>
            <m:e>
              <m:r>
                <m:t>h</m:t>
              </m:r>
            </m:e>
            <m:sub>
              <m:r>
                <m:t>0</m:t>
              </m:r>
            </m:sub>
          </m:sSub>
          <m:r>
            <m:rPr>
              <m:sty m:val="p"/>
            </m:rPr>
            <m:t>(</m:t>
          </m:r>
          <m:r>
            <m:t>t</m:t>
          </m:r>
          <m:r>
            <m:rPr>
              <m:sty m:val="p"/>
            </m:rPr>
            <m:t>)</m:t>
          </m:r>
          <m:r>
            <m:t> </m:t>
          </m:r>
          <m:r>
            <m:rPr>
              <m:sty m:val="p"/>
            </m:rPr>
            <m:t>exp</m:t>
          </m:r>
          <m:r>
            <m:t>​</m:t>
          </m:r>
          <m:d>
            <m:dPr>
              <m:begChr m:val="("/>
              <m:sepChr m:val=""/>
              <m:endChr m:val=")"/>
              <m:grow/>
            </m:dPr>
            <m:e>
              <m:sSub>
                <m:e>
                  <m:r>
                    <m:t>β</m:t>
                  </m:r>
                </m:e>
                <m:sub>
                  <m:r>
                    <m:t>1</m:t>
                  </m:r>
                </m:sub>
              </m:sSub>
              <m:r>
                <m:rPr>
                  <m:sty m:val="p"/>
                </m:rPr>
                <m:t>ln</m:t>
              </m:r>
              <m:r>
                <m:rPr>
                  <m:sty m:val="p"/>
                </m:rPr>
                <m:t>(</m:t>
              </m:r>
              <m:r>
                <m:rPr>
                  <m:nor/>
                  <m:sty m:val="p"/>
                </m:rPr>
                <m:t>cost</m:t>
              </m:r>
              <m:r>
                <m:rPr>
                  <m:sty m:val="p"/>
                </m:rPr>
                <m:t>)</m:t>
              </m:r>
              <m:r>
                <m:rPr>
                  <m:sty m:val="p"/>
                </m:rPr>
                <m:t>+</m:t>
              </m:r>
              <m:sSub>
                <m:e>
                  <m:r>
                    <m:t>β</m:t>
                  </m:r>
                </m:e>
                <m:sub>
                  <m:r>
                    <m:t>2</m:t>
                  </m:r>
                </m:sub>
              </m:sSub>
              <m:r>
                <m:t> </m:t>
              </m:r>
              <m:r>
                <m:rPr>
                  <m:nor/>
                  <m:sty m:val="p"/>
                </m:rPr>
                <m:t>instruments</m:t>
              </m:r>
            </m:e>
          </m:d>
        </m:oMath>
      </m:oMathPara>
    </w:p>
    <w:bookmarkEnd w:id="74"/>
    <w:bookmarkStart w:id="78" w:name="results"/>
    <w:p>
      <w:pPr>
        <w:pStyle w:val="Heading2"/>
      </w:pPr>
      <w:r>
        <w:t xml:space="preserve">Results</w:t>
      </w:r>
    </w:p>
    <w:tbl>
      <w:tblPr>
        <w:tblStyle w:val="Table"/>
        <w:tblLook w:firstRow="1" w:lastRow="0" w:firstColumn="0" w:lastColumn="0" w:noHBand="0" w:noVBand="0" w:val="0020"/>
        <w:tblLayout w:type="autofit"/>
        <w:tblW w:w="0" w:type="auto"/>
      </w:tblPr>
      <w:tblGrid>
        <w:gridCol w:w="1131"/>
        <w:gridCol w:w="1131"/>
        <w:gridCol w:w="1131"/>
        <w:gridCol w:w="1131"/>
        <w:gridCol w:w="1131"/>
        <w:gridCol w:w="1131"/>
        <w:gridCol w:w="1131"/>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z</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c>
          <w:tcPr>
            <w:tcW w:w="0" w:type="auto"/>
          </w:tcPr>
          <w:p>
            <w:pPr>
              <w:spacing w:line="240" w:lineRule="auto" w:before="0" w:after="0"/>
              <w:pStyle w:val="Compact"/>
            </w:pPr>
            <w:r>
              <w:rPr>
                <w:sz w:val="20"/>
                <w:szCs w:val="20"/>
              </w:rPr>
              <w:t xml:space="preserve">Hazard ratio</w:t>
            </w:r>
          </w:p>
        </w:tc>
      </w:tr>
      <w:tr>
        <w:tc>
          <w:tcPr>
            <w:tcW w:w="0" w:type="auto"/>
          </w:tcPr>
          <w:p>
            <w:pPr>
              <w:spacing w:line="240" w:lineRule="auto" w:before="0" w:after="0"/>
              <w:pStyle w:val="Compact"/>
            </w:pPr>
            <w:r>
              <w:rPr>
                <w:sz w:val="20"/>
                <w:szCs w:val="20"/>
              </w:rPr>
              <w:t xml:space="preserve">ln_cost</w:t>
            </w:r>
          </w:p>
        </w:tc>
        <w:tc>
          <w:tcPr>
            <w:tcW w:w="0" w:type="auto"/>
          </w:tcPr>
          <w:p>
            <w:pPr>
              <w:spacing w:line="240" w:lineRule="auto" w:before="0" w:after="0"/>
              <w:pStyle w:val="Compact"/>
            </w:pPr>
            <w:r>
              <w:rPr>
                <w:sz w:val="20"/>
                <w:szCs w:val="20"/>
              </w:rPr>
              <w:t xml:space="preserve">-1.4964</w:t>
            </w:r>
          </w:p>
        </w:tc>
        <w:tc>
          <w:tcPr>
            <w:tcW w:w="0" w:type="auto"/>
          </w:tcPr>
          <w:p>
            <w:pPr>
              <w:spacing w:line="240" w:lineRule="auto" w:before="0" w:after="0"/>
              <w:pStyle w:val="Compact"/>
            </w:pPr>
            <w:r>
              <w:rPr>
                <w:sz w:val="20"/>
                <w:szCs w:val="20"/>
              </w:rPr>
              <w:t xml:space="preserve">0.9935</w:t>
            </w:r>
          </w:p>
        </w:tc>
        <w:tc>
          <w:tcPr>
            <w:tcW w:w="0" w:type="auto"/>
          </w:tcPr>
          <w:p>
            <w:pPr>
              <w:spacing w:line="240" w:lineRule="auto" w:before="0" w:after="0"/>
              <w:pStyle w:val="Compact"/>
            </w:pPr>
            <w:r>
              <w:rPr>
                <w:sz w:val="20"/>
                <w:szCs w:val="20"/>
              </w:rPr>
              <w:t xml:space="preserve">-1.5062</w:t>
            </w:r>
          </w:p>
        </w:tc>
        <w:tc>
          <w:tcPr>
            <w:tcW w:w="0" w:type="auto"/>
          </w:tcPr>
          <w:p>
            <w:pPr>
              <w:spacing w:line="240" w:lineRule="auto" w:before="0" w:after="0"/>
              <w:pStyle w:val="Compact"/>
            </w:pPr>
            <w:r>
              <w:rPr>
                <w:sz w:val="20"/>
                <w:szCs w:val="20"/>
              </w:rPr>
              <w:t xml:space="preserve">0.132</w:t>
            </w:r>
          </w:p>
        </w:tc>
        <w:tc>
          <w:tcPr>
            <w:tcW w:w="0" w:type="auto"/>
          </w:tcPr>
          <w:p>
            <w:pPr>
              <w:spacing w:line="240" w:lineRule="auto" w:before="0" w:after="0"/>
              <w:pStyle w:val="Compact"/>
            </w:pPr>
            <w:r>
              <w:rPr>
                <w:sz w:val="20"/>
                <w:szCs w:val="20"/>
              </w:rPr>
              <w:t xml:space="preserve">[-3.4435, 0.4508]</w:t>
            </w:r>
          </w:p>
        </w:tc>
        <w:tc>
          <w:tcPr>
            <w:tcW w:w="0" w:type="auto"/>
          </w:tcPr>
          <w:p>
            <w:pPr>
              <w:spacing w:line="240" w:lineRule="auto" w:before="0" w:after="0"/>
              <w:pStyle w:val="Compact"/>
            </w:pPr>
            <w:r>
              <w:rPr>
                <w:sz w:val="20"/>
                <w:szCs w:val="20"/>
              </w:rPr>
              <w:t xml:space="preserve">0.2239</w:t>
            </w:r>
          </w:p>
        </w:tc>
      </w:tr>
      <w:tr>
        <w:tc>
          <w:tcPr>
            <w:tcW w:w="0" w:type="auto"/>
          </w:tcPr>
          <w:p>
            <w:pPr>
              <w:spacing w:line="240" w:lineRule="auto" w:before="0" w:after="0"/>
              <w:pStyle w:val="Compact"/>
            </w:pPr>
            <w:r>
              <w:rPr>
                <w:sz w:val="20"/>
                <w:szCs w:val="20"/>
              </w:rPr>
              <w:t xml:space="preserve">instruments</w:t>
            </w:r>
          </w:p>
        </w:tc>
        <w:tc>
          <w:tcPr>
            <w:tcW w:w="0" w:type="auto"/>
          </w:tcPr>
          <w:p>
            <w:pPr>
              <w:spacing w:line="240" w:lineRule="auto" w:before="0" w:after="0"/>
              <w:pStyle w:val="Compact"/>
            </w:pPr>
            <w:r>
              <w:rPr>
                <w:sz w:val="20"/>
                <w:szCs w:val="20"/>
              </w:rPr>
              <w:t xml:space="preserve">-0.0308</w:t>
            </w:r>
          </w:p>
        </w:tc>
        <w:tc>
          <w:tcPr>
            <w:tcW w:w="0" w:type="auto"/>
          </w:tcPr>
          <w:p>
            <w:pPr>
              <w:spacing w:line="240" w:lineRule="auto" w:before="0" w:after="0"/>
              <w:pStyle w:val="Compact"/>
            </w:pPr>
            <w:r>
              <w:rPr>
                <w:sz w:val="20"/>
                <w:szCs w:val="20"/>
              </w:rPr>
              <w:t xml:space="preserve">0.1529</w:t>
            </w:r>
          </w:p>
        </w:tc>
        <w:tc>
          <w:tcPr>
            <w:tcW w:w="0" w:type="auto"/>
          </w:tcPr>
          <w:p>
            <w:pPr>
              <w:spacing w:line="240" w:lineRule="auto" w:before="0" w:after="0"/>
              <w:pStyle w:val="Compact"/>
            </w:pPr>
            <w:r>
              <w:rPr>
                <w:sz w:val="20"/>
                <w:szCs w:val="20"/>
              </w:rPr>
              <w:t xml:space="preserve">-0.2016</w:t>
            </w:r>
          </w:p>
        </w:tc>
        <w:tc>
          <w:tcPr>
            <w:tcW w:w="0" w:type="auto"/>
          </w:tcPr>
          <w:p>
            <w:pPr>
              <w:spacing w:line="240" w:lineRule="auto" w:before="0" w:after="0"/>
              <w:pStyle w:val="Compact"/>
            </w:pPr>
            <w:r>
              <w:rPr>
                <w:sz w:val="20"/>
                <w:szCs w:val="20"/>
              </w:rPr>
              <w:t xml:space="preserve">0.8402</w:t>
            </w:r>
          </w:p>
        </w:tc>
        <w:tc>
          <w:tcPr>
            <w:tcW w:w="0" w:type="auto"/>
          </w:tcPr>
          <w:p>
            <w:pPr>
              <w:spacing w:line="240" w:lineRule="auto" w:before="0" w:after="0"/>
              <w:pStyle w:val="Compact"/>
            </w:pPr>
            <w:r>
              <w:rPr>
                <w:sz w:val="20"/>
                <w:szCs w:val="20"/>
              </w:rPr>
              <w:t xml:space="preserve">[-0.3305, 0.2689]</w:t>
            </w:r>
          </w:p>
        </w:tc>
        <w:tc>
          <w:tcPr>
            <w:tcW w:w="0" w:type="auto"/>
          </w:tcPr>
          <w:p>
            <w:pPr>
              <w:spacing w:line="240" w:lineRule="auto" w:before="0" w:after="0"/>
              <w:pStyle w:val="Compact"/>
            </w:pPr>
            <w:r>
              <w:rPr>
                <w:sz w:val="20"/>
                <w:szCs w:val="20"/>
              </w:rPr>
              <w:t xml:space="preserve">0.9696</w:t>
            </w:r>
          </w:p>
        </w:tc>
      </w:tr>
    </w:tbl>
    <w:p>
      <w:pPr>
        <w:pStyle w:val="BodyText"/>
      </w:pPr>
      <w:r>
        <w:t xml:space="preserve">Fit: N = 22 events = 7</w:t>
      </w:r>
    </w:p>
    <w:p>
      <w:pPr>
        <w:pStyle w:val="CaptionedFigure"/>
      </w:pPr>
      <w:r>
        <w:drawing>
          <wp:inline>
            <wp:extent cx="5669280" cy="3657600"/>
            <wp:effectExtent b="0" l="0" r="0" t="0"/>
            <wp:docPr descr="Figure 1. Development schedule length against log development cost for 22 NASA planetary and major science missions; the proportional-hazards model estimates the cost and complexity covariates of the slip hazard." title="" id="76" name="Picture"/>
            <a:graphic>
              <a:graphicData uri="http://schemas.openxmlformats.org/drawingml/2006/picture">
                <pic:pic>
                  <pic:nvPicPr>
                    <pic:cNvPr descr="D:\Claude_Code\brain\collegium\candidates\dissertations\JPL_PLANETARY_02\research_papers\p2\paper_fig1.png" id="77" name="Picture"/>
                    <pic:cNvPicPr>
                      <a:picLocks noChangeArrowheads="1" noChangeAspect="1"/>
                    </pic:cNvPicPr>
                  </pic:nvPicPr>
                  <pic:blipFill>
                    <a:blip r:embed="rId75"/>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pPr>
      <w:r>
        <w:t xml:space="preserve">Figure 1. Development schedule length against log development cost for 22 NASA planetary and major science missions; the proportional-hazards model estimates the cost and complexity covariates of the slip hazard.</w:t>
      </w:r>
    </w:p>
    <w:bookmarkEnd w:id="78"/>
    <w:bookmarkStart w:id="82" w:name="empirical-workbook-embedded"/>
    <w:p>
      <w:pPr>
        <w:pStyle w:val="Heading2"/>
      </w:pPr>
      <w:r>
        <w:t xml:space="preserve">Empirical Workbook (embedded)</w:t>
      </w:r>
    </w:p>
    <w:p>
      <w:pPr>
        <w:pStyle w:val="FirstParagraph"/>
      </w:pPr>
      <w:r>
        <w:t xml:space="preserve">Every figure above is reproduced from the workbook below, which is also attached as the live spreadsheet</w:t>
      </w:r>
      <w:r>
        <w:t xml:space="preserve"> </w:t>
      </w:r>
      <w:r>
        <w:rPr>
          <w:rStyle w:val="VerbatimChar"/>
        </w:rPr>
        <w:t xml:space="preserve">paper.xlsx</w:t>
      </w:r>
      <w:r>
        <w:t xml:space="preserve">. Each observation carries its source.</w:t>
      </w:r>
    </w:p>
    <w:bookmarkStart w:id="79" w:name="data-real-observations"/>
    <w:p>
      <w:pPr>
        <w:pStyle w:val="Heading3"/>
      </w:pPr>
      <w:r>
        <w:t xml:space="preserve">Data (real observations)</w:t>
      </w:r>
    </w:p>
    <w:tbl>
      <w:tblPr>
        <w:tblStyle w:val="Table"/>
        <w:tblLook w:firstRow="1" w:lastRow="0" w:firstColumn="0" w:lastColumn="0" w:noHBand="0" w:noVBand="0" w:val="0020"/>
        <w:tblLayout w:type="autofit"/>
        <w:tblW w:w="0" w:type="auto"/>
      </w:tblPr>
      <w:tblGrid>
        <w:gridCol w:w="879"/>
        <w:gridCol w:w="879"/>
        <w:gridCol w:w="879"/>
        <w:gridCol w:w="879"/>
        <w:gridCol w:w="879"/>
        <w:gridCol w:w="879"/>
        <w:gridCol w:w="879"/>
        <w:gridCol w:w="879"/>
        <w:gridCol w:w="879"/>
      </w:tblGrid>
      <w:tr>
        <w:trPr>
          <w:tblHeader w:val="on"/>
        </w:trPr>
        <w:tc>
          <w:tcPr>
            <w:tcW w:w="0" w:type="auto"/>
          </w:tcPr>
          <w:p>
            <w:pPr>
              <w:spacing w:line="240" w:lineRule="auto" w:before="0" w:after="0"/>
              <w:pStyle w:val="Compact"/>
            </w:pPr>
            <w:r>
              <w:rPr>
                <w:sz w:val="20"/>
                <w:szCs w:val="20"/>
              </w:rPr>
              <w:t xml:space="preserve">mission</w:t>
            </w:r>
          </w:p>
        </w:tc>
        <w:tc>
          <w:tcPr>
            <w:tcW w:w="0" w:type="auto"/>
          </w:tcPr>
          <w:p>
            <w:pPr>
              <w:spacing w:line="240" w:lineRule="auto" w:before="0" w:after="0"/>
              <w:pStyle w:val="Compact"/>
            </w:pPr>
            <w:r>
              <w:rPr>
                <w:sz w:val="20"/>
                <w:szCs w:val="20"/>
              </w:rPr>
              <w:t xml:space="preserve">confirm_year</w:t>
            </w:r>
          </w:p>
        </w:tc>
        <w:tc>
          <w:tcPr>
            <w:tcW w:w="0" w:type="auto"/>
          </w:tcPr>
          <w:p>
            <w:pPr>
              <w:spacing w:line="240" w:lineRule="auto" w:before="0" w:after="0"/>
              <w:pStyle w:val="Compact"/>
            </w:pPr>
            <w:r>
              <w:rPr>
                <w:sz w:val="20"/>
                <w:szCs w:val="20"/>
              </w:rPr>
              <w:t xml:space="preserve">launch_year</w:t>
            </w:r>
          </w:p>
        </w:tc>
        <w:tc>
          <w:tcPr>
            <w:tcW w:w="0" w:type="auto"/>
          </w:tcPr>
          <w:p>
            <w:pPr>
              <w:spacing w:line="240" w:lineRule="auto" w:before="0" w:after="0"/>
              <w:pStyle w:val="Compact"/>
            </w:pPr>
            <w:r>
              <w:rPr>
                <w:sz w:val="20"/>
                <w:szCs w:val="20"/>
              </w:rPr>
              <w:t xml:space="preserve">dev_months</w:t>
            </w:r>
          </w:p>
        </w:tc>
        <w:tc>
          <w:tcPr>
            <w:tcW w:w="0" w:type="auto"/>
          </w:tcPr>
          <w:p>
            <w:pPr>
              <w:spacing w:line="240" w:lineRule="auto" w:before="0" w:after="0"/>
              <w:pStyle w:val="Compact"/>
            </w:pPr>
            <w:r>
              <w:rPr>
                <w:sz w:val="20"/>
                <w:szCs w:val="20"/>
              </w:rPr>
              <w:t xml:space="preserve">cost_musd</w:t>
            </w:r>
          </w:p>
        </w:tc>
        <w:tc>
          <w:tcPr>
            <w:tcW w:w="0" w:type="auto"/>
          </w:tcPr>
          <w:p>
            <w:pPr>
              <w:spacing w:line="240" w:lineRule="auto" w:before="0" w:after="0"/>
              <w:pStyle w:val="Compact"/>
            </w:pPr>
            <w:r>
              <w:rPr>
                <w:sz w:val="20"/>
                <w:szCs w:val="20"/>
              </w:rPr>
              <w:t xml:space="preserve">ln_cost</w:t>
            </w:r>
          </w:p>
        </w:tc>
        <w:tc>
          <w:tcPr>
            <w:tcW w:w="0" w:type="auto"/>
          </w:tcPr>
          <w:p>
            <w:pPr>
              <w:spacing w:line="240" w:lineRule="auto" w:before="0" w:after="0"/>
              <w:pStyle w:val="Compact"/>
            </w:pPr>
            <w:r>
              <w:rPr>
                <w:sz w:val="20"/>
                <w:szCs w:val="20"/>
              </w:rPr>
              <w:t xml:space="preserve">instruments</w:t>
            </w:r>
          </w:p>
        </w:tc>
        <w:tc>
          <w:tcPr>
            <w:tcW w:w="0" w:type="auto"/>
          </w:tcPr>
          <w:p>
            <w:pPr>
              <w:spacing w:line="240" w:lineRule="auto" w:before="0" w:after="0"/>
              <w:pStyle w:val="Compact"/>
            </w:pPr>
            <w:r>
              <w:rPr>
                <w:sz w:val="20"/>
                <w:szCs w:val="20"/>
              </w:rPr>
              <w:t xml:space="preserve">slip</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Psyche</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81</w:t>
            </w:r>
          </w:p>
        </w:tc>
        <w:tc>
          <w:tcPr>
            <w:tcW w:w="0" w:type="auto"/>
          </w:tcPr>
          <w:p>
            <w:pPr>
              <w:spacing w:line="240" w:lineRule="auto" w:before="0" w:after="0"/>
              <w:pStyle w:val="Compact"/>
            </w:pPr>
            <w:r>
              <w:rPr>
                <w:sz w:val="20"/>
                <w:szCs w:val="20"/>
              </w:rPr>
              <w:t xml:space="preserve">1200</w:t>
            </w:r>
          </w:p>
        </w:tc>
        <w:tc>
          <w:tcPr>
            <w:tcW w:w="0" w:type="auto"/>
          </w:tcPr>
          <w:p>
            <w:pPr>
              <w:spacing w:line="240" w:lineRule="auto" w:before="0" w:after="0"/>
              <w:pStyle w:val="Compact"/>
            </w:pPr>
            <w:r>
              <w:rPr>
                <w:sz w:val="20"/>
                <w:szCs w:val="20"/>
              </w:rPr>
              <w:t xml:space="preserve">7.0901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NASA/JPL Psyche press kit and Wikipedia: selected Jan 2017, planned launch 2022 slipped to launched 13 Oct 2023; ~US$1.2B; 4 instruments (gao-25-107591 tracks Psyche)</w:t>
            </w:r>
          </w:p>
        </w:tc>
      </w:tr>
      <w:tr>
        <w:tc>
          <w:tcPr>
            <w:tcW w:w="0" w:type="auto"/>
          </w:tcPr>
          <w:p>
            <w:pPr>
              <w:spacing w:line="240" w:lineRule="auto" w:before="0" w:after="0"/>
              <w:pStyle w:val="Compact"/>
            </w:pPr>
            <w:r>
              <w:rPr>
                <w:sz w:val="20"/>
                <w:szCs w:val="20"/>
              </w:rPr>
              <w:t xml:space="preserve">Europa Clipper</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112</w:t>
            </w:r>
          </w:p>
        </w:tc>
        <w:tc>
          <w:tcPr>
            <w:tcW w:w="0" w:type="auto"/>
          </w:tcPr>
          <w:p>
            <w:pPr>
              <w:spacing w:line="240" w:lineRule="auto" w:before="0" w:after="0"/>
              <w:pStyle w:val="Compact"/>
            </w:pPr>
            <w:r>
              <w:rPr>
                <w:sz w:val="20"/>
                <w:szCs w:val="20"/>
              </w:rPr>
              <w:t xml:space="preserve">5000</w:t>
            </w:r>
          </w:p>
        </w:tc>
        <w:tc>
          <w:tcPr>
            <w:tcW w:w="0" w:type="auto"/>
          </w:tcPr>
          <w:p>
            <w:pPr>
              <w:spacing w:line="240" w:lineRule="auto" w:before="0" w:after="0"/>
              <w:pStyle w:val="Compact"/>
            </w:pPr>
            <w:r>
              <w:rPr>
                <w:sz w:val="20"/>
                <w:szCs w:val="20"/>
              </w:rPr>
              <w:t xml:space="preserve">8.5172</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Wikipedia Europa Clipper / NASA Science: KDP-C ~2015, launched 14 Oct 2024 within baselined Oct 2024 window (weather shifts only); ~US$5.0B; 9 instruments</w:t>
            </w:r>
          </w:p>
        </w:tc>
      </w:tr>
      <w:tr>
        <w:tc>
          <w:tcPr>
            <w:tcW w:w="0" w:type="auto"/>
          </w:tcPr>
          <w:p>
            <w:pPr>
              <w:spacing w:line="240" w:lineRule="auto" w:before="0" w:after="0"/>
              <w:pStyle w:val="Compact"/>
            </w:pPr>
            <w:r>
              <w:rPr>
                <w:sz w:val="20"/>
                <w:szCs w:val="20"/>
              </w:rPr>
              <w:t xml:space="preserve">Mars 2020 Perseverance</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48</w:t>
            </w:r>
          </w:p>
        </w:tc>
        <w:tc>
          <w:tcPr>
            <w:tcW w:w="0" w:type="auto"/>
          </w:tcPr>
          <w:p>
            <w:pPr>
              <w:spacing w:line="240" w:lineRule="auto" w:before="0" w:after="0"/>
              <w:pStyle w:val="Compact"/>
            </w:pPr>
            <w:r>
              <w:rPr>
                <w:sz w:val="20"/>
                <w:szCs w:val="20"/>
              </w:rPr>
              <w:t xml:space="preserve">2750</w:t>
            </w:r>
          </w:p>
        </w:tc>
        <w:tc>
          <w:tcPr>
            <w:tcW w:w="0" w:type="auto"/>
          </w:tcPr>
          <w:p>
            <w:pPr>
              <w:spacing w:line="240" w:lineRule="auto" w:before="0" w:after="0"/>
              <w:pStyle w:val="Compact"/>
            </w:pPr>
            <w:r>
              <w:rPr>
                <w:sz w:val="20"/>
                <w:szCs w:val="20"/>
              </w:rPr>
              <w:t xml:space="preserve">7.9194</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Wikipedia Perseverance: planned and launched July 2020; ~US$2.75B; 7 primary instruments</w:t>
            </w:r>
          </w:p>
        </w:tc>
      </w:tr>
      <w:tr>
        <w:tc>
          <w:tcPr>
            <w:tcW w:w="0" w:type="auto"/>
          </w:tcPr>
          <w:p>
            <w:pPr>
              <w:spacing w:line="240" w:lineRule="auto" w:before="0" w:after="0"/>
              <w:pStyle w:val="Compact"/>
            </w:pPr>
            <w:r>
              <w:rPr>
                <w:sz w:val="20"/>
                <w:szCs w:val="20"/>
              </w:rPr>
              <w:t xml:space="preserve">OSIRIS-REx</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64</w:t>
            </w:r>
          </w:p>
        </w:tc>
        <w:tc>
          <w:tcPr>
            <w:tcW w:w="0" w:type="auto"/>
          </w:tcPr>
          <w:p>
            <w:pPr>
              <w:spacing w:line="240" w:lineRule="auto" w:before="0" w:after="0"/>
              <w:pStyle w:val="Compact"/>
            </w:pPr>
            <w:r>
              <w:rPr>
                <w:sz w:val="20"/>
                <w:szCs w:val="20"/>
              </w:rPr>
              <w:t xml:space="preserve">800</w:t>
            </w:r>
          </w:p>
        </w:tc>
        <w:tc>
          <w:tcPr>
            <w:tcW w:w="0" w:type="auto"/>
          </w:tcPr>
          <w:p>
            <w:pPr>
              <w:spacing w:line="240" w:lineRule="auto" w:before="0" w:after="0"/>
              <w:pStyle w:val="Compact"/>
            </w:pPr>
            <w:r>
              <w:rPr>
                <w:sz w:val="20"/>
                <w:szCs w:val="20"/>
              </w:rPr>
              <w:t xml:space="preserve">6.6846</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Wikipedia OSIRIS-REx: selected May 2011, planned 2016 and launched 8 Sep 2016; ~US$800M dev; 6 instruments</w:t>
            </w:r>
          </w:p>
        </w:tc>
      </w:tr>
      <w:tr>
        <w:tc>
          <w:tcPr>
            <w:tcW w:w="0" w:type="auto"/>
          </w:tcPr>
          <w:p>
            <w:pPr>
              <w:spacing w:line="240" w:lineRule="auto" w:before="0" w:after="0"/>
              <w:pStyle w:val="Compact"/>
            </w:pPr>
            <w:r>
              <w:rPr>
                <w:sz w:val="20"/>
                <w:szCs w:val="20"/>
              </w:rPr>
              <w:t xml:space="preserve">InSight</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69</w:t>
            </w:r>
          </w:p>
        </w:tc>
        <w:tc>
          <w:tcPr>
            <w:tcW w:w="0" w:type="auto"/>
          </w:tcPr>
          <w:p>
            <w:pPr>
              <w:spacing w:line="240" w:lineRule="auto" w:before="0" w:after="0"/>
              <w:pStyle w:val="Compact"/>
            </w:pPr>
            <w:r>
              <w:rPr>
                <w:sz w:val="20"/>
                <w:szCs w:val="20"/>
              </w:rPr>
              <w:t xml:space="preserve">830</w:t>
            </w:r>
          </w:p>
        </w:tc>
        <w:tc>
          <w:tcPr>
            <w:tcW w:w="0" w:type="auto"/>
          </w:tcPr>
          <w:p>
            <w:pPr>
              <w:spacing w:line="240" w:lineRule="auto" w:before="0" w:after="0"/>
              <w:pStyle w:val="Compact"/>
            </w:pPr>
            <w:r>
              <w:rPr>
                <w:sz w:val="20"/>
                <w:szCs w:val="20"/>
              </w:rPr>
              <w:t xml:space="preserve">6.7214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Wikipedia InSight: selected Aug 2012, planned Mar 2016 slipped to launched 5 May 2018 (SEIS leak); US$830M; 4 instruments</w:t>
            </w:r>
          </w:p>
        </w:tc>
      </w:tr>
      <w:tr>
        <w:tc>
          <w:tcPr>
            <w:tcW w:w="0" w:type="auto"/>
          </w:tcPr>
          <w:p>
            <w:pPr>
              <w:spacing w:line="240" w:lineRule="auto" w:before="0" w:after="0"/>
              <w:pStyle w:val="Compact"/>
            </w:pPr>
            <w:r>
              <w:rPr>
                <w:sz w:val="20"/>
                <w:szCs w:val="20"/>
              </w:rPr>
              <w:t xml:space="preserve">Lucy</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57</w:t>
            </w:r>
          </w:p>
        </w:tc>
        <w:tc>
          <w:tcPr>
            <w:tcW w:w="0" w:type="auto"/>
          </w:tcPr>
          <w:p>
            <w:pPr>
              <w:spacing w:line="240" w:lineRule="auto" w:before="0" w:after="0"/>
              <w:pStyle w:val="Compact"/>
            </w:pPr>
            <w:r>
              <w:rPr>
                <w:sz w:val="20"/>
                <w:szCs w:val="20"/>
              </w:rPr>
              <w:t xml:space="preserve">981</w:t>
            </w:r>
          </w:p>
        </w:tc>
        <w:tc>
          <w:tcPr>
            <w:tcW w:w="0" w:type="auto"/>
          </w:tcPr>
          <w:p>
            <w:pPr>
              <w:spacing w:line="240" w:lineRule="auto" w:before="0" w:after="0"/>
              <w:pStyle w:val="Compact"/>
            </w:pPr>
            <w:r>
              <w:rPr>
                <w:sz w:val="20"/>
                <w:szCs w:val="20"/>
              </w:rPr>
              <w:t xml:space="preserve">6.8885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Wikipedia Lucy: selected Jan 2017, planned and launched Oct 2021; US$981M; 3 instruments</w:t>
            </w:r>
          </w:p>
        </w:tc>
      </w:tr>
      <w:tr>
        <w:tc>
          <w:tcPr>
            <w:tcW w:w="0" w:type="auto"/>
          </w:tcPr>
          <w:p>
            <w:pPr>
              <w:spacing w:line="240" w:lineRule="auto" w:before="0" w:after="0"/>
              <w:pStyle w:val="Compact"/>
            </w:pPr>
            <w:r>
              <w:rPr>
                <w:sz w:val="20"/>
                <w:szCs w:val="20"/>
              </w:rPr>
              <w:t xml:space="preserve">MSL Curiosity</w:t>
            </w:r>
          </w:p>
        </w:tc>
        <w:tc>
          <w:tcPr>
            <w:tcW w:w="0" w:type="auto"/>
          </w:tcPr>
          <w:p>
            <w:pPr>
              <w:spacing w:line="240" w:lineRule="auto" w:before="0" w:after="0"/>
              <w:pStyle w:val="Compact"/>
            </w:pPr>
            <w:r>
              <w:rPr>
                <w:sz w:val="20"/>
                <w:szCs w:val="20"/>
              </w:rPr>
              <w:t xml:space="preserve">2006</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63</w:t>
            </w:r>
          </w:p>
        </w:tc>
        <w:tc>
          <w:tcPr>
            <w:tcW w:w="0" w:type="auto"/>
          </w:tcPr>
          <w:p>
            <w:pPr>
              <w:spacing w:line="240" w:lineRule="auto" w:before="0" w:after="0"/>
              <w:pStyle w:val="Compact"/>
            </w:pPr>
            <w:r>
              <w:rPr>
                <w:sz w:val="20"/>
                <w:szCs w:val="20"/>
              </w:rPr>
              <w:t xml:space="preserve">2470</w:t>
            </w:r>
          </w:p>
        </w:tc>
        <w:tc>
          <w:tcPr>
            <w:tcW w:w="0" w:type="auto"/>
          </w:tcPr>
          <w:p>
            <w:pPr>
              <w:spacing w:line="240" w:lineRule="auto" w:before="0" w:after="0"/>
              <w:pStyle w:val="Compact"/>
            </w:pPr>
            <w:r>
              <w:rPr>
                <w:sz w:val="20"/>
                <w:szCs w:val="20"/>
              </w:rPr>
              <w:t xml:space="preserve">7.812</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Wikipedia Mars Science Laboratory: planned 2009 slipped to launched 26 Nov 2011; US$2.47B dev; ~10 science instruments</w:t>
            </w:r>
          </w:p>
        </w:tc>
      </w:tr>
      <w:tr>
        <w:tc>
          <w:tcPr>
            <w:tcW w:w="0" w:type="auto"/>
          </w:tcPr>
          <w:p>
            <w:pPr>
              <w:spacing w:line="240" w:lineRule="auto" w:before="0" w:after="0"/>
              <w:pStyle w:val="Compact"/>
            </w:pPr>
            <w:r>
              <w:rPr>
                <w:sz w:val="20"/>
                <w:szCs w:val="20"/>
              </w:rPr>
              <w:t xml:space="preserve">MAVEN</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37</w:t>
            </w:r>
          </w:p>
        </w:tc>
        <w:tc>
          <w:tcPr>
            <w:tcW w:w="0" w:type="auto"/>
          </w:tcPr>
          <w:p>
            <w:pPr>
              <w:spacing w:line="240" w:lineRule="auto" w:before="0" w:after="0"/>
              <w:pStyle w:val="Compact"/>
            </w:pPr>
            <w:r>
              <w:rPr>
                <w:sz w:val="20"/>
                <w:szCs w:val="20"/>
              </w:rPr>
              <w:t xml:space="preserve">582.5</w:t>
            </w:r>
          </w:p>
        </w:tc>
        <w:tc>
          <w:tcPr>
            <w:tcW w:w="0" w:type="auto"/>
          </w:tcPr>
          <w:p>
            <w:pPr>
              <w:spacing w:line="240" w:lineRule="auto" w:before="0" w:after="0"/>
              <w:pStyle w:val="Compact"/>
            </w:pPr>
            <w:r>
              <w:rPr>
                <w:sz w:val="20"/>
                <w:szCs w:val="20"/>
              </w:rPr>
              <w:t xml:space="preserve">6.3673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Wikipedia MAVEN: selected 2010, launched on schedule 18 Nov 2013; US$582.5M; 8 instrument suites</w:t>
            </w:r>
          </w:p>
        </w:tc>
      </w:tr>
      <w:tr>
        <w:tc>
          <w:tcPr>
            <w:tcW w:w="0" w:type="auto"/>
          </w:tcPr>
          <w:p>
            <w:pPr>
              <w:spacing w:line="240" w:lineRule="auto" w:before="0" w:after="0"/>
              <w:pStyle w:val="Compact"/>
            </w:pPr>
            <w:r>
              <w:rPr>
                <w:sz w:val="20"/>
                <w:szCs w:val="20"/>
              </w:rPr>
              <w:t xml:space="preserve">Juno</w:t>
            </w:r>
          </w:p>
        </w:tc>
        <w:tc>
          <w:tcPr>
            <w:tcW w:w="0" w:type="auto"/>
          </w:tcPr>
          <w:p>
            <w:pPr>
              <w:spacing w:line="240" w:lineRule="auto" w:before="0" w:after="0"/>
              <w:pStyle w:val="Compact"/>
            </w:pPr>
            <w:r>
              <w:rPr>
                <w:sz w:val="20"/>
                <w:szCs w:val="20"/>
              </w:rPr>
              <w:t xml:space="preserve">2005</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74</w:t>
            </w:r>
          </w:p>
        </w:tc>
        <w:tc>
          <w:tcPr>
            <w:tcW w:w="0" w:type="auto"/>
          </w:tcPr>
          <w:p>
            <w:pPr>
              <w:spacing w:line="240" w:lineRule="auto" w:before="0" w:after="0"/>
              <w:pStyle w:val="Compact"/>
            </w:pPr>
            <w:r>
              <w:rPr>
                <w:sz w:val="20"/>
                <w:szCs w:val="20"/>
              </w:rPr>
              <w:t xml:space="preserve">1100</w:t>
            </w:r>
          </w:p>
        </w:tc>
        <w:tc>
          <w:tcPr>
            <w:tcW w:w="0" w:type="auto"/>
          </w:tcPr>
          <w:p>
            <w:pPr>
              <w:spacing w:line="240" w:lineRule="auto" w:before="0" w:after="0"/>
              <w:pStyle w:val="Compact"/>
            </w:pPr>
            <w:r>
              <w:rPr>
                <w:sz w:val="20"/>
                <w:szCs w:val="20"/>
              </w:rPr>
              <w:t xml:space="preserve">7.0031</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Wikipedia Juno: selected 1 Jun 2005, planned and launched Aug 2011; ~US$1.1B development; 9 instruments</w:t>
            </w:r>
          </w:p>
        </w:tc>
      </w:tr>
      <w:tr>
        <w:tc>
          <w:tcPr>
            <w:tcW w:w="0" w:type="auto"/>
          </w:tcPr>
          <w:p>
            <w:pPr>
              <w:spacing w:line="240" w:lineRule="auto" w:before="0" w:after="0"/>
              <w:pStyle w:val="Compact"/>
            </w:pPr>
            <w:r>
              <w:rPr>
                <w:sz w:val="20"/>
                <w:szCs w:val="20"/>
              </w:rPr>
              <w:t xml:space="preserve">New Horizons</w:t>
            </w:r>
          </w:p>
        </w:tc>
        <w:tc>
          <w:tcPr>
            <w:tcW w:w="0" w:type="auto"/>
          </w:tcPr>
          <w:p>
            <w:pPr>
              <w:spacing w:line="240" w:lineRule="auto" w:before="0" w:after="0"/>
              <w:pStyle w:val="Compact"/>
            </w:pPr>
            <w:r>
              <w:rPr>
                <w:sz w:val="20"/>
                <w:szCs w:val="20"/>
              </w:rPr>
              <w:t xml:space="preserve">2001</w:t>
            </w:r>
          </w:p>
        </w:tc>
        <w:tc>
          <w:tcPr>
            <w:tcW w:w="0" w:type="auto"/>
          </w:tcPr>
          <w:p>
            <w:pPr>
              <w:spacing w:line="240" w:lineRule="auto" w:before="0" w:after="0"/>
              <w:pStyle w:val="Compact"/>
            </w:pPr>
            <w:r>
              <w:rPr>
                <w:sz w:val="20"/>
                <w:szCs w:val="20"/>
              </w:rPr>
              <w:t xml:space="preserve">2006</w:t>
            </w:r>
          </w:p>
        </w:tc>
        <w:tc>
          <w:tcPr>
            <w:tcW w:w="0" w:type="auto"/>
          </w:tcPr>
          <w:p>
            <w:pPr>
              <w:spacing w:line="240" w:lineRule="auto" w:before="0" w:after="0"/>
              <w:pStyle w:val="Compact"/>
            </w:pPr>
            <w:r>
              <w:rPr>
                <w:sz w:val="20"/>
                <w:szCs w:val="20"/>
              </w:rPr>
              <w:t xml:space="preserve">50</w:t>
            </w:r>
          </w:p>
        </w:tc>
        <w:tc>
          <w:tcPr>
            <w:tcW w:w="0" w:type="auto"/>
          </w:tcPr>
          <w:p>
            <w:pPr>
              <w:spacing w:line="240" w:lineRule="auto" w:before="0" w:after="0"/>
              <w:pStyle w:val="Compact"/>
            </w:pPr>
            <w:r>
              <w:rPr>
                <w:sz w:val="20"/>
                <w:szCs w:val="20"/>
              </w:rPr>
              <w:t xml:space="preserve">700</w:t>
            </w:r>
          </w:p>
        </w:tc>
        <w:tc>
          <w:tcPr>
            <w:tcW w:w="0" w:type="auto"/>
          </w:tcPr>
          <w:p>
            <w:pPr>
              <w:spacing w:line="240" w:lineRule="auto" w:before="0" w:after="0"/>
              <w:pStyle w:val="Compact"/>
            </w:pPr>
            <w:r>
              <w:rPr>
                <w:sz w:val="20"/>
                <w:szCs w:val="20"/>
              </w:rPr>
              <w:t xml:space="preserve">6.5511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Wikipedia New Horizons: selected Nov 2001, planned and launched 19 Jan 2006; ~US$700M; 7 instruments</w:t>
            </w:r>
          </w:p>
        </w:tc>
      </w:tr>
      <w:tr>
        <w:tc>
          <w:tcPr>
            <w:tcW w:w="0" w:type="auto"/>
          </w:tcPr>
          <w:p>
            <w:pPr>
              <w:spacing w:line="240" w:lineRule="auto" w:before="0" w:after="0"/>
              <w:pStyle w:val="Compact"/>
            </w:pPr>
            <w:r>
              <w:rPr>
                <w:sz w:val="20"/>
                <w:szCs w:val="20"/>
              </w:rPr>
              <w:t xml:space="preserve">DART</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53</w:t>
            </w:r>
          </w:p>
        </w:tc>
        <w:tc>
          <w:tcPr>
            <w:tcW w:w="0" w:type="auto"/>
          </w:tcPr>
          <w:p>
            <w:pPr>
              <w:spacing w:line="240" w:lineRule="auto" w:before="0" w:after="0"/>
              <w:pStyle w:val="Compact"/>
            </w:pPr>
            <w:r>
              <w:rPr>
                <w:sz w:val="20"/>
                <w:szCs w:val="20"/>
              </w:rPr>
              <w:t xml:space="preserve">330</w:t>
            </w:r>
          </w:p>
        </w:tc>
        <w:tc>
          <w:tcPr>
            <w:tcW w:w="0" w:type="auto"/>
          </w:tcPr>
          <w:p>
            <w:pPr>
              <w:spacing w:line="240" w:lineRule="auto" w:before="0" w:after="0"/>
              <w:pStyle w:val="Compact"/>
            </w:pPr>
            <w:r>
              <w:rPr>
                <w:sz w:val="20"/>
                <w:szCs w:val="20"/>
              </w:rPr>
              <w:t xml:space="preserve">5.7991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Wikipedia DART: Phase C Jun 2017, launched 24 Nov 2021 on Nov-2021 plan; US$330M; 2 imaging instruments (DRACO+LICIACube)</w:t>
            </w:r>
          </w:p>
        </w:tc>
      </w:tr>
      <w:tr>
        <w:tc>
          <w:tcPr>
            <w:tcW w:w="0" w:type="auto"/>
          </w:tcPr>
          <w:p>
            <w:pPr>
              <w:spacing w:line="240" w:lineRule="auto" w:before="0" w:after="0"/>
              <w:pStyle w:val="Compact"/>
            </w:pPr>
            <w:r>
              <w:rPr>
                <w:sz w:val="20"/>
                <w:szCs w:val="20"/>
              </w:rPr>
              <w:t xml:space="preserve">JWST</w:t>
            </w:r>
          </w:p>
        </w:tc>
        <w:tc>
          <w:tcPr>
            <w:tcW w:w="0" w:type="auto"/>
          </w:tcPr>
          <w:p>
            <w:pPr>
              <w:spacing w:line="240" w:lineRule="auto" w:before="0" w:after="0"/>
              <w:pStyle w:val="Compact"/>
            </w:pPr>
            <w:r>
              <w:rPr>
                <w:sz w:val="20"/>
                <w:szCs w:val="20"/>
              </w:rPr>
              <w:t xml:space="preserve">2008</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161</w:t>
            </w:r>
          </w:p>
        </w:tc>
        <w:tc>
          <w:tcPr>
            <w:tcW w:w="0" w:type="auto"/>
          </w:tcPr>
          <w:p>
            <w:pPr>
              <w:spacing w:line="240" w:lineRule="auto" w:before="0" w:after="0"/>
              <w:pStyle w:val="Compact"/>
            </w:pPr>
            <w:r>
              <w:rPr>
                <w:sz w:val="20"/>
                <w:szCs w:val="20"/>
              </w:rPr>
              <w:t xml:space="preserve">9700</w:t>
            </w:r>
          </w:p>
        </w:tc>
        <w:tc>
          <w:tcPr>
            <w:tcW w:w="0" w:type="auto"/>
          </w:tcPr>
          <w:p>
            <w:pPr>
              <w:spacing w:line="240" w:lineRule="auto" w:before="0" w:after="0"/>
              <w:pStyle w:val="Compact"/>
            </w:pPr>
            <w:r>
              <w:rPr>
                <w:sz w:val="20"/>
                <w:szCs w:val="20"/>
              </w:rPr>
              <w:t xml:space="preserve">9.1799</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Wikipedia JWST: confirmed for construction 2008, planned 2007/2018 slipped to launched 25 Dec 2021; ~US$9.7B; 4 instruments</w:t>
            </w:r>
          </w:p>
        </w:tc>
      </w:tr>
      <w:tr>
        <w:tc>
          <w:tcPr>
            <w:tcW w:w="0" w:type="auto"/>
          </w:tcPr>
          <w:p>
            <w:pPr>
              <w:spacing w:line="240" w:lineRule="auto" w:before="0" w:after="0"/>
              <w:pStyle w:val="Compact"/>
            </w:pPr>
            <w:r>
              <w:rPr>
                <w:sz w:val="20"/>
                <w:szCs w:val="20"/>
              </w:rPr>
              <w:t xml:space="preserve">Parker Solar Probe</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53</w:t>
            </w:r>
          </w:p>
        </w:tc>
        <w:tc>
          <w:tcPr>
            <w:tcW w:w="0" w:type="auto"/>
          </w:tcPr>
          <w:p>
            <w:pPr>
              <w:spacing w:line="240" w:lineRule="auto" w:before="0" w:after="0"/>
              <w:pStyle w:val="Compact"/>
            </w:pPr>
            <w:r>
              <w:rPr>
                <w:sz w:val="20"/>
                <w:szCs w:val="20"/>
              </w:rPr>
              <w:t xml:space="preserve">1500</w:t>
            </w:r>
          </w:p>
        </w:tc>
        <w:tc>
          <w:tcPr>
            <w:tcW w:w="0" w:type="auto"/>
          </w:tcPr>
          <w:p>
            <w:pPr>
              <w:spacing w:line="240" w:lineRule="auto" w:before="0" w:after="0"/>
              <w:pStyle w:val="Compact"/>
            </w:pPr>
            <w:r>
              <w:rPr>
                <w:sz w:val="20"/>
                <w:szCs w:val="20"/>
              </w:rPr>
              <w:t xml:space="preserve">7.3132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Wikipedia Parker Solar Probe: confirmation ~2014, launched 12 Aug 2018 on 2018 plan; US$1.5B; 4 instruments</w:t>
            </w:r>
          </w:p>
        </w:tc>
      </w:tr>
      <w:tr>
        <w:tc>
          <w:tcPr>
            <w:tcW w:w="0" w:type="auto"/>
          </w:tcPr>
          <w:p>
            <w:pPr>
              <w:spacing w:line="240" w:lineRule="auto" w:before="0" w:after="0"/>
              <w:pStyle w:val="Compact"/>
            </w:pPr>
            <w:r>
              <w:rPr>
                <w:sz w:val="20"/>
                <w:szCs w:val="20"/>
              </w:rPr>
              <w:t xml:space="preserve">Mars Reconnaissance Orbiter</w:t>
            </w:r>
          </w:p>
        </w:tc>
        <w:tc>
          <w:tcPr>
            <w:tcW w:w="0" w:type="auto"/>
          </w:tcPr>
          <w:p>
            <w:pPr>
              <w:spacing w:line="240" w:lineRule="auto" w:before="0" w:after="0"/>
              <w:pStyle w:val="Compact"/>
            </w:pPr>
            <w:r>
              <w:rPr>
                <w:sz w:val="20"/>
                <w:szCs w:val="20"/>
              </w:rPr>
              <w:t xml:space="preserve">2001</w:t>
            </w:r>
          </w:p>
        </w:tc>
        <w:tc>
          <w:tcPr>
            <w:tcW w:w="0" w:type="auto"/>
          </w:tcPr>
          <w:p>
            <w:pPr>
              <w:spacing w:line="240" w:lineRule="auto" w:before="0" w:after="0"/>
              <w:pStyle w:val="Compact"/>
            </w:pPr>
            <w:r>
              <w:rPr>
                <w:sz w:val="20"/>
                <w:szCs w:val="20"/>
              </w:rPr>
              <w:t xml:space="preserve">2005</w:t>
            </w:r>
          </w:p>
        </w:tc>
        <w:tc>
          <w:tcPr>
            <w:tcW w:w="0" w:type="auto"/>
          </w:tcPr>
          <w:p>
            <w:pPr>
              <w:spacing w:line="240" w:lineRule="auto" w:before="0" w:after="0"/>
              <w:pStyle w:val="Compact"/>
            </w:pPr>
            <w:r>
              <w:rPr>
                <w:sz w:val="20"/>
                <w:szCs w:val="20"/>
              </w:rPr>
              <w:t xml:space="preserve">46</w:t>
            </w:r>
          </w:p>
        </w:tc>
        <w:tc>
          <w:tcPr>
            <w:tcW w:w="0" w:type="auto"/>
          </w:tcPr>
          <w:p>
            <w:pPr>
              <w:spacing w:line="240" w:lineRule="auto" w:before="0" w:after="0"/>
              <w:pStyle w:val="Compact"/>
            </w:pPr>
            <w:r>
              <w:rPr>
                <w:sz w:val="20"/>
                <w:szCs w:val="20"/>
              </w:rPr>
              <w:t xml:space="preserve">716.6</w:t>
            </w:r>
          </w:p>
        </w:tc>
        <w:tc>
          <w:tcPr>
            <w:tcW w:w="0" w:type="auto"/>
          </w:tcPr>
          <w:p>
            <w:pPr>
              <w:spacing w:line="240" w:lineRule="auto" w:before="0" w:after="0"/>
              <w:pStyle w:val="Compact"/>
            </w:pPr>
            <w:r>
              <w:rPr>
                <w:sz w:val="20"/>
                <w:szCs w:val="20"/>
              </w:rPr>
              <w:t xml:space="preserve">6.5746</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Wikipedia MRO: Lockheed selected Oct 2001, launched 12 Aug 2005 on 2005 plan; US$716.6M; 6 instruments</w:t>
            </w:r>
          </w:p>
        </w:tc>
      </w:tr>
      <w:tr>
        <w:tc>
          <w:tcPr>
            <w:tcW w:w="0" w:type="auto"/>
          </w:tcPr>
          <w:p>
            <w:pPr>
              <w:spacing w:line="240" w:lineRule="auto" w:before="0" w:after="0"/>
              <w:pStyle w:val="Compact"/>
            </w:pPr>
            <w:r>
              <w:rPr>
                <w:sz w:val="20"/>
                <w:szCs w:val="20"/>
              </w:rPr>
              <w:t xml:space="preserve">GRAIL</w:t>
            </w:r>
          </w:p>
        </w:tc>
        <w:tc>
          <w:tcPr>
            <w:tcW w:w="0" w:type="auto"/>
          </w:tcPr>
          <w:p>
            <w:pPr>
              <w:spacing w:line="240" w:lineRule="auto" w:before="0" w:after="0"/>
              <w:pStyle w:val="Compact"/>
            </w:pPr>
            <w:r>
              <w:rPr>
                <w:sz w:val="20"/>
                <w:szCs w:val="20"/>
              </w:rPr>
              <w:t xml:space="preserve">2007</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45</w:t>
            </w:r>
          </w:p>
        </w:tc>
        <w:tc>
          <w:tcPr>
            <w:tcW w:w="0" w:type="auto"/>
          </w:tcPr>
          <w:p>
            <w:pPr>
              <w:spacing w:line="240" w:lineRule="auto" w:before="0" w:after="0"/>
              <w:pStyle w:val="Compact"/>
            </w:pPr>
            <w:r>
              <w:rPr>
                <w:sz w:val="20"/>
                <w:szCs w:val="20"/>
              </w:rPr>
              <w:t xml:space="preserve">496</w:t>
            </w:r>
          </w:p>
        </w:tc>
        <w:tc>
          <w:tcPr>
            <w:tcW w:w="0" w:type="auto"/>
          </w:tcPr>
          <w:p>
            <w:pPr>
              <w:spacing w:line="240" w:lineRule="auto" w:before="0" w:after="0"/>
              <w:pStyle w:val="Compact"/>
            </w:pPr>
            <w:r>
              <w:rPr>
                <w:sz w:val="20"/>
                <w:szCs w:val="20"/>
              </w:rPr>
              <w:t xml:space="preserve">6.2066</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Wikipedia GRAIL: selected Dec 2007 Discovery, launched 10 Sep 2011 on Sep-2011 plan; US$496M; 3 instruments</w:t>
            </w:r>
          </w:p>
        </w:tc>
      </w:tr>
      <w:tr>
        <w:tc>
          <w:tcPr>
            <w:tcW w:w="0" w:type="auto"/>
          </w:tcPr>
          <w:p>
            <w:pPr>
              <w:spacing w:line="240" w:lineRule="auto" w:before="0" w:after="0"/>
              <w:pStyle w:val="Compact"/>
            </w:pPr>
            <w:r>
              <w:rPr>
                <w:sz w:val="20"/>
                <w:szCs w:val="20"/>
              </w:rPr>
              <w:t xml:space="preserve">Dawn</w:t>
            </w:r>
          </w:p>
        </w:tc>
        <w:tc>
          <w:tcPr>
            <w:tcW w:w="0" w:type="auto"/>
          </w:tcPr>
          <w:p>
            <w:pPr>
              <w:spacing w:line="240" w:lineRule="auto" w:before="0" w:after="0"/>
              <w:pStyle w:val="Compact"/>
            </w:pPr>
            <w:r>
              <w:rPr>
                <w:sz w:val="20"/>
                <w:szCs w:val="20"/>
              </w:rPr>
              <w:t xml:space="preserve">2004</w:t>
            </w:r>
          </w:p>
        </w:tc>
        <w:tc>
          <w:tcPr>
            <w:tcW w:w="0" w:type="auto"/>
          </w:tcPr>
          <w:p>
            <w:pPr>
              <w:spacing w:line="240" w:lineRule="auto" w:before="0" w:after="0"/>
              <w:pStyle w:val="Compact"/>
            </w:pPr>
            <w:r>
              <w:rPr>
                <w:sz w:val="20"/>
                <w:szCs w:val="20"/>
              </w:rPr>
              <w:t xml:space="preserve">2007</w:t>
            </w:r>
          </w:p>
        </w:tc>
        <w:tc>
          <w:tcPr>
            <w:tcW w:w="0" w:type="auto"/>
          </w:tcPr>
          <w:p>
            <w:pPr>
              <w:spacing w:line="240" w:lineRule="auto" w:before="0" w:after="0"/>
              <w:pStyle w:val="Compact"/>
            </w:pPr>
            <w:r>
              <w:rPr>
                <w:sz w:val="20"/>
                <w:szCs w:val="20"/>
              </w:rPr>
              <w:t xml:space="preserve">42</w:t>
            </w:r>
          </w:p>
        </w:tc>
        <w:tc>
          <w:tcPr>
            <w:tcW w:w="0" w:type="auto"/>
          </w:tcPr>
          <w:p>
            <w:pPr>
              <w:spacing w:line="240" w:lineRule="auto" w:before="0" w:after="0"/>
              <w:pStyle w:val="Compact"/>
            </w:pPr>
            <w:r>
              <w:rPr>
                <w:sz w:val="20"/>
                <w:szCs w:val="20"/>
              </w:rPr>
              <w:t xml:space="preserve">446</w:t>
            </w:r>
          </w:p>
        </w:tc>
        <w:tc>
          <w:tcPr>
            <w:tcW w:w="0" w:type="auto"/>
          </w:tcPr>
          <w:p>
            <w:pPr>
              <w:spacing w:line="240" w:lineRule="auto" w:before="0" w:after="0"/>
              <w:pStyle w:val="Compact"/>
            </w:pPr>
            <w:r>
              <w:rPr>
                <w:sz w:val="20"/>
                <w:szCs w:val="20"/>
              </w:rPr>
              <w:t xml:space="preserve">6.1003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Wikipedia Dawn: selected 2001 planned 2006, reinstated 2004, slipped to launched 27 Sep 2007; US$446M final; 3 instruments</w:t>
            </w:r>
          </w:p>
        </w:tc>
      </w:tr>
      <w:tr>
        <w:tc>
          <w:tcPr>
            <w:tcW w:w="0" w:type="auto"/>
          </w:tcPr>
          <w:p>
            <w:pPr>
              <w:spacing w:line="240" w:lineRule="auto" w:before="0" w:after="0"/>
              <w:pStyle w:val="Compact"/>
            </w:pPr>
            <w:r>
              <w:rPr>
                <w:sz w:val="20"/>
                <w:szCs w:val="20"/>
              </w:rPr>
              <w:t xml:space="preserve">Cassini</w:t>
            </w:r>
          </w:p>
        </w:tc>
        <w:tc>
          <w:tcPr>
            <w:tcW w:w="0" w:type="auto"/>
          </w:tcPr>
          <w:p>
            <w:pPr>
              <w:spacing w:line="240" w:lineRule="auto" w:before="0" w:after="0"/>
              <w:pStyle w:val="Compact"/>
            </w:pPr>
            <w:r>
              <w:rPr>
                <w:sz w:val="20"/>
                <w:szCs w:val="20"/>
              </w:rPr>
              <w:t xml:space="preserve">1990</w:t>
            </w:r>
          </w:p>
        </w:tc>
        <w:tc>
          <w:tcPr>
            <w:tcW w:w="0" w:type="auto"/>
          </w:tcPr>
          <w:p>
            <w:pPr>
              <w:spacing w:line="240" w:lineRule="auto" w:before="0" w:after="0"/>
              <w:pStyle w:val="Compact"/>
            </w:pPr>
            <w:r>
              <w:rPr>
                <w:sz w:val="20"/>
                <w:szCs w:val="20"/>
              </w:rPr>
              <w:t xml:space="preserve">1997</w:t>
            </w:r>
          </w:p>
        </w:tc>
        <w:tc>
          <w:tcPr>
            <w:tcW w:w="0" w:type="auto"/>
          </w:tcPr>
          <w:p>
            <w:pPr>
              <w:spacing w:line="240" w:lineRule="auto" w:before="0" w:after="0"/>
              <w:pStyle w:val="Compact"/>
            </w:pPr>
            <w:r>
              <w:rPr>
                <w:sz w:val="20"/>
                <w:szCs w:val="20"/>
              </w:rPr>
              <w:t xml:space="preserve">93</w:t>
            </w:r>
          </w:p>
        </w:tc>
        <w:tc>
          <w:tcPr>
            <w:tcW w:w="0" w:type="auto"/>
          </w:tcPr>
          <w:p>
            <w:pPr>
              <w:spacing w:line="240" w:lineRule="auto" w:before="0" w:after="0"/>
              <w:pStyle w:val="Compact"/>
            </w:pPr>
            <w:r>
              <w:rPr>
                <w:sz w:val="20"/>
                <w:szCs w:val="20"/>
              </w:rPr>
              <w:t xml:space="preserve">2600</w:t>
            </w:r>
          </w:p>
        </w:tc>
        <w:tc>
          <w:tcPr>
            <w:tcW w:w="0" w:type="auto"/>
          </w:tcPr>
          <w:p>
            <w:pPr>
              <w:spacing w:line="240" w:lineRule="auto" w:before="0" w:after="0"/>
              <w:pStyle w:val="Compact"/>
            </w:pPr>
            <w:r>
              <w:rPr>
                <w:sz w:val="20"/>
                <w:szCs w:val="20"/>
              </w:rPr>
              <w:t xml:space="preserve">7.8633</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Wikipedia Cassini-Huygens: US development ~1990, launched 15 Oct 1997 on Oct-1997 plan; US$2.6B US share; 12 orbiter instruments</w:t>
            </w:r>
          </w:p>
        </w:tc>
      </w:tr>
      <w:tr>
        <w:tc>
          <w:tcPr>
            <w:tcW w:w="0" w:type="auto"/>
          </w:tcPr>
          <w:p>
            <w:pPr>
              <w:spacing w:line="240" w:lineRule="auto" w:before="0" w:after="0"/>
              <w:pStyle w:val="Compact"/>
            </w:pPr>
            <w:r>
              <w:rPr>
                <w:sz w:val="20"/>
                <w:szCs w:val="20"/>
              </w:rPr>
              <w:t xml:space="preserve">Mars Phoenix</w:t>
            </w:r>
          </w:p>
        </w:tc>
        <w:tc>
          <w:tcPr>
            <w:tcW w:w="0" w:type="auto"/>
          </w:tcPr>
          <w:p>
            <w:pPr>
              <w:spacing w:line="240" w:lineRule="auto" w:before="0" w:after="0"/>
              <w:pStyle w:val="Compact"/>
            </w:pPr>
            <w:r>
              <w:rPr>
                <w:sz w:val="20"/>
                <w:szCs w:val="20"/>
              </w:rPr>
              <w:t xml:space="preserve">2005</w:t>
            </w:r>
          </w:p>
        </w:tc>
        <w:tc>
          <w:tcPr>
            <w:tcW w:w="0" w:type="auto"/>
          </w:tcPr>
          <w:p>
            <w:pPr>
              <w:spacing w:line="240" w:lineRule="auto" w:before="0" w:after="0"/>
              <w:pStyle w:val="Compact"/>
            </w:pPr>
            <w:r>
              <w:rPr>
                <w:sz w:val="20"/>
                <w:szCs w:val="20"/>
              </w:rPr>
              <w:t xml:space="preserve">2007</w:t>
            </w:r>
          </w:p>
        </w:tc>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420</w:t>
            </w:r>
          </w:p>
        </w:tc>
        <w:tc>
          <w:tcPr>
            <w:tcW w:w="0" w:type="auto"/>
          </w:tcPr>
          <w:p>
            <w:pPr>
              <w:spacing w:line="240" w:lineRule="auto" w:before="0" w:after="0"/>
              <w:pStyle w:val="Compact"/>
            </w:pPr>
            <w:r>
              <w:rPr>
                <w:sz w:val="20"/>
                <w:szCs w:val="20"/>
              </w:rPr>
              <w:t xml:space="preserve">6.0403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Wikipedia Phoenix: CDR/confirm Jun 2005, launched 4 Aug 2007 on 2007 plan; ~US$420M; 6 instruments</w:t>
            </w:r>
          </w:p>
        </w:tc>
      </w:tr>
      <w:tr>
        <w:tc>
          <w:tcPr>
            <w:tcW w:w="0" w:type="auto"/>
          </w:tcPr>
          <w:p>
            <w:pPr>
              <w:spacing w:line="240" w:lineRule="auto" w:before="0" w:after="0"/>
              <w:pStyle w:val="Compact"/>
            </w:pPr>
            <w:r>
              <w:rPr>
                <w:sz w:val="20"/>
                <w:szCs w:val="20"/>
              </w:rPr>
              <w:t xml:space="preserve">Galileo</w:t>
            </w:r>
          </w:p>
        </w:tc>
        <w:tc>
          <w:tcPr>
            <w:tcW w:w="0" w:type="auto"/>
          </w:tcPr>
          <w:p>
            <w:pPr>
              <w:spacing w:line="240" w:lineRule="auto" w:before="0" w:after="0"/>
              <w:pStyle w:val="Compact"/>
            </w:pPr>
            <w:r>
              <w:rPr>
                <w:sz w:val="20"/>
                <w:szCs w:val="20"/>
              </w:rPr>
              <w:t xml:space="preserve">1983</w:t>
            </w:r>
          </w:p>
        </w:tc>
        <w:tc>
          <w:tcPr>
            <w:tcW w:w="0" w:type="auto"/>
          </w:tcPr>
          <w:p>
            <w:pPr>
              <w:spacing w:line="240" w:lineRule="auto" w:before="0" w:after="0"/>
              <w:pStyle w:val="Compact"/>
            </w:pPr>
            <w:r>
              <w:rPr>
                <w:sz w:val="20"/>
                <w:szCs w:val="20"/>
              </w:rPr>
              <w:t xml:space="preserve">1989</w:t>
            </w:r>
          </w:p>
        </w:tc>
        <w:tc>
          <w:tcPr>
            <w:tcW w:w="0" w:type="auto"/>
          </w:tcPr>
          <w:p>
            <w:pPr>
              <w:spacing w:line="240" w:lineRule="auto" w:before="0" w:after="0"/>
              <w:pStyle w:val="Compact"/>
            </w:pPr>
            <w:r>
              <w:rPr>
                <w:sz w:val="20"/>
                <w:szCs w:val="20"/>
              </w:rPr>
              <w:t xml:space="preserve">81</w:t>
            </w:r>
          </w:p>
        </w:tc>
        <w:tc>
          <w:tcPr>
            <w:tcW w:w="0" w:type="auto"/>
          </w:tcPr>
          <w:p>
            <w:pPr>
              <w:spacing w:line="240" w:lineRule="auto" w:before="0" w:after="0"/>
              <w:pStyle w:val="Compact"/>
            </w:pPr>
            <w:r>
              <w:rPr>
                <w:sz w:val="20"/>
                <w:szCs w:val="20"/>
              </w:rPr>
              <w:t xml:space="preserve">1390</w:t>
            </w:r>
          </w:p>
        </w:tc>
        <w:tc>
          <w:tcPr>
            <w:tcW w:w="0" w:type="auto"/>
          </w:tcPr>
          <w:p>
            <w:pPr>
              <w:spacing w:line="240" w:lineRule="auto" w:before="0" w:after="0"/>
              <w:pStyle w:val="Compact"/>
            </w:pPr>
            <w:r>
              <w:rPr>
                <w:sz w:val="20"/>
                <w:szCs w:val="20"/>
              </w:rPr>
              <w:t xml:space="preserve">7.2371</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Wikipedia Galileo: Phase C early 1980s, planned May 1986 slipped (Challenger) to launched 18 Oct 1989; ~US$1.39B [illustrative cost]; 11 orbiter instruments</w:t>
            </w:r>
          </w:p>
        </w:tc>
      </w:tr>
      <w:tr>
        <w:tc>
          <w:tcPr>
            <w:tcW w:w="0" w:type="auto"/>
          </w:tcPr>
          <w:p>
            <w:pPr>
              <w:spacing w:line="240" w:lineRule="auto" w:before="0" w:after="0"/>
              <w:pStyle w:val="Compact"/>
            </w:pPr>
            <w:r>
              <w:rPr>
                <w:sz w:val="20"/>
                <w:szCs w:val="20"/>
              </w:rPr>
              <w:t xml:space="preserve">Spitzer</w:t>
            </w:r>
          </w:p>
        </w:tc>
        <w:tc>
          <w:tcPr>
            <w:tcW w:w="0" w:type="auto"/>
          </w:tcPr>
          <w:p>
            <w:pPr>
              <w:spacing w:line="240" w:lineRule="auto" w:before="0" w:after="0"/>
              <w:pStyle w:val="Compact"/>
            </w:pPr>
            <w:r>
              <w:rPr>
                <w:sz w:val="20"/>
                <w:szCs w:val="20"/>
              </w:rPr>
              <w:t xml:space="preserve">1998</w:t>
            </w:r>
          </w:p>
        </w:tc>
        <w:tc>
          <w:tcPr>
            <w:tcW w:w="0" w:type="auto"/>
          </w:tcPr>
          <w:p>
            <w:pPr>
              <w:spacing w:line="240" w:lineRule="auto" w:before="0" w:after="0"/>
              <w:pStyle w:val="Compact"/>
            </w:pPr>
            <w:r>
              <w:rPr>
                <w:sz w:val="20"/>
                <w:szCs w:val="20"/>
              </w:rPr>
              <w:t xml:space="preserve">2003</w:t>
            </w:r>
          </w:p>
        </w:tc>
        <w:tc>
          <w:tcPr>
            <w:tcW w:w="0" w:type="auto"/>
          </w:tcPr>
          <w:p>
            <w:pPr>
              <w:spacing w:line="240" w:lineRule="auto" w:before="0" w:after="0"/>
              <w:pStyle w:val="Compact"/>
            </w:pPr>
            <w:r>
              <w:rPr>
                <w:sz w:val="20"/>
                <w:szCs w:val="20"/>
              </w:rPr>
              <w:t xml:space="preserve">67</w:t>
            </w:r>
          </w:p>
        </w:tc>
        <w:tc>
          <w:tcPr>
            <w:tcW w:w="0" w:type="auto"/>
          </w:tcPr>
          <w:p>
            <w:pPr>
              <w:spacing w:line="240" w:lineRule="auto" w:before="0" w:after="0"/>
              <w:pStyle w:val="Compact"/>
            </w:pPr>
            <w:r>
              <w:rPr>
                <w:sz w:val="20"/>
                <w:szCs w:val="20"/>
              </w:rPr>
              <w:t xml:space="preserve">776</w:t>
            </w:r>
          </w:p>
        </w:tc>
        <w:tc>
          <w:tcPr>
            <w:tcW w:w="0" w:type="auto"/>
          </w:tcPr>
          <w:p>
            <w:pPr>
              <w:spacing w:line="240" w:lineRule="auto" w:before="0" w:after="0"/>
              <w:pStyle w:val="Compact"/>
            </w:pPr>
            <w:r>
              <w:rPr>
                <w:sz w:val="20"/>
                <w:szCs w:val="20"/>
              </w:rPr>
              <w:t xml:space="preserve">6.6542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Wikipedia Spitzer (SIRTF): restructured/confirmed ~1998, launched 25 Aug 2003 on revised baseline; US$776M; 3 instruments</w:t>
            </w:r>
          </w:p>
        </w:tc>
      </w:tr>
      <w:tr>
        <w:tc>
          <w:tcPr>
            <w:tcW w:w="0" w:type="auto"/>
          </w:tcPr>
          <w:p>
            <w:pPr>
              <w:spacing w:line="240" w:lineRule="auto" w:before="0" w:after="0"/>
              <w:pStyle w:val="Compact"/>
            </w:pPr>
            <w:r>
              <w:rPr>
                <w:sz w:val="20"/>
                <w:szCs w:val="20"/>
              </w:rPr>
              <w:t xml:space="preserve">SWOT</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78</w:t>
            </w:r>
          </w:p>
        </w:tc>
        <w:tc>
          <w:tcPr>
            <w:tcW w:w="0" w:type="auto"/>
          </w:tcPr>
          <w:p>
            <w:pPr>
              <w:spacing w:line="240" w:lineRule="auto" w:before="0" w:after="0"/>
              <w:pStyle w:val="Compact"/>
            </w:pPr>
            <w:r>
              <w:rPr>
                <w:sz w:val="20"/>
                <w:szCs w:val="20"/>
              </w:rPr>
              <w:t xml:space="preserve">1200</w:t>
            </w:r>
          </w:p>
        </w:tc>
        <w:tc>
          <w:tcPr>
            <w:tcW w:w="0" w:type="auto"/>
          </w:tcPr>
          <w:p>
            <w:pPr>
              <w:spacing w:line="240" w:lineRule="auto" w:before="0" w:after="0"/>
              <w:pStyle w:val="Compact"/>
            </w:pPr>
            <w:r>
              <w:rPr>
                <w:sz w:val="20"/>
                <w:szCs w:val="20"/>
              </w:rPr>
              <w:t xml:space="preserve">7.0901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Wikipedia SWOT / space.com: Phase C ~2016, contracted Apr 2021 launch slipped to launched 16 Dec 2022; ~US$1.2B [illustrative cost]; 6 instruments</w:t>
            </w:r>
          </w:p>
        </w:tc>
      </w:tr>
      <w:tr>
        <w:tc>
          <w:tcPr>
            <w:tcW w:w="0" w:type="auto"/>
          </w:tcPr>
          <w:p>
            <w:pPr>
              <w:spacing w:line="240" w:lineRule="auto" w:before="0" w:after="0"/>
              <w:pStyle w:val="Compact"/>
            </w:pPr>
            <w:r>
              <w:rPr>
                <w:sz w:val="20"/>
                <w:szCs w:val="20"/>
              </w:rPr>
              <w:t xml:space="preserve">GRACE-FO</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64</w:t>
            </w:r>
          </w:p>
        </w:tc>
        <w:tc>
          <w:tcPr>
            <w:tcW w:w="0" w:type="auto"/>
          </w:tcPr>
          <w:p>
            <w:pPr>
              <w:spacing w:line="240" w:lineRule="auto" w:before="0" w:after="0"/>
              <w:pStyle w:val="Compact"/>
            </w:pPr>
            <w:r>
              <w:rPr>
                <w:sz w:val="20"/>
                <w:szCs w:val="20"/>
              </w:rPr>
              <w:t xml:space="preserve">430</w:t>
            </w:r>
          </w:p>
        </w:tc>
        <w:tc>
          <w:tcPr>
            <w:tcW w:w="0" w:type="auto"/>
          </w:tcPr>
          <w:p>
            <w:pPr>
              <w:spacing w:line="240" w:lineRule="auto" w:before="0" w:after="0"/>
              <w:pStyle w:val="Compact"/>
            </w:pPr>
            <w:r>
              <w:rPr>
                <w:sz w:val="20"/>
                <w:szCs w:val="20"/>
              </w:rPr>
              <w:t xml:space="preserve">6.0638</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Wikipedia GRACE-FO: confirmation ~2013, launched 22 May 2018; ~US$430M NASA [illustrative cost]; 5 measurement systems</w:t>
            </w:r>
          </w:p>
        </w:tc>
      </w:tr>
    </w:tbl>
    <w:bookmarkEnd w:id="79"/>
    <w:bookmarkStart w:id="80" w:name="variable-construction"/>
    <w:p>
      <w:pPr>
        <w:pStyle w:val="Heading3"/>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dev_months</w:t>
            </w:r>
          </w:p>
        </w:tc>
        <w:tc>
          <w:tcPr>
            <w:tcW w:w="0" w:type="auto"/>
          </w:tcPr>
          <w:p>
            <w:pPr>
              <w:spacing w:line="240" w:lineRule="auto" w:before="0" w:after="0"/>
              <w:pStyle w:val="Compact"/>
            </w:pPr>
            <w:r>
              <w:rPr>
                <w:sz w:val="20"/>
                <w:szCs w:val="20"/>
              </w:rPr>
              <w:t xml:space="preserve">Development schedule length in months, from mission confirmation/selection to actual launch</w:t>
            </w:r>
          </w:p>
        </w:tc>
        <w:tc>
          <w:tcPr>
            <w:tcW w:w="0" w:type="auto"/>
          </w:tcPr>
          <w:p>
            <w:pPr>
              <w:spacing w:line="240" w:lineRule="auto" w:before="0" w:after="0"/>
              <w:pStyle w:val="Compact"/>
            </w:pPr>
            <w:r>
              <w:rPr>
                <w:sz w:val="20"/>
                <w:szCs w:val="20"/>
              </w:rPr>
              <w:t xml:space="preserve">Computed from confirmation/selection year and actual launch month/year documented per mission (NASA/JPL press kits; Wikipedia mission pages, sourced)</w:t>
            </w:r>
          </w:p>
        </w:tc>
      </w:tr>
      <w:tr>
        <w:tc>
          <w:tcPr>
            <w:tcW w:w="0" w:type="auto"/>
          </w:tcPr>
          <w:p>
            <w:pPr>
              <w:spacing w:line="240" w:lineRule="auto" w:before="0" w:after="0"/>
              <w:pStyle w:val="Compact"/>
            </w:pPr>
            <w:r>
              <w:rPr>
                <w:sz w:val="20"/>
                <w:szCs w:val="20"/>
              </w:rPr>
              <w:t xml:space="preserve">slip</w:t>
            </w:r>
          </w:p>
        </w:tc>
        <w:tc>
          <w:tcPr>
            <w:tcW w:w="0" w:type="auto"/>
          </w:tcPr>
          <w:p>
            <w:pPr>
              <w:spacing w:line="240" w:lineRule="auto" w:before="0" w:after="0"/>
              <w:pStyle w:val="Compact"/>
            </w:pPr>
            <w:r>
              <w:rPr>
                <w:sz w:val="20"/>
                <w:szCs w:val="20"/>
              </w:rPr>
              <w:t xml:space="preserve">Event indicator: 1 if the mission’s launch slipped beyond its originally baselined launch date or window; 0 if launched on the baseline (right-censored)</w:t>
            </w:r>
          </w:p>
        </w:tc>
        <w:tc>
          <w:tcPr>
            <w:tcW w:w="0" w:type="auto"/>
          </w:tcPr>
          <w:p>
            <w:pPr>
              <w:spacing w:line="240" w:lineRule="auto" w:before="0" w:after="0"/>
              <w:pStyle w:val="Compact"/>
            </w:pPr>
            <w:r>
              <w:rPr>
                <w:sz w:val="20"/>
                <w:szCs w:val="20"/>
              </w:rPr>
              <w:t xml:space="preserve">Coded from documented planned-versus-actual launch records per mission</w:t>
            </w:r>
          </w:p>
        </w:tc>
      </w:tr>
      <w:tr>
        <w:tc>
          <w:tcPr>
            <w:tcW w:w="0" w:type="auto"/>
          </w:tcPr>
          <w:p>
            <w:pPr>
              <w:spacing w:line="240" w:lineRule="auto" w:before="0" w:after="0"/>
              <w:pStyle w:val="Compact"/>
            </w:pPr>
            <w:r>
              <w:rPr>
                <w:sz w:val="20"/>
                <w:szCs w:val="20"/>
              </w:rPr>
              <w:t xml:space="preserve">ln_cost</w:t>
            </w:r>
          </w:p>
        </w:tc>
        <w:tc>
          <w:tcPr>
            <w:tcW w:w="0" w:type="auto"/>
          </w:tcPr>
          <w:p>
            <w:pPr>
              <w:spacing w:line="240" w:lineRule="auto" w:before="0" w:after="0"/>
              <w:pStyle w:val="Compact"/>
            </w:pPr>
            <w:r>
              <w:rPr>
                <w:sz w:val="20"/>
                <w:szCs w:val="20"/>
              </w:rPr>
              <w:t xml:space="preserve">Natural log of development/lifecycle cost in millions of current USD</w:t>
            </w:r>
          </w:p>
        </w:tc>
        <w:tc>
          <w:tcPr>
            <w:tcW w:w="0" w:type="auto"/>
          </w:tcPr>
          <w:p>
            <w:pPr>
              <w:spacing w:line="240" w:lineRule="auto" w:before="0" w:after="0"/>
              <w:pStyle w:val="Compact"/>
            </w:pPr>
            <w:r>
              <w:rPr>
                <w:sz w:val="20"/>
                <w:szCs w:val="20"/>
              </w:rPr>
              <w:t xml:space="preserve">Per-mission cost figures from NASA/JPL press kits and mission documentation; three approximate figures marked [illustrative]</w:t>
            </w:r>
          </w:p>
        </w:tc>
      </w:tr>
      <w:tr>
        <w:tc>
          <w:tcPr>
            <w:tcW w:w="0" w:type="auto"/>
          </w:tcPr>
          <w:p>
            <w:pPr>
              <w:spacing w:line="240" w:lineRule="auto" w:before="0" w:after="0"/>
              <w:pStyle w:val="Compact"/>
            </w:pPr>
            <w:r>
              <w:rPr>
                <w:sz w:val="20"/>
                <w:szCs w:val="20"/>
              </w:rPr>
              <w:t xml:space="preserve">instruments</w:t>
            </w:r>
          </w:p>
        </w:tc>
        <w:tc>
          <w:tcPr>
            <w:tcW w:w="0" w:type="auto"/>
          </w:tcPr>
          <w:p>
            <w:pPr>
              <w:spacing w:line="240" w:lineRule="auto" w:before="0" w:after="0"/>
              <w:pStyle w:val="Compact"/>
            </w:pPr>
            <w:r>
              <w:rPr>
                <w:sz w:val="20"/>
                <w:szCs w:val="20"/>
              </w:rPr>
              <w:t xml:space="preserve">Count of primary science instruments in the payload complement</w:t>
            </w:r>
          </w:p>
        </w:tc>
        <w:tc>
          <w:tcPr>
            <w:tcW w:w="0" w:type="auto"/>
          </w:tcPr>
          <w:p>
            <w:pPr>
              <w:spacing w:line="240" w:lineRule="auto" w:before="0" w:after="0"/>
              <w:pStyle w:val="Compact"/>
            </w:pPr>
            <w:r>
              <w:rPr>
                <w:sz w:val="20"/>
                <w:szCs w:val="20"/>
              </w:rPr>
              <w:t xml:space="preserve">Instrument complements documented per mission (mission press kits and Wikipedia mission pages)</w:t>
            </w:r>
          </w:p>
        </w:tc>
      </w:tr>
      <w:tr>
        <w:tc>
          <w:tcPr>
            <w:tcW w:w="0" w:type="auto"/>
          </w:tcPr>
          <w:p>
            <w:pPr>
              <w:spacing w:line="240" w:lineRule="auto" w:before="0" w:after="0"/>
              <w:pStyle w:val="Compact"/>
            </w:pPr>
            <w:r>
              <w:rPr>
                <w:sz w:val="20"/>
                <w:szCs w:val="20"/>
              </w:rPr>
              <w:t xml:space="preserve">cost_musd</w:t>
            </w:r>
          </w:p>
        </w:tc>
        <w:tc>
          <w:tcPr>
            <w:tcW w:w="0" w:type="auto"/>
          </w:tcPr>
          <w:p>
            <w:pPr>
              <w:spacing w:line="240" w:lineRule="auto" w:before="0" w:after="0"/>
              <w:pStyle w:val="Compact"/>
            </w:pPr>
            <w:r>
              <w:rPr>
                <w:sz w:val="20"/>
                <w:szCs w:val="20"/>
              </w:rPr>
              <w:t xml:space="preserve">Development/lifecycle cost in millions of current USD</w:t>
            </w:r>
          </w:p>
        </w:tc>
        <w:tc>
          <w:tcPr>
            <w:tcW w:w="0" w:type="auto"/>
          </w:tcPr>
          <w:p>
            <w:pPr>
              <w:spacing w:line="240" w:lineRule="auto" w:before="0" w:after="0"/>
              <w:pStyle w:val="Compact"/>
            </w:pPr>
            <w:r>
              <w:rPr>
                <w:sz w:val="20"/>
                <w:szCs w:val="20"/>
              </w:rPr>
              <w:t xml:space="preserve">Source column of data.csv cites each figure</w:t>
            </w:r>
          </w:p>
        </w:tc>
      </w:tr>
    </w:tbl>
    <w:bookmarkEnd w:id="80"/>
    <w:bookmarkStart w:id="81" w:name="estimator-output"/>
    <w:p>
      <w:pPr>
        <w:pStyle w:val="Heading3"/>
      </w:pPr>
      <w:r>
        <w:t xml:space="preserve">Estimator output</w:t>
      </w:r>
    </w:p>
    <w:tbl>
      <w:tblPr>
        <w:tblStyle w:val="Table"/>
        <w:tblLook w:firstRow="1" w:lastRow="0" w:firstColumn="0" w:lastColumn="0" w:noHBand="0" w:noVBand="0" w:val="0020"/>
        <w:tblLayout w:type="autofit"/>
        <w:tblW w:w="0" w:type="auto"/>
      </w:tblPr>
      <w:tblGrid>
        <w:gridCol w:w="1131"/>
        <w:gridCol w:w="1131"/>
        <w:gridCol w:w="1131"/>
        <w:gridCol w:w="1131"/>
        <w:gridCol w:w="1131"/>
        <w:gridCol w:w="1131"/>
        <w:gridCol w:w="1131"/>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z</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c>
          <w:tcPr>
            <w:tcW w:w="0" w:type="auto"/>
          </w:tcPr>
          <w:p>
            <w:pPr>
              <w:spacing w:line="240" w:lineRule="auto" w:before="0" w:after="0"/>
              <w:pStyle w:val="Compact"/>
            </w:pPr>
            <w:r>
              <w:rPr>
                <w:sz w:val="20"/>
                <w:szCs w:val="20"/>
              </w:rPr>
              <w:t xml:space="preserve">Hazard ratio</w:t>
            </w:r>
          </w:p>
        </w:tc>
      </w:tr>
      <w:tr>
        <w:tc>
          <w:tcPr>
            <w:tcW w:w="0" w:type="auto"/>
          </w:tcPr>
          <w:p>
            <w:pPr>
              <w:spacing w:line="240" w:lineRule="auto" w:before="0" w:after="0"/>
              <w:pStyle w:val="Compact"/>
            </w:pPr>
            <w:r>
              <w:rPr>
                <w:sz w:val="20"/>
                <w:szCs w:val="20"/>
              </w:rPr>
              <w:t xml:space="preserve">ln_cost</w:t>
            </w:r>
          </w:p>
        </w:tc>
        <w:tc>
          <w:tcPr>
            <w:tcW w:w="0" w:type="auto"/>
          </w:tcPr>
          <w:p>
            <w:pPr>
              <w:spacing w:line="240" w:lineRule="auto" w:before="0" w:after="0"/>
              <w:pStyle w:val="Compact"/>
            </w:pPr>
            <w:r>
              <w:rPr>
                <w:sz w:val="20"/>
                <w:szCs w:val="20"/>
              </w:rPr>
              <w:t xml:space="preserve">-1.4964</w:t>
            </w:r>
          </w:p>
        </w:tc>
        <w:tc>
          <w:tcPr>
            <w:tcW w:w="0" w:type="auto"/>
          </w:tcPr>
          <w:p>
            <w:pPr>
              <w:spacing w:line="240" w:lineRule="auto" w:before="0" w:after="0"/>
              <w:pStyle w:val="Compact"/>
            </w:pPr>
            <w:r>
              <w:rPr>
                <w:sz w:val="20"/>
                <w:szCs w:val="20"/>
              </w:rPr>
              <w:t xml:space="preserve">0.9935</w:t>
            </w:r>
          </w:p>
        </w:tc>
        <w:tc>
          <w:tcPr>
            <w:tcW w:w="0" w:type="auto"/>
          </w:tcPr>
          <w:p>
            <w:pPr>
              <w:spacing w:line="240" w:lineRule="auto" w:before="0" w:after="0"/>
              <w:pStyle w:val="Compact"/>
            </w:pPr>
            <w:r>
              <w:rPr>
                <w:sz w:val="20"/>
                <w:szCs w:val="20"/>
              </w:rPr>
              <w:t xml:space="preserve">-1.5062</w:t>
            </w:r>
          </w:p>
        </w:tc>
        <w:tc>
          <w:tcPr>
            <w:tcW w:w="0" w:type="auto"/>
          </w:tcPr>
          <w:p>
            <w:pPr>
              <w:spacing w:line="240" w:lineRule="auto" w:before="0" w:after="0"/>
              <w:pStyle w:val="Compact"/>
            </w:pPr>
            <w:r>
              <w:rPr>
                <w:sz w:val="20"/>
                <w:szCs w:val="20"/>
              </w:rPr>
              <w:t xml:space="preserve">0.132</w:t>
            </w:r>
          </w:p>
        </w:tc>
        <w:tc>
          <w:tcPr>
            <w:tcW w:w="0" w:type="auto"/>
          </w:tcPr>
          <w:p>
            <w:pPr>
              <w:spacing w:line="240" w:lineRule="auto" w:before="0" w:after="0"/>
              <w:pStyle w:val="Compact"/>
            </w:pPr>
            <w:r>
              <w:rPr>
                <w:sz w:val="20"/>
                <w:szCs w:val="20"/>
              </w:rPr>
              <w:t xml:space="preserve">[-3.4435, 0.4508]</w:t>
            </w:r>
          </w:p>
        </w:tc>
        <w:tc>
          <w:tcPr>
            <w:tcW w:w="0" w:type="auto"/>
          </w:tcPr>
          <w:p>
            <w:pPr>
              <w:spacing w:line="240" w:lineRule="auto" w:before="0" w:after="0"/>
              <w:pStyle w:val="Compact"/>
            </w:pPr>
            <w:r>
              <w:rPr>
                <w:sz w:val="20"/>
                <w:szCs w:val="20"/>
              </w:rPr>
              <w:t xml:space="preserve">0.2239</w:t>
            </w:r>
          </w:p>
        </w:tc>
      </w:tr>
      <w:tr>
        <w:tc>
          <w:tcPr>
            <w:tcW w:w="0" w:type="auto"/>
          </w:tcPr>
          <w:p>
            <w:pPr>
              <w:spacing w:line="240" w:lineRule="auto" w:before="0" w:after="0"/>
              <w:pStyle w:val="Compact"/>
            </w:pPr>
            <w:r>
              <w:rPr>
                <w:sz w:val="20"/>
                <w:szCs w:val="20"/>
              </w:rPr>
              <w:t xml:space="preserve">instruments</w:t>
            </w:r>
          </w:p>
        </w:tc>
        <w:tc>
          <w:tcPr>
            <w:tcW w:w="0" w:type="auto"/>
          </w:tcPr>
          <w:p>
            <w:pPr>
              <w:spacing w:line="240" w:lineRule="auto" w:before="0" w:after="0"/>
              <w:pStyle w:val="Compact"/>
            </w:pPr>
            <w:r>
              <w:rPr>
                <w:sz w:val="20"/>
                <w:szCs w:val="20"/>
              </w:rPr>
              <w:t xml:space="preserve">-0.0308</w:t>
            </w:r>
          </w:p>
        </w:tc>
        <w:tc>
          <w:tcPr>
            <w:tcW w:w="0" w:type="auto"/>
          </w:tcPr>
          <w:p>
            <w:pPr>
              <w:spacing w:line="240" w:lineRule="auto" w:before="0" w:after="0"/>
              <w:pStyle w:val="Compact"/>
            </w:pPr>
            <w:r>
              <w:rPr>
                <w:sz w:val="20"/>
                <w:szCs w:val="20"/>
              </w:rPr>
              <w:t xml:space="preserve">0.1529</w:t>
            </w:r>
          </w:p>
        </w:tc>
        <w:tc>
          <w:tcPr>
            <w:tcW w:w="0" w:type="auto"/>
          </w:tcPr>
          <w:p>
            <w:pPr>
              <w:spacing w:line="240" w:lineRule="auto" w:before="0" w:after="0"/>
              <w:pStyle w:val="Compact"/>
            </w:pPr>
            <w:r>
              <w:rPr>
                <w:sz w:val="20"/>
                <w:szCs w:val="20"/>
              </w:rPr>
              <w:t xml:space="preserve">-0.2016</w:t>
            </w:r>
          </w:p>
        </w:tc>
        <w:tc>
          <w:tcPr>
            <w:tcW w:w="0" w:type="auto"/>
          </w:tcPr>
          <w:p>
            <w:pPr>
              <w:spacing w:line="240" w:lineRule="auto" w:before="0" w:after="0"/>
              <w:pStyle w:val="Compact"/>
            </w:pPr>
            <w:r>
              <w:rPr>
                <w:sz w:val="20"/>
                <w:szCs w:val="20"/>
              </w:rPr>
              <w:t xml:space="preserve">0.8402</w:t>
            </w:r>
          </w:p>
        </w:tc>
        <w:tc>
          <w:tcPr>
            <w:tcW w:w="0" w:type="auto"/>
          </w:tcPr>
          <w:p>
            <w:pPr>
              <w:spacing w:line="240" w:lineRule="auto" w:before="0" w:after="0"/>
              <w:pStyle w:val="Compact"/>
            </w:pPr>
            <w:r>
              <w:rPr>
                <w:sz w:val="20"/>
                <w:szCs w:val="20"/>
              </w:rPr>
              <w:t xml:space="preserve">[-0.3305, 0.2689]</w:t>
            </w:r>
          </w:p>
        </w:tc>
        <w:tc>
          <w:tcPr>
            <w:tcW w:w="0" w:type="auto"/>
          </w:tcPr>
          <w:p>
            <w:pPr>
              <w:spacing w:line="240" w:lineRule="auto" w:before="0" w:after="0"/>
              <w:pStyle w:val="Compact"/>
            </w:pPr>
            <w:r>
              <w:rPr>
                <w:sz w:val="20"/>
                <w:szCs w:val="20"/>
              </w:rPr>
              <w:t xml:space="preserve">0.9696</w:t>
            </w:r>
          </w:p>
        </w:tc>
      </w:tr>
    </w:tbl>
    <w:p>
      <w:pPr>
        <w:pStyle w:val="BodyText"/>
      </w:pPr>
      <w:r>
        <w:t xml:space="preserve">Fit: N = 22 events = 7</w:t>
      </w:r>
    </w:p>
    <w:bookmarkEnd w:id="81"/>
    <w:bookmarkEnd w:id="82"/>
    <w:bookmarkEnd w:id="83"/>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before="135"/>
      <w:ind w:left="380"/>
    </w:pPr>
    <w:rPr>
      <w:rFonts w:ascii="Arial" w:cs="Arial" w:eastAsia="Arial" w:hAnsi="Arial"/>
      <w:b/>
      <w:bCs/>
      <w:sz w:val="20"/>
      <w:szCs w:val="20"/>
    </w:rPr>
  </w:style>
  <w:style w:styleId="TOC2" w:type="paragraph">
    <w:name w:val="toc 2"/>
    <w:basedOn w:val="Normal"/>
    <w:uiPriority w:val="1"/>
    <w:qFormat/>
    <w:pPr>
      <w:spacing w:before="30"/>
      <w:ind w:left="620"/>
    </w:pPr>
    <w:rPr>
      <w:rFonts w:ascii="Arial" w:cs="Arial" w:eastAsia="Arial" w:hAnsi="Arial"/>
      <w:sz w:val="20"/>
      <w:szCs w:val="20"/>
    </w:rPr>
  </w:style>
  <w:style w:styleId="TOC3" w:type="paragraph">
    <w:name w:val="toc 3"/>
    <w:basedOn w:val="Normal"/>
    <w:uiPriority w:val="1"/>
    <w:qFormat/>
    <w:pPr>
      <w:spacing w:before="15"/>
      <w:ind w:left="620"/>
    </w:pPr>
    <w:rPr>
      <w:rFonts w:ascii="Arial" w:cs="Arial" w:eastAsia="Arial" w:hAnsi="Arial"/>
      <w:sz w:val="16"/>
      <w:szCs w:val="16"/>
    </w:rPr>
  </w:style>
  <w:style w:styleId="TOC4" w:type="paragraph">
    <w:name w:val="toc 4"/>
    <w:basedOn w:val="Normal"/>
    <w:uiPriority w:val="1"/>
    <w:qFormat/>
    <w:pPr>
      <w:spacing w:before="15"/>
      <w:ind w:left="620"/>
    </w:pPr>
    <w:rPr>
      <w:rFonts w:ascii="Arial" w:cs="Arial" w:eastAsia="Arial" w:hAnsi="Arial"/>
      <w:b/>
      <w:bCs/>
      <w:i/>
    </w:rPr>
  </w:style>
  <w:style w:styleId="TOC5" w:type="paragraph">
    <w:name w:val="toc 5"/>
    <w:basedOn w:val="Normal"/>
    <w:uiPriority w:val="1"/>
    <w:qFormat/>
    <w:pPr>
      <w:spacing w:before="15"/>
      <w:ind w:left="860"/>
    </w:pPr>
    <w:rPr>
      <w:rFonts w:ascii="Arial" w:cs="Arial" w:eastAsia="Arial" w:hAnsi="Arial"/>
      <w:i/>
      <w:sz w:val="20"/>
      <w:szCs w:val="20"/>
    </w:rPr>
  </w:style>
  <w:style w:styleId="BodyText" w:type="paragraph">
    <w:name w:val="Body Text"/>
    <w:basedOn w:val="Normal"/>
    <w:uiPriority w:val="1"/>
    <w:qFormat/>
    <w:pPr>
      <w:ind w:left="38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Relationships xmlns="http://schemas.openxmlformats.org/package/2006/relationships"><Relationship Type="http://schemas.openxmlformats.org/officeDocument/2006/relationships/numbering" Id="rId60" Target="numbering.xml" /><Relationship Type="http://schemas.openxmlformats.org/officeDocument/2006/relationships/styles" Id="rId59" Target="styles.xml" /><Relationship Type="http://schemas.openxmlformats.org/officeDocument/2006/relationships/settings" Id="rId58" Target="settings.xml" /><Relationship Type="http://schemas.openxmlformats.org/officeDocument/2006/relationships/webSettings" Id="rId57" Target="webSettings.xml" /><Relationship Type="http://schemas.openxmlformats.org/officeDocument/2006/relationships/fontTable" Id="rId56" Target="fontTable.xml" /><Relationship Type="http://schemas.openxmlformats.org/officeDocument/2006/relationships/theme" Id="rId55" Target="theme/theme1.xml" /><Relationship Type="http://schemas.openxmlformats.org/officeDocument/2006/relationships/footnotes" Id="rId54" Target="footnotes.xml" /><Relationship Type="http://schemas.openxmlformats.org/officeDocument/2006/relationships/comments" Id="rId53" Target="comments.xml" /><Relationship Id="rId13" Target="media/image5.png" Type="http://schemas.openxmlformats.org/officeDocument/2006/relationships/image" /><Relationship Id="rId18" Target="media/image10.png" Type="http://schemas.openxmlformats.org/officeDocument/2006/relationships/image" /><Relationship Id="rId26" Target="media/image17.png" Type="http://schemas.openxmlformats.org/officeDocument/2006/relationships/image" /><Relationship Id="rId21" Target="media/image13.png" Type="http://schemas.openxmlformats.org/officeDocument/2006/relationships/image" /><Relationship Id="rId50" Target="media/image23.png" Type="http://schemas.openxmlformats.org/officeDocument/2006/relationships/image" /><Relationship Id="rId7" Target="footer1.xml" Type="http://schemas.openxmlformats.org/officeDocument/2006/relationships/footer" /><Relationship Id="rId16" Target="media/image8.jpeg" Type="http://schemas.openxmlformats.org/officeDocument/2006/relationships/image" /><Relationship Id="rId29" Target="media/image20.png" Type="http://schemas.openxmlformats.org/officeDocument/2006/relationships/image" /><Relationship Id="rId11" Target="media/image3.png" Type="http://schemas.openxmlformats.org/officeDocument/2006/relationships/image" /><Relationship Id="rId24" Target="media/image16.png" Type="http://schemas.openxmlformats.org/officeDocument/2006/relationships/image" /><Relationship Id="rId19" Target="media/image11.png" Type="http://schemas.openxmlformats.org/officeDocument/2006/relationships/image" /><Relationship Id="rId9" Target="media/image1.jpeg" Type="http://schemas.openxmlformats.org/officeDocument/2006/relationships/image" /><Relationship Id="rId14" Target="media/image6.png" Type="http://schemas.openxmlformats.org/officeDocument/2006/relationships/image" /><Relationship Id="rId22" Target="media/image14.jpeg" Type="http://schemas.openxmlformats.org/officeDocument/2006/relationships/image" /><Relationship Id="rId27" Target="media/image18.png" Type="http://schemas.openxmlformats.org/officeDocument/2006/relationships/image" /><Relationship Id="rId30" Target="media/image21.png" Type="http://schemas.openxmlformats.org/officeDocument/2006/relationships/image" /><Relationship Id="rId8" Target="footer2.xml" Type="http://schemas.openxmlformats.org/officeDocument/2006/relationships/footer" /><Relationship Id="rId51" Target="media/image24.jpeg" Type="http://schemas.openxmlformats.org/officeDocument/2006/relationships/image" /><Relationship Id="rId12" Target="media/image4.png" Type="http://schemas.openxmlformats.org/officeDocument/2006/relationships/image" /><Relationship Id="rId17" Target="media/image9.png" Type="http://schemas.openxmlformats.org/officeDocument/2006/relationships/image" /><Relationship Id="rId20" Target="media/image12.png" Type="http://schemas.openxmlformats.org/officeDocument/2006/relationships/image" /><Relationship Id="rId15" Target="media/image7.png" Type="http://schemas.openxmlformats.org/officeDocument/2006/relationships/image" /><Relationship Id="rId23" Target="media/image15.jpeg" Type="http://schemas.openxmlformats.org/officeDocument/2006/relationships/image" /><Relationship Id="rId28" Target="media/image19.jpeg" Type="http://schemas.openxmlformats.org/officeDocument/2006/relationships/image" /><Relationship Id="rId10" Target="media/image2.jpeg" Type="http://schemas.openxmlformats.org/officeDocument/2006/relationships/image" /><Relationship Id="rId31" Target="media/image22.png" Type="http://schemas.openxmlformats.org/officeDocument/2006/relationships/image" /><Relationship Id="rId52" Target="media/image25.jpeg" Type="http://schemas.openxmlformats.org/officeDocument/2006/relationships/image" /><Relationship Type="http://schemas.openxmlformats.org/officeDocument/2006/relationships/image" Id="rId75" Target="media/rId75.png" /><Relationship Type="http://schemas.openxmlformats.org/officeDocument/2006/relationships/hyperlink" Id="rId68" Target="https://doi.org/10.64861/LPFK9568" TargetMode="External" /><Relationship Type="http://schemas.openxmlformats.org/officeDocument/2006/relationships/hyperlink" Id="rId72" Target="https://doi.org/10.64861/QAOZ6812" TargetMode="External" /></Relationships>
</file>

<file path=word/_rels/footnotes.xml.rels><?xml version="1.0" encoding="UTF-8"?><Relationships xmlns="http://schemas.openxmlformats.org/package/2006/relationships"><Relationship Type="http://schemas.openxmlformats.org/officeDocument/2006/relationships/hyperlink" Id="rId68" Target="https://doi.org/10.64861/LPFK9568" TargetMode="External" /><Relationship Type="http://schemas.openxmlformats.org/officeDocument/2006/relationships/hyperlink" Id="rId72" Target="https://doi.org/10.64861/QAOZ6812"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2026-06-22T20:32:35Z</dcterms:created>
  <dcterms:modified xsi:type="dcterms:W3CDTF">2026-06-22T20:32:35Z</dcterms:modified>
</cp:coreProperties>
</file>

<file path=docProps/custom.xml><?xml version="1.0" encoding="utf-8"?>
<Properties xmlns="http://schemas.openxmlformats.org/officeDocument/2006/custom-properties" xmlns:vt="http://schemas.openxmlformats.org/officeDocument/2006/docPropsVTypes"/>
</file>