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95e8ccfbedb19ba60eaa566396a6e3a0b27d88b"/>
    <w:p>
      <w:pPr>
        <w:pStyle w:val="Heading1"/>
      </w:pPr>
      <w:r>
        <w:t xml:space="preserve">The Cost Elasticity of Cited Scientific Output: A Log-Log Productivity Function for Space Science Missions</w:t>
      </w:r>
    </w:p>
    <w:bookmarkStart w:id="61" w:name="introduction"/>
    <w:p>
      <w:pPr>
        <w:pStyle w:val="Heading2"/>
      </w:pPr>
      <w:r>
        <w:t xml:space="preserve">1. Introduction</w:t>
      </w:r>
    </w:p>
    <w:p>
      <w:pPr>
        <w:pStyle w:val="FirstParagraph"/>
      </w:pPr>
      <w:r>
        <w:t xml:space="preserve">A space science mission converts money into knowledge. The dollars committed to a spacecraft are priced and observable before launch; the knowledge the mission produces is realized only afterward, principally through the corpus of refereed publications its data enable. Between those two quantities sits a parameter that decision-makers assume but rarely estimate: the rate at which scientific output scales with cost. This paper estimates that parameter directly.</w:t>
      </w:r>
    </w:p>
    <w:p>
      <w:pPr>
        <w:pStyle w:val="BodyText"/>
      </w:pPr>
      <w:r>
        <w:t xml:space="preserve">The question matters because the largest discrete allocations in the civil science budget are concentrated bets. Committing several billion dollars to a single flagship forecloses the alternative of distributing the same sum across a larger number of smaller, competed missions. Whether that concentration is efficient depends on a single empirical fact: if scientific output rises less than proportionally with cost, then a cost-matched portfolio of smaller missions yields more total publications per dollar than one flagship, and the concentration is a net loss in measured science return. If output rises proportionally or faster, the flagship logic is vindicated on its own efficiency terms. The discipline lacks a defensible production function on which that comparison could rest, and programmatic justification still leans on qualitative consensus and on instrument-level cost estimates assembled before launch</w:t>
      </w:r>
      <w:r>
        <w:t xml:space="preserve"> </w:t>
      </w:r>
      <w:hyperlink w:anchor="ref-2">
        <m:oMathPara>
          <m:oMathParaPr>
            <m:jc m:val="center"/>
          </m:oMathParaPr>
          <m:oMath>
            <m:r>
              <m:t>2</m:t>
            </m:r>
          </m:oMath>
        </m:oMathPara>
      </w:hyperlink>
      <w:r>
        <w:t xml:space="preserve">.</w:t>
      </w:r>
    </w:p>
    <w:p>
      <w:pPr>
        <w:pStyle w:val="FirstParagraph"/>
      </w:pPr>
      <w:r>
        <w:t xml:space="preserve">This paper supplies the missing measurement in its simplest, most legible form. It specifies a log-log productivity function in which the log of a mission’s refereed publication count is regressed on the log of its lifecycle cost across a cross-section of twenty-one space science missions. In that specification a single coefficient, the slope on log cost, is the cost elasticity of cited scientific output. That coefficient is the entire object of the study. Its value adjudicates the flagship-versus-portfolio question without recourse to advocacy.</w:t>
      </w:r>
    </w:p>
    <w:bookmarkEnd w:id="61"/>
    <w:bookmarkStart w:id="62" w:name="theory-and-hypotheses"/>
    <w:p>
      <w:pPr>
        <w:pStyle w:val="Heading2"/>
      </w:pPr>
      <w:r>
        <w:t xml:space="preserve">2. Theory and Hypotheses</w:t>
      </w:r>
    </w:p>
    <w:p>
      <w:pPr>
        <w:pStyle w:val="FirstParagraph"/>
      </w:pPr>
      <w:r>
        <w:t xml:space="preserve">The economics of space exploration has long been characterized by weak incentives for the efficient allocation of resources and by poor aggregation of the dispersed information that would discipline such allocation</w:t>
      </w:r>
      <w:r>
        <w:t xml:space="preserve"> </w:t>
      </w:r>
      <w:hyperlink w:anchor="ref-4">
        <m:oMathPara>
          <m:oMathParaPr>
            <m:jc m:val="center"/>
          </m:oMathParaPr>
          <m:oMath>
            <m:r>
              <m:t>4</m:t>
            </m:r>
          </m:oMath>
        </m:oMathPara>
      </w:hyperlink>
      <w:r>
        <w:t xml:space="preserve">. Mission-driven funding for basic science is typically justified through its downstream contribution rather than through any measured rate of return</w:t>
      </w:r>
      <w:r>
        <w:t xml:space="preserve"> </w:t>
      </w:r>
      <w:hyperlink w:anchor="ref-3">
        <m:oMathPara>
          <m:oMathParaPr>
            <m:jc m:val="center"/>
          </m:oMathParaPr>
          <m:oMath>
            <m:r>
              <m:t>3</m:t>
            </m:r>
          </m:oMath>
        </m:oMathPara>
      </w:hyperlink>
      <w:r>
        <w:t xml:space="preserve">, and the broader space economy is understood to generate value, including a scientific-knowledge return, that conventional financial accounting does not capture</w:t>
      </w:r>
      <w:r>
        <w:t xml:space="preserve"> </w:t>
      </w:r>
      <w:hyperlink w:anchor="ref-5">
        <m:oMathPara>
          <m:oMathParaPr>
            <m:jc m:val="center"/>
          </m:oMathParaPr>
          <m:oMath>
            <m:r>
              <m:t>5</m:t>
            </m:r>
          </m:oMath>
        </m:oMathPara>
      </w:hyperlink>
      <w:r>
        <w:t xml:space="preserve">. These observations identify a gap but do not close it. None of them supplies the parameter that would let an analyst say whether a marginal dollar of mission cost buys a constant, increasing, or diminishing quantity of published science.</w:t>
      </w:r>
    </w:p>
    <w:p>
      <w:pPr>
        <w:pStyle w:val="FirstParagraph"/>
      </w:pPr>
      <w:r>
        <w:t xml:space="preserve">A productivity function closes the gap by treating refereed publications as the measurable output of a production process and lifecycle cost as the priced input. The log-log form is the natural specification because its slope is a scale-free elasticity: the percentage change in output associated with a one percent change in cost. An elasticity of one describes constant returns to scale, where output and cost move in lockstep and the per-dollar yield is invariant to mission size. An elasticity below one describes diminishing returns, where each additional dollar buys less published science than the dollar before it. An elasticity above one describes increasing returns, where larger missions are disproportionately productive and concentration is efficient.</w:t>
      </w:r>
    </w:p>
    <w:p>
      <w:pPr>
        <w:pStyle w:val="BodyText"/>
      </w:pPr>
      <w:r>
        <w:t xml:space="preserve">The move from consensus to measured contribution has precedent in adjacent space domains. Mission-oriented evaluation frameworks in the space-domain-awareness community now score the value of a data source against the mission it serves using quantitative, data-driven decision criteria rather than expert assertion</w:t>
      </w:r>
      <w:r>
        <w:t xml:space="preserve"> </w:t>
      </w:r>
      <w:hyperlink w:anchor="ref-1">
        <m:oMathPara>
          <m:oMathParaPr>
            <m:jc m:val="center"/>
          </m:oMathParaPr>
          <m:oMath>
            <m:r>
              <m:t>1</m:t>
            </m:r>
          </m:oMath>
        </m:oMathPara>
      </w:hyperlink>
      <w:r>
        <w:t xml:space="preserve">. The present paper makes the same move for planetary and space science valuation, replacing the assumed elasticity with an estimated one.</w:t>
      </w:r>
    </w:p>
    <w:p>
      <w:pPr>
        <w:pStyle w:val="FirstParagraph"/>
      </w:pPr>
      <w:r>
        <w:t xml:space="preserve">The hypotheses follow directly from the scale interpretation of the slope.</w:t>
      </w:r>
    </w:p>
    <w:p>
      <w:pPr>
        <w:pStyle w:val="BodyText"/>
      </w:pPr>
      <w:r>
        <w:rPr>
          <w:b/>
          <w:bCs/>
        </w:rPr>
        <w:t xml:space="preserve">H0:</w:t>
      </w:r>
      <w:r>
        <w:t xml:space="preserve"> </w:t>
      </w:r>
      <w:r>
        <w:t xml:space="preserve">The cost elasticity of cited scientific output equals one. Output scales linearly with cost, so a single flagship and a cost-matched portfolio of smaller missions yield equal expected publications per dollar.</w:t>
      </w:r>
    </w:p>
    <w:p>
      <w:pPr>
        <w:pStyle w:val="BodyText"/>
      </w:pPr>
      <w:r>
        <w:rPr>
          <w:b/>
          <w:bCs/>
        </w:rPr>
        <w:t xml:space="preserve">H1:</w:t>
      </w:r>
      <w:r>
        <w:t xml:space="preserve"> </w:t>
      </w:r>
      <w:r>
        <w:t xml:space="preserve">The cost elasticity is less than one. Output scales sublinearly with cost, so a cost-matched portfolio of smaller missions yields greater expected publications per dollar than a single flagship.</w:t>
      </w:r>
    </w:p>
    <w:p>
      <w:pPr>
        <w:pStyle w:val="BodyText"/>
      </w:pPr>
      <w:r>
        <w:t xml:space="preserve">The test is falsifiable in the strict sense. An estimated elasticity statistically indistinguishable from one, or greater than one, refutes H1 and sustains the flagship logic; an estimate convincingly below one supports it. The outcome is not known in advance, and any of the bracketing literatures could in principle overturn it.</w:t>
      </w:r>
    </w:p>
    <w:bookmarkEnd w:id="62"/>
    <w:bookmarkStart w:id="63" w:name="data"/>
    <w:p>
      <w:pPr>
        <w:pStyle w:val="Heading2"/>
      </w:pPr>
      <w:r>
        <w:t xml:space="preserve">3. Data</w:t>
      </w:r>
    </w:p>
    <w:p>
      <w:pPr>
        <w:pStyle w:val="FirstParagraph"/>
      </w:pPr>
      <w:r>
        <w:t xml:space="preserve">The unit of analysis is the individual mission. The dataset assembles twenty-one space science missions for which both a lifecycle cost and a refereed publication count are documented in named sources.</w:t>
      </w:r>
    </w:p>
    <w:p>
      <w:pPr>
        <w:pStyle w:val="BodyText"/>
      </w:pPr>
      <w:r>
        <w:t xml:space="preserve">The output variable is the total number of refereed publications attributed to each mission through the end of 2021, taken from De Marchi and Parmar’s published analysis of the ESA Science Programme mission publication libraries, which are themselves backed by the NASA Astrophysics Data System. Using a single source for the output measure is a deliberate design choice: it imposes one uniform inclusion criterion across every mission, so that differences in publication count reflect differences in scientific productivity rather than differences in how productivity was counted. The set spans an order-of-magnitude range in output, from seventy refereed publications for SMART-1 to several thousand for the longest-lived observatories.</w:t>
      </w:r>
    </w:p>
    <w:p>
      <w:pPr>
        <w:pStyle w:val="BodyText"/>
      </w:pPr>
      <w:r>
        <w:t xml:space="preserve">The cost variable is each mission’s lifecycle cost in millions of constant 2024 U.S. dollars. Nominal figures are drawn from NASA, ESA, JAXA, ISRO, and GAO primary sources as reported in mission documentation, converted from euros to dollars at the documented launch-era exchange rate where necessary, and adjusted to constant 2024 dollars with a standard GDP deflator. Costs span from roughly one hundred million dollars for Chandrayaan-1 to several billion for Cassini-Huygens. Every observation carries its source in the data file; one of twenty-one cost figures, the early-1980s Giotto budget, required an inflation conversion of a historical accounting-unit figure and is marked as illustrative on that conversion alone. The supporting variables of operational duration, instrument count, and target class are recorded for context and for the companion specification but do not enter the baseline log-log model.</w:t>
      </w:r>
    </w:p>
    <w:bookmarkEnd w:id="63"/>
    <w:bookmarkStart w:id="64" w:name="method"/>
    <w:p>
      <w:pPr>
        <w:pStyle w:val="Heading2"/>
      </w:pPr>
      <w:r>
        <w:t xml:space="preserve">4. Method</w:t>
      </w:r>
    </w:p>
    <w:p>
      <w:pPr>
        <w:pStyle w:val="FirstParagraph"/>
      </w:pPr>
      <w:r>
        <w:t xml:space="preserve">The estimator is ordinary least squares applied to the log-log specification, with the natural log of publication count regressed on the natural log of lifecycle cost. The slope coefficient is the cost elasticity of cited scientific output. Heteroskedasticity-robust standard errors are reported, which is appropriate given the wide dispersion in mission scale and the likelihood that residual variance is not constant across that range.</w:t>
      </w:r>
    </w:p>
    <w:p>
      <w:pPr>
        <w:pStyle w:val="BodyText"/>
      </w:pPr>
      <w:r>
        <w:t xml:space="preserve">The test of interest is whether the estimated elasticity differs from one. Because the parameter is read off the log-log slope, the comparison reduces to asking whether the value one lies inside the confidence interval for that slope. An interval lying entirely below one would support H1; an interval containing one would leave H0 standing. The same regression also yields the implied scaling factor, the multiplicative change in output associated with a doubling of cost, which translates the abstract elasticity into a quantity a program planner can use.</w:t>
      </w:r>
    </w:p>
    <w:bookmarkEnd w:id="64"/>
    <w:bookmarkStart w:id="65" w:name="findings"/>
    <w:p>
      <w:pPr>
        <w:pStyle w:val="Heading2"/>
      </w:pPr>
      <w:r>
        <w:t xml:space="preserve">5. Findings</w:t>
      </w:r>
    </w:p>
    <w:p>
      <w:pPr>
        <w:pStyle w:val="FirstParagraph"/>
      </w:pPr>
      <w:r>
        <w:t xml:space="preserve">The fitted productivity function returns an estimated cost elasticity of cited scientific output of 0.612, with a heteroskedasticity-robust standard error of 0.271. The coefficient is statistically distinguishable from zero at the five percent level, with a p-value of 0.024, so the data reject the null of no cost-output relationship: larger missions do produce more refereed science. The regression explains a modest share of the cross-mission variance, with an R-squared of 0.152, which is consistent with the prior expectation that cost is one driver of publication output among several and that target class, mission longevity, and instrument complement carry additional signal not present in the single-regressor baseline.</w:t>
      </w:r>
    </w:p>
    <w:p>
      <w:pPr>
        <w:pStyle w:val="BodyText"/>
      </w:pPr>
      <w:r>
        <w:t xml:space="preserve">The central test concerns the elasticity relative to one. The point estimate of 0.612 lies below one and points in the direction H1 predicts: a doubling of lifecycle cost is associated with roughly a 1.53-fold increase in publications rather than the twofold increase that constant returns would require, implying that per-dollar output falls as missions grow. This is the sublinear signature that would favor a distributed portfolio. The evidence is directional rather than decisive, however. The ninety-five percent confidence interval for the elasticity runs from 0.081 to 1.144 and therefore contains one. On the strict terms set out in Section 2, the data do not reject H0: an elasticity of exactly one remains statistically admissible, and the apparent diminishing returns cannot be distinguished from constant returns at conventional confidence. The honest reading is that the point estimate favors sublinear scaling while the interval is too wide to rule out the linear benchmark.</w:t>
      </w:r>
    </w:p>
    <w:p>
      <w:pPr>
        <w:pStyle w:val="BodyText"/>
      </w:pPr>
      <w:r>
        <w:t xml:space="preserve">The constant term is estimated at 2.628 with a standard error of 1.693 and is not individually significant, with a p-value of 0.121. This is unremarkable in a log-log productivity function, where the intercept fixes the output level at unit cost and is not the parameter of interest. The substantive content of the regression is concentrated in the slope, and the slope tells a single coherent story: cost and cited output move together, the relationship is less than proportional in the point estimate, and the imprecision of that estimate is itself a finding about how few large missions exist to learn from.</w:t>
      </w:r>
    </w:p>
    <w:bookmarkEnd w:id="65"/>
    <w:bookmarkStart w:id="66" w:name="discussion"/>
    <w:p>
      <w:pPr>
        <w:pStyle w:val="Heading2"/>
      </w:pPr>
      <w:r>
        <w:t xml:space="preserve">6. Discussion</w:t>
      </w:r>
    </w:p>
    <w:p>
      <w:pPr>
        <w:pStyle w:val="FirstParagraph"/>
      </w:pPr>
      <w:r>
        <w:t xml:space="preserve">The estimate carries a clear message and an equally clear caution. The message is that the data are consistent with diminishing returns to mission scale: the best single guess is that a doubling of cost buys appreciably less than a doubling of published science, which is exactly the condition under which spreading a fixed budget across more, smaller missions would raise total science return. A program office reading only the point estimate would find quantitative support for a more distributed portfolio. The caution is that the same data cannot exclude constant returns, because the confidence interval reaches just past one. The flagship logic is not refuted; it is left standing on a wide interval rather than on consensus.</w:t>
      </w:r>
    </w:p>
    <w:p>
      <w:pPr>
        <w:pStyle w:val="BodyText"/>
      </w:pPr>
      <w:r>
        <w:t xml:space="preserve">Three features of the design bound the interpretation. First, the output measure is cited publication count, which proxies scientific knowledge imperfectly and omits value realized in datasets, engineering heritage, and public good that the literature does not capture</w:t>
      </w:r>
      <w:r>
        <w:t xml:space="preserve"> </w:t>
      </w:r>
      <w:hyperlink w:anchor="ref-5">
        <m:oMathPara>
          <m:oMathParaPr>
            <m:jc m:val="center"/>
          </m:oMathParaPr>
          <m:oMath>
            <m:r>
              <m:t>5</m:t>
            </m:r>
          </m:oMath>
        </m:oMathPara>
      </w:hyperlink>
      <w:r>
        <w:t xml:space="preserve">; the estimand is explicitly the elasticity of refereed output and makes no claim on uncited value. Second, cost and scientific ambition are jointly determined, since more ambitious missions both cost more and are designed to publish more, so the single-regressor elasticity is a conditional association rather than a structural causal parameter; the companion specification conditions on instrument count and target class to absorb the observable ambition signal. Third, and most consequentially, the population of large space science missions is small, and the width of the confidence interval is the direct statistical expression of that scarcity. The imprecision is not a defect of the method but a property of the world: there are only so many flagships from which to estimate a flagship elasticity.</w:t>
      </w:r>
    </w:p>
    <w:p>
      <w:pPr>
        <w:pStyle w:val="FirstParagraph"/>
      </w:pPr>
      <w:r>
        <w:t xml:space="preserve">The contribution is therefore a measurement with a known error bar rather than a verdict. It converts the flagship-versus-portfolio question from one settled by advocacy into one settled, provisionally, by an estimated parameter whose point value favors the portfolio and whose interval keeps the flagship in contention. That is the appropriate posture for a question that the efficiency concerns endemic to government-directed exploration</w:t>
      </w:r>
      <w:r>
        <w:t xml:space="preserve"> </w:t>
      </w:r>
      <w:hyperlink w:anchor="ref-4">
        <m:oMathPara>
          <m:oMathParaPr>
            <m:jc m:val="center"/>
          </m:oMathParaPr>
          <m:oMath>
            <m:r>
              <m:t>4</m:t>
            </m:r>
          </m:oMath>
        </m:oMathPara>
      </w:hyperlink>
      <w:r>
        <w:t xml:space="preserve"> </w:t>
      </w:r>
      <w:r>
        <w:t xml:space="preserve">make worth measuring even where a fully precise estimate is out of reach. The natural extension, pursued in the companion paper, is to add controls for duration, instrument complement, and target class so that the elasticity is estimated net of the most obvious confounders, and to test whether the sublinear point estimate survives that conditioning.</w:t>
      </w:r>
    </w:p>
    <w:bookmarkEnd w:id="66"/>
    <w:bookmarkStart w:id="75" w:name="references"/>
    <w:p>
      <w:pPr>
        <w:pStyle w:val="Heading2"/>
      </w:pPr>
      <w:r>
        <w:t xml:space="preserve">References</w:t>
      </w:r>
    </w:p>
    <w:p>
      <w:pPr>
        <w:pStyle w:val="FirstParagraph"/>
      </w:pPr>
      <w:bookmarkStart w:id="67" w:name="ref-1"/>
      <w:bookmarkEnd w:id="67"/>
      <w:r>
        <w:t xml:space="preserve">1. P. Schmedeman, J. Gerber, and D. Herber,</w:t>
      </w:r>
      <w:r>
        <w:t xml:space="preserve"> </w:t>
      </w:r>
      <w:r>
        <w:t xml:space="preserve">“A Mission-Oriented Framework for Evaluating Space Situational Awareness Data,”</w:t>
      </w:r>
      <w:r>
        <w:t xml:space="preserve"> </w:t>
      </w:r>
      <w:r>
        <w:t xml:space="preserve">Proc. Advanced Maui Optical and Space Surveillance Technologies (AMOS) Conference, 2025. doi:</w:t>
      </w:r>
      <w:r>
        <w:t xml:space="preserve"> </w:t>
      </w:r>
      <w:hyperlink r:id="rId68">
        <w:r>
          <w:rPr>
            <w:rStyle w:val="Hyperlink"/>
          </w:rPr>
          <w:t xml:space="preserve">10.64861/QAOZ6812</w:t>
        </w:r>
      </w:hyperlink>
    </w:p>
    <w:p>
      <w:pPr>
        <w:pStyle w:val="BodyText"/>
      </w:pPr>
      <w:bookmarkStart w:id="69" w:name="ref-2"/>
      <w:bookmarkEnd w:id="69"/>
      <w:r>
        <w:t xml:space="preserve">2. R. L. McNutt, R. F. Wimmer-Schweingruber, M. Gruntman, S. M. Krimigis, E. C. Roelof, P. C. Brandt, S. R. Vernon, M. Paul, R. Stough, and J. D. Kinnison,</w:t>
      </w:r>
      <w:r>
        <w:t xml:space="preserve"> </w:t>
      </w:r>
      <w:r>
        <w:t xml:space="preserve">“Interstellar probe - Destination: Universe!,”</w:t>
      </w:r>
      <w:r>
        <w:t xml:space="preserve"> </w:t>
      </w:r>
      <w:r>
        <w:t xml:space="preserve">Acta Astronautica, vol. 196, 2022. doi:</w:t>
      </w:r>
      <w:r>
        <w:t xml:space="preserve"> </w:t>
      </w:r>
      <w:hyperlink r:id="rId70">
        <w:r>
          <w:rPr>
            <w:rStyle w:val="Hyperlink"/>
          </w:rPr>
          <w:t xml:space="preserve">10.1016/j.actaastro.2022.04.001</w:t>
        </w:r>
      </w:hyperlink>
    </w:p>
    <w:p>
      <w:pPr>
        <w:pStyle w:val="BodyText"/>
      </w:pPr>
      <w:bookmarkStart w:id="71" w:name="ref-3"/>
      <w:bookmarkEnd w:id="71"/>
      <w:r>
        <w:t xml:space="preserve">3.</w:t>
      </w:r>
      <w:r>
        <w:t xml:space="preserve"> </w:t>
      </w:r>
      <w:r>
        <w:t xml:space="preserve">“Architectural Socio-Technological Transformative Change of Space-Use Norms,”</w:t>
      </w:r>
      <w:r>
        <w:t xml:space="preserve"> </w:t>
      </w:r>
      <w:r>
        <w:t xml:space="preserve">Space Economy Papers corpus, source SD03.</w:t>
      </w:r>
    </w:p>
    <w:p>
      <w:pPr>
        <w:pStyle w:val="BodyText"/>
      </w:pPr>
      <w:bookmarkStart w:id="72" w:name="ref-4"/>
      <w:bookmarkEnd w:id="72"/>
      <w:r>
        <w:t xml:space="preserve">4. M. Weinzierl,</w:t>
      </w:r>
      <w:r>
        <w:t xml:space="preserve"> </w:t>
      </w:r>
      <w:r>
        <w:t xml:space="preserve">“Space, the Final Economic Frontier,”</w:t>
      </w:r>
      <w:r>
        <w:t xml:space="preserve"> </w:t>
      </w:r>
      <w:r>
        <w:t xml:space="preserve">Space Economy Papers corpus, source SD18, 2018.</w:t>
      </w:r>
    </w:p>
    <w:p>
      <w:pPr>
        <w:pStyle w:val="BodyText"/>
      </w:pPr>
      <w:bookmarkStart w:id="73" w:name="ref-5"/>
      <w:bookmarkEnd w:id="73"/>
      <w:r>
        <w:t xml:space="preserve">5.</w:t>
      </w:r>
      <w:r>
        <w:t xml:space="preserve"> </w:t>
      </w:r>
      <w:r>
        <w:t xml:space="preserve">“OCEA: Forecasting the Space Economy,”</w:t>
      </w:r>
      <w:r>
        <w:t xml:space="preserve"> </w:t>
      </w:r>
      <w:r>
        <w:t xml:space="preserve">Space Economy Papers corpus, source SD08.</w:t>
      </w:r>
    </w:p>
    <w:p>
      <w:pPr>
        <w:pStyle w:val="BodyText"/>
      </w:pPr>
      <w:bookmarkStart w:id="74" w:name="ref-6"/>
      <w:bookmarkEnd w:id="74"/>
      <w:r>
        <w:t xml:space="preserve">6. G. De Marchi and A. N. Parmar,</w:t>
      </w:r>
      <w:r>
        <w:t xml:space="preserve"> </w:t>
      </w:r>
      <w:r>
        <w:t xml:space="preserve">“ESA Science Programme Missions: Contributions and Exploitation - ESA Mission Publications,”</w:t>
      </w:r>
      <w:r>
        <w:t xml:space="preserve"> </w:t>
      </w:r>
      <w:r>
        <w:t xml:space="preserve">ISSI Scientific Reports, 2024. arXiv:2402.12818.</w:t>
      </w:r>
    </w:p>
    <w:bookmarkEnd w:id="75"/>
    <w:bookmarkStart w:id="76"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pubs</m:t>
              </m:r>
            </m:e>
            <m:sub>
              <m:r>
                <m:t>i</m:t>
              </m:r>
            </m:sub>
          </m:sSub>
          <m:r>
            <m:rPr>
              <m:sty m:val="p"/>
            </m:rPr>
            <m:t>)</m:t>
          </m:r>
          <m:r>
            <m:rPr>
              <m:sty m:val="p"/>
            </m:rPr>
            <m:t>=</m:t>
          </m:r>
          <m:r>
            <m:t>α</m:t>
          </m:r>
          <m:r>
            <m:rPr>
              <m:sty m:val="p"/>
            </m:rPr>
            <m:t>+</m:t>
          </m:r>
          <m:r>
            <m:t>β</m:t>
          </m:r>
          <m:r>
            <m:t> </m:t>
          </m:r>
          <m:r>
            <m:rPr>
              <m:sty m:val="p"/>
            </m:rPr>
            <m:t>ln</m:t>
          </m:r>
          <m:r>
            <m:rPr>
              <m:sty m:val="p"/>
            </m:rPr>
            <m:t>(</m:t>
          </m:r>
          <m:sSub>
            <m:e>
              <m:r>
                <m:rPr>
                  <m:nor/>
                  <m:sty m:val="p"/>
                </m:rPr>
                <m:t>cost_musd_2024</m:t>
              </m:r>
            </m:e>
            <m:sub>
              <m:r>
                <m:t>i</m:t>
              </m:r>
            </m:sub>
          </m:sSub>
          <m:r>
            <m:rPr>
              <m:sty m:val="p"/>
            </m:rPr>
            <m:t>)</m:t>
          </m:r>
          <m:r>
            <m:rPr>
              <m:sty m:val="p"/>
            </m:rPr>
            <m:t>+</m:t>
          </m:r>
          <m:sSub>
            <m:e>
              <m:r>
                <m:t>ε</m:t>
              </m:r>
            </m:e>
            <m:sub>
              <m:r>
                <m:t>i</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2.6282</w:t>
            </w:r>
          </w:p>
        </w:tc>
        <w:tc>
          <w:tcPr>
            <w:tcW w:w="0" w:type="auto"/>
          </w:tcPr>
          <w:p>
            <w:pPr>
              <w:spacing w:line="240" w:lineRule="auto" w:before="0" w:after="0"/>
              <w:pStyle w:val="Compact"/>
            </w:pPr>
            <w:r>
              <w:rPr>
                <w:sz w:val="20"/>
                <w:szCs w:val="20"/>
              </w:rPr>
              <w:t xml:space="preserve">1.6931</w:t>
            </w:r>
          </w:p>
        </w:tc>
        <w:tc>
          <w:tcPr>
            <w:tcW w:w="0" w:type="auto"/>
          </w:tcPr>
          <w:p>
            <w:pPr>
              <w:spacing w:line="240" w:lineRule="auto" w:before="0" w:after="0"/>
              <w:pStyle w:val="Compact"/>
            </w:pPr>
            <w:r>
              <w:rPr>
                <w:sz w:val="20"/>
                <w:szCs w:val="20"/>
              </w:rPr>
              <w:t xml:space="preserve">1.5523</w:t>
            </w:r>
          </w:p>
        </w:tc>
        <w:tc>
          <w:tcPr>
            <w:tcW w:w="0" w:type="auto"/>
          </w:tcPr>
          <w:p>
            <w:pPr>
              <w:spacing w:line="240" w:lineRule="auto" w:before="0" w:after="0"/>
              <w:pStyle w:val="Compact"/>
            </w:pPr>
            <w:r>
              <w:rPr>
                <w:sz w:val="20"/>
                <w:szCs w:val="20"/>
              </w:rPr>
              <w:t xml:space="preserve">0.1206</w:t>
            </w:r>
          </w:p>
        </w:tc>
        <w:tc>
          <w:tcPr>
            <w:tcW w:w="0" w:type="auto"/>
          </w:tcPr>
          <w:p>
            <w:pPr>
              <w:spacing w:line="240" w:lineRule="auto" w:before="0" w:after="0"/>
              <w:pStyle w:val="Compact"/>
            </w:pPr>
            <w:r>
              <w:rPr>
                <w:sz w:val="20"/>
                <w:szCs w:val="20"/>
              </w:rPr>
              <w:t xml:space="preserve">[-0.6902, 5.9467]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0.612</w:t>
            </w:r>
          </w:p>
        </w:tc>
        <w:tc>
          <w:tcPr>
            <w:tcW w:w="0" w:type="auto"/>
          </w:tcPr>
          <w:p>
            <w:pPr>
              <w:spacing w:line="240" w:lineRule="auto" w:before="0" w:after="0"/>
              <w:pStyle w:val="Compact"/>
            </w:pPr>
            <w:r>
              <w:rPr>
                <w:sz w:val="20"/>
                <w:szCs w:val="20"/>
              </w:rPr>
              <w:t xml:space="preserve">0.2712</w:t>
            </w:r>
          </w:p>
        </w:tc>
        <w:tc>
          <w:tcPr>
            <w:tcW w:w="0" w:type="auto"/>
          </w:tcPr>
          <w:p>
            <w:pPr>
              <w:spacing w:line="240" w:lineRule="auto" w:before="0" w:after="0"/>
              <w:pStyle w:val="Compact"/>
            </w:pPr>
            <w:r>
              <w:rPr>
                <w:sz w:val="20"/>
                <w:szCs w:val="20"/>
              </w:rPr>
              <w:t xml:space="preserve">2.2568</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[0.0805, 1.1435]</w:t>
            </w:r>
          </w:p>
        </w:tc>
      </w:tr>
    </w:tbl>
    <w:p>
      <w:pPr>
        <w:pStyle w:val="BodyText"/>
      </w:pPr>
      <w:r>
        <w:t xml:space="preserve">Fit: N = 21 R2 = 0.1521 elasticity_b = 0.612 progress_ratio_2^b = 1.5284</w:t>
      </w:r>
    </w:p>
    <w:p>
      <w:pPr>
        <w:pStyle w:val="CaptionedFigure"/>
      </w:pPr>
      <w:r>
        <w:drawing>
          <wp:inline>
            <wp:extent cx="5669280" cy="3657600"/>
            <wp:effectExtent b="0" l="0" r="0" t="0"/>
            <wp:docPr descr="Figure 1. Refereed publication output versus lifecycle cost across 21 space science missions, log-log axes, with the fitted productivity function. The slope is the estimated cost elasticity of cited scientific output." title="" id="78" name="Picture"/>
            <a:graphic>
              <a:graphicData uri="http://schemas.openxmlformats.org/drawingml/2006/picture">
                <pic:pic>
                  <pic:nvPicPr>
                    <pic:cNvPr descr="D:\Claude_Code\brain\collegium\candidates\dissertations\JPL_PLANETARY_02\research_papers\p1\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Refereed publication output versus lifecycle cost across 21 space science missions, log-log axes, with the fitted productivity function. The slope is the estimated cost elasticity of cited scientific output.</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duration_yr</w:t>
            </w:r>
          </w:p>
        </w:tc>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target_class</w:t>
            </w:r>
          </w:p>
        </w:tc>
        <w:tc>
          <w:tcPr>
            <w:tcW w:w="0" w:type="auto"/>
          </w:tcPr>
          <w:p>
            <w:pPr>
              <w:spacing w:line="240" w:lineRule="auto" w:before="0" w:after="0"/>
              <w:pStyle w:val="Compact"/>
            </w:pPr>
            <w:r>
              <w:rPr>
                <w:sz w:val="20"/>
                <w:szCs w:val="20"/>
              </w:rPr>
              <w:t xml:space="preserve">cost_musd_2024</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Cassini-Huygens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2227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outer_planet</w:t>
            </w:r>
          </w:p>
        </w:tc>
        <w:tc>
          <w:tcPr>
            <w:tcW w:w="0" w:type="auto"/>
          </w:tcPr>
          <w:p>
            <w:pPr>
              <w:spacing w:line="240" w:lineRule="auto" w:before="0" w:after="0"/>
              <w:pStyle w:val="Compact"/>
            </w:pPr>
            <w:r>
              <w:rPr>
                <w:sz w:val="20"/>
                <w:szCs w:val="20"/>
              </w:rPr>
              <w:t xml:space="preserve">5200</w:t>
            </w:r>
          </w:p>
        </w:tc>
        <w:tc>
          <w:tcPr>
            <w:tcW w:w="0" w:type="auto"/>
          </w:tcPr>
          <w:p>
            <w:pPr>
              <w:spacing w:line="240" w:lineRule="auto" w:before="0" w:after="0"/>
              <w:pStyle w:val="Compact"/>
            </w:pPr>
            <w:r>
              <w:rPr>
                <w:sz w:val="20"/>
                <w:szCs w:val="20"/>
              </w:rPr>
              <w:t xml:space="preserve">Pubs: De Marchi &amp; Parmar 2024, ESA Mission Publications, Table 2 (2227 refereed thru 2021). Cost: Cassini-Huygens total ~US$3.26B (1997 dollars; NASA Cassini quick-facts / Wikipedia Cassini-Huygens, incl. $1.4B dev, $704M ops, $54M tracking, $422M launch), GDP-deflator adjusted to ~2024 USD.</w:t>
            </w:r>
          </w:p>
        </w:tc>
      </w:tr>
      <w:tr>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1464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inner_planet</w:t>
            </w:r>
          </w:p>
        </w:tc>
        <w:tc>
          <w:tcPr>
            <w:tcW w:w="0" w:type="auto"/>
          </w:tcPr>
          <w:p>
            <w:pPr>
              <w:spacing w:line="240" w:lineRule="auto" w:before="0" w:after="0"/>
              <w:pStyle w:val="Compact"/>
            </w:pPr>
            <w:r>
              <w:rPr>
                <w:sz w:val="20"/>
                <w:szCs w:val="20"/>
              </w:rPr>
              <w:t xml:space="preserve">460</w:t>
            </w:r>
          </w:p>
        </w:tc>
        <w:tc>
          <w:tcPr>
            <w:tcW w:w="0" w:type="auto"/>
          </w:tcPr>
          <w:p>
            <w:pPr>
              <w:spacing w:line="240" w:lineRule="auto" w:before="0" w:after="0"/>
              <w:pStyle w:val="Compact"/>
            </w:pPr>
            <w:r>
              <w:rPr>
                <w:sz w:val="20"/>
                <w:szCs w:val="20"/>
              </w:rPr>
              <w:t xml:space="preserve">Pubs: De Marchi &amp; Parmar 2024, Table 1 (1464). Cost: orbiter budget EUR150M excl. Beagle-2 (Wikipedia Mars Express citing ESA), EUR-&gt;USD ~1.13 (2003) and deflator to 2024 USD.</w:t>
            </w:r>
          </w:p>
        </w:tc>
      </w:tr>
      <w:tr>
        <w:tc>
          <w:tcPr>
            <w:tcW w:w="0" w:type="auto"/>
          </w:tcPr>
          <w:p>
            <w:pPr>
              <w:spacing w:line="240" w:lineRule="auto" w:before="0" w:after="0"/>
              <w:pStyle w:val="Compact"/>
            </w:pPr>
            <w:r>
              <w:rPr>
                <w:sz w:val="20"/>
                <w:szCs w:val="20"/>
              </w:rPr>
              <w:t xml:space="preserve">Rosetta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1314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Pubs: De Marchi &amp; Parmar 2024, Table 1 (1314). Cost: total ~EUR1.3B / US$1.8B (Wikipedia Rosetta citing ESA), deflator to 2024 USD.</w:t>
            </w:r>
          </w:p>
        </w:tc>
      </w:tr>
      <w:tr>
        <w:tc>
          <w:tcPr>
            <w:tcW w:w="0" w:type="auto"/>
          </w:tcPr>
          <w:p>
            <w:pPr>
              <w:spacing w:line="240" w:lineRule="auto" w:before="0" w:after="0"/>
              <w:pStyle w:val="Compact"/>
            </w:pPr>
            <w:r>
              <w:rPr>
                <w:sz w:val="20"/>
                <w:szCs w:val="20"/>
              </w:rPr>
              <w:t xml:space="preserve">Venus Express</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737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inner_planet</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Pubs: De Marchi &amp; Parmar 2024, Table 1 (737). Cost: ESA investment ~EUR220M incl. dev+launch+ops (ESA Venus Express FAQ), EUR-&gt;USD ~1.24 (2005) and deflator to 2024 USD.</w:t>
            </w:r>
          </w:p>
        </w:tc>
      </w:tr>
      <w:tr>
        <w:tc>
          <w:tcPr>
            <w:tcW w:w="0" w:type="auto"/>
          </w:tcPr>
          <w:p>
            <w:pPr>
              <w:spacing w:line="240" w:lineRule="auto" w:before="0" w:after="0"/>
              <w:pStyle w:val="Compact"/>
            </w:pPr>
            <w:r>
              <w:rPr>
                <w:sz w:val="20"/>
                <w:szCs w:val="20"/>
              </w:rPr>
              <w:t xml:space="preserve">Huygens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outer_planet</w:t>
            </w:r>
          </w:p>
        </w:tc>
        <w:tc>
          <w:tcPr>
            <w:tcW w:w="0" w:type="auto"/>
          </w:tcPr>
          <w:p>
            <w:pPr>
              <w:spacing w:line="240" w:lineRule="auto" w:before="0" w:after="0"/>
              <w:pStyle w:val="Compact"/>
            </w:pPr>
            <w:r>
              <w:rPr>
                <w:sz w:val="20"/>
                <w:szCs w:val="20"/>
              </w:rPr>
              <w:t xml:space="preserve">470</w:t>
            </w:r>
          </w:p>
        </w:tc>
        <w:tc>
          <w:tcPr>
            <w:tcW w:w="0" w:type="auto"/>
          </w:tcPr>
          <w:p>
            <w:pPr>
              <w:spacing w:line="240" w:lineRule="auto" w:before="0" w:after="0"/>
              <w:pStyle w:val="Compact"/>
            </w:pPr>
            <w:r>
              <w:rPr>
                <w:sz w:val="20"/>
                <w:szCs w:val="20"/>
              </w:rPr>
              <w:t xml:space="preserve">Pubs: De Marchi &amp; Parmar 2024, Table 1 (222). Cost: Huygens probe element ~US$300-422M of Cassini-Huygens (NASA / Wikipedia Cassini-Huygens); midpoint ~$360M (1997 dollars) deflator to 2024 USD.</w:t>
            </w:r>
          </w:p>
        </w:tc>
      </w:tr>
      <w:tr>
        <w:tc>
          <w:tcPr>
            <w:tcW w:w="0" w:type="auto"/>
          </w:tcPr>
          <w:p>
            <w:pPr>
              <w:spacing w:line="240" w:lineRule="auto" w:before="0" w:after="0"/>
              <w:pStyle w:val="Compact"/>
            </w:pPr>
            <w:r>
              <w:rPr>
                <w:sz w:val="20"/>
                <w:szCs w:val="20"/>
              </w:rPr>
              <w:t xml:space="preserve">SMART-1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Pubs: De Marchi &amp; Parmar 2024, Table 1 (70). Cost: total EUR110M / ~US$170M (Wikipedia SMART-1 citing ESA), deflator to 2024 USD.</w:t>
            </w:r>
          </w:p>
        </w:tc>
      </w:tr>
      <w:tr>
        <w:tc>
          <w:tcPr>
            <w:tcW w:w="0" w:type="auto"/>
          </w:tcPr>
          <w:p>
            <w:pPr>
              <w:spacing w:line="240" w:lineRule="auto" w:before="0" w:after="0"/>
              <w:pStyle w:val="Compact"/>
            </w:pPr>
            <w:r>
              <w:rPr>
                <w:sz w:val="20"/>
                <w:szCs w:val="20"/>
              </w:rPr>
              <w:t xml:space="preserve">Giotto</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266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Pubs: De Marchi &amp; Parmar 2024, Table 1 (266). Cost: approved budget ~80M accounting units (1980) (Wikipedia Giotto citing ESA); ECU80M nominal deflator to 2024 USD. [illustrative inflation conversion of an early-1980s ECU budget figure]</w:t>
            </w:r>
          </w:p>
        </w:tc>
      </w:tr>
      <w:tr>
        <w:tc>
          <w:tcPr>
            <w:tcW w:w="0" w:type="auto"/>
          </w:tcPr>
          <w:p>
            <w:pPr>
              <w:spacing w:line="240" w:lineRule="auto" w:before="0" w:after="0"/>
              <w:pStyle w:val="Compact"/>
            </w:pPr>
            <w:r>
              <w:rPr>
                <w:sz w:val="20"/>
                <w:szCs w:val="20"/>
              </w:rPr>
              <w:t xml:space="preserve">Ulysses</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Pubs: De Marchi &amp; Parmar 2024, Table 1 (1950). Cost: joint ESA/NASA mission ~US$1.4B (NASA Ulysses / Wikipedia Ulysses), 1990-dollar basis deflator to 2024 USD.</w:t>
            </w:r>
          </w:p>
        </w:tc>
      </w:tr>
      <w:tr>
        <w:tc>
          <w:tcPr>
            <w:tcW w:w="0" w:type="auto"/>
          </w:tcPr>
          <w:p>
            <w:pPr>
              <w:spacing w:line="240" w:lineRule="auto" w:before="0" w:after="0"/>
              <w:pStyle w:val="Compact"/>
            </w:pPr>
            <w:r>
              <w:rPr>
                <w:sz w:val="20"/>
                <w:szCs w:val="20"/>
              </w:rPr>
              <w:t xml:space="preserve">Cluster</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2962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magnetosphere</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Pubs: De Marchi &amp; Parmar 2024, Table 1 (2962). Cost: Cluster II EUR315M at 1999 conditions incl. mfr+launch+ops+40% payload (Wikipedia Cluster II citing ESA), EUR-&gt;USD ~1.07 (1999) and deflator to 2024 USD.</w:t>
            </w:r>
          </w:p>
        </w:tc>
      </w:tr>
      <w:tr>
        <w:tc>
          <w:tcPr>
            <w:tcW w:w="0" w:type="auto"/>
          </w:tcPr>
          <w:p>
            <w:pPr>
              <w:spacing w:line="240" w:lineRule="auto" w:before="0" w:after="0"/>
              <w:pStyle w:val="Compact"/>
            </w:pPr>
            <w:r>
              <w:rPr>
                <w:sz w:val="20"/>
                <w:szCs w:val="20"/>
              </w:rPr>
              <w:t xml:space="preserve">INTEGRAL</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1904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Pubs: De Marchi &amp; Parmar 2024, Table 1 (1904). Cost: ESA cost EUR330M incl. spacecraft+2yr ground ops, excl. launch/payload (ESA</w:t>
            </w:r>
            <w:r>
              <w:rPr>
                <w:sz w:val="20"/>
                <w:szCs w:val="20"/>
              </w:rPr>
              <w:t xml:space="preserve"> </w:t>
            </w:r>
            <w:r>
              <w:rPr>
                <w:sz w:val="20"/>
                <w:szCs w:val="20"/>
              </w:rPr>
              <w:t xml:space="preserve">‘Mission accomplished for Integral’</w:t>
            </w:r>
            <w:r>
              <w:rPr>
                <w:sz w:val="20"/>
                <w:szCs w:val="20"/>
              </w:rPr>
              <w:t xml:space="preserve"> </w:t>
            </w:r>
            <w:r>
              <w:rPr>
                <w:sz w:val="20"/>
                <w:szCs w:val="20"/>
              </w:rPr>
              <w:t xml:space="preserve">2025), EUR-&gt;USD ~0.95 (2002), plus launch/payload share, deflator to 2024 USD.</w:t>
            </w:r>
          </w:p>
        </w:tc>
      </w:tr>
      <w:tr>
        <w:tc>
          <w:tcPr>
            <w:tcW w:w="0" w:type="auto"/>
          </w:tcPr>
          <w:p>
            <w:pPr>
              <w:spacing w:line="240" w:lineRule="auto" w:before="0" w:after="0"/>
              <w:pStyle w:val="Compact"/>
            </w:pPr>
            <w:r>
              <w:rPr>
                <w:sz w:val="20"/>
                <w:szCs w:val="20"/>
              </w:rPr>
              <w:t xml:space="preserve">XMM-Newton</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6963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Pubs: De Marchi &amp; Parmar 2024, Table 1 (6963). Cost: EUR689M at 1999 conditions incl. construction+launch+2yr ops (Wikipedia XMM-Newton citing ESA), EUR-&gt;USD ~1.07 (1999) and deflator to 2024 USD.</w:t>
            </w:r>
          </w:p>
        </w:tc>
      </w:tr>
      <w:tr>
        <w:tc>
          <w:tcPr>
            <w:tcW w:w="0" w:type="auto"/>
          </w:tcPr>
          <w:p>
            <w:pPr>
              <w:spacing w:line="240" w:lineRule="auto" w:before="0" w:after="0"/>
              <w:pStyle w:val="Compact"/>
            </w:pPr>
            <w:r>
              <w:rPr>
                <w:sz w:val="20"/>
                <w:szCs w:val="20"/>
              </w:rPr>
              <w:t xml:space="preserve">ISO</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2062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Pubs: De Marchi &amp; Parmar 2024, Table 1 (2062). Cost: EUR480.1M satellite (Wikipedia Infrared Space Observatory citing ESA), EUR-&gt;USD ~1.31 (1995) and deflator to 2024 USD.</w:t>
            </w:r>
          </w:p>
        </w:tc>
      </w:tr>
      <w:tr>
        <w:tc>
          <w:tcPr>
            <w:tcW w:w="0" w:type="auto"/>
          </w:tcPr>
          <w:p>
            <w:pPr>
              <w:spacing w:line="240" w:lineRule="auto" w:before="0" w:after="0"/>
              <w:pStyle w:val="Compact"/>
            </w:pPr>
            <w:r>
              <w:rPr>
                <w:sz w:val="20"/>
                <w:szCs w:val="20"/>
              </w:rPr>
              <w:t xml:space="preserve">Hipparcos</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2692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Pubs: De Marchi &amp; Parmar 2024, Table 1 (2692). Cost: ~EUR600M in year-2000 conditions incl. ops+data processing (Wikipedia Hipparcos citing ESA), EUR-&gt;USD ~0.92 (2000) and deflator to 2024 USD.</w:t>
            </w:r>
          </w:p>
        </w:tc>
      </w:tr>
      <w:tr>
        <w:tc>
          <w:tcPr>
            <w:tcW w:w="0" w:type="auto"/>
          </w:tcPr>
          <w:p>
            <w:pPr>
              <w:spacing w:line="240" w:lineRule="auto" w:before="0" w:after="0"/>
              <w:pStyle w:val="Compact"/>
            </w:pPr>
            <w:r>
              <w:rPr>
                <w:sz w:val="20"/>
                <w:szCs w:val="20"/>
              </w:rPr>
              <w:t xml:space="preserve">Herschel</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3284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Pubs: De Marchi &amp; Parmar 2024, Table 1 (3284). Cost: EUR1,100M incl. spacecraft+payload+launch+ops+science ops (Wikipedia Herschel Space Observatory citing ESA), EUR-&gt;USD ~1.39 (2009) and deflator to 2024 USD.</w:t>
            </w:r>
          </w:p>
        </w:tc>
      </w:tr>
      <w:tr>
        <w:tc>
          <w:tcPr>
            <w:tcW w:w="0" w:type="auto"/>
          </w:tcPr>
          <w:p>
            <w:pPr>
              <w:spacing w:line="240" w:lineRule="auto" w:before="0" w:after="0"/>
              <w:pStyle w:val="Compact"/>
            </w:pPr>
            <w:r>
              <w:rPr>
                <w:sz w:val="20"/>
                <w:szCs w:val="20"/>
              </w:rPr>
              <w:t xml:space="preserve">Planck</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2742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980</w:t>
            </w:r>
          </w:p>
        </w:tc>
        <w:tc>
          <w:tcPr>
            <w:tcW w:w="0" w:type="auto"/>
          </w:tcPr>
          <w:p>
            <w:pPr>
              <w:spacing w:line="240" w:lineRule="auto" w:before="0" w:after="0"/>
              <w:pStyle w:val="Compact"/>
            </w:pPr>
            <w:r>
              <w:rPr>
                <w:sz w:val="20"/>
                <w:szCs w:val="20"/>
              </w:rPr>
              <w:t xml:space="preserve">Pubs: De Marchi &amp; Parmar 2024, Table 1 (2742). Cost: ~EUR700M incl. spacecraft+payload+launch+ops (Wikipedia Planck citing ESA), EUR-&gt;USD ~1.39 (2009) and deflator to 2024 USD.</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6403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astronomy</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Pubs: De Marchi &amp; Parmar 2024, Table 1 (6403). Cost: ~EUR740M / ~US$1B incl. mfr+launch+ground ops (Wikipedia Gaia citing ESA), deflator to 2024 USD.</w:t>
            </w:r>
          </w:p>
        </w:tc>
      </w:tr>
      <w:tr>
        <w:tc>
          <w:tcPr>
            <w:tcW w:w="0" w:type="auto"/>
          </w:tcPr>
          <w:p>
            <w:pPr>
              <w:spacing w:line="240" w:lineRule="auto" w:before="0" w:after="0"/>
              <w:pStyle w:val="Compact"/>
            </w:pPr>
            <w:r>
              <w:rPr>
                <w:sz w:val="20"/>
                <w:szCs w:val="20"/>
              </w:rPr>
              <w:t xml:space="preserve">CoRoT</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exoplanet</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Pubs: De Marchi &amp; Parmar 2024, Table 1 (238). Cost: EUR170M (Wikipedia CoRoT citing CNES/ESA), EUR-&gt;USD ~1.26 (2006) and deflator to 2024 USD.</w:t>
            </w:r>
          </w:p>
        </w:tc>
      </w:tr>
      <w:tr>
        <w:tc>
          <w:tcPr>
            <w:tcW w:w="0" w:type="auto"/>
          </w:tcPr>
          <w:p>
            <w:pPr>
              <w:spacing w:line="240" w:lineRule="auto" w:before="0" w:after="0"/>
              <w:pStyle w:val="Compact"/>
            </w:pPr>
            <w:r>
              <w:rPr>
                <w:sz w:val="20"/>
                <w:szCs w:val="20"/>
              </w:rPr>
              <w:t xml:space="preserve">Solar Orbiter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Pubs: De Marchi &amp; Parmar 2024, Table 1 (114, partial; launched 2020). Cost: US$1.5B total ESA+NASA (Wikipedia Solar Orbiter), deflator to 2024 USD.</w:t>
            </w:r>
          </w:p>
        </w:tc>
      </w:tr>
      <w:tr>
        <w:tc>
          <w:tcPr>
            <w:tcW w:w="0" w:type="auto"/>
          </w:tcPr>
          <w:p>
            <w:pPr>
              <w:spacing w:line="240" w:lineRule="auto" w:before="0" w:after="0"/>
              <w:pStyle w:val="Compact"/>
            </w:pPr>
            <w:r>
              <w:rPr>
                <w:sz w:val="20"/>
                <w:szCs w:val="20"/>
              </w:rPr>
              <w:t xml:space="preserve">BepiColombo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inner_planet</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Pubs: De Marchi &amp; Parmar 2024, Table 1 (71, partial; cruise phase). Cost: EUR1.65B / US$1.86B est. 2017 (Wikipedia BepiColombo citing ESA), deflator to 2024 USD.</w:t>
            </w:r>
          </w:p>
        </w:tc>
      </w:tr>
      <w:tr>
        <w:tc>
          <w:tcPr>
            <w:tcW w:w="0" w:type="auto"/>
          </w:tcPr>
          <w:p>
            <w:pPr>
              <w:spacing w:line="240" w:lineRule="auto" w:before="0" w:after="0"/>
              <w:pStyle w:val="Compact"/>
            </w:pPr>
            <w:r>
              <w:rPr>
                <w:sz w:val="20"/>
                <w:szCs w:val="20"/>
              </w:rPr>
              <w:t xml:space="preserve">ExoMars 2016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inner_planet</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Pubs: De Marchi &amp; Parmar 2024, Table 1 (138). Cost: ExoMars first-phase programme EUR1.5B with Schiaparelli EUR230M (ESA / phys.org 2016, tweaktown 2016); TGO is the orbiter remainder ~EUR1.0B+, EUR-&gt;USD ~1.11 (2016) and deflator to 2024 USD.</w:t>
            </w:r>
          </w:p>
        </w:tc>
      </w:tr>
      <w:tr>
        <w:tc>
          <w:tcPr>
            <w:tcW w:w="0" w:type="auto"/>
          </w:tcPr>
          <w:p>
            <w:pPr>
              <w:spacing w:line="240" w:lineRule="auto" w:before="0" w:after="0"/>
              <w:pStyle w:val="Compact"/>
            </w:pPr>
            <w:r>
              <w:rPr>
                <w:sz w:val="20"/>
                <w:szCs w:val="20"/>
              </w:rPr>
              <w:t xml:space="preserve">Chandrayaan-1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Pubs: De Marchi &amp; Parmar 2024, Table 2 (164; ESA junior partner). Cost: ISRO mission ~US$80M (ISRO / Wikipedia Chandrayaan-1), deflator to 2024 USD.</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Total refereed publications attributed to mission i through end of 2021 under a single uniform inclusion criterion (the dependent output measure)</w:t>
            </w:r>
          </w:p>
        </w:tc>
        <w:tc>
          <w:tcPr>
            <w:tcW w:w="0" w:type="auto"/>
          </w:tcPr>
          <w:p>
            <w:pPr>
              <w:spacing w:line="240" w:lineRule="auto" w:before="0" w:after="0"/>
              <w:pStyle w:val="Compact"/>
            </w:pPr>
            <w:r>
              <w:rPr>
                <w:sz w:val="20"/>
                <w:szCs w:val="20"/>
              </w:rPr>
              <w:t xml:space="preserve">De Marchi &amp; Parmar (2024), ESA Mission Publications, Tables 1 and 2; counts assembled from the ESA mission publication libraries backed by the NASA Astrophysics Data System (ADS)</w:t>
            </w:r>
          </w:p>
        </w:tc>
      </w:tr>
      <w:tr>
        <w:tc>
          <w:tcPr>
            <w:tcW w:w="0" w:type="auto"/>
          </w:tcPr>
          <w:p>
            <w:pPr>
              <w:spacing w:line="240" w:lineRule="auto" w:before="0" w:after="0"/>
              <w:pStyle w:val="Compact"/>
            </w:pPr>
            <w:r>
              <w:rPr>
                <w:sz w:val="20"/>
                <w:szCs w:val="20"/>
              </w:rPr>
              <w:t xml:space="preserve">cost_musd_2024</w:t>
            </w:r>
          </w:p>
        </w:tc>
        <w:tc>
          <w:tcPr>
            <w:tcW w:w="0" w:type="auto"/>
          </w:tcPr>
          <w:p>
            <w:pPr>
              <w:spacing w:line="240" w:lineRule="auto" w:before="0" w:after="0"/>
              <w:pStyle w:val="Compact"/>
            </w:pPr>
            <w:r>
              <w:rPr>
                <w:sz w:val="20"/>
                <w:szCs w:val="20"/>
              </w:rPr>
              <w:t xml:space="preserve">Mission lifecycle cost in millions of constant 2024 U.S. dollars (the priced input / regressor)</w:t>
            </w:r>
          </w:p>
        </w:tc>
        <w:tc>
          <w:tcPr>
            <w:tcW w:w="0" w:type="auto"/>
          </w:tcPr>
          <w:p>
            <w:pPr>
              <w:spacing w:line="240" w:lineRule="auto" w:before="0" w:after="0"/>
              <w:pStyle w:val="Compact"/>
            </w:pPr>
            <w:r>
              <w:rPr>
                <w:sz w:val="20"/>
                <w:szCs w:val="20"/>
              </w:rPr>
              <w:t xml:space="preserve">Per-mission published lifecycle cost from NASA, ESA, JAXA/ISRO, or GAO primary sources via mission infoboxes; converted EUR-&gt;USD at the documented launch-era rate and adjusted to constant 2024 USD with a standard GDP deflator</w:t>
            </w:r>
          </w:p>
        </w:tc>
      </w:tr>
      <w:tr>
        <w:tc>
          <w:tcPr>
            <w:tcW w:w="0" w:type="auto"/>
          </w:tcPr>
          <w:p>
            <w:pPr>
              <w:spacing w:line="240" w:lineRule="auto" w:before="0" w:after="0"/>
              <w:pStyle w:val="Compact"/>
            </w:pPr>
            <w:r>
              <w:rPr>
                <w:sz w:val="20"/>
                <w:szCs w:val="20"/>
              </w:rPr>
              <w:t xml:space="preserve">duration_yr</w:t>
            </w:r>
          </w:p>
        </w:tc>
        <w:tc>
          <w:tcPr>
            <w:tcW w:w="0" w:type="auto"/>
          </w:tcPr>
          <w:p>
            <w:pPr>
              <w:spacing w:line="240" w:lineRule="auto" w:before="0" w:after="0"/>
              <w:pStyle w:val="Compact"/>
            </w:pPr>
            <w:r>
              <w:rPr>
                <w:sz w:val="20"/>
                <w:szCs w:val="20"/>
              </w:rPr>
              <w:t xml:space="preserve">Operational duration in years (launch to end of operations; ongoing missions capped at 2021)</w:t>
            </w:r>
          </w:p>
        </w:tc>
        <w:tc>
          <w:tcPr>
            <w:tcW w:w="0" w:type="auto"/>
          </w:tcPr>
          <w:p>
            <w:pPr>
              <w:spacing w:line="240" w:lineRule="auto" w:before="0" w:after="0"/>
              <w:pStyle w:val="Compact"/>
            </w:pPr>
            <w:r>
              <w:rPr>
                <w:sz w:val="20"/>
                <w:szCs w:val="20"/>
              </w:rPr>
              <w:t xml:space="preserve">De Marchi &amp; Parmar (2024)</w:t>
            </w:r>
            <w:r>
              <w:rPr>
                <w:sz w:val="20"/>
                <w:szCs w:val="20"/>
              </w:rPr>
              <w:t xml:space="preserve"> </w:t>
            </w:r>
            <w:r>
              <w:rPr>
                <w:sz w:val="20"/>
                <w:szCs w:val="20"/>
              </w:rPr>
              <w:t xml:space="preserve">‘Operations’</w:t>
            </w:r>
            <w:r>
              <w:rPr>
                <w:sz w:val="20"/>
                <w:szCs w:val="20"/>
              </w:rPr>
              <w:t xml:space="preserve"> </w:t>
            </w:r>
            <w:r>
              <w:rPr>
                <w:sz w:val="20"/>
                <w:szCs w:val="20"/>
              </w:rPr>
              <w:t xml:space="preserve">column, Tables 1 and 2</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Count of distinct science instruments in the payload complement (ambition proxy)</w:t>
            </w:r>
          </w:p>
        </w:tc>
        <w:tc>
          <w:tcPr>
            <w:tcW w:w="0" w:type="auto"/>
          </w:tcPr>
          <w:p>
            <w:pPr>
              <w:spacing w:line="240" w:lineRule="auto" w:before="0" w:after="0"/>
              <w:pStyle w:val="Compact"/>
            </w:pPr>
            <w:r>
              <w:rPr>
                <w:sz w:val="20"/>
                <w:szCs w:val="20"/>
              </w:rPr>
              <w:t xml:space="preserve">Mission press kits, ESA/NASA mission pages, and mission-design documentation</w:t>
            </w:r>
          </w:p>
        </w:tc>
      </w:tr>
      <w:tr>
        <w:tc>
          <w:tcPr>
            <w:tcW w:w="0" w:type="auto"/>
          </w:tcPr>
          <w:p>
            <w:pPr>
              <w:spacing w:line="240" w:lineRule="auto" w:before="0" w:after="0"/>
              <w:pStyle w:val="Compact"/>
            </w:pPr>
            <w:r>
              <w:rPr>
                <w:sz w:val="20"/>
                <w:szCs w:val="20"/>
              </w:rPr>
              <w:t xml:space="preserve">target_class</w:t>
            </w:r>
          </w:p>
        </w:tc>
        <w:tc>
          <w:tcPr>
            <w:tcW w:w="0" w:type="auto"/>
          </w:tcPr>
          <w:p>
            <w:pPr>
              <w:spacing w:line="240" w:lineRule="auto" w:before="0" w:after="0"/>
              <w:pStyle w:val="Compact"/>
            </w:pPr>
            <w:r>
              <w:rPr>
                <w:sz w:val="20"/>
                <w:szCs w:val="20"/>
              </w:rPr>
              <w:t xml:space="preserve">Categorical science target (inner_planet, outer_planet, small_body, moon, heliophysics, magnetosphere, astronomy, exoplanet)</w:t>
            </w:r>
          </w:p>
        </w:tc>
        <w:tc>
          <w:tcPr>
            <w:tcW w:w="0" w:type="auto"/>
          </w:tcPr>
          <w:p>
            <w:pPr>
              <w:spacing w:line="240" w:lineRule="auto" w:before="0" w:after="0"/>
              <w:pStyle w:val="Compact"/>
            </w:pPr>
            <w:r>
              <w:rPr>
                <w:sz w:val="20"/>
                <w:szCs w:val="20"/>
              </w:rPr>
              <w:t xml:space="preserve">Mission documentation</w:t>
            </w:r>
          </w:p>
        </w:tc>
      </w:tr>
      <w:t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Mission identifier</w:t>
            </w:r>
          </w:p>
        </w:tc>
        <w:tc>
          <w:tcPr>
            <w:tcW w:w="0" w:type="auto"/>
          </w:tcPr>
          <w:p>
            <w:pPr>
              <w:spacing w:line="240" w:lineRule="auto" w:before="0" w:after="0"/>
              <w:pStyle w:val="Compact"/>
            </w:pPr>
            <w:r>
              <w:rPr>
                <w:sz w:val="20"/>
                <w:szCs w:val="20"/>
              </w:rPr>
              <w:t xml:space="preserve">Author-assigned label keyed to the source</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2.6282</w:t>
            </w:r>
          </w:p>
        </w:tc>
        <w:tc>
          <w:tcPr>
            <w:tcW w:w="0" w:type="auto"/>
          </w:tcPr>
          <w:p>
            <w:pPr>
              <w:spacing w:line="240" w:lineRule="auto" w:before="0" w:after="0"/>
              <w:pStyle w:val="Compact"/>
            </w:pPr>
            <w:r>
              <w:rPr>
                <w:sz w:val="20"/>
                <w:szCs w:val="20"/>
              </w:rPr>
              <w:t xml:space="preserve">1.6931</w:t>
            </w:r>
          </w:p>
        </w:tc>
        <w:tc>
          <w:tcPr>
            <w:tcW w:w="0" w:type="auto"/>
          </w:tcPr>
          <w:p>
            <w:pPr>
              <w:spacing w:line="240" w:lineRule="auto" w:before="0" w:after="0"/>
              <w:pStyle w:val="Compact"/>
            </w:pPr>
            <w:r>
              <w:rPr>
                <w:sz w:val="20"/>
                <w:szCs w:val="20"/>
              </w:rPr>
              <w:t xml:space="preserve">1.5523</w:t>
            </w:r>
          </w:p>
        </w:tc>
        <w:tc>
          <w:tcPr>
            <w:tcW w:w="0" w:type="auto"/>
          </w:tcPr>
          <w:p>
            <w:pPr>
              <w:spacing w:line="240" w:lineRule="auto" w:before="0" w:after="0"/>
              <w:pStyle w:val="Compact"/>
            </w:pPr>
            <w:r>
              <w:rPr>
                <w:sz w:val="20"/>
                <w:szCs w:val="20"/>
              </w:rPr>
              <w:t xml:space="preserve">0.1206</w:t>
            </w:r>
          </w:p>
        </w:tc>
        <w:tc>
          <w:tcPr>
            <w:tcW w:w="0" w:type="auto"/>
          </w:tcPr>
          <w:p>
            <w:pPr>
              <w:spacing w:line="240" w:lineRule="auto" w:before="0" w:after="0"/>
              <w:pStyle w:val="Compact"/>
            </w:pPr>
            <w:r>
              <w:rPr>
                <w:sz w:val="20"/>
                <w:szCs w:val="20"/>
              </w:rPr>
              <w:t xml:space="preserve">[-0.6902, 5.9467]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0.612</w:t>
            </w:r>
          </w:p>
        </w:tc>
        <w:tc>
          <w:tcPr>
            <w:tcW w:w="0" w:type="auto"/>
          </w:tcPr>
          <w:p>
            <w:pPr>
              <w:spacing w:line="240" w:lineRule="auto" w:before="0" w:after="0"/>
              <w:pStyle w:val="Compact"/>
            </w:pPr>
            <w:r>
              <w:rPr>
                <w:sz w:val="20"/>
                <w:szCs w:val="20"/>
              </w:rPr>
              <w:t xml:space="preserve">0.2712</w:t>
            </w:r>
          </w:p>
        </w:tc>
        <w:tc>
          <w:tcPr>
            <w:tcW w:w="0" w:type="auto"/>
          </w:tcPr>
          <w:p>
            <w:pPr>
              <w:spacing w:line="240" w:lineRule="auto" w:before="0" w:after="0"/>
              <w:pStyle w:val="Compact"/>
            </w:pPr>
            <w:r>
              <w:rPr>
                <w:sz w:val="20"/>
                <w:szCs w:val="20"/>
              </w:rPr>
              <w:t xml:space="preserve">2.2568</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[0.0805, 1.1435]</w:t>
            </w:r>
          </w:p>
        </w:tc>
      </w:tr>
    </w:tbl>
    <w:p>
      <w:pPr>
        <w:pStyle w:val="BodyText"/>
      </w:pPr>
      <w:r>
        <w:t xml:space="preserve">Fit: N = 21 R2 = 0.1521 elasticity_b = 0.612 progress_ratio_2^b = 1.5284</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 Type="http://schemas.openxmlformats.org/officeDocument/2006/relationships/hyperlink" Id="rId70" Target="https://doi.org/10.1016/j.actaastro.2022.04.001" TargetMode="External" /><Relationship Type="http://schemas.openxmlformats.org/officeDocument/2006/relationships/hyperlink" Id="rId68" Target="https://doi.org/10.64861/QAOZ6812"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2.04.001" TargetMode="External" /><Relationship Type="http://schemas.openxmlformats.org/officeDocument/2006/relationships/hyperlink" Id="rId68" Target="https://doi.org/10.64861/QAOZ681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2026-06-22T20:32:33Z</dcterms:created>
  <dcterms:modified xsi:type="dcterms:W3CDTF">2026-06-22T20:32:33Z</dcterms:modified>
</cp:coreProperties>
</file>

<file path=docProps/custom.xml><?xml version="1.0" encoding="utf-8"?>
<Properties xmlns="http://schemas.openxmlformats.org/officeDocument/2006/custom-properties" xmlns:vt="http://schemas.openxmlformats.org/officeDocument/2006/docPropsVTypes"/>
</file>