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SCIENCE RETURN PER DOLLAR: A BIBLIOMETRIC PRODUCTIVITY FUNCTION FOR PLANETARY FLAGSHIP MISSIONS</w:t>
      </w:r>
    </w:p>
    <w:p>
      <w:pPr>
        <w:jc w:val="center"/>
      </w:pPr>
    </w:p>
    <w:p>
      <w:pPr>
        <w:jc w:val="center"/>
      </w:pPr>
      <w:r>
        <w:rPr>
          <w:rFonts w:ascii="Times New Roman" w:hAnsi="Times New Roman"/>
          <w:sz w:val="24"/>
        </w:rPr>
        <w:t>by</w:t>
      </w:r>
    </w:p>
    <w:p>
      <w:pPr>
        <w:jc w:val="center"/>
      </w:pPr>
      <w:r>
        <w:rPr>
          <w:rFonts w:ascii="Times New Roman" w:hAnsi="Times New Roman"/>
          <w:b/>
          <w:sz w:val="28"/>
        </w:rPr>
        <w:t>Lorenzo Aziz</w:t>
      </w:r>
    </w:p>
    <w:p>
      <w:pPr>
        <w:jc w:val="center"/>
      </w:pPr>
      <w:r>
        <w:rPr>
          <w:rFonts w:ascii="Times New Roman" w:hAnsi="Times New Roman"/>
          <w:sz w:val="24"/>
        </w:rPr>
        <w:t>1B-PLA-038</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7" w:name="chapter-1.-introduction"/>
    <w:p>
      <w:pPr>
        <w:pStyle w:val="Heading1"/>
        <w:spacing w:line="480" w:lineRule="auto"/>
      </w:pPr>
      <w:r>
        <w:t xml:space="preserve">Chapter 1. Introduction</w:t>
      </w:r>
    </w:p>
    <w:bookmarkStart w:id="61" w:name="the-concentrated-bet"/>
    <w:p>
      <w:pPr>
        <w:pStyle w:val="Heading2"/>
        <w:spacing w:line="480" w:lineRule="auto"/>
      </w:pPr>
      <w:r>
        <w:t xml:space="preserve">1.1 The Concentrated Bet</w:t>
      </w:r>
    </w:p>
    <w:p>
      <w:pPr>
        <w:pStyle w:val="FirstParagraph"/>
        <w:spacing w:line="480" w:lineRule="auto"/>
      </w:pPr>
      <w:r>
        <w:t xml:space="preserve">A planetary flagship mission is, in budgetary terms, a concentrated bet. Everything else follows from that. The decision to commit several billion dollars to a single spacecraft is also a decision not to distribute that same sum across a larger number of competed, lower-cost missions. The two strategies are mutually exclusive at the level of the appropriated dollar: a budget spent on one Cassini-class observatory cannot simultaneously fund a fleet of Discovery-class probes, and a budget spent on the fleet cannot fund the flagship. That tradeoff is not made once. It is made repeatedly across decadal cycles, in every directorate that allocates a fixed science topline among missions of unequal scale, and it is made each time without a quantitative model of the very object the allocation is meant to optimize, namely the scientific knowledge the expenditure ultimately produces.</w:t>
      </w:r>
    </w:p>
    <w:p>
      <w:pPr>
        <w:pStyle w:val="BodyText"/>
        <w:spacing w:line="480" w:lineRule="auto"/>
        <w:ind w:firstLine="720"/>
      </w:pPr>
      <w:r>
        <w:t xml:space="preserve">This is the problem the dissertation addresses. The discipline that conducts planetary exploration has assembled, over decades, an elaborate apparatus for estimating what a mission will cost. It has assembled almost nothing for estimating, in commensurable terms, what a mission will yield. Mission-design scholarship produces detailed and defensible lifecycle cost estimates at the level of the individual instrument and the named principal investigator, as the interstellar-probe concept study illustrates when it assembles a discrete-element cost estimate keyed to a specified instrument complement</w:t>
      </w:r>
      <w:r>
        <w:t xml:space="preserve"> </w:t>
      </w:r>
      <w:hyperlink w:anchor="ref-2">
        <w:r>
          <w:rPr>
            <w:rStyle w:val="Hyperlink"/>
          </w:rPr>
          <w:t xml:space="preserve">[2]</w:t>
        </w:r>
      </w:hyperlink>
      <w:r>
        <w:t xml:space="preserve">. These estimates are rigorous about inputs. They are necessarily silent about realized scientific output, because output is not observable at the design stage. The result is a structural asymmetry in the information available to a program office at the moment of commitment: the input is priced to the element, and the output is a matter of consensus and advocacy.</w:t>
      </w:r>
    </w:p>
    <w:p>
      <w:pPr>
        <w:pStyle w:val="BodyText"/>
        <w:spacing w:line="480" w:lineRule="auto"/>
        <w:ind w:firstLine="720"/>
      </w:pPr>
      <w:r>
        <w:t xml:space="preserve">The stakes of that asymmetry are not academic for the National Aeronautics and Space Administration or for the Jet Propulsion Laboratory, which manages the agency’s largest planetary commitments. Flagship missions absorb the largest discrete allocations in the civil science budget. A single confirmation decision can foreclose a decade of alternative missions, and the opportunity cost of that foreclosure is borne by the science the alternatives would have produced. When the governing tradeoff is settled by qualitative consensus rather than by measurement, the institution cannot say whether its concentration of resources into flagships is efficient on its own terms or whether a more distributed portfolio would purchase more total science for the same money. The economics of space exploration has been characterized, in the literature this dissertation builds on, by weak incentives for the efficient allocation of resources and by poor aggregation of the dispersed information that would otherwise discipline such allocation</w:t>
      </w:r>
      <w:r>
        <w:t xml:space="preserve"> </w:t>
      </w:r>
      <w:hyperlink w:anchor="ref-4">
        <w:r>
          <w:rPr>
            <w:rStyle w:val="Hyperlink"/>
          </w:rPr>
          <w:t xml:space="preserve">[4]</w:t>
        </w:r>
      </w:hyperlink>
      <w:r>
        <w:t xml:space="preserve">. A planetary program that cannot measure its return per dollar is the concrete expression of that diagnosis.</w:t>
      </w:r>
    </w:p>
    <w:bookmarkEnd w:id="61"/>
    <w:bookmarkStart w:id="62" w:name="what-is-known-and-what-is-measured"/>
    <w:p>
      <w:pPr>
        <w:pStyle w:val="Heading2"/>
        <w:spacing w:line="480" w:lineRule="auto"/>
      </w:pPr>
      <w:r>
        <w:t xml:space="preserve">1.2 What Is Known and What Is Measured</w:t>
      </w:r>
    </w:p>
    <w:p>
      <w:pPr>
        <w:pStyle w:val="FirstParagraph"/>
        <w:spacing w:line="480" w:lineRule="auto"/>
      </w:pPr>
      <w:r>
        <w:t xml:space="preserve">It is worth being precise about what the field does and does not currently know, because the contribution of this dissertation is defined by the boundary between the two.</w:t>
      </w:r>
    </w:p>
    <w:p>
      <w:pPr>
        <w:pStyle w:val="BodyText"/>
        <w:spacing w:line="480" w:lineRule="auto"/>
        <w:ind w:firstLine="720"/>
      </w:pPr>
      <w:r>
        <w:t xml:space="preserve">The field knows how to price inputs. Lifecycle cost is estimated before launch with reasonable precision at the discrete-element level, and that resolution is what makes cost a credible regressor rather than a top-line approximation</w:t>
      </w:r>
      <w:r>
        <w:t xml:space="preserve"> </w:t>
      </w:r>
      <w:hyperlink w:anchor="ref-2">
        <w:r>
          <w:rPr>
            <w:rStyle w:val="Hyperlink"/>
          </w:rPr>
          <w:t xml:space="preserve">[2]</w:t>
        </w:r>
      </w:hyperlink>
      <w:r>
        <w:t xml:space="preserve">. The field also knows, in a qualitative and well-argued sense, that the value of a science mission is not captured by conventional financial accounting. Mission-driven research funding for basic science is typically justified through its downstream contribution rather than through any measured rate of return</w:t>
      </w:r>
      <w:r>
        <w:t xml:space="preserve"> </w:t>
      </w:r>
      <w:hyperlink w:anchor="ref-3">
        <w:r>
          <w:rPr>
            <w:rStyle w:val="Hyperlink"/>
          </w:rPr>
          <w:t xml:space="preserve">[3]</w:t>
        </w:r>
      </w:hyperlink>
      <w:r>
        <w:t xml:space="preserve">, and the broader space economy is understood to create value beyond direct financial returns, including a scientific-knowledge return that the books do not record</w:t>
      </w:r>
      <w:r>
        <w:t xml:space="preserve"> </w:t>
      </w:r>
      <w:hyperlink w:anchor="ref-5">
        <w:r>
          <w:rPr>
            <w:rStyle w:val="Hyperlink"/>
          </w:rPr>
          <w:t xml:space="preserve">[5]</w:t>
        </w:r>
      </w:hyperlink>
      <w:r>
        <w:t xml:space="preserve">. These are the right observations. They identify the gap. They do not close it, because none of them supplies the one quantity a planner needs in order to compare a flagship against a portfolio: the rate at which scientific output scales with cost.</w:t>
      </w:r>
    </w:p>
    <w:p>
      <w:pPr>
        <w:pStyle w:val="BodyText"/>
        <w:spacing w:line="480" w:lineRule="auto"/>
        <w:ind w:firstLine="720"/>
      </w:pPr>
      <w:r>
        <w:t xml:space="preserve">What the field does not have is a defensible production function for planetary science. There is no parametric model, estimated on the documented record, that relates the dollars committed to a mission to the scientific knowledge that mission ultimately yields, expressed in units a decision-maker can use. The most influential public accounting of mission value remains the citation record those missions generate after they fly, and that record is read narratively, mission by mission, rather than as the output variable of an estimable process. The consequence is that the central parameter of the flagship-versus-portfolio decision, the cost elasticity of scientific output, is assumed by every allocation but estimated by none.</w:t>
      </w:r>
    </w:p>
    <w:bookmarkEnd w:id="62"/>
    <w:bookmarkStart w:id="63" w:name="the-gap-between-two-literatures"/>
    <w:p>
      <w:pPr>
        <w:pStyle w:val="Heading2"/>
        <w:spacing w:line="480" w:lineRule="auto"/>
      </w:pPr>
      <w:r>
        <w:t xml:space="preserve">1.3 The Gap Between Two Literatures</w:t>
      </w:r>
    </w:p>
    <w:p>
      <w:pPr>
        <w:pStyle w:val="FirstParagraph"/>
        <w:spacing w:line="480" w:lineRule="auto"/>
      </w:pPr>
      <w:r>
        <w:t xml:space="preserve">The gap this dissertation occupies sits between two adjacent and well-developed literatures that bracket it without meeting.</w:t>
      </w:r>
    </w:p>
    <w:p>
      <w:pPr>
        <w:pStyle w:val="BodyText"/>
        <w:spacing w:line="480" w:lineRule="auto"/>
        <w:ind w:firstLine="720"/>
      </w:pPr>
      <w:r>
        <w:t xml:space="preserve">On one side stands the planetary mission-design and cost-estimation literature. It is technically deep and operationally serious. It produces lifecycle estimates of the kind documented at discrete-element resolution in peer-reviewed concept studies</w:t>
      </w:r>
      <w:r>
        <w:t xml:space="preserve"> </w:t>
      </w:r>
      <w:hyperlink w:anchor="ref-2">
        <w:r>
          <w:rPr>
            <w:rStyle w:val="Hyperlink"/>
          </w:rPr>
          <w:t xml:space="preserve">[2]</w:t>
        </w:r>
      </w:hyperlink>
      <w:r>
        <w:t xml:space="preserve">, and it extends into adjacent rigor: parametric economic modeling of mining and resource architectures</w:t>
      </w:r>
      <w:r>
        <w:t xml:space="preserve"> </w:t>
      </w:r>
      <w:hyperlink w:anchor="ref-19">
        <w:r>
          <w:rPr>
            <w:rStyle w:val="Hyperlink"/>
          </w:rPr>
          <w:t xml:space="preserve">[19]</w:t>
        </w:r>
      </w:hyperlink>
      <w:r>
        <w:t xml:space="preserve">, global optimization of mission concept of operations and systems design through mixed-integer programming</w:t>
      </w:r>
      <w:r>
        <w:t xml:space="preserve"> </w:t>
      </w:r>
      <w:hyperlink w:anchor="ref-22">
        <w:r>
          <w:rPr>
            <w:rStyle w:val="Hyperlink"/>
          </w:rPr>
          <w:t xml:space="preserve">[22]</w:t>
        </w:r>
      </w:hyperlink>
      <w:r>
        <w:t xml:space="preserve">, and detailed engineering trades on planetary-protection systems for sample return</w:t>
      </w:r>
      <w:r>
        <w:t xml:space="preserve"> </w:t>
      </w:r>
      <w:hyperlink w:anchor="ref-23">
        <w:r>
          <w:rPr>
            <w:rStyle w:val="Hyperlink"/>
          </w:rPr>
          <w:t xml:space="preserve">[23]</w:t>
        </w:r>
      </w:hyperlink>
      <w:r>
        <w:t xml:space="preserve">. This literature is fluent in the cost of a mission. It is, by its nature and its timing, mute on the realized science a mission produces, because that science does not exist when the design is fixed.</w:t>
      </w:r>
    </w:p>
    <w:p>
      <w:pPr>
        <w:pStyle w:val="BodyText"/>
        <w:spacing w:line="480" w:lineRule="auto"/>
        <w:ind w:firstLine="720"/>
      </w:pPr>
      <w:r>
        <w:t xml:space="preserve">On the other side stands the space-economics literature. It is conceptually serious about value. It recognizes that exploration generates a knowledge return beyond direct financial return</w:t>
      </w:r>
      <w:r>
        <w:t xml:space="preserve"> </w:t>
      </w:r>
      <w:hyperlink w:anchor="ref-5">
        <w:r>
          <w:rPr>
            <w:rStyle w:val="Hyperlink"/>
          </w:rPr>
          <w:t xml:space="preserve">[5]</w:t>
        </w:r>
      </w:hyperlink>
      <w:r>
        <w:t xml:space="preserve">, it diagnoses the structural inefficiency of government-directed allocation</w:t>
      </w:r>
      <w:r>
        <w:t xml:space="preserve"> </w:t>
      </w:r>
      <w:hyperlink w:anchor="ref-4">
        <w:r>
          <w:rPr>
            <w:rStyle w:val="Hyperlink"/>
          </w:rPr>
          <w:t xml:space="preserve">[4]</w:t>
        </w:r>
      </w:hyperlink>
      <w:r>
        <w:t xml:space="preserve">, and it has begun to model the economics of space activity with genuine formal apparatus, from forecasts of the space economy</w:t>
      </w:r>
      <w:r>
        <w:t xml:space="preserve"> </w:t>
      </w:r>
      <w:hyperlink w:anchor="ref-5">
        <w:r>
          <w:rPr>
            <w:rStyle w:val="Hyperlink"/>
          </w:rPr>
          <w:t xml:space="preserve">[5]</w:t>
        </w:r>
      </w:hyperlink>
      <w:r>
        <w:t xml:space="preserve"> </w:t>
      </w:r>
      <w:r>
        <w:t xml:space="preserve">to parametric architecture models</w:t>
      </w:r>
      <w:r>
        <w:t xml:space="preserve"> </w:t>
      </w:r>
      <w:hyperlink w:anchor="ref-19">
        <w:r>
          <w:rPr>
            <w:rStyle w:val="Hyperlink"/>
          </w:rPr>
          <w:t xml:space="preserve">[19]</w:t>
        </w:r>
      </w:hyperlink>
      <w:r>
        <w:t xml:space="preserve"> </w:t>
      </w:r>
      <w:r>
        <w:t xml:space="preserve">to frameworks for evaluating whether prospective resource markets are worth pursuing</w:t>
      </w:r>
      <w:r>
        <w:t xml:space="preserve"> </w:t>
      </w:r>
      <w:hyperlink w:anchor="ref-21">
        <w:r>
          <w:rPr>
            <w:rStyle w:val="Hyperlink"/>
          </w:rPr>
          <w:t xml:space="preserve">[21]</w:t>
        </w:r>
      </w:hyperlink>
      <w:r>
        <w:t xml:space="preserve">. This literature is fluent in the logic of value and the pathologies of allocation. It stops short, however, of an empirical production function that links a specific mission’s cost to a specific, measured science yield.</w:t>
      </w:r>
    </w:p>
    <w:p>
      <w:pPr>
        <w:pStyle w:val="BodyText"/>
        <w:spacing w:line="480" w:lineRule="auto"/>
        <w:ind w:firstLine="720"/>
      </w:pPr>
      <w:r>
        <w:t xml:space="preserve">Between the two lies the missing object. It has never been built. The cost literature has inputs without measured outputs. The economics literature has a theory of value without an estimated elasticity. Neither has produced a parametric, falsifiable function relating planetary flagship mission cost to a quantified scientific return, and so neither can ground the return-per-dollar comparison that the flagship-versus-portfolio decision demands.</w:t>
      </w:r>
    </w:p>
    <w:p>
      <w:pPr>
        <w:pStyle w:val="BodyText"/>
        <w:spacing w:line="480" w:lineRule="auto"/>
        <w:ind w:firstLine="720"/>
      </w:pPr>
      <w:r>
        <w:t xml:space="preserve">Two further currents in the reference base sharpen, by analogy, exactly what is absent. The first is methodological. Mission-oriented evaluation frameworks in the space-domain-awareness community have already made the move this dissertation makes for planetary science: they score the value of a data source against the mission it serves, using quantitative, data-driven decision criteria rather than expert assertion</w:t>
      </w:r>
      <w:r>
        <w:t xml:space="preserve"> </w:t>
      </w:r>
      <w:hyperlink w:anchor="ref-1">
        <w:r>
          <w:rPr>
            <w:rStyle w:val="Hyperlink"/>
          </w:rPr>
          <w:t xml:space="preserve">[1]</w:t>
        </w:r>
      </w:hyperlink>
      <w:r>
        <w:t xml:space="preserve">. That is the transition from advocacy to measured contribution, and it has not yet been made for planetary-mission valuation. The second is bibliometric. There is precedent for treating the published literature of a field as a measurable corpus amenable to quantitative analysis, as the bibliometric network study of two decades of plant-space research demonstrates</w:t>
      </w:r>
      <w:r>
        <w:t xml:space="preserve"> </w:t>
      </w:r>
      <w:hyperlink w:anchor="ref-18">
        <w:r>
          <w:rPr>
            <w:rStyle w:val="Hyperlink"/>
          </w:rPr>
          <w:t xml:space="preserve">[18]</w:t>
        </w:r>
      </w:hyperlink>
      <w:r>
        <w:t xml:space="preserve">, and there is direct precedent for assembling mission-level publication libraries as a structured record of scientific contribution and exploitation, as the analysis of the European Space Agency’s science programme mission publications shows</w:t>
      </w:r>
      <w:r>
        <w:t xml:space="preserve"> </w:t>
      </w:r>
      <w:hyperlink w:anchor="ref-6">
        <w:r>
          <w:rPr>
            <w:rStyle w:val="Hyperlink"/>
          </w:rPr>
          <w:t xml:space="preserve">[6]</w:t>
        </w:r>
      </w:hyperlink>
      <w:r>
        <w:t xml:space="preserve">. The raw materials for an output measure therefore exist and have been validated in adjacent work. What has not been done is to regress that measured output on cost and recover the elasticity. The gap is precise, and it is the absence of that single estimated parameter.</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The dissertation makes one contribution, and it is deliberately narrow so that it can be stated precisely and tested strictly.</w:t>
      </w:r>
    </w:p>
    <w:p>
      <w:pPr>
        <w:pStyle w:val="BodyText"/>
        <w:spacing w:line="480" w:lineRule="auto"/>
        <w:ind w:firstLine="720"/>
      </w:pPr>
      <w:r>
        <w:t xml:space="preserve">The contribution is an estimate of a single parameter, the cost elasticity of cited scientific output for planetary flagship missions, together with a falsifiable test constructed around it. Let cited scientific output be the citation-weighted count of peer-reviewed publications attributed to a mission within a fixed window after its prime-mission completion, and let cost be the mission’s inflation-adjusted lifecycle cost. The productivity function is specified in log-linear form, so that the coefficient on log cost is precisely an elasticity: the percentage change in scientific output associated with a one-percent change in cost. That coefficient is scale-free, it is interpretable without reference to mission size, and it is the entire object of the inquiry. One number carries the argument.</w:t>
      </w:r>
    </w:p>
    <w:p>
      <w:pPr>
        <w:pStyle w:val="BodyText"/>
        <w:spacing w:line="480" w:lineRule="auto"/>
        <w:ind w:firstLine="720"/>
      </w:pPr>
      <w:r>
        <w:t xml:space="preserve">The hypotheses are stated on that elasticity and nowhere else.</w:t>
      </w:r>
    </w:p>
    <w:p>
      <w:pPr>
        <w:pStyle w:val="BodyText"/>
        <w:spacing w:line="480" w:lineRule="auto"/>
        <w:ind w:firstLine="720"/>
      </w:pPr>
      <w:r>
        <w:rPr>
          <w:b/>
          <w:bCs/>
        </w:rPr>
        <w:t xml:space="preserve">H0 (null).</w:t>
      </w:r>
      <w:r>
        <w:t xml:space="preserve"> </w:t>
      </w:r>
      <w:r>
        <w:t xml:space="preserve">The cost elasticity of cited scientific output equals one. Science return scales linearly with cost, so a single flagship and a cost-matched portfolio of smaller missions yield equal expected cited output per dollar, and the concentration of resources into a flagship is neither favored nor disfavored on per-dollar efficiency grounds.</w:t>
      </w:r>
    </w:p>
    <w:p>
      <w:pPr>
        <w:pStyle w:val="BodyText"/>
        <w:spacing w:line="480" w:lineRule="auto"/>
        <w:ind w:firstLine="720"/>
      </w:pPr>
      <w:r>
        <w:rPr>
          <w:b/>
          <w:bCs/>
        </w:rPr>
        <w:t xml:space="preserve">H1 (alternative).</w:t>
      </w:r>
      <w:r>
        <w:t xml:space="preserve"> </w:t>
      </w:r>
      <w:r>
        <w:t xml:space="preserve">The cost elasticity of cited scientific output is less than one. Science return scales sublinearly with cost, so a cost-matched portfolio of smaller missions yields greater expected cited output per dollar than a single flagship, and the concentration of resources into a flagship is a net loss in measured per-dollar science return.</w:t>
      </w:r>
    </w:p>
    <w:p>
      <w:pPr>
        <w:pStyle w:val="BodyText"/>
        <w:spacing w:line="480" w:lineRule="auto"/>
        <w:ind w:firstLine="720"/>
      </w:pPr>
      <w:r>
        <w:t xml:space="preserve">The test is falsifiable in the strict sense required of a doctoral contribution. An estimated elasticity statistically indistinguishable from one, or convincingly greater than one, refutes H1 and sustains the flagship logic on its own efficiency terms. An estimate convincingly below one supports H1 and supplies quantitative grounds for a more distributed portfolio. The outcome is not known in advance, the direction of the result is not assumed, and any of the bracketing literatures could in principle overturn it. The hypothesis is not, and is not intended to be, a verdict on flagship missions. It is a measurement whose value the field currently assumes without estimating, rendered estimable and refutable.</w:t>
      </w:r>
    </w:p>
    <w:p>
      <w:pPr>
        <w:pStyle w:val="BodyText"/>
        <w:spacing w:line="480" w:lineRule="auto"/>
        <w:ind w:firstLine="720"/>
      </w:pPr>
      <w:r>
        <w:t xml:space="preserve">Two features of this framing deserve emphasis because they govern the entire dissertation. First, the estimand is explicitly the elasticity of</w:t>
      </w:r>
      <w:r>
        <w:t xml:space="preserve"> </w:t>
      </w:r>
      <w:r>
        <w:rPr>
          <w:i/>
          <w:iCs/>
        </w:rPr>
        <w:t xml:space="preserve">cited</w:t>
      </w:r>
      <w:r>
        <w:t xml:space="preserve"> </w:t>
      </w:r>
      <w:r>
        <w:t xml:space="preserve">output. The dissertation makes no claim on the value realized in datasets, engineering heritage, public good, or any other channel that the publication record does not capture</w:t>
      </w:r>
      <w:r>
        <w:t xml:space="preserve"> </w:t>
      </w:r>
      <w:hyperlink w:anchor="ref-5">
        <w:r>
          <w:rPr>
            <w:rStyle w:val="Hyperlink"/>
          </w:rPr>
          <w:t xml:space="preserve">[5]</w:t>
        </w:r>
      </w:hyperlink>
      <w:r>
        <w:t xml:space="preserve">. The narrowness is a feature: it is what makes the parameter measurable and the test clean. Second, the parameter is reported as a conditional association rather than a structural causal effect, because cost and scientific ambition are jointly determined and the population of flagship missions is small. The dissertation conditions on the observable ambition signal carried by instrument count and target class, reports estimates across alternative output windows, and discloses the width of the resulting confidence interval as itself a substantive finding about how few large missions exist from which to learn. A measurement with an honest error bar is the appropriate contribution for a question that the efficiency concerns endemic to government-directed exploration make worth measuring even where a fully structural estimate is out of reach</w:t>
      </w:r>
      <w:r>
        <w:t xml:space="preserve"> </w:t>
      </w:r>
      <w:hyperlink w:anchor="ref-4">
        <w:r>
          <w:rPr>
            <w:rStyle w:val="Hyperlink"/>
          </w:rPr>
          <w:t xml:space="preserve">[4]</w:t>
        </w:r>
      </w:hyperlink>
      <w:r>
        <w:t xml:space="preserve">.</w:t>
      </w:r>
    </w:p>
    <w:bookmarkEnd w:id="64"/>
    <w:bookmarkStart w:id="65" w:name="Xea2fe791a145054afea58069209098e4e6812d4"/>
    <w:p>
      <w:pPr>
        <w:pStyle w:val="Heading2"/>
        <w:spacing w:line="480" w:lineRule="auto"/>
      </w:pPr>
      <w:r>
        <w:t xml:space="preserve">1.5 Identification, Data, and Provenance in Brief</w:t>
      </w:r>
    </w:p>
    <w:p>
      <w:pPr>
        <w:pStyle w:val="FirstParagraph"/>
        <w:spacing w:line="480" w:lineRule="auto"/>
      </w:pPr>
      <w:r>
        <w:t xml:space="preserve">The unit of analysis is the individual planetary mission, and the estimating strategy is parametric regression of citation-weighted publication output on cost and a small set of controls, estimated across the cross-section of completed missions. The estimating equation regresses the log of citation-weighted output on the log of lifecycle cost, with controls for instrument count, operational duration, and target class, and with decadal-era fixed effects to absorb secular shifts in publication and citation norms. The coefficient on log cost is the elasticity that adjudicates H0 against H1. Identification rests on cross-mission variation in cost that is plausibly exogenous to a mission’s per-dollar scientific productivity conditional on the controls, and the principal identification threat, the joint determination of cost and latent ambition, is addressed by conditioning on instrument count and target class and by reporting the elasticity under multiple output windows to demonstrate that it is not an artifact of citation-accrual timing. The analytic posture follows the mission-oriented, data-driven evaluation logic that quantitative frameworks have introduced into adjacent space domains</w:t>
      </w:r>
      <w:r>
        <w:t xml:space="preserve"> </w:t>
      </w:r>
      <w:hyperlink w:anchor="ref-1">
        <w:r>
          <w:rPr>
            <w:rStyle w:val="Hyperlink"/>
          </w:rPr>
          <w:t xml:space="preserve">[1]</w:t>
        </w:r>
      </w:hyperlink>
      <w:r>
        <w:t xml:space="preserve">, in deliberate contrast to consensus-based valuation.</w:t>
      </w:r>
    </w:p>
    <w:p>
      <w:pPr>
        <w:pStyle w:val="BodyText"/>
        <w:spacing w:line="480" w:lineRule="auto"/>
        <w:ind w:firstLine="720"/>
      </w:pPr>
      <w:r>
        <w:t xml:space="preserve">The data are real and obtainable, and the provenance is auditable end to end. The output variable is constructed from the NASA Astrophysics Data System, the discipline’s comprehensive bibliographic database for astronomy and planetary science, accessed through its public application programming interface, which supplies per publication the peer-reviewed venue, the publication year, and the forward-citation count, and which supports query by mission-associated bibliographic groups. The feasibility of assembling mission-level publication corpora at this resolution is established by prior work that does exactly that for the European Space Agency science programme</w:t>
      </w:r>
      <w:r>
        <w:t xml:space="preserve"> </w:t>
      </w:r>
      <w:hyperlink w:anchor="ref-6">
        <w:r>
          <w:rPr>
            <w:rStyle w:val="Hyperlink"/>
          </w:rPr>
          <w:t xml:space="preserve">[6]</w:t>
        </w:r>
      </w:hyperlink>
      <w:r>
        <w:t xml:space="preserve">. The cost variable is constructed from published lifecycle cost figures of the kind documented at discrete-element resolution in peer-reviewed mission-design studies</w:t>
      </w:r>
      <w:r>
        <w:t xml:space="preserve"> </w:t>
      </w:r>
      <w:hyperlink w:anchor="ref-2">
        <w:r>
          <w:rPr>
            <w:rStyle w:val="Hyperlink"/>
          </w:rPr>
          <w:t xml:space="preserve">[2]</w:t>
        </w:r>
      </w:hyperlink>
      <w:r>
        <w:t xml:space="preserve">, cross-checked against the public budget record and converted to constant dollars with a standard deflator so that the regressor is comparable across decadal eras. Every output observation traces to a query string and a retrieval date, every cost observation traces to a named published estimate, and no proprietary or restricted data is required, so that the dataset is reproducible by a reviewer holding only a free database token.</w:t>
      </w:r>
    </w:p>
    <w:bookmarkEnd w:id="65"/>
    <w:bookmarkStart w:id="66" w:name="roadmap"/>
    <w:p>
      <w:pPr>
        <w:pStyle w:val="Heading2"/>
        <w:spacing w:line="480" w:lineRule="auto"/>
      </w:pPr>
      <w:r>
        <w:t xml:space="preserve">1.6 Roadmap</w:t>
      </w:r>
    </w:p>
    <w:p>
      <w:pPr>
        <w:pStyle w:val="FirstParagraph"/>
        <w:spacing w:line="480" w:lineRule="auto"/>
      </w:pPr>
      <w:r>
        <w:t xml:space="preserve">The dissertation proceeds as follows.</w:t>
      </w:r>
    </w:p>
    <w:p>
      <w:pPr>
        <w:pStyle w:val="BodyText"/>
        <w:spacing w:line="480" w:lineRule="auto"/>
        <w:ind w:firstLine="720"/>
      </w:pPr>
      <w:r>
        <w:t xml:space="preserve">Chapter 2 reviews the two literatures that bracket the gap. It treats the planetary mission-design and cost-estimation tradition on the input side</w:t>
      </w:r>
      <w:r>
        <w:t xml:space="preserve"> </w:t>
      </w:r>
      <w:hyperlink w:anchor="ref-2">
        <w:r>
          <w:rPr>
            <w:rStyle w:val="Hyperlink"/>
          </w:rPr>
          <w:t xml:space="preserve">[2]</w:t>
        </w:r>
      </w:hyperlink>
      <w:r>
        <w:t xml:space="preserve"> </w:t>
      </w:r>
      <w:r>
        <w:t xml:space="preserve">and the space-economics tradition on the value side</w:t>
      </w:r>
      <w:r>
        <w:t xml:space="preserve"> </w:t>
      </w:r>
      <w:hyperlink w:anchor="ref-4">
        <w:r>
          <w:rPr>
            <w:rStyle w:val="Hyperlink"/>
          </w:rPr>
          <w:t xml:space="preserve">[4]</w:t>
        </w:r>
      </w:hyperlink>
      <w:r>
        <w:t xml:space="preserve">[5], and it situates the dissertation’s method against the precedents that make it credible: the mission-oriented evaluation frameworks that have replaced consensus with measured contribution in adjacent space domains</w:t>
      </w:r>
      <w:r>
        <w:t xml:space="preserve"> </w:t>
      </w:r>
      <w:hyperlink w:anchor="ref-1">
        <w:r>
          <w:rPr>
            <w:rStyle w:val="Hyperlink"/>
          </w:rPr>
          <w:t xml:space="preserve">[1]</w:t>
        </w:r>
      </w:hyperlink>
      <w:r>
        <w:t xml:space="preserve">, the time-to-event methods that have migrated into the space domain</w:t>
      </w:r>
      <w:r>
        <w:t xml:space="preserve"> </w:t>
      </w:r>
      <w:hyperlink w:anchor="ref-7">
        <w:r>
          <w:rPr>
            <w:rStyle w:val="Hyperlink"/>
          </w:rPr>
          <w:t xml:space="preserve">[7]</w:t>
        </w:r>
      </w:hyperlink>
      <w:r>
        <w:t xml:space="preserve">, and the bibliometric tradition that treats a field’s published literature as an analyzable corpus</w:t>
      </w:r>
      <w:r>
        <w:t xml:space="preserve"> </w:t>
      </w:r>
      <w:hyperlink w:anchor="ref-6">
        <w:r>
          <w:rPr>
            <w:rStyle w:val="Hyperlink"/>
          </w:rPr>
          <w:t xml:space="preserve">[6]</w:t>
        </w:r>
      </w:hyperlink>
      <w:r>
        <w:t xml:space="preserve">[18]. The chapter establishes that the productivity function this dissertation estimates is the object neither literature has produced.</w:t>
      </w:r>
    </w:p>
    <w:p>
      <w:pPr>
        <w:pStyle w:val="BodyText"/>
        <w:spacing w:line="480" w:lineRule="auto"/>
        <w:ind w:firstLine="720"/>
      </w:pPr>
      <w:r>
        <w:t xml:space="preserve">Chapter 3 develops the theory. It formalizes the production-function interpretation in which refereed publications are the measurable output and lifecycle cost is the priced input, derives the log-linear specification whose slope is the scale-free elasticity, and states the precise scale interpretation under which an elasticity below one, equal to one, or above one corresponds to diminishing, constant, or increasing returns to mission scale. The hypotheses of Section 1.4 are restated as testable restrictions on that slope.</w:t>
      </w:r>
    </w:p>
    <w:p>
      <w:pPr>
        <w:pStyle w:val="BodyText"/>
        <w:spacing w:line="480" w:lineRule="auto"/>
        <w:ind w:firstLine="720"/>
      </w:pPr>
      <w:r>
        <w:t xml:space="preserve">Chapter 4 presents the core productivity study. It assembles the cross-section of missions, constructs the citation-weighted output and inflation-adjusted cost variables, and estimates the baseline log-log function by ordinary least squares with heteroskedasticity-robust standard errors, accompanied by a count-model robustness specification appropriate to the discrete and overdispersed output variable. It reports the elasticity, its confidence interval, the implied scaling factor at a doubling of cost, and the leave-one-out and influence diagnostics that a small population of flagships demands. The headline result is a point estimate that favors sublinear scaling against a confidence interval wide enough to keep the linear benchmark statistically admissible, and the chapter is candid that the imprecision is a property of how few large missions exist rather than a defect of method.</w:t>
      </w:r>
    </w:p>
    <w:p>
      <w:pPr>
        <w:pStyle w:val="BodyText"/>
        <w:spacing w:line="480" w:lineRule="auto"/>
        <w:ind w:firstLine="720"/>
      </w:pPr>
      <w:r>
        <w:t xml:space="preserve">Chapter 5 extends the analysis to the schedule dimension of the same committed input. Because every return-per-dollar comparison rests on a confirmation milestone that fixes both a cost baseline and a launch date, the chapter asks what distinguishes missions that reach the pad on baseline from those whose launch slips, and when along the development run a slip materializes. It estimates a proportional-hazards model of the slip event across the documented mission record, with development cost and instrument complexity as covariates, using the time-to-event machinery that has already entered the space domain</w:t>
      </w:r>
      <w:r>
        <w:t xml:space="preserve"> </w:t>
      </w:r>
      <w:hyperlink w:anchor="ref-7">
        <w:r>
          <w:rPr>
            <w:rStyle w:val="Hyperlink"/>
          </w:rPr>
          <w:t xml:space="preserve">[7]</w:t>
        </w:r>
      </w:hyperlink>
      <w:r>
        <w:t xml:space="preserve">. The chapter reports that the folklore proposition, that bigger and more complex missions are inherently more slip-prone, is not borne out once the question is posed as a hazard rather than asserted as a tendency.</w:t>
      </w:r>
    </w:p>
    <w:p>
      <w:pPr>
        <w:pStyle w:val="BodyText"/>
        <w:spacing w:line="480" w:lineRule="auto"/>
        <w:ind w:firstLine="720"/>
      </w:pPr>
      <w:r>
        <w:t xml:space="preserve">Chapter 6 synthesizes the two empirical chapters into the dissertation’s answer on the flagship-versus-portfolio question, addresses the four material threats to validity that the design carries, the construct validity of the output measure</w:t>
      </w:r>
      <w:r>
        <w:t xml:space="preserve"> </w:t>
      </w:r>
      <w:hyperlink w:anchor="ref-5">
        <w:r>
          <w:rPr>
            <w:rStyle w:val="Hyperlink"/>
          </w:rPr>
          <w:t xml:space="preserve">[5]</w:t>
        </w:r>
      </w:hyperlink>
      <w:r>
        <w:t xml:space="preserve">, citation-accrual timing, the joint determination of cost and ambition</w:t>
      </w:r>
      <w:r>
        <w:t xml:space="preserve"> </w:t>
      </w:r>
      <w:hyperlink w:anchor="ref-4">
        <w:r>
          <w:rPr>
            <w:rStyle w:val="Hyperlink"/>
          </w:rPr>
          <w:t xml:space="preserve">[4]</w:t>
        </w:r>
      </w:hyperlink>
      <w:r>
        <w:t xml:space="preserve">, and the small-N influence problem, and states the conditions under which the conditional elasticity reported here could be upgraded toward a structural estimate.</w:t>
      </w:r>
    </w:p>
    <w:p>
      <w:pPr>
        <w:pStyle w:val="BodyText"/>
        <w:spacing w:line="480" w:lineRule="auto"/>
        <w:ind w:firstLine="720"/>
      </w:pPr>
      <w:r>
        <w:t xml:space="preserve">Chapter 7 concludes by returning the measurement to the institution that needs it. It states what a program office at NASA or JPL can and cannot conclude from an elasticity point estimate that favors the portfolio against an interval that keeps the flagship in contention, and it specifies the additional data, principally a larger population of comparably documented missions, that would tighten the interval. The dissertation’s aim throughout is singular and modest: to convert one governing assumption of planetary resource allocation from a question settled by advocacy into a question settled, provisionally and honestly, by an estimated parameter.</w:t>
      </w:r>
    </w:p>
    <w:bookmarkEnd w:id="66"/>
    <w:bookmarkEnd w:id="67"/>
    <w:bookmarkStart w:id="91" w:name="chapter-2.-literature-review"/>
    <w:p>
      <w:pPr>
        <w:pStyle w:val="Heading1"/>
        <w:spacing w:line="480" w:lineRule="auto"/>
      </w:pPr>
      <w:r>
        <w:t xml:space="preserve">Chapter 2. Literature Review</w:t>
      </w:r>
    </w:p>
    <w:bookmarkStart w:id="68" w:name="X595e0ddb1187baeb5a2c3f1ef3001d58d11868c"/>
    <w:p>
      <w:pPr>
        <w:pStyle w:val="Heading2"/>
        <w:spacing w:line="480" w:lineRule="auto"/>
      </w:pPr>
      <w:r>
        <w:t xml:space="preserve">2.1 Orientation: Two Literatures That Do Not Meet</w:t>
      </w:r>
    </w:p>
    <w:p>
      <w:pPr>
        <w:pStyle w:val="FirstParagraph"/>
        <w:spacing w:line="480" w:lineRule="auto"/>
      </w:pPr>
      <w:r>
        <w:t xml:space="preserve">The problem this dissertation addresses lives in the seam between two scholarly literatures that have matured largely in isolation from one another. The first is the domain-technical literature of planetary and space science missions: the body of mission-design studies, concept reports, instrument descriptions, and observational-facility papers that establishes, with engineering rigor, what a mission costs and what it is built to do. The second is the cliometric and econometric methodology literature: the toolkit of production functions, elasticity estimation, count models, survival analysis, and bibliometric measurement that economists and quantitative social scientists use to convert observed inputs and outputs into estimated parameters. The first literature is fluent about inputs and silent about realized output measured as a rate of return. The second literature is fluent about estimating returns and rarely turns its instruments on the planetary-mission portfolio. The animating claim of this chapter is that a defensible bibliometric productivity function for planetary flagship missions cannot be written from either literature alone, and that the gap is precisely the join the two have never made.</w:t>
      </w:r>
    </w:p>
    <w:p>
      <w:pPr>
        <w:pStyle w:val="BodyText"/>
        <w:spacing w:line="480" w:lineRule="auto"/>
        <w:ind w:firstLine="720"/>
      </w:pPr>
      <w:r>
        <w:t xml:space="preserve">The review proceeds in five movements. Section 2.2 surveys the domain-technical literature on mission cost and design, the literature that prices the input. Section 2.3 surveys the domain-technical literature on observational facilities, instruments, and the data infrastructure through which mission output becomes observable, the literature that conditions the output. Section 2.4 turns to the value side: the space-economics literature that recognizes a scientific-knowledge return but stops short of measuring it. Section 2.5 reviews the cliometric and econometric methodology literature, organized around the three estimation problems the dissertation actually confronts: the productivity-function and elasticity problem, the bibliometric-measurement problem, and the time-to-event problem. Section 2.6 synthesizes the two literatures, states the gap formally, and positions the dissertation’s two empirical papers as the join.</w:t>
      </w:r>
    </w:p>
    <w:p>
      <w:pPr>
        <w:pStyle w:val="BodyText"/>
        <w:spacing w:line="480" w:lineRule="auto"/>
        <w:ind w:firstLine="720"/>
      </w:pPr>
      <w:r>
        <w:t xml:space="preserve">A note on register is owed at the outset. This is a review of a small, deliberately curated reference pool rather than an exhaustive bibliometric sweep, and the argument it builds is correspondingly structural: it is concerned less with cataloguing every adjacent finding than with demonstrating that the two literatures bracket a question neither one answers. Where a single retrieved work stands in for a larger current, the chapter says so, and it does not impute to the pool a comprehensiveness it does not have. The contribution the dissertation claims is that of joining, not of discovering either literature for the first time.</w:t>
      </w:r>
    </w:p>
    <w:bookmarkEnd w:id="68"/>
    <w:bookmarkStart w:id="73" w:name="X74a07bfdce1aa0e4edbbf23fe8fac8074726d08"/>
    <w:p>
      <w:pPr>
        <w:pStyle w:val="Heading2"/>
        <w:spacing w:line="480" w:lineRule="auto"/>
      </w:pPr>
      <w:r>
        <w:t xml:space="preserve">2.2 The Domain-Technical Literature on Mission Cost and Design</w:t>
      </w:r>
    </w:p>
    <w:bookmarkStart w:id="69" w:name="X210f1cd7749a98c40a649d72f571df9763039e7"/>
    <w:p>
      <w:pPr>
        <w:pStyle w:val="Heading3"/>
        <w:spacing w:line="480" w:lineRule="auto"/>
      </w:pPr>
      <w:r>
        <w:t xml:space="preserve">2.2.1 The discrete-element cost estimate as the discipline’s input of record</w:t>
      </w:r>
    </w:p>
    <w:p>
      <w:pPr>
        <w:pStyle w:val="FirstParagraph"/>
        <w:spacing w:line="480" w:lineRule="auto"/>
      </w:pPr>
      <w:r>
        <w:t xml:space="preserve">The most rigorous artifact the domain-technical literature produces, for the purposes of this dissertation, is the lifecycle cost estimate assembled at the discrete-element level before a mission flies. The Interstellar Probe concept study is the canonical instance in the reference pool</w:t>
      </w:r>
      <w:r>
        <w:t xml:space="preserve"> </w:t>
      </w:r>
      <w:hyperlink w:anchor="ref-2">
        <w:r>
          <w:rPr>
            <w:rStyle w:val="Hyperlink"/>
          </w:rPr>
          <w:t xml:space="preserve">[2]</w:t>
        </w:r>
      </w:hyperlink>
      <w:r>
        <w:t xml:space="preserve">. That study assembles a cost estimate keyed to a specified instrument complement and a named set of principal investigators, decomposing the projected expenditure into the discrete subsystems and development threads that compose a deep-space mission of the most ambitious class. Its virtue, from a measurement standpoint, is exactly its granularity: it does not report a single top-line program total but a structured accounting in which the contribution of each instrument and each subsystem to the whole is legible. This granularity is the property the present dissertation exploits when it argues that cost figures taken at the discrete-element level of resolution reduce measurement error in the cost regressor relative to top-line program totals.</w:t>
      </w:r>
    </w:p>
    <w:p>
      <w:pPr>
        <w:pStyle w:val="BodyText"/>
        <w:spacing w:line="480" w:lineRule="auto"/>
        <w:ind w:firstLine="720"/>
      </w:pPr>
      <w:r>
        <w:t xml:space="preserve">What the Interstellar Probe study cannot do, and does not claim to do, is observe the scientific output its proposed expenditure would eventually produce. At the design stage the realized corpus of refereed literature does not yet exist; it is a counterfactual the study can motivate qualitatively but cannot measure. The study therefore exemplifies the structural asymmetry that this dissertation is built to address. The input is priced with engineering precision before launch; the output is observable only afterward, and the literature that prices the input is institutionally and temporally separated from any literature that might measure the output. The cost estimate is rigorous about inputs and necessarily silent about realized output as a rate of return.</w:t>
      </w:r>
    </w:p>
    <w:bookmarkEnd w:id="69"/>
    <w:bookmarkStart w:id="70" w:name="X54b9b1630f812bfb93dafeaf50f4e20f2b3366d"/>
    <w:p>
      <w:pPr>
        <w:pStyle w:val="Heading3"/>
        <w:spacing w:line="480" w:lineRule="auto"/>
      </w:pPr>
      <w:r>
        <w:t xml:space="preserve">2.2.2 Cost-and-design studies of complex flagship subsystems</w:t>
      </w:r>
    </w:p>
    <w:p>
      <w:pPr>
        <w:pStyle w:val="FirstParagraph"/>
        <w:spacing w:line="480" w:lineRule="auto"/>
      </w:pPr>
      <w:r>
        <w:t xml:space="preserve">A second register of the cost-and-design literature concerns not whole missions but the high-complexity subsystems whose development burden drives both cost and schedule. The Mars Sample Return Capture, Containment, and Return System study documents the planetary-protection trades and the lessons learned from designing one of the most demanding subsystems in the contemporary planetary portfolio</w:t>
      </w:r>
      <w:r>
        <w:t xml:space="preserve"> </w:t>
      </w:r>
      <w:hyperlink w:anchor="ref-23">
        <w:r>
          <w:rPr>
            <w:rStyle w:val="Hyperlink"/>
          </w:rPr>
          <w:t xml:space="preserve">[23]</w:t>
        </w:r>
      </w:hyperlink>
      <w:r>
        <w:t xml:space="preserve">. Studies of this kind are valuable to the present argument in two ways. First, they substantiate the intuition, embedded in the dissertation’s covariate logic, that instrument complement and subsystem complexity carry much of a mission’s ambition signal, since each added subsystem introduces a development thread, a calibration campaign, and an interface to the spacecraft bus. Second, they make concrete the marching-army and integration costs that schedule slip mobilizes, and so they motivate the schedule-performance question the dissertation’s second paper takes up.</w:t>
      </w:r>
    </w:p>
    <w:p>
      <w:pPr>
        <w:pStyle w:val="BodyText"/>
        <w:spacing w:line="480" w:lineRule="auto"/>
        <w:ind w:firstLine="720"/>
      </w:pPr>
      <w:r>
        <w:t xml:space="preserve">The Mars Sample Return subsystem study, like the Interstellar Probe concept study, is fluent about the engineering and programmatic determinants of cost and complexity. It is not, however, a study of realized productivity, and it does not propose any rate at which the dollars committed convert into published science. The complexity it documents is an input to a production process whose output it does not measure. The same observation applies to mission-design optimization work that formalizes the concept-of-operations and systems-design problem as a mathematical program. The mixed-integer nonlinear programming formulation of mission concept-of-operations and systems design</w:t>
      </w:r>
      <w:r>
        <w:t xml:space="preserve"> </w:t>
      </w:r>
      <w:hyperlink w:anchor="ref-22">
        <w:r>
          <w:rPr>
            <w:rStyle w:val="Hyperlink"/>
          </w:rPr>
          <w:t xml:space="preserve">[22]</w:t>
        </w:r>
      </w:hyperlink>
      <w:r>
        <w:t xml:space="preserve"> </w:t>
      </w:r>
      <w:r>
        <w:t xml:space="preserve">is methodologically sophisticated about how to choose a design that minimizes cost or maximizes a specified objective, but its objective functions are engineering surrogates, not measured scientific yield. The optimization literature optimizes the input subject to constraints; it does not estimate the input-to-knowledge production function that would tell a planner whether the optimized design is efficient on a return-per-dollar basis.</w:t>
      </w:r>
    </w:p>
    <w:bookmarkEnd w:id="70"/>
    <w:bookmarkStart w:id="71" w:name="Xd2f6774dbe08017d5f734b1af86008abcb944e2"/>
    <w:p>
      <w:pPr>
        <w:pStyle w:val="Heading3"/>
        <w:spacing w:line="480" w:lineRule="auto"/>
      </w:pPr>
      <w:r>
        <w:t xml:space="preserve">2.2.3 Mission-concept and propulsion studies at the frontier of ambition</w:t>
      </w:r>
    </w:p>
    <w:p>
      <w:pPr>
        <w:pStyle w:val="FirstParagraph"/>
        <w:spacing w:line="480" w:lineRule="auto"/>
      </w:pPr>
      <w:r>
        <w:t xml:space="preserve">The reference pool also contains mission-concept studies that sit at the extreme of technical ambition and therefore at the extreme of cost. The nuclear-fusion-powered Titan aircraft concept</w:t>
      </w:r>
      <w:r>
        <w:t xml:space="preserve"> </w:t>
      </w:r>
      <w:hyperlink w:anchor="ref-17">
        <w:r>
          <w:rPr>
            <w:rStyle w:val="Hyperlink"/>
          </w:rPr>
          <w:t xml:space="preserve">[17]</w:t>
        </w:r>
      </w:hyperlink>
      <w:r>
        <w:t xml:space="preserve"> </w:t>
      </w:r>
      <w:r>
        <w:t xml:space="preserve">and the spaceborne lidar mission for spatially continuous global coverage</w:t>
      </w:r>
      <w:r>
        <w:t xml:space="preserve"> </w:t>
      </w:r>
      <w:hyperlink w:anchor="ref-24">
        <w:r>
          <w:rPr>
            <w:rStyle w:val="Hyperlink"/>
          </w:rPr>
          <w:t xml:space="preserve">[24]</w:t>
        </w:r>
      </w:hyperlink>
      <w:r>
        <w:t xml:space="preserve"> </w:t>
      </w:r>
      <w:r>
        <w:t xml:space="preserve">are representative. Each specifies an instrument and platform concept, each implies a development cost commensurate with its ambition, and each is justified by the scientific access it would enable rather than by any measured productivity. These studies extend the cost-and-design literature toward the upper tail of the cost distribution that the dissertation’s flagship-versus-portfolio question is ultimately about, because it is precisely at that upper tail that the concentration-versus-distribution tradeoff becomes acute. A concept that commits a large fraction of a decadal budget to a single platform is the limiting case of the concentrated bet the dissertation analyzes.</w:t>
      </w:r>
    </w:p>
    <w:p>
      <w:pPr>
        <w:pStyle w:val="BodyText"/>
        <w:spacing w:line="480" w:lineRule="auto"/>
        <w:ind w:firstLine="720"/>
      </w:pPr>
      <w:r>
        <w:t xml:space="preserve">Yet here too the literature stops at the design boundary. The Titan aircraft and the global-coverage lidar are described in terms of what they could observe, not in terms of the citation-weighted corpus their data would eventually generate. The literature furnishes the input and the scientific rationale; it does not furnish the realized output that would close the productivity loop. This is the consistent structural feature of the domain-technical cost-and-design literature: it is an input literature, complete on the priced side of the production function and empty on the measured-output side.</w:t>
      </w:r>
    </w:p>
    <w:bookmarkEnd w:id="71"/>
    <w:bookmarkStart w:id="72" w:name="X03066ff933f1922f682f64209eef0f1c156e5ed"/>
    <w:p>
      <w:pPr>
        <w:pStyle w:val="Heading3"/>
        <w:spacing w:line="480" w:lineRule="auto"/>
      </w:pPr>
      <w:r>
        <w:t xml:space="preserve">2.2.4 Parametric economic modeling within the domain</w:t>
      </w:r>
    </w:p>
    <w:p>
      <w:pPr>
        <w:pStyle w:val="FirstParagraph"/>
        <w:spacing w:line="480" w:lineRule="auto"/>
      </w:pPr>
      <w:r>
        <w:t xml:space="preserve">A bridge of sorts appears in domain-technical work that has begun to import parametric economic reasoning into mission and architecture evaluation. The parametric economic modeling of asteroid-mining architectures</w:t>
      </w:r>
      <w:r>
        <w:t xml:space="preserve"> </w:t>
      </w:r>
      <w:hyperlink w:anchor="ref-19">
        <w:r>
          <w:rPr>
            <w:rStyle w:val="Hyperlink"/>
          </w:rPr>
          <w:t xml:space="preserve">[19]</w:t>
        </w:r>
      </w:hyperlink>
      <w:r>
        <w:t xml:space="preserve"> </w:t>
      </w:r>
      <w:r>
        <w:t xml:space="preserve">applies cost-and-revenue modeling to a class of space architectures, and the methodological treatment of how potential space-resource markets should be evaluated</w:t>
      </w:r>
      <w:r>
        <w:t xml:space="preserve"> </w:t>
      </w:r>
      <w:hyperlink w:anchor="ref-21">
        <w:r>
          <w:rPr>
            <w:rStyle w:val="Hyperlink"/>
          </w:rPr>
          <w:t xml:space="preserve">[21]</w:t>
        </w:r>
      </w:hyperlink>
      <w:r>
        <w:t xml:space="preserve"> </w:t>
      </w:r>
      <w:r>
        <w:t xml:space="preserve">interrogates the valuation criteria themselves. These works are significant for the present dissertation because they demonstrate that the domain community is willing to adopt parametric economic models when the object of valuation is commercial return. The asteroid-mining modeling</w:t>
      </w:r>
      <w:r>
        <w:t xml:space="preserve"> </w:t>
      </w:r>
      <w:hyperlink w:anchor="ref-19">
        <w:r>
          <w:rPr>
            <w:rStyle w:val="Hyperlink"/>
          </w:rPr>
          <w:t xml:space="preserve">[19]</w:t>
        </w:r>
      </w:hyperlink>
      <w:r>
        <w:t xml:space="preserve"> </w:t>
      </w:r>
      <w:r>
        <w:t xml:space="preserve">is, in form, a production-and-profit function for a space architecture; the market-evaluation paper</w:t>
      </w:r>
      <w:r>
        <w:t xml:space="preserve"> </w:t>
      </w:r>
      <w:hyperlink w:anchor="ref-21">
        <w:r>
          <w:rPr>
            <w:rStyle w:val="Hyperlink"/>
          </w:rPr>
          <w:t xml:space="preserve">[21]</w:t>
        </w:r>
      </w:hyperlink>
      <w:r>
        <w:t xml:space="preserve"> </w:t>
      </w:r>
      <w:r>
        <w:t xml:space="preserve">is a meta-level critique of how such functions should be specified and tested.</w:t>
      </w:r>
    </w:p>
    <w:p>
      <w:pPr>
        <w:pStyle w:val="BodyText"/>
        <w:spacing w:line="480" w:lineRule="auto"/>
        <w:ind w:firstLine="720"/>
      </w:pPr>
      <w:r>
        <w:t xml:space="preserve">The instructive limitation is that this parametric economic reasoning has been deployed where the output is a priced commodity, namely extracted resources or a market good, and not where the output is scientific knowledge with no market price. The asteroid-mining and resource-market literature can write a return function because it has a denominated numerator. The planetary flagship mission has no such numerator: its output is published science, which carries no price and is therefore invisible to a conventional return model. The domain literature thus possesses the parametric machinery but has applied it only where a market denominator exists, leaving the science-return case, the case that consumes the largest discrete allocations in the civil science budget, untreated by the very tools the community already accepts.</w:t>
      </w:r>
    </w:p>
    <w:bookmarkEnd w:id="72"/>
    <w:bookmarkEnd w:id="73"/>
    <w:bookmarkStart w:id="78" w:name="Xb5b857589f27cda7c4e6902cad8f639c51dc8c7"/>
    <w:p>
      <w:pPr>
        <w:pStyle w:val="Heading2"/>
        <w:spacing w:line="480" w:lineRule="auto"/>
      </w:pPr>
      <w:r>
        <w:t xml:space="preserve">2.3 The Domain-Technical Literature on Facilities, Instruments, and Data Infrastructure</w:t>
      </w:r>
    </w:p>
    <w:bookmarkStart w:id="74" w:name="X9cdafdc6467cb1572ff4ffa50d9754a9fcaf590"/>
    <w:p>
      <w:pPr>
        <w:pStyle w:val="Heading3"/>
        <w:spacing w:line="480" w:lineRule="auto"/>
      </w:pPr>
      <w:r>
        <w:t xml:space="preserve">2.3.1 Observational facilities and their dual mission utility</w:t>
      </w:r>
    </w:p>
    <w:p>
      <w:pPr>
        <w:pStyle w:val="FirstParagraph"/>
        <w:spacing w:line="480" w:lineRule="auto"/>
      </w:pPr>
      <w:r>
        <w:t xml:space="preserve">A substantial portion of the domain-technical literature concerns the observational facilities and instruments through which mission targets are characterized and through which, downstream, mission output becomes measurable. The reference pool documents a representative cross section. The next-generation planetary radar system on the Green Bank Telescope</w:t>
      </w:r>
      <w:r>
        <w:t xml:space="preserve"> </w:t>
      </w:r>
      <w:hyperlink w:anchor="ref-10">
        <w:r>
          <w:rPr>
            <w:rStyle w:val="Hyperlink"/>
          </w:rPr>
          <w:t xml:space="preserve">[10]</w:t>
        </w:r>
      </w:hyperlink>
      <w:r>
        <w:t xml:space="preserve"> </w:t>
      </w:r>
      <w:r>
        <w:t xml:space="preserve">and the assessment of ground-based planetary radars in the cislunar arena</w:t>
      </w:r>
      <w:r>
        <w:t xml:space="preserve"> </w:t>
      </w:r>
      <w:hyperlink w:anchor="ref-12">
        <w:r>
          <w:rPr>
            <w:rStyle w:val="Hyperlink"/>
          </w:rPr>
          <w:t xml:space="preserve">[12]</w:t>
        </w:r>
      </w:hyperlink>
      <w:r>
        <w:t xml:space="preserve"> </w:t>
      </w:r>
      <w:r>
        <w:t xml:space="preserve">describe high-value sensing infrastructure. Lens-and-camera arrays for sky surveys and space surveillance</w:t>
      </w:r>
      <w:r>
        <w:t xml:space="preserve"> </w:t>
      </w:r>
      <w:hyperlink w:anchor="ref-9">
        <w:r>
          <w:rPr>
            <w:rStyle w:val="Hyperlink"/>
          </w:rPr>
          <w:t xml:space="preserve">[9]</w:t>
        </w:r>
      </w:hyperlink>
      <w:r>
        <w:t xml:space="preserve"> </w:t>
      </w:r>
      <w:r>
        <w:t xml:space="preserve">and the adaptation of a planetary-science observational facility for space-situational-awareness purposes</w:t>
      </w:r>
      <w:r>
        <w:t xml:space="preserve"> </w:t>
      </w:r>
      <w:hyperlink w:anchor="ref-11">
        <w:r>
          <w:rPr>
            <w:rStyle w:val="Hyperlink"/>
          </w:rPr>
          <w:t xml:space="preserve">[11]</w:t>
        </w:r>
      </w:hyperlink>
      <w:r>
        <w:t xml:space="preserve"> </w:t>
      </w:r>
      <w:r>
        <w:t xml:space="preserve">document the dual use of facilities across the scientific and the surveillance missions. The lunar laser ranging retroreflector for the twenty-first century</w:t>
      </w:r>
      <w:r>
        <w:t xml:space="preserve"> </w:t>
      </w:r>
      <w:hyperlink w:anchor="ref-16">
        <w:r>
          <w:rPr>
            <w:rStyle w:val="Hyperlink"/>
          </w:rPr>
          <w:t xml:space="preserve">[16]</w:t>
        </w:r>
      </w:hyperlink>
      <w:r>
        <w:t xml:space="preserve"> </w:t>
      </w:r>
      <w:r>
        <w:t xml:space="preserve">and the physical-characterization studies of near-Earth-object spacecraft mission targets</w:t>
      </w:r>
      <w:r>
        <w:t xml:space="preserve"> </w:t>
      </w:r>
      <w:hyperlink w:anchor="ref-13">
        <w:r>
          <w:rPr>
            <w:rStyle w:val="Hyperlink"/>
          </w:rPr>
          <w:t xml:space="preserve">[13]</w:t>
        </w:r>
      </w:hyperlink>
      <w:r>
        <w:t xml:space="preserve"> </w:t>
      </w:r>
      <w:r>
        <w:t xml:space="preserve">document instruments and observational campaigns that directly support mission planning and execution.</w:t>
      </w:r>
    </w:p>
    <w:p>
      <w:pPr>
        <w:pStyle w:val="BodyText"/>
        <w:spacing w:line="480" w:lineRule="auto"/>
        <w:ind w:firstLine="720"/>
      </w:pPr>
      <w:r>
        <w:t xml:space="preserve">These works matter to the dissertation in two distinct ways. First, they substantiate the claim that the output side of a mission’s production function is mediated by an instrument and facility infrastructure whose own characteristics, count, sensitivity, and longevity, condition how much science a mission can ultimately yield. This is the empirical content behind the dissertation’s decision to control for instrument count as a proxy for the payload complexity that drives output. Second, the dual-use literature [9, 11] illustrates that a single facility can serve multiple missions, which complicates the attribution of published output to any one mission, a measurement subtlety the bibliometric design must confront when it assembles mission-level publication corpora.</w:t>
      </w:r>
    </w:p>
    <w:bookmarkEnd w:id="74"/>
    <w:bookmarkStart w:id="75" w:name="X1178f400017f4d73a1d5e821bf39be99d798249"/>
    <w:p>
      <w:pPr>
        <w:pStyle w:val="Heading3"/>
        <w:spacing w:line="480" w:lineRule="auto"/>
      </w:pPr>
      <w:r>
        <w:t xml:space="preserve">2.3.2 The orbit-determination and target-characterization layer</w:t>
      </w:r>
    </w:p>
    <w:p>
      <w:pPr>
        <w:pStyle w:val="FirstParagraph"/>
        <w:spacing w:line="480" w:lineRule="auto"/>
      </w:pPr>
      <w:r>
        <w:t xml:space="preserve">A further band of the facilities literature concerns the determination of orbits and the characterization of targets, the technical preconditions for a mission to acquire usable data at all. The work on robust cislunar initial orbit determination</w:t>
      </w:r>
      <w:r>
        <w:t xml:space="preserve"> </w:t>
      </w:r>
      <w:hyperlink w:anchor="ref-14">
        <w:r>
          <w:rPr>
            <w:rStyle w:val="Hyperlink"/>
          </w:rPr>
          <w:t xml:space="preserve">[14]</w:t>
        </w:r>
      </w:hyperlink>
      <w:r>
        <w:t xml:space="preserve"> </w:t>
      </w:r>
      <w:r>
        <w:t xml:space="preserve">and the application of Tobler’s hiking function to data-driven traverse modeling for planetary exploration</w:t>
      </w:r>
      <w:r>
        <w:t xml:space="preserve"> </w:t>
      </w:r>
      <w:hyperlink w:anchor="ref-20">
        <w:r>
          <w:rPr>
            <w:rStyle w:val="Hyperlink"/>
          </w:rPr>
          <w:t xml:space="preserve">[20]</w:t>
        </w:r>
      </w:hyperlink>
      <w:r>
        <w:t xml:space="preserve"> </w:t>
      </w:r>
      <w:r>
        <w:t xml:space="preserve">are representative of the analytic substrate on which mission operations rest. The near-Earth-object characterization campaigns</w:t>
      </w:r>
      <w:r>
        <w:t xml:space="preserve"> </w:t>
      </w:r>
      <w:hyperlink w:anchor="ref-13">
        <w:r>
          <w:rPr>
            <w:rStyle w:val="Hyperlink"/>
          </w:rPr>
          <w:t xml:space="preserve">[13]</w:t>
        </w:r>
      </w:hyperlink>
      <w:r>
        <w:t xml:space="preserve"> </w:t>
      </w:r>
      <w:r>
        <w:t xml:space="preserve">sit in the same band. This literature is technically precise about how a mission acquires and reduces its data, and it is therefore directly relevant to the question of how a mission’s data give rise to publications. But it is, again, an enabling literature: it describes the machinery of data acquisition and reduction, not the rate at which the resulting data convert into a citation-weighted scientific corpus. The facilities and characterization literature conditions the output; it does not measure the output as a productivity rate.</w:t>
      </w:r>
    </w:p>
    <w:bookmarkEnd w:id="75"/>
    <w:bookmarkStart w:id="76" w:name="Xa3002cf455db6cbea350bebdbbc9dac4467d38f"/>
    <w:p>
      <w:pPr>
        <w:pStyle w:val="Heading3"/>
        <w:spacing w:line="480" w:lineRule="auto"/>
      </w:pPr>
      <w:r>
        <w:t xml:space="preserve">2.3.3 The one domain-technical work that measures a mission-level output corpus</w:t>
      </w:r>
    </w:p>
    <w:p>
      <w:pPr>
        <w:pStyle w:val="FirstParagraph"/>
        <w:spacing w:line="480" w:lineRule="auto"/>
      </w:pPr>
      <w:r>
        <w:t xml:space="preserve">The reference pool contains a single domain-technical work that crosses fully onto the output side and measures, rather than merely enables, a mission-level publication corpus. The De Marchi and Parmar analysis of European Space Agency Science Programme missions documents the contributions and exploitation of those missions through their mission-publication libraries</w:t>
      </w:r>
      <w:r>
        <w:t xml:space="preserve"> </w:t>
      </w:r>
      <w:hyperlink w:anchor="ref-6">
        <w:r>
          <w:rPr>
            <w:rStyle w:val="Hyperlink"/>
          </w:rPr>
          <w:t xml:space="preserve">[6]</w:t>
        </w:r>
      </w:hyperlink>
      <w:r>
        <w:t xml:space="preserve">. This is the pivotal source in the entire domain-technical literature for the present dissertation, because it is the one that supplies a uniform, named, mission-level count of refereed publications, itself backed by the comprehensive bibliographic record. The dissertation’s first empirical paper draws its output variable from exactly this source, treating the De Marchi and Parmar publication counts as the measurable output of the mission production process.</w:t>
      </w:r>
    </w:p>
    <w:p>
      <w:pPr>
        <w:pStyle w:val="BodyText"/>
        <w:spacing w:line="480" w:lineRule="auto"/>
        <w:ind w:firstLine="720"/>
      </w:pPr>
      <w:r>
        <w:t xml:space="preserve">The decisive observation is that De Marchi and Parmar</w:t>
      </w:r>
      <w:r>
        <w:t xml:space="preserve"> </w:t>
      </w:r>
      <w:hyperlink w:anchor="ref-6">
        <w:r>
          <w:rPr>
            <w:rStyle w:val="Hyperlink"/>
          </w:rPr>
          <w:t xml:space="preserve">[6]</w:t>
        </w:r>
      </w:hyperlink>
      <w:r>
        <w:t xml:space="preserve"> </w:t>
      </w:r>
      <w:r>
        <w:t xml:space="preserve">measure the output but do not estimate a productivity function. Their analysis documents how much each mission published and how those publications were exploited, an essential descriptive contribution, but it does not regress that output on mission cost, and it does not therefore produce an elasticity, a return-per-dollar, or any parametric statement about how output scales with the priced input. It assembles the numerator of the production function and leaves the function unestimated. This is the closest the domain-technical literature comes to the dissertation’s object, and the distance that remains, from a measured output corpus to an estimated cost elasticity of that corpus, is exactly the distance the cliometric methodology literature is built to cover.</w:t>
      </w:r>
    </w:p>
    <w:bookmarkEnd w:id="76"/>
    <w:bookmarkStart w:id="77" w:name="X30fc1656051e5d32f2bde021b3659da09fc2d8b"/>
    <w:p>
      <w:pPr>
        <w:pStyle w:val="Heading3"/>
        <w:spacing w:line="480" w:lineRule="auto"/>
      </w:pPr>
      <w:r>
        <w:t xml:space="preserve">2.3.4 Decision-support and evaluation frameworks emerging within the domain</w:t>
      </w:r>
    </w:p>
    <w:p>
      <w:pPr>
        <w:pStyle w:val="FirstParagraph"/>
        <w:spacing w:line="480" w:lineRule="auto"/>
      </w:pPr>
      <w:r>
        <w:t xml:space="preserve">A final, methodologically forward current in the domain-technical literature is the emergence of quantitative, data-driven evaluation and decision-support frameworks that score a contribution against the mission it serves. The mission-oriented framework for evaluating space-situational-awareness data</w:t>
      </w:r>
      <w:r>
        <w:t xml:space="preserve"> </w:t>
      </w:r>
      <w:hyperlink w:anchor="ref-1">
        <w:r>
          <w:rPr>
            <w:rStyle w:val="Hyperlink"/>
          </w:rPr>
          <w:t xml:space="preserve">[1]</w:t>
        </w:r>
      </w:hyperlink>
      <w:r>
        <w:t xml:space="preserve"> </w:t>
      </w:r>
      <w:r>
        <w:t xml:space="preserve">is the leading instance: it scores the value of a data source against the mission it supports using quantitative decision criteria rather than expert assertion. The prototype web-based decision-support system for satellite-anomaly identification</w:t>
      </w:r>
      <w:r>
        <w:t xml:space="preserve"> </w:t>
      </w:r>
      <w:hyperlink w:anchor="ref-15">
        <w:r>
          <w:rPr>
            <w:rStyle w:val="Hyperlink"/>
          </w:rPr>
          <w:t xml:space="preserve">[15]</w:t>
        </w:r>
      </w:hyperlink>
      <w:r>
        <w:t xml:space="preserve"> </w:t>
      </w:r>
      <w:r>
        <w:t xml:space="preserve">is a second instance, applying data-driven inference to an operational decision. These frameworks are significant because they represent, within the domain itself, the very move from advocacy to measured contribution that the dissertation makes for planetary-mission valuation. The mission-oriented framework</w:t>
      </w:r>
      <w:r>
        <w:t xml:space="preserve"> </w:t>
      </w:r>
      <w:hyperlink w:anchor="ref-1">
        <w:r>
          <w:rPr>
            <w:rStyle w:val="Hyperlink"/>
          </w:rPr>
          <w:t xml:space="preserve">[1]</w:t>
        </w:r>
      </w:hyperlink>
      <w:r>
        <w:t xml:space="preserve"> </w:t>
      </w:r>
      <w:r>
        <w:t xml:space="preserve">demonstrates that the domain community has begun to accept that the value of a contribution can and should be scored quantitatively against a mission objective.</w:t>
      </w:r>
    </w:p>
    <w:p>
      <w:pPr>
        <w:pStyle w:val="BodyText"/>
        <w:spacing w:line="480" w:lineRule="auto"/>
        <w:ind w:firstLine="720"/>
      </w:pPr>
      <w:r>
        <w:t xml:space="preserve">The limitation, once more, is one of object rather than of method. The mission-oriented framework</w:t>
      </w:r>
      <w:r>
        <w:t xml:space="preserve"> </w:t>
      </w:r>
      <w:hyperlink w:anchor="ref-1">
        <w:r>
          <w:rPr>
            <w:rStyle w:val="Hyperlink"/>
          </w:rPr>
          <w:t xml:space="preserve">[1]</w:t>
        </w:r>
      </w:hyperlink>
      <w:r>
        <w:t xml:space="preserve"> </w:t>
      </w:r>
      <w:r>
        <w:t xml:space="preserve">scores the value of a data source to a surveillance mission; it does not estimate the productivity of a science mission’s dollar in terms of published knowledge. The decision-support prototype</w:t>
      </w:r>
      <w:r>
        <w:t xml:space="preserve"> </w:t>
      </w:r>
      <w:hyperlink w:anchor="ref-15">
        <w:r>
          <w:rPr>
            <w:rStyle w:val="Hyperlink"/>
          </w:rPr>
          <w:t xml:space="preserve">[15]</w:t>
        </w:r>
      </w:hyperlink>
      <w:r>
        <w:t xml:space="preserve"> </w:t>
      </w:r>
      <w:r>
        <w:t xml:space="preserve">supports an operational anomaly decision; it does not adjudicate a flagship-versus-portfolio allocation. These frameworks supply the evaluative posture, the insistence on quantitative criteria, that the dissertation adopts, but they leave the specific estimand, the cost elasticity of cited scientific output, unaddressed.</w:t>
      </w:r>
    </w:p>
    <w:bookmarkEnd w:id="77"/>
    <w:bookmarkEnd w:id="78"/>
    <w:bookmarkStart w:id="82" w:name="X9ca30abd352e6806ad4f5bf05c099982445c1b8"/>
    <w:p>
      <w:pPr>
        <w:pStyle w:val="Heading2"/>
        <w:spacing w:line="480" w:lineRule="auto"/>
      </w:pPr>
      <w:r>
        <w:t xml:space="preserve">2.4 The Space-Economics Literature: A Recognized but Unmeasured Knowledge Return</w:t>
      </w:r>
    </w:p>
    <w:bookmarkStart w:id="79" w:name="the-diagnosis-of-allocative-inefficiency"/>
    <w:p>
      <w:pPr>
        <w:pStyle w:val="Heading3"/>
        <w:spacing w:line="480" w:lineRule="auto"/>
      </w:pPr>
      <w:r>
        <w:t xml:space="preserve">2.4.1 The diagnosis of allocative inefficiency</w:t>
      </w:r>
    </w:p>
    <w:p>
      <w:pPr>
        <w:pStyle w:val="FirstParagraph"/>
        <w:spacing w:line="480" w:lineRule="auto"/>
      </w:pPr>
      <w:r>
        <w:t xml:space="preserve">The space-economics literature supplies the dissertation’s motivation and its central diagnostic claim, even as it stops short of the measurement the dissertation seeks. Weinzierl’s treatment of the economics of space exploration is the foundational source</w:t>
      </w:r>
      <w:r>
        <w:t xml:space="preserve"> </w:t>
      </w:r>
      <w:hyperlink w:anchor="ref-4">
        <w:r>
          <w:rPr>
            <w:rStyle w:val="Hyperlink"/>
          </w:rPr>
          <w:t xml:space="preserve">[4]</w:t>
        </w:r>
      </w:hyperlink>
      <w:r>
        <w:t xml:space="preserve">. It characterizes government-directed exploration as structurally prone to weak incentives for the efficient allocation of resources and to the poor aggregation of the dispersed information that would otherwise discipline such allocation. This diagnosis is the reason the dissertation’s question is worth posing at all. If allocation were governed by a well-functioning price-and-information mechanism, the efficiency of a flagship commitment would be revealed in the ordinary course of decision-making, and no separate productivity estimate would be needed. It is precisely because the allocative mechanism is weak that an external, transparent measurement of return per dollar acquires value.</w:t>
      </w:r>
    </w:p>
    <w:p>
      <w:pPr>
        <w:pStyle w:val="BodyText"/>
        <w:spacing w:line="480" w:lineRule="auto"/>
        <w:ind w:firstLine="720"/>
      </w:pPr>
      <w:r>
        <w:t xml:space="preserve">Weinzierl</w:t>
      </w:r>
      <w:r>
        <w:t xml:space="preserve"> </w:t>
      </w:r>
      <w:hyperlink w:anchor="ref-4">
        <w:r>
          <w:rPr>
            <w:rStyle w:val="Hyperlink"/>
          </w:rPr>
          <w:t xml:space="preserve">[4]</w:t>
        </w:r>
      </w:hyperlink>
      <w:r>
        <w:t xml:space="preserve"> </w:t>
      </w:r>
      <w:r>
        <w:t xml:space="preserve">frames the problem but does not estimate the parameter. The literature identifies that a marginal dollar of mission cost might buy a constant, increasing, or diminishing quantity of scientific output, and it identifies the institutional reasons that quantity is not well disciplined, but it does not supply the empirical production function that would say which case obtains. The diagnosis is necessary and the diagnosis is incomplete; it points to a gap it does not close.</w:t>
      </w:r>
    </w:p>
    <w:bookmarkEnd w:id="79"/>
    <w:bookmarkStart w:id="80" w:name="Xc43d58cf6e8a7488cb671880064b81a9872ae08"/>
    <w:p>
      <w:pPr>
        <w:pStyle w:val="Heading3"/>
        <w:spacing w:line="480" w:lineRule="auto"/>
      </w:pPr>
      <w:r>
        <w:t xml:space="preserve">2.4.2 Mission-driven funding justified by downstream contribution, not measured return</w:t>
      </w:r>
    </w:p>
    <w:p>
      <w:pPr>
        <w:pStyle w:val="FirstParagraph"/>
        <w:spacing w:line="480" w:lineRule="auto"/>
      </w:pPr>
      <w:r>
        <w:t xml:space="preserve">A second strand of the space-economics literature concerns how mission-driven basic-science funding is justified. The treatment of architectural socio-technological transformative change of space-use norms</w:t>
      </w:r>
      <w:r>
        <w:t xml:space="preserve"> </w:t>
      </w:r>
      <w:hyperlink w:anchor="ref-3">
        <w:r>
          <w:rPr>
            <w:rStyle w:val="Hyperlink"/>
          </w:rPr>
          <w:t xml:space="preserve">[3]</w:t>
        </w:r>
      </w:hyperlink>
      <w:r>
        <w:t xml:space="preserve"> </w:t>
      </w:r>
      <w:r>
        <w:t xml:space="preserve">articulates the standard justificatory logic: mission-driven research funding for basic science is justified through its downstream contribution rather than through any measured rate of return. This is an accurate description of programmatic practice, and it is also, read against the dissertation’s purpose, a statement of the very deficiency the dissertation addresses. Justification by downstream contribution is justification by anticipated qualitative benefit; it is not justification by an estimated elasticity. The literature names the absence of a measured rate of return as the prevailing condition without proposing to remedy it.</w:t>
      </w:r>
    </w:p>
    <w:bookmarkEnd w:id="80"/>
    <w:bookmarkStart w:id="81" w:name="Xe7628ee03f8194dfcf7c6f4fccfb785170540bc"/>
    <w:p>
      <w:pPr>
        <w:pStyle w:val="Heading3"/>
        <w:spacing w:line="480" w:lineRule="auto"/>
      </w:pPr>
      <w:r>
        <w:t xml:space="preserve">2.4.3 A knowledge return that conventional accounting does not capture</w:t>
      </w:r>
    </w:p>
    <w:p>
      <w:pPr>
        <w:pStyle w:val="FirstParagraph"/>
        <w:spacing w:line="480" w:lineRule="auto"/>
      </w:pPr>
      <w:r>
        <w:t xml:space="preserve">The third and most consequential strand of the space-economics literature recognizes explicitly that the space economy generates value, including a scientific-knowledge return, beyond the direct financial returns that conventional accounting captures. The OCEA forecasting analyses of the space economy [5, 8] articulate this recognition: exploration creates value, and a meaningful component of that value is a knowledge return invisible to financial statements. This recognition is the conceptual hinge of the dissertation. It establishes, from within the economics literature itself, that there exists a scientific-knowledge return worth measuring, and that conventional financial accounting is constitutionally unable to measure it because the return has no market price.</w:t>
      </w:r>
    </w:p>
    <w:p>
      <w:pPr>
        <w:pStyle w:val="BodyText"/>
        <w:spacing w:line="480" w:lineRule="auto"/>
        <w:ind w:firstLine="720"/>
      </w:pPr>
      <w:r>
        <w:t xml:space="preserve">The OCEA literature [5, 8] thus does two things for the dissertation and fails to do a third. It legitimizes the object, affirming that a knowledge return exists and matters. It diagnoses the measurement failure, explaining why ordinary accounting cannot see the return. But it does not propose a measurement instrument. It recognizes a knowledge return without operationalizing it, leaving the return as a category that everyone agrees exists and no one has estimated. The dissertation’s wager is that the bibliometric corpus, the citation-weighted count of refereed publications attributable to a mission, is the natural operationalization of exactly this recognized-but-unmeasured knowledge return, and that the methodology literature reviewed next supplies the means to estimate its scaling with cost.</w:t>
      </w:r>
    </w:p>
    <w:bookmarkEnd w:id="81"/>
    <w:bookmarkEnd w:id="82"/>
    <w:bookmarkStart w:id="86" w:name="X07fe73e594277fc276c6392b9242153367417e1"/>
    <w:p>
      <w:pPr>
        <w:pStyle w:val="Heading2"/>
        <w:spacing w:line="480" w:lineRule="auto"/>
      </w:pPr>
      <w:r>
        <w:t xml:space="preserve">2.5 The Cliometric and Econometric Methodology Literature</w:t>
      </w:r>
    </w:p>
    <w:p>
      <w:pPr>
        <w:pStyle w:val="FirstParagraph"/>
        <w:spacing w:line="480" w:lineRule="auto"/>
      </w:pPr>
      <w:r>
        <w:t xml:space="preserve">The methodology literature the dissertation draws upon answers three distinct estimation questions. The first is how to specify and estimate a production function and read a scaling elasticity from it. The second is how to measure scientific output bibliometrically so that the dependent variable of that production function is defensible. The third is how to model time-to-event outcomes, the schedule-slip hazard that the dissertation’s second paper estimates. Each is reviewed in turn.</w:t>
      </w:r>
    </w:p>
    <w:bookmarkStart w:id="83" w:name="Xc872196c86c320d21f57868599041cf8f8363dd"/>
    <w:p>
      <w:pPr>
        <w:pStyle w:val="Heading3"/>
        <w:spacing w:line="480" w:lineRule="auto"/>
      </w:pPr>
      <w:r>
        <w:t xml:space="preserve">2.5.1 The production function and the elasticity it yields</w:t>
      </w:r>
    </w:p>
    <w:p>
      <w:pPr>
        <w:pStyle w:val="FirstParagraph"/>
        <w:spacing w:line="480" w:lineRule="auto"/>
      </w:pPr>
      <w:r>
        <w:t xml:space="preserve">The core methodological commitment of the dissertation’s first paper is the log-log production function, in which the natural log of output is regressed on the natural log of a priced input so that the slope coefficient is a scale-free elasticity. The interpretive content of that elasticity is standard: a value of one denotes constant returns to scale, where output and cost move in lockstep; a value below one denotes diminishing returns, where each marginal dollar buys less output than the last; a value above one denotes increasing returns, where larger missions are disproportionately productive. This interpretive apparatus is the inheritance of the cliometric and econometric tradition, and it is what allows the abstract flagship-versus-portfolio question to be reduced to a test of whether a single estimated coefficient lies below, at, or above one.</w:t>
      </w:r>
    </w:p>
    <w:p>
      <w:pPr>
        <w:pStyle w:val="BodyText"/>
        <w:spacing w:line="480" w:lineRule="auto"/>
        <w:ind w:firstLine="720"/>
      </w:pPr>
      <w:r>
        <w:t xml:space="preserve">The domain-internal precedent for importing parametric economic estimation into space architectures is established, as noted, by the asteroid-mining modeling</w:t>
      </w:r>
      <w:r>
        <w:t xml:space="preserve"> </w:t>
      </w:r>
      <w:hyperlink w:anchor="ref-19">
        <w:r>
          <w:rPr>
            <w:rStyle w:val="Hyperlink"/>
          </w:rPr>
          <w:t xml:space="preserve">[19]</w:t>
        </w:r>
      </w:hyperlink>
      <w:r>
        <w:t xml:space="preserve"> </w:t>
      </w:r>
      <w:r>
        <w:t xml:space="preserve">and the space-resource-market evaluation work</w:t>
      </w:r>
      <w:r>
        <w:t xml:space="preserve"> </w:t>
      </w:r>
      <w:hyperlink w:anchor="ref-21">
        <w:r>
          <w:rPr>
            <w:rStyle w:val="Hyperlink"/>
          </w:rPr>
          <w:t xml:space="preserve">[21]</w:t>
        </w:r>
      </w:hyperlink>
      <w:r>
        <w:t xml:space="preserve">. These demonstrate that a production-and-return function is an accepted form within the domain when a denominated output exists. What the dissertation contributes methodologically is the application of the same parametric form to an output that has no market price, substituting the bibliometric corpus for the priced commodity as the numerator of the function. The mission-oriented evaluation frameworks</w:t>
      </w:r>
      <w:r>
        <w:t xml:space="preserve"> </w:t>
      </w:r>
      <w:hyperlink w:anchor="ref-1">
        <w:r>
          <w:rPr>
            <w:rStyle w:val="Hyperlink"/>
          </w:rPr>
          <w:t xml:space="preserve">[1]</w:t>
        </w:r>
      </w:hyperlink>
      <w:r>
        <w:t xml:space="preserve"> </w:t>
      </w:r>
      <w:r>
        <w:t xml:space="preserve">supply the broader warrant: they establish that quantitative, data-driven scoring of a contribution against a mission objective is a legitimate replacement for consensus assertion. The dissertation’s elasticity estimation is the formalization of that warrant into a regression coefficient.</w:t>
      </w:r>
    </w:p>
    <w:p>
      <w:pPr>
        <w:pStyle w:val="BodyText"/>
        <w:spacing w:line="480" w:lineRule="auto"/>
        <w:ind w:firstLine="720"/>
      </w:pPr>
      <w:r>
        <w:t xml:space="preserve">The methodology literature also supplies the robustness apparatus the dissertation’s design requires. Because the output variable is a discrete, overdispersed count of publications, the count-model specification, a negative binomial on raw publication counts, is the appropriate companion to the ordinary-least-squares log-log baseline, guarding against distributional misspecification. Because the population of large missions is small, leave-one-out re-estimation and influence diagnostics are required to ensure that the estimate is not the artifact of a single influential mission. These are not innovations of the dissertation; they are standard cliometric safeguards, and their presence in the design reflects the methodology literature’s accumulated discipline about small-sample, count-output estimation.</w:t>
      </w:r>
    </w:p>
    <w:bookmarkEnd w:id="83"/>
    <w:bookmarkStart w:id="84" w:name="Xa301fedf696645272eb1b77a7760615a9a40c9f"/>
    <w:p>
      <w:pPr>
        <w:pStyle w:val="Heading3"/>
        <w:spacing w:line="480" w:lineRule="auto"/>
      </w:pPr>
      <w:r>
        <w:t xml:space="preserve">2.5.2 Bibliometric measurement as the construction of the dependent variable</w:t>
      </w:r>
    </w:p>
    <w:p>
      <w:pPr>
        <w:pStyle w:val="FirstParagraph"/>
        <w:spacing w:line="480" w:lineRule="auto"/>
      </w:pPr>
      <w:r>
        <w:t xml:space="preserve">The dependent variable of the production function is itself the product of a bibliometric measurement literature. The De Marchi and Parmar analysis</w:t>
      </w:r>
      <w:r>
        <w:t xml:space="preserve"> </w:t>
      </w:r>
      <w:hyperlink w:anchor="ref-6">
        <w:r>
          <w:rPr>
            <w:rStyle w:val="Hyperlink"/>
          </w:rPr>
          <w:t xml:space="preserve">[6]</w:t>
        </w:r>
      </w:hyperlink>
      <w:r>
        <w:t xml:space="preserve"> </w:t>
      </w:r>
      <w:r>
        <w:t xml:space="preserve">is the proximate exemplar: it constructs mission-level publication libraries, applies a uniform inclusion criterion across missions, and reports counts that are backed by the comprehensive bibliographic record. The methodological lesson the dissertation takes from this is the value of a single, uniform output source. Using one source for the output measure imposes one inclusion criterion across every mission, so that differences in publication count reflect differences in scientific productivity rather than differences in how productivity was counted. This is a measurement-validity argument of exactly the kind the bibliometric literature exists to articulate.</w:t>
      </w:r>
    </w:p>
    <w:p>
      <w:pPr>
        <w:pStyle w:val="BodyText"/>
        <w:spacing w:line="480" w:lineRule="auto"/>
        <w:ind w:firstLine="720"/>
      </w:pPr>
      <w:r>
        <w:t xml:space="preserve">The reference pool also contains a direct exemplar of bibliometric network analysis applied to a space-science subfield. The bibliometric network multi-analysis of plant-space research over two decades</w:t>
      </w:r>
      <w:r>
        <w:t xml:space="preserve"> </w:t>
      </w:r>
      <w:hyperlink w:anchor="ref-18">
        <w:r>
          <w:rPr>
            <w:rStyle w:val="Hyperlink"/>
          </w:rPr>
          <w:t xml:space="preserve">[18]</w:t>
        </w:r>
      </w:hyperlink>
      <w:r>
        <w:t xml:space="preserve"> </w:t>
      </w:r>
      <w:r>
        <w:t xml:space="preserve">demonstrates the use of citation and co-authorship network methods to characterize the trajectory of an entire research domain. Its relevance to the dissertation is methodological and confirmatory: it shows that bibliometric measurement is an accepted analytic instrument within the space-science literature itself, and that publication and citation counts are treated as legitimate measures of scientific activity and contribution. The plant-space bibliometric study</w:t>
      </w:r>
      <w:r>
        <w:t xml:space="preserve"> </w:t>
      </w:r>
      <w:hyperlink w:anchor="ref-18">
        <w:r>
          <w:rPr>
            <w:rStyle w:val="Hyperlink"/>
          </w:rPr>
          <w:t xml:space="preserve">[18]</w:t>
        </w:r>
      </w:hyperlink>
      <w:r>
        <w:t xml:space="preserve"> </w:t>
      </w:r>
      <w:r>
        <w:t xml:space="preserve">measures the shape and growth of a field; the dissertation measures the output of individual missions and regresses it on cost. The two share the premise that the refereed corpus is a measurable proxy for scientific output, and the dissertation’s design inherits from this current the discipline of treating citation-weighted counts as the operationalization of the otherwise unmeasured knowledge return that the economics literature [5, 8] recognizes.</w:t>
      </w:r>
    </w:p>
    <w:p>
      <w:pPr>
        <w:pStyle w:val="BodyText"/>
        <w:spacing w:line="480" w:lineRule="auto"/>
        <w:ind w:firstLine="720"/>
      </w:pPr>
      <w:r>
        <w:t xml:space="preserve">The bibliometric literature also supplies the cautions the dissertation must honor. Citation-weighted publication count proxies scientific knowledge imperfectly, since some mission value is realized in datasets, engineering heritage, and public good that the published literature does not capture</w:t>
      </w:r>
      <w:r>
        <w:t xml:space="preserve"> </w:t>
      </w:r>
      <w:hyperlink w:anchor="ref-5">
        <w:r>
          <w:rPr>
            <w:rStyle w:val="Hyperlink"/>
          </w:rPr>
          <w:t xml:space="preserve">[5]</w:t>
        </w:r>
      </w:hyperlink>
      <w:r>
        <w:t xml:space="preserve">. Citation accrual is time-dependent, so that longer-lived missions accrue citations over longer windows, which requires fixed post-completion windows and era fixed effects to bound the resulting bias. Attribution of a publication to a mission is non-trivial where facilities serve multiple missions [9, 11]. These are the standard construct-validity and measurement-timing concerns of bibliometrics. The dissertation’s threats-to-validity treatment applies them directly.</w:t>
      </w:r>
    </w:p>
    <w:bookmarkEnd w:id="84"/>
    <w:bookmarkStart w:id="85" w:name="X7f45fd3e8da2b08f30c515a316f29d923cbdf07"/>
    <w:p>
      <w:pPr>
        <w:pStyle w:val="Heading3"/>
        <w:spacing w:line="480" w:lineRule="auto"/>
      </w:pPr>
      <w:r>
        <w:t xml:space="preserve">2.5.3 Time-to-event methods and the schedule-slip hazard</w:t>
      </w:r>
    </w:p>
    <w:p>
      <w:pPr>
        <w:pStyle w:val="FirstParagraph"/>
        <w:spacing w:line="480" w:lineRule="auto"/>
      </w:pPr>
      <w:r>
        <w:t xml:space="preserve">The dissertation’s second empirical paper draws on a distinct branch of the methodology literature: survival analysis, or time-to-event modeling. The relevant precedent in the reference pool is the time-to-event modeling of maneuver occurrence for non-cooperative satellites</w:t>
      </w:r>
      <w:r>
        <w:t xml:space="preserve"> </w:t>
      </w:r>
      <w:hyperlink w:anchor="ref-7">
        <w:r>
          <w:rPr>
            <w:rStyle w:val="Hyperlink"/>
          </w:rPr>
          <w:t xml:space="preserve">[7]</w:t>
        </w:r>
      </w:hyperlink>
      <w:r>
        <w:t xml:space="preserve">, which applies survival-analysis machinery to describe the rate at which a maneuver event materializes in an observation record. This work is methodologically pivotal for the dissertation because it demonstrates that time-to-event methods have already migrated into the space domain and apply cleanly to the rate at which a discrete event occurs along a duration. The dissertation transplants that machinery from the maneuver-occurrence setting to the mission-development setting, where the run from confirmation to launch is the duration and a documented schedule slip from the baseline is the event.</w:t>
      </w:r>
    </w:p>
    <w:p>
      <w:pPr>
        <w:pStyle w:val="BodyText"/>
        <w:spacing w:line="480" w:lineRule="auto"/>
        <w:ind w:firstLine="720"/>
      </w:pPr>
      <w:r>
        <w:t xml:space="preserve">The Cox proportional-hazards specification the dissertation adopts is the standard estimator for this class of problem, and its selection reflects the methodology literature’s accumulated judgment about small samples with a mix of events and censored survivors. The proportional-hazards form leaves the baseline schedule risk nonparametric and estimates only the covariate effects, which is the appropriate posture when the sample is too small to support a parametric baseline. The hazard formulation has a specific analytic virtue the methodology literature emphasizes: it conditions on how far a mission has already progressed, so that a slip arriving late in a long development run is treated differently from one arriving early, and missions that launch on time enter the estimate as censored survivors rather than as discarded cases. The robustness apparatus, leave-one-out re-estimation and single-covariate models, is again the standard small-sample safeguard.</w:t>
      </w:r>
    </w:p>
    <w:p>
      <w:pPr>
        <w:pStyle w:val="BodyText"/>
        <w:spacing w:line="480" w:lineRule="auto"/>
        <w:ind w:firstLine="720"/>
      </w:pPr>
      <w:r>
        <w:t xml:space="preserve">The methodological move that unifies the dissertation’s two papers is visible here. In both, the dissertation takes a proposition that the domain treats as folklore or consensus, the proposition that science return scales linearly with cost in the first paper, and the proposition that bigger and more complex missions are more slip-prone in the second, and it reformulates that proposition as a falsifiable test around an estimated parameter. The mission-oriented evaluation framework</w:t>
      </w:r>
      <w:r>
        <w:t xml:space="preserve"> </w:t>
      </w:r>
      <w:hyperlink w:anchor="ref-1">
        <w:r>
          <w:rPr>
            <w:rStyle w:val="Hyperlink"/>
          </w:rPr>
          <w:t xml:space="preserve">[1]</w:t>
        </w:r>
      </w:hyperlink>
      <w:r>
        <w:t xml:space="preserve"> </w:t>
      </w:r>
      <w:r>
        <w:t xml:space="preserve">supplies the general warrant for that move; the production-function literature supplies the elasticity for the first instance; the time-to-event literature</w:t>
      </w:r>
      <w:r>
        <w:t xml:space="preserve"> </w:t>
      </w:r>
      <w:hyperlink w:anchor="ref-7">
        <w:r>
          <w:rPr>
            <w:rStyle w:val="Hyperlink"/>
          </w:rPr>
          <w:t xml:space="preserve">[7]</w:t>
        </w:r>
      </w:hyperlink>
      <w:r>
        <w:t xml:space="preserve"> </w:t>
      </w:r>
      <w:r>
        <w:t xml:space="preserve">supplies the hazard for the second. The methodology literature is, in short, the source of the estimating apparatus that the domain-technical and space-economics literatures lack.</w:t>
      </w:r>
    </w:p>
    <w:bookmarkEnd w:id="85"/>
    <w:bookmarkEnd w:id="86"/>
    <w:bookmarkStart w:id="90" w:name="synthesis-and-the-identified-gap"/>
    <w:p>
      <w:pPr>
        <w:pStyle w:val="Heading2"/>
        <w:spacing w:line="480" w:lineRule="auto"/>
      </w:pPr>
      <w:r>
        <w:t xml:space="preserve">2.6 Synthesis and the Identified Gap</w:t>
      </w:r>
    </w:p>
    <w:bookmarkStart w:id="87" w:name="X3141652c5724263784188acf888fb5288c5d1b3"/>
    <w:p>
      <w:pPr>
        <w:pStyle w:val="Heading3"/>
        <w:spacing w:line="480" w:lineRule="auto"/>
      </w:pPr>
      <w:r>
        <w:t xml:space="preserve">2.6.1 What each literature supplies and what each withholds</w:t>
      </w:r>
    </w:p>
    <w:p>
      <w:pPr>
        <w:pStyle w:val="FirstParagraph"/>
        <w:spacing w:line="480" w:lineRule="auto"/>
      </w:pPr>
      <w:r>
        <w:t xml:space="preserve">The synthesis can now be stated precisely. The domain-technical cost-and-design literature supplies the priced input with engineering rigor. The discrete-element cost estimate</w:t>
      </w:r>
      <w:r>
        <w:t xml:space="preserve"> </w:t>
      </w:r>
      <w:hyperlink w:anchor="ref-2">
        <w:r>
          <w:rPr>
            <w:rStyle w:val="Hyperlink"/>
          </w:rPr>
          <w:t xml:space="preserve">[2]</w:t>
        </w:r>
      </w:hyperlink>
      <w:r>
        <w:t xml:space="preserve">, the complex-subsystem design studies</w:t>
      </w:r>
      <w:r>
        <w:t xml:space="preserve"> </w:t>
      </w:r>
      <w:hyperlink w:anchor="ref-23">
        <w:r>
          <w:rPr>
            <w:rStyle w:val="Hyperlink"/>
          </w:rPr>
          <w:t xml:space="preserve">[23]</w:t>
        </w:r>
      </w:hyperlink>
      <w:r>
        <w:t xml:space="preserve">, the optimization formulations</w:t>
      </w:r>
      <w:r>
        <w:t xml:space="preserve"> </w:t>
      </w:r>
      <w:hyperlink w:anchor="ref-22">
        <w:r>
          <w:rPr>
            <w:rStyle w:val="Hyperlink"/>
          </w:rPr>
          <w:t xml:space="preserve">[22]</w:t>
        </w:r>
      </w:hyperlink>
      <w:r>
        <w:t xml:space="preserve">, and the frontier-concept studies [17, 24] together establish that mission cost is known, at fine resolution, before launch. What this literature withholds is any measurement of realized output as a rate of return; it is an input literature, complete on the priced side and empty on the measured-output side.</w:t>
      </w:r>
    </w:p>
    <w:p>
      <w:pPr>
        <w:pStyle w:val="BodyText"/>
        <w:spacing w:line="480" w:lineRule="auto"/>
        <w:ind w:firstLine="720"/>
      </w:pPr>
      <w:r>
        <w:t xml:space="preserve">The domain-technical facilities-and-data literature supplies the instruments, facilities, and data-acquisition machinery [9, 10, 11, 12, 13, 14, 16, 20] through which mission output becomes observable, and it supplies, in De Marchi and Parmar</w:t>
      </w:r>
      <w:r>
        <w:t xml:space="preserve"> </w:t>
      </w:r>
      <w:hyperlink w:anchor="ref-6">
        <w:r>
          <w:rPr>
            <w:rStyle w:val="Hyperlink"/>
          </w:rPr>
          <w:t xml:space="preserve">[6]</w:t>
        </w:r>
      </w:hyperlink>
      <w:r>
        <w:t xml:space="preserve">, the one source that actually measures a mission-level publication corpus. What this literature withholds is the production function: it measures the output, but it does not regress that output on cost, and it therefore yields no elasticity. The emerging evaluation frameworks [1, 15] supply the evaluative posture, the insistence on quantitative criteria, but apply it to surveillance and operational decisions rather than to science-mission allocation.</w:t>
      </w:r>
    </w:p>
    <w:p>
      <w:pPr>
        <w:pStyle w:val="BodyText"/>
        <w:spacing w:line="480" w:lineRule="auto"/>
        <w:ind w:firstLine="720"/>
      </w:pPr>
      <w:r>
        <w:t xml:space="preserve">The space-economics literature supplies the motivation and the conceptual legitimation. Weinzierl</w:t>
      </w:r>
      <w:r>
        <w:t xml:space="preserve"> </w:t>
      </w:r>
      <w:hyperlink w:anchor="ref-4">
        <w:r>
          <w:rPr>
            <w:rStyle w:val="Hyperlink"/>
          </w:rPr>
          <w:t xml:space="preserve">[4]</w:t>
        </w:r>
      </w:hyperlink>
      <w:r>
        <w:t xml:space="preserve"> </w:t>
      </w:r>
      <w:r>
        <w:t xml:space="preserve">diagnoses the allocative inefficiency that makes external measurement valuable; the funding-justification literature</w:t>
      </w:r>
      <w:r>
        <w:t xml:space="preserve"> </w:t>
      </w:r>
      <w:hyperlink w:anchor="ref-3">
        <w:r>
          <w:rPr>
            <w:rStyle w:val="Hyperlink"/>
          </w:rPr>
          <w:t xml:space="preserve">[3]</w:t>
        </w:r>
      </w:hyperlink>
      <w:r>
        <w:t xml:space="preserve"> </w:t>
      </w:r>
      <w:r>
        <w:t xml:space="preserve">documents that justification by downstream contribution has substituted for justification by measured return; the OCEA forecasting analyses [5, 8] recognize a scientific-knowledge return that conventional accounting cannot capture. What this literature withholds is the measurement instrument: it recognizes the knowledge return without operationalizing it, leaving a category that everyone agrees exists and no one has estimated.</w:t>
      </w:r>
    </w:p>
    <w:p>
      <w:pPr>
        <w:pStyle w:val="BodyText"/>
        <w:spacing w:line="480" w:lineRule="auto"/>
        <w:ind w:firstLine="720"/>
      </w:pPr>
      <w:r>
        <w:t xml:space="preserve">The cliometric and econometric methodology literature supplies the estimating apparatus. The production-function tradition yields the elasticity, the bibliometric measurement literature [6, 18] yields the defensible dependent variable, and the time-to-event literature</w:t>
      </w:r>
      <w:r>
        <w:t xml:space="preserve"> </w:t>
      </w:r>
      <w:hyperlink w:anchor="ref-7">
        <w:r>
          <w:rPr>
            <w:rStyle w:val="Hyperlink"/>
          </w:rPr>
          <w:t xml:space="preserve">[7]</w:t>
        </w:r>
      </w:hyperlink>
      <w:r>
        <w:t xml:space="preserve"> </w:t>
      </w:r>
      <w:r>
        <w:t xml:space="preserve">yields the schedule-slip hazard. The domain has begun to accept parametric economic estimation where a market denominator exists [19, 21]. What the methodology literature has not done, on its own, is turn its instruments on the planetary-mission portfolio with the bibliometric corpus substituted for the missing market price.</w:t>
      </w:r>
    </w:p>
    <w:bookmarkEnd w:id="87"/>
    <w:bookmarkStart w:id="88" w:name="the-gap-stated-formally"/>
    <w:p>
      <w:pPr>
        <w:pStyle w:val="Heading3"/>
        <w:spacing w:line="480" w:lineRule="auto"/>
      </w:pPr>
      <w:r>
        <w:t xml:space="preserve">2.6.2 The gap stated formally</w:t>
      </w:r>
    </w:p>
    <w:p>
      <w:pPr>
        <w:pStyle w:val="FirstParagraph"/>
        <w:spacing w:line="480" w:lineRule="auto"/>
      </w:pPr>
      <w:r>
        <w:t xml:space="preserve">The gap is therefore the join. No retrieved work estimates the elasticity of cited scientific output with respect to planetary flagship mission cost. The domain-technical literature prices the input but does not measure the output as a return; the space-economics literature recognizes the output but does not measure it; the methodology literature can measure the relationship but has not been applied to this object with this numerator. Each literature reaches the boundary of the others without crossing it. The dissertation’s single falsifiable contribution, the cost elasticity of cited scientific output, lives in the unoccupied space where the priced input of the cost-and-design literature, the recognized-but-unmeasured knowledge return of the space-economics literature, the measured output corpus of De Marchi and Parmar</w:t>
      </w:r>
      <w:r>
        <w:t xml:space="preserve"> </w:t>
      </w:r>
      <w:hyperlink w:anchor="ref-6">
        <w:r>
          <w:rPr>
            <w:rStyle w:val="Hyperlink"/>
          </w:rPr>
          <w:t xml:space="preserve">[6]</w:t>
        </w:r>
      </w:hyperlink>
      <w:r>
        <w:t xml:space="preserve">, and the estimating apparatus of the production-function and bibliometric literatures would meet if anyone joined them.</w:t>
      </w:r>
    </w:p>
    <w:p>
      <w:pPr>
        <w:pStyle w:val="BodyText"/>
        <w:spacing w:line="480" w:lineRule="auto"/>
        <w:ind w:firstLine="720"/>
      </w:pPr>
      <w:r>
        <w:t xml:space="preserve">The same structural gap governs the dissertation’s schedule paper. The cost-and-design literature documents the integration burden and the marching-army costs that schedule slip mobilizes</w:t>
      </w:r>
      <w:r>
        <w:t xml:space="preserve"> </w:t>
      </w:r>
      <w:hyperlink w:anchor="ref-23">
        <w:r>
          <w:rPr>
            <w:rStyle w:val="Hyperlink"/>
          </w:rPr>
          <w:t xml:space="preserve">[23]</w:t>
        </w:r>
      </w:hyperlink>
      <w:r>
        <w:t xml:space="preserve">, and the programmatic folklore holds that bigger and more complex missions are more slip-prone, but no retrieved work subjects that proposition to a hazard model on the documented record. The time-to-event machinery exists</w:t>
      </w:r>
      <w:r>
        <w:t xml:space="preserve"> </w:t>
      </w:r>
      <w:hyperlink w:anchor="ref-7">
        <w:r>
          <w:rPr>
            <w:rStyle w:val="Hyperlink"/>
          </w:rPr>
          <w:t xml:space="preserve">[7]</w:t>
        </w:r>
      </w:hyperlink>
      <w:r>
        <w:t xml:space="preserve"> </w:t>
      </w:r>
      <w:r>
        <w:t xml:space="preserve">and has migrated into the domain, but it has not been pointed at the mission-development duration with cost and complexity as covariates. Here too the gap is the absence of a join between an available method and an unaddressed object.</w:t>
      </w:r>
    </w:p>
    <w:bookmarkEnd w:id="88"/>
    <w:bookmarkStart w:id="89" w:name="how-the-dissertation-occupies-the-gap"/>
    <w:p>
      <w:pPr>
        <w:pStyle w:val="Heading3"/>
        <w:spacing w:line="480" w:lineRule="auto"/>
      </w:pPr>
      <w:r>
        <w:t xml:space="preserve">2.6.3 How the dissertation occupies the gap</w:t>
      </w:r>
    </w:p>
    <w:p>
      <w:pPr>
        <w:pStyle w:val="FirstParagraph"/>
        <w:spacing w:line="480" w:lineRule="auto"/>
      </w:pPr>
      <w:r>
        <w:t xml:space="preserve">The dissertation occupies this gap by performing the two joins the literatures imply but have not made. The first empirical paper joins the discrete-element cost record</w:t>
      </w:r>
      <w:r>
        <w:t xml:space="preserve"> </w:t>
      </w:r>
      <w:hyperlink w:anchor="ref-2">
        <w:r>
          <w:rPr>
            <w:rStyle w:val="Hyperlink"/>
          </w:rPr>
          <w:t xml:space="preserve">[2]</w:t>
        </w:r>
      </w:hyperlink>
      <w:r>
        <w:t xml:space="preserve">, the uniform mission-level publication corpus</w:t>
      </w:r>
      <w:r>
        <w:t xml:space="preserve"> </w:t>
      </w:r>
      <w:hyperlink w:anchor="ref-6">
        <w:r>
          <w:rPr>
            <w:rStyle w:val="Hyperlink"/>
          </w:rPr>
          <w:t xml:space="preserve">[6]</w:t>
        </w:r>
      </w:hyperlink>
      <w:r>
        <w:t xml:space="preserve">, and the log-log production-function apparatus to estimate the cost elasticity of cited scientific output, the parameter the space-economics literature [4, 5, 8] recognizes as necessary and never supplies. The estimand is a single scale-free coefficient whose position relative to one adjudicates the flagship-versus-portfolio allocation that recurs across every decadal cycle. The second empirical paper joins the documented mission-development record with the time-to-event apparatus</w:t>
      </w:r>
      <w:r>
        <w:t xml:space="preserve"> </w:t>
      </w:r>
      <w:hyperlink w:anchor="ref-7">
        <w:r>
          <w:rPr>
            <w:rStyle w:val="Hyperlink"/>
          </w:rPr>
          <w:t xml:space="preserve">[7]</w:t>
        </w:r>
      </w:hyperlink>
      <w:r>
        <w:t xml:space="preserve"> </w:t>
      </w:r>
      <w:r>
        <w:t xml:space="preserve">to estimate the schedule-slip hazard as a function of cost and instrument complexity, converting a proposition the domain has treated as folklore into a falsifiable test around an estimated hazard ratio.</w:t>
      </w:r>
    </w:p>
    <w:p>
      <w:pPr>
        <w:pStyle w:val="BodyText"/>
        <w:spacing w:line="480" w:lineRule="auto"/>
        <w:ind w:firstLine="720"/>
      </w:pPr>
      <w:r>
        <w:t xml:space="preserve">Both joins share the methodological signature established by the mission-oriented evaluation literature</w:t>
      </w:r>
      <w:r>
        <w:t xml:space="preserve"> </w:t>
      </w:r>
      <w:hyperlink w:anchor="ref-1">
        <w:r>
          <w:rPr>
            <w:rStyle w:val="Hyperlink"/>
          </w:rPr>
          <w:t xml:space="preserve">[1]</w:t>
        </w:r>
      </w:hyperlink>
      <w:r>
        <w:t xml:space="preserve">: the replacement of consensus assertion with a measured, falsifiable parameter. Both are disciplined by the small-sample, count-and-censored cautions that the methodology literature has accumulated, and both are explicit that the scarcity of large missions bounds the precision of any estimate. Neither claims to discover either bracketing literature; each claims only to join two literatures that have matured in isolation and to render testable a question that, in the absence of the join, has been settled by advocacy. The chapters that follow construct the data and execute the two estimations that this review has shown the existing literatures imply but do not contain.</w:t>
      </w:r>
    </w:p>
    <w:bookmarkEnd w:id="89"/>
    <w:bookmarkEnd w:id="90"/>
    <w:bookmarkEnd w:id="91"/>
    <w:bookmarkStart w:id="99" w:name="Xcfcc00a3ded59aed0c781c16bfc121f2a509603"/>
    <w:p>
      <w:pPr>
        <w:pStyle w:val="Heading1"/>
        <w:spacing w:line="480" w:lineRule="auto"/>
      </w:pPr>
      <w:r>
        <w:t xml:space="preserve">Chapter 3. Theoretical Framework and Hypotheses</w:t>
      </w:r>
    </w:p>
    <w:bookmarkStart w:id="92" w:name="purpose-and-scope-of-the-chapter"/>
    <w:p>
      <w:pPr>
        <w:pStyle w:val="Heading2"/>
        <w:spacing w:line="480" w:lineRule="auto"/>
      </w:pPr>
      <w:r>
        <w:t xml:space="preserve">3.1 Purpose and Scope of the Chapter</w:t>
      </w:r>
    </w:p>
    <w:p>
      <w:pPr>
        <w:pStyle w:val="FirstParagraph"/>
        <w:spacing w:line="480" w:lineRule="auto"/>
      </w:pPr>
      <w:r>
        <w:t xml:space="preserve">This chapter constructs the theoretical apparatus that converts a programmatic question into a falsifiable scientific one. The programmatic question is familiar and recurrent: when a science agency holds a fixed budget, is it more efficient to commit that budget to a single planetary flagship or to distribute it across a larger number of smaller, competed missions. The scientific question is narrower and harder to evade. It reduces to a single number. It asks for the value of one parameter, the cost elasticity of cited scientific output, and it stipulates in advance what each possible value of that parameter would imply for the programmatic choice. The work of this chapter is to derive that parameter from an explicit model of how a mission converts dollars into knowledge, to expose the causal logic that links the parameter to the allocation decision, and to state the null and alternative hypotheses with enough precision that a single estimate can decide between them.</w:t>
      </w:r>
    </w:p>
    <w:p>
      <w:pPr>
        <w:pStyle w:val="BodyText"/>
        <w:spacing w:line="480" w:lineRule="auto"/>
        <w:ind w:firstLine="720"/>
      </w:pPr>
      <w:r>
        <w:t xml:space="preserve">The chapter does not estimate the parameter; estimation is the business of the empirical chapters and of the two companion studies that anchor this dissertation. Its task is logically prior. Before a number can adjudicate a dispute, the dispute must be reduced to a number, and the reduction must be honest about what is being assumed, what is being measured, and what would count as refutation. The space-economics literature has long observed that government-directed exploration operates under weak incentives for efficient allocation and under poor aggregation of the dispersed information that would otherwise discipline commitments</w:t>
      </w:r>
      <w:r>
        <w:t xml:space="preserve"> </w:t>
      </w:r>
      <w:hyperlink w:anchor="ref-4">
        <w:r>
          <w:rPr>
            <w:rStyle w:val="Hyperlink"/>
          </w:rPr>
          <w:t xml:space="preserve">[4]</w:t>
        </w:r>
      </w:hyperlink>
      <w:r>
        <w:t xml:space="preserve">. That observation diagnoses a problem but supplies no instrument for testing any particular allocation against any other. The theoretical framework developed here is that missing instrument. It treats the productivity of mission spending not as a matter for consensus but as a quantity with a definite, estimable value whose sign relative to a benchmark is the whole of the contribution.</w:t>
      </w:r>
    </w:p>
    <w:bookmarkEnd w:id="92"/>
    <w:bookmarkStart w:id="93" w:name="the-production-analogy-and-its-limits"/>
    <w:p>
      <w:pPr>
        <w:pStyle w:val="Heading2"/>
        <w:spacing w:line="480" w:lineRule="auto"/>
      </w:pPr>
      <w:r>
        <w:t xml:space="preserve">3.2 The Production Analogy and Its Limits</w:t>
      </w:r>
    </w:p>
    <w:p>
      <w:pPr>
        <w:pStyle w:val="FirstParagraph"/>
        <w:spacing w:line="480" w:lineRule="auto"/>
      </w:pPr>
      <w:r>
        <w:t xml:space="preserve">The framework rests on a single analogy, deliberately spare and openly imperfect. A science mission is modeled as a production unit that transforms a priced input into a measurable output. The priced input is the mission’s lifecycle cost, the dollars committed at confirmation and expended through prime-mission completion. The measurable output is the corpus of refereed publications that the mission’s data enable, weighted by the forward citations those publications accrue. Cost is observable before the spacecraft flies, fixed at a discrete-element level of resolution in the mission-design studies that establish budgets of record</w:t>
      </w:r>
      <w:r>
        <w:t xml:space="preserve"> </w:t>
      </w:r>
      <w:hyperlink w:anchor="ref-2">
        <w:r>
          <w:rPr>
            <w:rStyle w:val="Hyperlink"/>
          </w:rPr>
          <w:t xml:space="preserve">[2]</w:t>
        </w:r>
      </w:hyperlink>
      <w:r>
        <w:t xml:space="preserve">. Cited output is observable only afterward, and it is observable principally through the bibliographic record that the discipline itself maintains, the record that catalogues which publications a given mission’s data made possible</w:t>
      </w:r>
      <w:r>
        <w:t xml:space="preserve"> </w:t>
      </w:r>
      <w:hyperlink w:anchor="ref-6">
        <w:r>
          <w:rPr>
            <w:rStyle w:val="Hyperlink"/>
          </w:rPr>
          <w:t xml:space="preserve">[6]</w:t>
        </w:r>
      </w:hyperlink>
      <w:r>
        <w:t xml:space="preserve">. Between the priced input and the realized output sits a transformation, and the rate at which that transformation scales with the size of the input is the object of the theory.</w:t>
      </w:r>
    </w:p>
    <w:p>
      <w:pPr>
        <w:pStyle w:val="BodyText"/>
        <w:spacing w:line="480" w:lineRule="auto"/>
        <w:ind w:firstLine="720"/>
      </w:pPr>
      <w:r>
        <w:t xml:space="preserve">The analogy to a production function is doing real work, and its limits must be stated at the outset rather than discovered later. A production function in economics relates the quantity of inputs to the quantity of output under a maintained assumption that the inputs are deployed efficiently and that output is homogeneous and countable. Neither assumption holds cleanly for science missions. Mission spending is not deployed under competitive discipline; it is allocated through a decadal consensus process that the same literature flags as structurally prone to inefficiency</w:t>
      </w:r>
      <w:r>
        <w:t xml:space="preserve"> </w:t>
      </w:r>
      <w:hyperlink w:anchor="ref-4">
        <w:r>
          <w:rPr>
            <w:rStyle w:val="Hyperlink"/>
          </w:rPr>
          <w:t xml:space="preserve">[4]</w:t>
        </w:r>
      </w:hyperlink>
      <w:r>
        <w:t xml:space="preserve">, so the function estimated here is a description of realized behavior, not of a frontier that efficient behavior would trace. And scientific output is not homogeneous. A refereed publication on a flagship’s primary objective and a refereed publication on an incidental calibration result are counted alike, yet they are not alike in scientific weight. Citation weighting partially corrects the second problem by letting the community’s own attention discriminate among publications, but it cannot fully homogenize an output that is intrinsically heterogeneous, and it omits value realized in datasets, engineering heritage, and public good that the publication record does not register at all</w:t>
      </w:r>
      <w:r>
        <w:t xml:space="preserve"> </w:t>
      </w:r>
      <w:hyperlink w:anchor="ref-5">
        <w:r>
          <w:rPr>
            <w:rStyle w:val="Hyperlink"/>
          </w:rPr>
          <w:t xml:space="preserve">[5]</w:t>
        </w:r>
      </w:hyperlink>
      <w:r>
        <w:t xml:space="preserve">.</w:t>
      </w:r>
    </w:p>
    <w:p>
      <w:pPr>
        <w:pStyle w:val="BodyText"/>
        <w:spacing w:line="480" w:lineRule="auto"/>
        <w:ind w:firstLine="720"/>
      </w:pPr>
      <w:r>
        <w:t xml:space="preserve">These limits do not defeat the analogy; they bound its interpretation. The framework does not claim that cited publications are scientific knowledge. It claims that cited publications are a measurable, auditable, discipline-sanctioned proxy for the share of scientific knowledge that enters the refereed literature, and that this proxy is the most legible quantity on which a return-per-dollar comparison can presently rest. The estimand is therefore named with care throughout as the elasticity of cited output, never as the elasticity of knowledge, and the gap between the two is treated as a standing limitation rather than as a measurement error to be assumed away. The production analogy is adopted not because missions are factories but because the factory model is the simplest available structure that makes the allocation question quantitative, and quantification is precisely what the prevailing consensus-based justification lacks</w:t>
      </w:r>
      <w:r>
        <w:t xml:space="preserve"> </w:t>
      </w:r>
      <w:hyperlink w:anchor="ref-3">
        <w:r>
          <w:rPr>
            <w:rStyle w:val="Hyperlink"/>
          </w:rPr>
          <w:t xml:space="preserve">[3]</w:t>
        </w:r>
      </w:hyperlink>
      <w:r>
        <w:t xml:space="preserve">.</w:t>
      </w:r>
    </w:p>
    <w:bookmarkEnd w:id="93"/>
    <w:bookmarkStart w:id="94" w:name="Xd2ddcc2fbff00b4d8d1e538529cb88f94c0aa31"/>
    <w:p>
      <w:pPr>
        <w:pStyle w:val="Heading2"/>
        <w:spacing w:line="480" w:lineRule="auto"/>
      </w:pPr>
      <w:r>
        <w:t xml:space="preserve">3.3 The Theoretical Mechanism: Returns to Scale in Mission Spending</w:t>
      </w:r>
    </w:p>
    <w:p>
      <w:pPr>
        <w:pStyle w:val="FirstParagraph"/>
        <w:spacing w:line="480" w:lineRule="auto"/>
      </w:pPr>
      <w:r>
        <w:t xml:space="preserve">The mechanism at the center of the framework is the scaling relationship between cost and cited output, expressed as returns to scale. Consider two missions that differ only in size, one costing twice the other. If the larger mission produces exactly twice the cited output, the transformation exhibits constant returns to scale: each dollar buys the same quantity of cited science regardless of how many dollars precede it, and the per-dollar yield is invariant to mission scale. If the larger mission produces more than twice the cited output, the transformation exhibits increasing returns: dollars become more productive as they accumulate, large missions are disproportionately fruitful, and concentration of budget is efficient. If the larger mission produces less than twice the cited output, the transformation exhibits diminishing returns: each additional dollar buys less cited science than the dollar before it, the marginal product of mission spending falls with scale, and a fixed budget yields more total cited output when spread across smaller units than when concentrated in one large unit.</w:t>
      </w:r>
    </w:p>
    <w:p>
      <w:pPr>
        <w:pStyle w:val="BodyText"/>
        <w:spacing w:line="480" w:lineRule="auto"/>
        <w:ind w:firstLine="720"/>
      </w:pPr>
      <w:r>
        <w:t xml:space="preserve">The economic content of the mechanism lies in why diminishing returns might arise and why increasing returns might offset them. Several forces plausibly push toward diminishing returns. A mission’s scientific yield is bounded by the finite set of questions its instruments are positioned to answer, and beyond some point additional spending buys redundancy, margin, and integration overhead rather than additional discoverable science. The most consequential discoveries of a mission are often front-loaded, concentrated in the first datasets returned, so that a longer and costlier mission accrues publications at a declining marginal rate even as its citation total grows. And the publication record itself saturates: a target that has been observed exhaustively yields diminishing novelty, and the refereed literature rewards novelty. Against these forces stand the classic sources of increasing returns. Larger missions assemble instrument complements whose combined measurements enable cross-instrument science that no single instrument could produce, a complementarity that can make the whole more productive than the sum of its parts. Larger missions also command longer operational lifetimes, and a longer baseline opens classes of investigation, temporal and seasonal, that short missions cannot attempt. The net direction of the scaling relationship is therefore not deducible from theory alone. It is the empirical resultant of opposing forces, and that indeterminacy is exactly why the parameter must be estimated rather than assumed.</w:t>
      </w:r>
    </w:p>
    <w:p>
      <w:pPr>
        <w:pStyle w:val="BodyText"/>
        <w:spacing w:line="480" w:lineRule="auto"/>
        <w:ind w:firstLine="720"/>
      </w:pPr>
      <w:r>
        <w:t xml:space="preserve">The framework formalizes this mechanism by specifying the transformation in log-linear form, so that the relationship between the logarithm of cited output and the logarithm of cost is linear and its slope is a scale-free elasticity. The elasticity is the percentage change in cited output associated with a one-percent change in cost. This functional choice is not innocent, and it is defended on three grounds. First, the elasticity is the natural language of returns to scale: an elasticity equal to one is constant returns, below one is diminishing returns, and above one is increasing returns, so the single slope coefficient carries the entire economic interpretation the mechanism requires. Second, mission costs span more than an order of magnitude, and the logarithmic scale renders observations comparable across that range while reducing the leverage that the largest programs would otherwise exert on the fitted relationship. Third, the log-linear form is the minimal specification that makes the parameter legible to a program planner, who can read a doubling of cost as a fixed multiplicative change in expected output regardless of the absolute scale at which the doubling occurs. The mechanism is thus reduced to one number with a transparent meaning, and the contribution of the dissertation is the disciplined estimation of that number against a stated benchmark.</w:t>
      </w:r>
    </w:p>
    <w:bookmarkEnd w:id="94"/>
    <w:bookmarkStart w:id="95" w:name="X8a1114e297a7dfcd57d321a898e85c6287324cf"/>
    <w:p>
      <w:pPr>
        <w:pStyle w:val="Heading2"/>
        <w:spacing w:line="480" w:lineRule="auto"/>
      </w:pPr>
      <w:r>
        <w:t xml:space="preserve">3.4 The Causal Logic Linking the Parameter to the Allocation Decision</w:t>
      </w:r>
    </w:p>
    <w:p>
      <w:pPr>
        <w:pStyle w:val="FirstParagraph"/>
        <w:spacing w:line="480" w:lineRule="auto"/>
      </w:pPr>
      <w:r>
        <w:t xml:space="preserve">The elasticity matters because of a chain of reasoning that connects its value to a decision a program office actually makes. That chain must be set out explicitly, because the parameter is interesting only insofar as its value changes what an efficient allocator would do.</w:t>
      </w:r>
    </w:p>
    <w:p>
      <w:pPr>
        <w:pStyle w:val="BodyText"/>
        <w:spacing w:line="480" w:lineRule="auto"/>
        <w:ind w:firstLine="720"/>
      </w:pPr>
      <w:r>
        <w:t xml:space="preserve">Begin with a fixed budget and two strategies for spending it. The flagship strategy commits the entire budget to a single mission. The portfolio strategy divides the same budget among several smaller, cost-matched missions whose individual costs sum to the flagship’s cost. The two strategies are, by construction, identical in total dollars committed; they differ only in how those dollars are distributed across production units. The question of which strategy yields more total cited output reduces, under the production analogy, to a question about the curvature of the transformation, which is to say a question about the elasticity. If the elasticity equals one, the transformation is linear in logarithms and the total cited output is invariant to how the budget is partitioned: the flagship and the portfolio produce the same expected cited output per dollar, and an efficient allocator is indifferent between them on science-return grounds. If the elasticity is below one, the transformation is concave in cost, and concavity implies that partitioning a fixed total into smaller pieces raises the sum of outputs: the portfolio dominates the flagship in expected cited output per dollar, and an efficient allocator prefers distribution. If the elasticity is above one, the transformation is convex, partitioning lowers the sum of outputs, and the flagship dominates: concentration is efficient and the flagship logic is vindicated on its own terms.</w:t>
      </w:r>
    </w:p>
    <w:p>
      <w:pPr>
        <w:pStyle w:val="BodyText"/>
        <w:spacing w:line="480" w:lineRule="auto"/>
        <w:ind w:firstLine="720"/>
      </w:pPr>
      <w:r>
        <w:t xml:space="preserve">This is the causal logic in its starkest form, and its starkness is a feature. The allocation decision is shown to hinge on a single, estimable parameter whose benchmark value, one, carries a precise decision-theoretic meaning: it is the value at which the allocator is indifferent and below which the case for distribution opens. The logic does not assert that flagships are inefficient; it asserts that whether they are inefficient is settled by the sign of a measured quantity relative to a stated benchmark. This converts a perennial argument conducted in the register of advocacy into a calculation conducted in the register of evidence, which is the move that adjacent space domains have already made in evaluating data sources against the missions they serve, replacing expert assertion with quantitative, data-driven decision criteria</w:t>
      </w:r>
      <w:r>
        <w:t xml:space="preserve"> </w:t>
      </w:r>
      <w:hyperlink w:anchor="ref-1">
        <w:r>
          <w:rPr>
            <w:rStyle w:val="Hyperlink"/>
          </w:rPr>
          <w:t xml:space="preserve">[1]</w:t>
        </w:r>
      </w:hyperlink>
      <w:r>
        <w:t xml:space="preserve">.</w:t>
      </w:r>
    </w:p>
    <w:p>
      <w:pPr>
        <w:pStyle w:val="BodyText"/>
        <w:spacing w:line="480" w:lineRule="auto"/>
        <w:ind w:firstLine="720"/>
      </w:pPr>
      <w:r>
        <w:t xml:space="preserve">Three qualifications discipline the causal claim and must travel with it wherever the parameter is invoked. The first concerns the homogeneity of the partitioned missions. The logic above treats the smaller missions of the portfolio as scaled-down replicas of the flagship, differing only in size; in practice smaller missions differ in target, instrument complement, and scientific design, so the elasticity estimated across a heterogeneous cross-section describes the average scaling relationship rather than the counterfactual of literally subdividing one mission. The framework conditions on instrument count, operational duration, and target class precisely to bring the estimate closer to a like-for-like scaling comparison, but the residual heterogeneity is a reason to read the implied allocation prescription as directional rather than mechanical. The second qualification concerns the joint determination of cost and scientific ambition. More ambitious missions cost more and are designed to publish more, so cost and latent ambition are not independent, and an elasticity estimated without regard to that dependence conflates the effect of scale with the effect of ambition. The framework treats the estimated elasticity as a conditional association, net of the observable ambition signal carried by instrument count and target class, and explicitly declines to call it a structural causal parameter where unobserved ambition remains. The third qualification concerns the boundary of the output measure. The causal logic governs cited output, and the allocation prescription it yields is a prescription about maximizing cited output per dollar. A mission’s full value exceeds its cited output</w:t>
      </w:r>
      <w:r>
        <w:t xml:space="preserve"> </w:t>
      </w:r>
      <w:hyperlink w:anchor="ref-5">
        <w:r>
          <w:rPr>
            <w:rStyle w:val="Hyperlink"/>
          </w:rPr>
          <w:t xml:space="preserve">[5]</w:t>
        </w:r>
      </w:hyperlink>
      <w:r>
        <w:t xml:space="preserve">, and an allocator who weights uncited value heavily may rationally diverge from the prescription that the elasticity alone would imply. The framework does not adjudicate that weighting; it supplies the cited-output term that any such weighting must take as one input.</w:t>
      </w:r>
    </w:p>
    <w:p>
      <w:pPr>
        <w:pStyle w:val="BodyText"/>
        <w:spacing w:line="480" w:lineRule="auto"/>
        <w:ind w:firstLine="720"/>
      </w:pPr>
      <w:r>
        <w:t xml:space="preserve">The causal logic, so qualified, is what gives the parameter its force. It is not a curiosity of measurement but the hinge on which an allocation decision turns, and the value of the parameter relative to one is the difference between a portfolio prescription, an indifference result, and a flagship vindication.</w:t>
      </w:r>
    </w:p>
    <w:bookmarkEnd w:id="95"/>
    <w:bookmarkStart w:id="96" w:name="X5f34922b6f695f8061263aa751dafc4f98880e3"/>
    <w:p>
      <w:pPr>
        <w:pStyle w:val="Heading2"/>
        <w:spacing w:line="480" w:lineRule="auto"/>
      </w:pPr>
      <w:r>
        <w:t xml:space="preserve">3.5 Situating the Mechanism Against the Bracketing Literatures</w:t>
      </w:r>
    </w:p>
    <w:p>
      <w:pPr>
        <w:pStyle w:val="FirstParagraph"/>
        <w:spacing w:line="480" w:lineRule="auto"/>
      </w:pPr>
      <w:r>
        <w:t xml:space="preserve">The mechanism is novel as a falsifiable productivity function, but it is not unmoored. It sits between two established literatures that bracket the gap without closing it, and locating it precisely against each sharpens what the framework adds.</w:t>
      </w:r>
    </w:p>
    <w:p>
      <w:pPr>
        <w:pStyle w:val="BodyText"/>
        <w:spacing w:line="480" w:lineRule="auto"/>
        <w:ind w:firstLine="720"/>
      </w:pPr>
      <w:r>
        <w:t xml:space="preserve">On the cost side, mission-design scholarship produces detailed and defensible lifecycle estimates keyed to specified instrument complements, as the interstellar-probe concept study demonstrates in assembling a discrete-element cost estimate against a named payload and investigator set</w:t>
      </w:r>
      <w:r>
        <w:t xml:space="preserve"> </w:t>
      </w:r>
      <w:hyperlink w:anchor="ref-2">
        <w:r>
          <w:rPr>
            <w:rStyle w:val="Hyperlink"/>
          </w:rPr>
          <w:t xml:space="preserve">[2]</w:t>
        </w:r>
      </w:hyperlink>
      <w:r>
        <w:t xml:space="preserve">. This literature is rigorous about the priced input and silent about realized output, which it cannot observe at the design stage. The framework borrows its cost discipline and supplies the output side it lacks. On the value side, the space-economics literature establishes that exploration generates knowledge value beyond direct financial return</w:t>
      </w:r>
      <w:r>
        <w:t xml:space="preserve"> </w:t>
      </w:r>
      <w:hyperlink w:anchor="ref-5">
        <w:r>
          <w:rPr>
            <w:rStyle w:val="Hyperlink"/>
          </w:rPr>
          <w:t xml:space="preserve">[5]</w:t>
        </w:r>
      </w:hyperlink>
      <w:r>
        <w:t xml:space="preserve"> </w:t>
      </w:r>
      <w:r>
        <w:t xml:space="preserve">and that government-directed allocation is structurally prone to inefficiency</w:t>
      </w:r>
      <w:r>
        <w:t xml:space="preserve"> </w:t>
      </w:r>
      <w:hyperlink w:anchor="ref-4">
        <w:r>
          <w:rPr>
            <w:rStyle w:val="Hyperlink"/>
          </w:rPr>
          <w:t xml:space="preserve">[4]</w:t>
        </w:r>
      </w:hyperlink>
      <w:r>
        <w:t xml:space="preserve">, and it observes that basic-science funding is justified through downstream contribution rather than through any measured rate of return</w:t>
      </w:r>
      <w:r>
        <w:t xml:space="preserve"> </w:t>
      </w:r>
      <w:hyperlink w:anchor="ref-3">
        <w:r>
          <w:rPr>
            <w:rStyle w:val="Hyperlink"/>
          </w:rPr>
          <w:t xml:space="preserve">[3]</w:t>
        </w:r>
      </w:hyperlink>
      <w:r>
        <w:t xml:space="preserve">. This literature identifies the absence of a return measure as a problem but stops short of the parametric production function that would constitute one. The framework supplies that function and, with it, the missing rate of return in its cited-output form. The bibliometric record that makes the output side estimable is itself a maintained scientific resource: the documented analysis of mission publication libraries shows that mission-attributed publication corpora can be assembled and counted under a uniform inclusion criterion across an order-of-magnitude range of mission productivity</w:t>
      </w:r>
      <w:r>
        <w:t xml:space="preserve"> </w:t>
      </w:r>
      <w:hyperlink w:anchor="ref-6">
        <w:r>
          <w:rPr>
            <w:rStyle w:val="Hyperlink"/>
          </w:rPr>
          <w:t xml:space="preserve">[6]</w:t>
        </w:r>
      </w:hyperlink>
      <w:r>
        <w:t xml:space="preserve">.</w:t>
      </w:r>
    </w:p>
    <w:p>
      <w:pPr>
        <w:pStyle w:val="BodyText"/>
        <w:spacing w:line="480" w:lineRule="auto"/>
        <w:ind w:firstLine="720"/>
      </w:pPr>
      <w:r>
        <w:t xml:space="preserve">A third, methodological current confirms that the move the framework makes is a move the field is already making elsewhere. Mission-oriented evaluation frameworks in the space-domain-awareness community now score the value of a data source against the mission it serves using quantitative, data-driven decision criteria rather than expert assertion</w:t>
      </w:r>
      <w:r>
        <w:t xml:space="preserve"> </w:t>
      </w:r>
      <w:hyperlink w:anchor="ref-1">
        <w:r>
          <w:rPr>
            <w:rStyle w:val="Hyperlink"/>
          </w:rPr>
          <w:t xml:space="preserve">[1]</w:t>
        </w:r>
      </w:hyperlink>
      <w:r>
        <w:t xml:space="preserve">, and time-to-event methods have migrated into the same domain to model the rate at which an event materializes in an observation record</w:t>
      </w:r>
      <w:r>
        <w:t xml:space="preserve"> </w:t>
      </w:r>
      <w:hyperlink w:anchor="ref-7">
        <w:r>
          <w:rPr>
            <w:rStyle w:val="Hyperlink"/>
          </w:rPr>
          <w:t xml:space="preserve">[7]</w:t>
        </w:r>
      </w:hyperlink>
      <w:r>
        <w:t xml:space="preserve">. The present framework applies the identical logic, the replacement of assertion by an estimated parameter, to planetary-mission valuation. The mechanism is thus not an importation foreign to space research but the extension to mission-cost efficiency of a measurement posture the discipline has begun to adopt for adjacent questions.</w:t>
      </w:r>
    </w:p>
    <w:bookmarkEnd w:id="96"/>
    <w:bookmarkStart w:id="97" w:name="formal-statement-of-the-hypotheses"/>
    <w:p>
      <w:pPr>
        <w:pStyle w:val="Heading2"/>
        <w:spacing w:line="480" w:lineRule="auto"/>
      </w:pPr>
      <w:r>
        <w:t xml:space="preserve">3.6 Formal Statement of the Hypotheses</w:t>
      </w:r>
    </w:p>
    <w:p>
      <w:pPr>
        <w:pStyle w:val="FirstParagraph"/>
        <w:spacing w:line="480" w:lineRule="auto"/>
      </w:pPr>
      <w:r>
        <w:t xml:space="preserve">The framework reduces the allocation question to a test on a single parameter, and the hypotheses state that test exactly. Let cited scientific output be the citation-weighted count of refereed publications attributed to a mission within a fixed window after its prime-mission completion, and let cost be the mission’s inflation-adjusted lifecycle cost. The productivity function is specified in log-linear form, and the parameter of interest is the coefficient on log cost, which is the cost elasticity of cited scientific output. Denote that elasticity by its theoretical role rather than by a presumed value: it is the quantity whose relationship to one decides the allocation question.</w:t>
      </w:r>
    </w:p>
    <w:p>
      <w:pPr>
        <w:pStyle w:val="BodyText"/>
        <w:spacing w:line="480" w:lineRule="auto"/>
        <w:ind w:firstLine="720"/>
      </w:pPr>
      <w:r>
        <w:rPr>
          <w:b/>
          <w:bCs/>
        </w:rPr>
        <w:t xml:space="preserve">H0 (null hypothesis):</w:t>
      </w:r>
      <w:r>
        <w:t xml:space="preserve"> </w:t>
      </w:r>
      <w:r>
        <w:t xml:space="preserve">The cost elasticity of cited scientific output equals one. Cited output scales linearly with cost. Under H0 the transformation from dollars to cited science exhibits constant returns to scale, the per-dollar yield is invariant to mission size, and a single flagship and a cost-matched portfolio of smaller missions yield equal expected cited output per dollar. An efficient allocator is indifferent between concentration and distribution on science-return grounds, and the flagship logic stands unrefuted.</w:t>
      </w:r>
    </w:p>
    <w:p>
      <w:pPr>
        <w:pStyle w:val="BodyText"/>
        <w:spacing w:line="480" w:lineRule="auto"/>
        <w:ind w:firstLine="720"/>
      </w:pPr>
      <w:r>
        <w:rPr>
          <w:b/>
          <w:bCs/>
        </w:rPr>
        <w:t xml:space="preserve">H1 (alternative hypothesis):</w:t>
      </w:r>
      <w:r>
        <w:t xml:space="preserve"> </w:t>
      </w:r>
      <w:r>
        <w:t xml:space="preserve">The cost elasticity of cited scientific output is less than one. Cited output scales sublinearly with cost. Under H1 the transformation exhibits diminishing returns to scale, the marginal product of mission spending falls as missions grow, and a cost-matched portfolio of smaller missions yields greater expected cited output per dollar than a single flagship. An efficient allocator who maximizes cited output per dollar prefers distribution to concentration.</w:t>
      </w:r>
    </w:p>
    <w:p>
      <w:pPr>
        <w:pStyle w:val="BodyText"/>
        <w:spacing w:line="480" w:lineRule="auto"/>
        <w:ind w:firstLine="720"/>
      </w:pPr>
      <w:r>
        <w:t xml:space="preserve">The test is one-sided in its substantive interest, because the policy-relevant departure from constant returns is the sublinear one that would favor a distributed portfolio. The null is nonetheless stated as a point hypothesis at an elasticity of one rather than as a composite inequality, because the value one is the precise decision-theoretic benchmark at which the allocator is indifferent, and a point null permits the cleanest reading of where the estimated interval falls relative to that benchmark. An estimated elasticity whose confidence interval lies entirely below one supports H1 and the portfolio prescription. An interval that contains one leaves H0 standing and the flagship logic in contention. An interval lying entirely above one would indicate increasing returns, would refute H1 outright, and would vindicate concentration; the framework admits this outcome as fully possible and treats its exclusion as an empirical result to be earned rather than assumed.</w:t>
      </w:r>
    </w:p>
    <w:bookmarkEnd w:id="97"/>
    <w:bookmarkStart w:id="98" w:name="X4e58b869c53f85d1a274959f28aedbbf47a9741"/>
    <w:p>
      <w:pPr>
        <w:pStyle w:val="Heading2"/>
        <w:spacing w:line="480" w:lineRule="auto"/>
      </w:pPr>
      <w:r>
        <w:t xml:space="preserve">3.7 Falsifiability, Auxiliary Predictions, and the Posture of the Test</w:t>
      </w:r>
    </w:p>
    <w:p>
      <w:pPr>
        <w:pStyle w:val="FirstParagraph"/>
        <w:spacing w:line="480" w:lineRule="auto"/>
      </w:pPr>
      <w:r>
        <w:t xml:space="preserve">The hypotheses are falsifiable in the strict sense that their outcome is not known in advance and that any of the bracketing literatures could in principle overturn the framework’s expectation. H1 predicts a measurable quantity, an elasticity below one, and stakes itself on that prediction; an elasticity statistically indistinguishable from one, or convincingly above one, refutes H1 and is a live possibility the data may deliver. The companion productivity study in this dissertation already supplies a first estimate that illustrates both the form of the test and its present indeterminacy: a fitted elasticity whose point value lies well below one and points toward the sublinear signature H1 predicts, paired with a confidence interval wide enough to contain one and therefore to leave H0 statistically admissible. That result is not a verdict but a demonstration that the parameter is estimable, that its point estimate has a definite sign relative to the benchmark, and that the scarcity of large missions, not any defect of method, is what governs the width of the interval and the consequent strength of any conclusion.</w:t>
      </w:r>
    </w:p>
    <w:p>
      <w:pPr>
        <w:pStyle w:val="BodyText"/>
        <w:spacing w:line="480" w:lineRule="auto"/>
        <w:ind w:firstLine="720"/>
      </w:pPr>
      <w:r>
        <w:t xml:space="preserve">The framework also generates an auxiliary prediction about the input side that the second companion study tests, and the relationship between the two predictions clarifies the boundary of the present hypotheses. If higher cost raised the schedule-slip hazard of missions, then the realized cost of a flagship would understate its true economic burden, since slip defers the very scientific output that justifies the expenditure and imposes marching-army costs along the way; the cost regressor in the productivity function would then be a conservative measure of the input, and the case for distribution would be strengthened on grounds the elasticity alone does not capture. The hazard study tests that auxiliary proposition with time-to-event methods of the kind that have entered the space domain for modeling event occurrence in observation records</w:t>
      </w:r>
      <w:r>
        <w:t xml:space="preserve"> </w:t>
      </w:r>
      <w:hyperlink w:anchor="ref-7">
        <w:r>
          <w:rPr>
            <w:rStyle w:val="Hyperlink"/>
          </w:rPr>
          <w:t xml:space="preserve">[7]</w:t>
        </w:r>
      </w:hyperlink>
      <w:r>
        <w:t xml:space="preserve">, and reports that cost and instrument complexity do not raise the slip hazard in the documented sample. That finding does not bear on the elasticity directly, and the present chapter does not condition H0 or H1 on it. It is recorded here only to mark the boundary of the productivity hypotheses precisely: the elasticity governs realized cited output against realized cost, and the schedule dimension of the input is a separate, separately testable proposition rather than a hidden premise of the test stated in Section 3.6.</w:t>
      </w:r>
    </w:p>
    <w:p>
      <w:pPr>
        <w:pStyle w:val="BodyText"/>
        <w:spacing w:line="480" w:lineRule="auto"/>
        <w:ind w:firstLine="720"/>
      </w:pPr>
      <w:r>
        <w:t xml:space="preserve">The posture of the test, finally, is the posture the framework was built to enforce. It is not the posture of an advocate seeking to indict flagship missions, and the hypotheses are deliberately structured so that the flagship logic can survive. H0 is the benchmark that vindicates concentration, and it stands unless the evidence convincingly displaces it; the burden of proof rests on H1 and on the portfolio prescription it implies. This allocation of the burden is the appropriate one for a question that the efficiency concerns endemic to government-directed exploration make worth measuring even where a fully precise estimate is out of reach</w:t>
      </w:r>
      <w:r>
        <w:t xml:space="preserve"> </w:t>
      </w:r>
      <w:hyperlink w:anchor="ref-4">
        <w:r>
          <w:rPr>
            <w:rStyle w:val="Hyperlink"/>
          </w:rPr>
          <w:t xml:space="preserve">[4]</w:t>
        </w:r>
      </w:hyperlink>
      <w:r>
        <w:t xml:space="preserve">. The contribution of the framework is therefore not a conclusion but a conversion: it takes a recurring decadal dispute settled by qualitative consensus</w:t>
      </w:r>
      <w:r>
        <w:t xml:space="preserve"> </w:t>
      </w:r>
      <w:hyperlink w:anchor="ref-3">
        <w:r>
          <w:rPr>
            <w:rStyle w:val="Hyperlink"/>
          </w:rPr>
          <w:t xml:space="preserve">[3]</w:t>
        </w:r>
      </w:hyperlink>
      <w:r>
        <w:t xml:space="preserve"> </w:t>
      </w:r>
      <w:r>
        <w:t xml:space="preserve">and renders it as a measurement whose outcome is not foreordained, whose benchmark carries a precise decision-theoretic meaning, and whose refutation conditions are stated in advance. The chapters that follow estimate the parameter and confront the hypotheses with evidence; this chapter has established why a single number, read against the value one, is entitled to decide a question that advocacy has never settled.</w:t>
      </w:r>
    </w:p>
    <w:bookmarkEnd w:id="98"/>
    <w:bookmarkEnd w:id="99"/>
    <w:bookmarkStart w:id="117" w:name="chapter-4.-data-and-measurement"/>
    <w:p>
      <w:pPr>
        <w:pStyle w:val="Heading1"/>
        <w:spacing w:line="480" w:lineRule="auto"/>
      </w:pPr>
      <w:r>
        <w:t xml:space="preserve">Chapter 4. Data and Measurement</w:t>
      </w:r>
    </w:p>
    <w:bookmarkStart w:id="100" w:name="purpose-and-scope-of-the-chapter-1"/>
    <w:p>
      <w:pPr>
        <w:pStyle w:val="Heading2"/>
        <w:spacing w:line="480" w:lineRule="auto"/>
      </w:pPr>
      <w:r>
        <w:t xml:space="preserve">4.1 Purpose and Scope of the Chapter</w:t>
      </w:r>
    </w:p>
    <w:p>
      <w:pPr>
        <w:pStyle w:val="FirstParagraph"/>
        <w:spacing w:line="480" w:lineRule="auto"/>
      </w:pPr>
      <w:r>
        <w:t xml:space="preserve">The two empirical studies that anchor this dissertation share a single ambition: to convert a question about the productivity of planetary flagship missions, normally settled by consensus, into one that can be settled by a measured parameter. That ambition is only as credible as the data from which the parameter is estimated. The data must bear the weight. This chapter therefore documents, with the precision a reviewer would require to reproduce the analysis, the real datasets used in the productivity study and in the schedule-hazard study, the authoritative sources from which each variable is drawn, the unit of analysis common to both, and the rule by which every variable is constructed from primary records.</w:t>
      </w:r>
    </w:p>
    <w:p>
      <w:pPr>
        <w:pStyle w:val="BodyText"/>
        <w:spacing w:line="480" w:lineRule="auto"/>
        <w:ind w:firstLine="720"/>
      </w:pPr>
      <w:r>
        <w:t xml:space="preserve">The chapter proceeds from the general to the particular. Section 4.2 fixes the unit of analysis and the population from which the two samples are drawn. Section 4.3 describes the bibliometric output data and its canonical source. Section 4.4 documents the cost data and the deflation procedure that renders it comparable across decadal eras. Section 4.5 treats the schedule and event data that drive the hazard model. Section 4.6 specifies the covariates and supporting variables common to both studies. Section 4.7 addresses provenance, reproducibility, and the explicit marking of any figure whose construction required an inference beyond a direct documented record. The governing principle throughout is that every observation must trace to a named, retrievable source, and that no number is asserted that cannot be tied back to a primary record.</w:t>
      </w:r>
    </w:p>
    <w:p>
      <w:pPr>
        <w:pStyle w:val="BodyText"/>
        <w:spacing w:line="480" w:lineRule="auto"/>
        <w:ind w:firstLine="720"/>
      </w:pPr>
      <w:r>
        <w:t xml:space="preserve">This discipline is not merely procedural hygiene. The motivating literature holds that government-directed exploration is structurally prone to weak allocative incentives and to the poor aggregation of dispersed information that would otherwise discipline commitments</w:t>
      </w:r>
      <w:r>
        <w:t xml:space="preserve"> </w:t>
      </w:r>
      <w:hyperlink w:anchor="ref-4">
        <w:r>
          <w:rPr>
            <w:rStyle w:val="Hyperlink"/>
          </w:rPr>
          <w:t xml:space="preserve">[4]</w:t>
        </w:r>
      </w:hyperlink>
      <w:r>
        <w:t xml:space="preserve">. A productivity or hazard estimate offered into that environment carries weight only if its inputs are auditable, because the entire methodological contribution is to substitute a transparent measurement for an opaque consensus</w:t>
      </w:r>
      <w:r>
        <w:t xml:space="preserve"> </w:t>
      </w:r>
      <w:hyperlink w:anchor="ref-1">
        <w:r>
          <w:rPr>
            <w:rStyle w:val="Hyperlink"/>
          </w:rPr>
          <w:t xml:space="preserve">[1]</w:t>
        </w:r>
      </w:hyperlink>
      <w:r>
        <w:t xml:space="preserve">. Auditable data is the precondition for that substitution, not an afterthought to it.</w:t>
      </w:r>
    </w:p>
    <w:bookmarkEnd w:id="100"/>
    <w:bookmarkStart w:id="101" w:name="unit-of-analysis-and-population"/>
    <w:p>
      <w:pPr>
        <w:pStyle w:val="Heading2"/>
        <w:spacing w:line="480" w:lineRule="auto"/>
      </w:pPr>
      <w:r>
        <w:t xml:space="preserve">4.2 Unit of Analysis and Population</w:t>
      </w:r>
    </w:p>
    <w:p>
      <w:pPr>
        <w:pStyle w:val="FirstParagraph"/>
        <w:spacing w:line="480" w:lineRule="auto"/>
      </w:pPr>
      <w:r>
        <w:t xml:space="preserve">The unit of analysis in both studies is the individual mission. A mission is the fundamental observation because it is the level at which the priced input is committed and at which the realized output is attributed. A program office does not allocate dollars to a publication or to a single instrument; it allocates them to a mission, confirmed at a milestone that fixes a cost baseline and a launch date. The scientific corpus that the literature uses to document mission value is likewise organized by mission, through the named bibliographies that the discipline maintains for each spacecraft. Selecting the mission as the unit therefore aligns the analytic object with the object of the decision the studies are designed to inform.</w:t>
      </w:r>
    </w:p>
    <w:p>
      <w:pPr>
        <w:pStyle w:val="BodyText"/>
        <w:spacing w:line="480" w:lineRule="auto"/>
        <w:ind w:firstLine="720"/>
      </w:pPr>
      <w:r>
        <w:t xml:space="preserve">The population of interest is the set of planetary and major space science missions for which both a priced input and a realized output, or in the hazard study a documented schedule history, are observable in named sources. That population is intrinsically small. The number of flagship-class planetary missions ever flown is measured in the low dozens, and the requirement that each carry an auditable cost figure and an auditable output or schedule record narrows it further. The two studies draw overlapping but distinct samples from this population, dictated by which records exist for which missions.</w:t>
      </w:r>
    </w:p>
    <w:p>
      <w:pPr>
        <w:pStyle w:val="BodyText"/>
        <w:spacing w:line="480" w:lineRule="auto"/>
        <w:ind w:firstLine="720"/>
      </w:pPr>
      <w:r>
        <w:t xml:space="preserve">The productivity study assembles twenty-one space science missions for which both a lifecycle cost and a refereed publication count are documented in named sources. The sample is deliberately broadened beyond the strictest definition of a planetary flagship to include long-lived observatories and smaller competed missions, so that the cost regressor spans an order-of-magnitude range from roughly one hundred million dollars for Chandrayaan-1 to several billion for Cassini-Huygens, and the output variable spans from seventy refereed publications for SMART-1 to several thousand for the longest-lived observatories. This range is essential: an elasticity is estimated from variation, and a sample compressed into a narrow cost band would yield an uninformative slope regardless of the underlying relationship.</w:t>
      </w:r>
    </w:p>
    <w:p>
      <w:pPr>
        <w:pStyle w:val="BodyText"/>
        <w:spacing w:line="480" w:lineRule="auto"/>
        <w:ind w:firstLine="720"/>
      </w:pPr>
      <w:r>
        <w:t xml:space="preserve">The schedule-hazard study assembles twenty-two NASA planetary and major science missions confirmed between the early 1980s and the mid-2010s and launched between 1989 and 2024. This sample is drawn to span Discovery, New Frontiers, and flagship-class planetary missions, supplemented by a set of major astrophysics, heliophysics, and Earth-science missions chosen to broaden the cost and complexity range. The broadening serves the same purpose as in the productivity study: a hazard model identifies covariate effects from contrast across the sample, and a sample restricted to a single mission class would not exhibit the cost and complexity variation the model is built to exploit.</w:t>
      </w:r>
    </w:p>
    <w:p>
      <w:pPr>
        <w:pStyle w:val="BodyText"/>
        <w:spacing w:line="480" w:lineRule="auto"/>
        <w:ind w:firstLine="720"/>
      </w:pPr>
      <w:r>
        <w:t xml:space="preserve">The small size of both samples is a property of the world rather than a defect of the design. There are only so many flagships from which to estimate a flagship elasticity, and only so many confirmed missions from which to estimate a slip hazard. The measurement consequences of that scarcity, principally the width of the resulting confidence intervals, are taken up in the studies themselves; the present chapter records only that the samples exhaust the readily documentable population rather than subsampling it.</w:t>
      </w:r>
    </w:p>
    <w:bookmarkEnd w:id="101"/>
    <w:bookmarkStart w:id="104" w:name="X6eb2e68745e83ad0bd3bf768dcfd18503ea99b4"/>
    <w:p>
      <w:pPr>
        <w:pStyle w:val="Heading2"/>
        <w:spacing w:line="480" w:lineRule="auto"/>
      </w:pPr>
      <w:r>
        <w:t xml:space="preserve">4.3 The Output Variable: Refereed Publication Counts</w:t>
      </w:r>
    </w:p>
    <w:p>
      <w:pPr>
        <w:pStyle w:val="FirstParagraph"/>
        <w:spacing w:line="480" w:lineRule="auto"/>
      </w:pPr>
      <w:r>
        <w:t xml:space="preserve">The dependent variable of the productivity study is the realized scientific output of a mission, operationalized as the count of refereed publications attributed to that mission. The construction of this variable rests on a single authoritative source and a single uniform inclusion rule, both chosen to ensure that variation in the measured output reflects variation in scientific productivity rather than variation in counting convention.</w:t>
      </w:r>
    </w:p>
    <w:bookmarkStart w:id="102" w:name="authoritative-source"/>
    <w:p>
      <w:pPr>
        <w:pStyle w:val="Heading3"/>
        <w:spacing w:line="480" w:lineRule="auto"/>
      </w:pPr>
      <w:r>
        <w:t xml:space="preserve">4.3.1 Authoritative Source</w:t>
      </w:r>
    </w:p>
    <w:p>
      <w:pPr>
        <w:pStyle w:val="FirstParagraph"/>
        <w:spacing w:line="480" w:lineRule="auto"/>
      </w:pPr>
      <w:r>
        <w:t xml:space="preserve">The discipline’s comprehensive bibliographic database for astronomy and planetary science is the NASA Astrophysics Data System, hereafter ADS. ADS records, for each publication, its refereed venue, its publication year, and its forward-citation count, and it supports query by mission-associated keywords and by curated bibliographic groups. ADS is the canonical instrument that planetary scientists themselves use to document mission productivity, it is freely queryable under a public API token, and its records are reproducible by any reviewer holding only that token. The prospectus for this dissertation identifies ADS as the specific, real, obtainable source for the output measure, and the productivity study draws its publication counts from a source backed by ADS.</w:t>
      </w:r>
    </w:p>
    <w:p>
      <w:pPr>
        <w:pStyle w:val="BodyText"/>
        <w:spacing w:line="480" w:lineRule="auto"/>
        <w:ind w:firstLine="720"/>
      </w:pPr>
      <w:r>
        <w:t xml:space="preserve">The specific provenance of the output counts in the productivity study is De Marchi and Parmar’s published analysis of the ESA Science Programme mission publication libraries</w:t>
      </w:r>
      <w:r>
        <w:t xml:space="preserve"> </w:t>
      </w:r>
      <w:hyperlink w:anchor="ref-6">
        <w:r>
          <w:rPr>
            <w:rStyle w:val="Hyperlink"/>
          </w:rPr>
          <w:t xml:space="preserve">[6]</w:t>
        </w:r>
      </w:hyperlink>
      <w:r>
        <w:t xml:space="preserve">. That analysis reports, mission by mission, the total number of refereed publications attributed to each ESA Science Programme mission through the end of 2021, and the underlying mission publication libraries are themselves maintained against the NASA Astrophysics Data System. Using De Marchi and Parmar</w:t>
      </w:r>
      <w:r>
        <w:t xml:space="preserve"> </w:t>
      </w:r>
      <w:hyperlink w:anchor="ref-6">
        <w:r>
          <w:rPr>
            <w:rStyle w:val="Hyperlink"/>
          </w:rPr>
          <w:t xml:space="preserve">[6]</w:t>
        </w:r>
      </w:hyperlink>
      <w:r>
        <w:t xml:space="preserve"> </w:t>
      </w:r>
      <w:r>
        <w:t xml:space="preserve">as the proximate source rather than querying ADS mission by mission is a deliberate design choice, and the reasons for it are taken up in the next subsection.</w:t>
      </w:r>
    </w:p>
    <w:bookmarkEnd w:id="102"/>
    <w:bookmarkStart w:id="103" w:name="construction-from-primary-records"/>
    <w:p>
      <w:pPr>
        <w:pStyle w:val="Heading3"/>
        <w:spacing w:line="480" w:lineRule="auto"/>
      </w:pPr>
      <w:r>
        <w:t xml:space="preserve">4.3.2 Construction from Primary Records</w:t>
      </w:r>
    </w:p>
    <w:p>
      <w:pPr>
        <w:pStyle w:val="FirstParagraph"/>
        <w:spacing w:line="480" w:lineRule="auto"/>
      </w:pPr>
      <w:r>
        <w:t xml:space="preserve">The output variable for each mission is the total count of refereed publications attributed to that mission through a common cutoff, the end of 2021, as reported in De Marchi and Parmar</w:t>
      </w:r>
      <w:r>
        <w:t xml:space="preserve"> </w:t>
      </w:r>
      <w:hyperlink w:anchor="ref-6">
        <w:r>
          <w:rPr>
            <w:rStyle w:val="Hyperlink"/>
          </w:rPr>
          <w:t xml:space="preserve">[6]</w:t>
        </w:r>
      </w:hyperlink>
      <w:r>
        <w:t xml:space="preserve">. Three properties of this construction are load-bearing.</w:t>
      </w:r>
    </w:p>
    <w:p>
      <w:pPr>
        <w:pStyle w:val="BodyText"/>
        <w:spacing w:line="480" w:lineRule="auto"/>
        <w:ind w:firstLine="720"/>
      </w:pPr>
      <w:r>
        <w:t xml:space="preserve">First, the inclusion criterion is uniform across every mission. Because all counts come from a single published source that applies one rule for what constitutes a refereed publication attributable to a mission, the difference between SMART-1’s seventy publications and an observatory’s several thousand reflects a difference in scientific productivity, not a difference in how productivity was tallied. Had counts been assembled from heterogeneous mission-team bibliographies, each maintained to its own standard, the resulting variation would have conflated genuine productivity differences with counting-convention differences, and the elasticity would have been an artifact of measurement heterogeneity. The single-source choice purchases internal consistency at the acceptable cost of restricting the sample to missions covered by that source.</w:t>
      </w:r>
    </w:p>
    <w:p>
      <w:pPr>
        <w:pStyle w:val="BodyText"/>
        <w:spacing w:line="480" w:lineRule="auto"/>
        <w:ind w:firstLine="720"/>
      </w:pPr>
      <w:r>
        <w:t xml:space="preserve">Second, the count is a refereed count. Conference abstracts, technical memoranda, and other grey literature are excluded by the source’s inclusion rule. This aligns the output measure with the peer-reviewed corpus that the dissertation treats as the measurable output of the production process, and it deliberately omits forms of mission value, including datasets, engineering heritage, and public good, that the literature does not capture</w:t>
      </w:r>
      <w:r>
        <w:t xml:space="preserve"> </w:t>
      </w:r>
      <w:hyperlink w:anchor="ref-5">
        <w:r>
          <w:rPr>
            <w:rStyle w:val="Hyperlink"/>
          </w:rPr>
          <w:t xml:space="preserve">[5]</w:t>
        </w:r>
      </w:hyperlink>
      <w:r>
        <w:t xml:space="preserve">. The estimand is consequently the elasticity of refereed output, and the construction makes no claim on uncited or non-published value.</w:t>
      </w:r>
    </w:p>
    <w:p>
      <w:pPr>
        <w:pStyle w:val="BodyText"/>
        <w:spacing w:line="480" w:lineRule="auto"/>
        <w:ind w:firstLine="720"/>
      </w:pPr>
      <w:r>
        <w:t xml:space="preserve">Third, the count is taken at a fixed cutoff date common to all missions. Citation and publication corpora grow without bound as long as a mission’s data remain in use, so a count is meaningful only relative to a stated retrieval horizon. Fixing the horizon at the end of 2021 standardizes the accrual window across missions of different ages, though it does not equalize it: a longer-lived mission has had more time to accrue publications by the common cutoff, a confounding feature addressed analytically in the studies rather than at the data-construction stage.</w:t>
      </w:r>
    </w:p>
    <w:p>
      <w:pPr>
        <w:pStyle w:val="BodyText"/>
        <w:spacing w:line="480" w:lineRule="auto"/>
        <w:ind w:firstLine="720"/>
      </w:pPr>
      <w:r>
        <w:t xml:space="preserve">The output variable enters the baseline productivity model in natural-logarithm form, consistent with the log-log specification whose slope is the cost elasticity. The logarithmic transform is a modeling choice rather than a data-construction choice, and it is documented here only to note that the raw recorded variable is the integer publication count and that the transform is applied at estimation.</w:t>
      </w:r>
    </w:p>
    <w:bookmarkEnd w:id="103"/>
    <w:bookmarkEnd w:id="104"/>
    <w:bookmarkStart w:id="108" w:name="Xaf4196b8d51a46c3438c2e19a510850d4ebf2de"/>
    <w:p>
      <w:pPr>
        <w:pStyle w:val="Heading2"/>
        <w:spacing w:line="480" w:lineRule="auto"/>
      </w:pPr>
      <w:r>
        <w:t xml:space="preserve">4.4 The Cost Variable: Lifecycle and Development Cost</w:t>
      </w:r>
    </w:p>
    <w:p>
      <w:pPr>
        <w:pStyle w:val="FirstParagraph"/>
        <w:spacing w:line="480" w:lineRule="auto"/>
      </w:pPr>
      <w:r>
        <w:t xml:space="preserve">Both studies require a priced-input variable, and in both the input is the dollar commitment to the mission. The productivity study uses lifecycle cost; the hazard study uses development cost. The two are constructed from the same families of primary records and subjected to the same deflation discipline, but they are conceptually distinct, and the distinction is preserved throughout.</w:t>
      </w:r>
    </w:p>
    <w:bookmarkStart w:id="105" w:name="authoritative-sources"/>
    <w:p>
      <w:pPr>
        <w:pStyle w:val="Heading3"/>
        <w:spacing w:line="480" w:lineRule="auto"/>
      </w:pPr>
      <w:r>
        <w:t xml:space="preserve">4.4.1 Authoritative Sources</w:t>
      </w:r>
    </w:p>
    <w:p>
      <w:pPr>
        <w:pStyle w:val="FirstParagraph"/>
        <w:spacing w:line="480" w:lineRule="auto"/>
      </w:pPr>
      <w:r>
        <w:t xml:space="preserve">Cost figures are drawn from primary agency and oversight records: NASA, the European Space Agency, the Japan Aerospace Exploration Agency, the Indian Space Research Organisation, and the United States Government Accountability Office, as reported in mission documentation. For the hazard study, the cost figures and the associated schedule and instrument records are drawn from NASA and Jet Propulsion Laboratory press kits and from sourced mission documentation. Where a mission’s cost is documented at discrete-element resolution in a peer-reviewed mission-design study, as the interstellar-probe concept study documents cost against a specified instrument complement and a named set of principal investigators</w:t>
      </w:r>
      <w:r>
        <w:t xml:space="preserve"> </w:t>
      </w:r>
      <w:hyperlink w:anchor="ref-2">
        <w:r>
          <w:rPr>
            <w:rStyle w:val="Hyperlink"/>
          </w:rPr>
          <w:t xml:space="preserve">[2]</w:t>
        </w:r>
      </w:hyperlink>
      <w:r>
        <w:t xml:space="preserve">, that resolution is the preferred basis because it reduces measurement error in the regressor relative to a top-line program total. Every observation carries its own source citation in the final column of the data file, so that no cost figure is orphaned from the record that supports it.</w:t>
      </w:r>
    </w:p>
    <w:bookmarkEnd w:id="105"/>
    <w:bookmarkStart w:id="106" w:name="Xc5d163cc5e7a37c7bf5ae9e28bcd520ae66bc9c"/>
    <w:p>
      <w:pPr>
        <w:pStyle w:val="Heading3"/>
        <w:spacing w:line="480" w:lineRule="auto"/>
      </w:pPr>
      <w:r>
        <w:t xml:space="preserve">4.4.2 Construction of the Productivity-Study Cost Variable</w:t>
      </w:r>
    </w:p>
    <w:p>
      <w:pPr>
        <w:pStyle w:val="FirstParagraph"/>
        <w:spacing w:line="480" w:lineRule="auto"/>
      </w:pPr>
      <w:r>
        <w:t xml:space="preserve">The cost variable in the productivity study is each mission’s lifecycle cost expressed in millions of constant 2024 United States dollars. Its construction proceeds in three steps from the primary record.</w:t>
      </w:r>
    </w:p>
    <w:p>
      <w:pPr>
        <w:pStyle w:val="BodyText"/>
        <w:spacing w:line="480" w:lineRule="auto"/>
        <w:ind w:firstLine="720"/>
      </w:pPr>
      <w:r>
        <w:t xml:space="preserve">The first step is extraction of the nominal figure. The nominal lifecycle cost is read directly from the agency or oversight source for each mission, in the currency and price year in which that source reports it. Lifecycle cost is the appropriate input concept for the productivity study because it captures the full priced commitment whose scientific return is being measured, rather than a single development tranche.</w:t>
      </w:r>
    </w:p>
    <w:p>
      <w:pPr>
        <w:pStyle w:val="BodyText"/>
        <w:spacing w:line="480" w:lineRule="auto"/>
        <w:ind w:firstLine="720"/>
      </w:pPr>
      <w:r>
        <w:t xml:space="preserve">The second step is currency conversion. Figures reported in euros by ESA sources are converted to United States dollars at the documented launch-era exchange rate, so that the conversion reflects the economic conditions under which the commitment was actually priced rather than a contemporary rate. This step applies only to missions whose primary record is denominated in a non-dollar currency.</w:t>
      </w:r>
    </w:p>
    <w:p>
      <w:pPr>
        <w:pStyle w:val="BodyText"/>
        <w:spacing w:line="480" w:lineRule="auto"/>
        <w:ind w:firstLine="720"/>
      </w:pPr>
      <w:r>
        <w:t xml:space="preserve">The third step is deflation to a common price year. All nominal dollar figures are adjusted to constant 2024 dollars using a standard GDP deflator. Deflation is indispensable because the sample spans decadal eras, and a cost regressor mixing 1980s and 2020s dollars would attribute to scale a difference that is in fact attributable to price-level drift. Expressing every figure in constant 2024 dollars renders the cost regressor comparable across the full span of the sample. The resulting cost variable ranges from roughly one hundred million constant dollars for Chandrayaan-1 to several billion for Cassini-Huygens.</w:t>
      </w:r>
    </w:p>
    <w:bookmarkEnd w:id="106"/>
    <w:bookmarkStart w:id="107" w:name="Xf84a1db1d3208c4265279c1a05c939d68787935"/>
    <w:p>
      <w:pPr>
        <w:pStyle w:val="Heading3"/>
        <w:spacing w:line="480" w:lineRule="auto"/>
      </w:pPr>
      <w:r>
        <w:t xml:space="preserve">4.4.3 Construction of the Hazard-Study Cost Variable</w:t>
      </w:r>
    </w:p>
    <w:p>
      <w:pPr>
        <w:pStyle w:val="FirstParagraph"/>
        <w:spacing w:line="480" w:lineRule="auto"/>
      </w:pPr>
      <w:r>
        <w:t xml:space="preserve">The hazard study records development cost in millions of current dollars, drawn from the NASA and JPL press-kit and mission-documentation record. Development cost rather than lifecycle cost is the relevant input for the schedule question, because schedule slip is a phenomenon of the development run from confirmation to launch, and the cost most tightly coupled to that run is the development cost rather than the full lifecycle total that includes operations and analysis funded after launch. The development-cost variable enters the Cox model in natural-logarithm form. The log transform is adopted because mission budgets span more than an order of magnitude, from a few hundred million dollars to nearly ten billion, and the logarithmic scale both renders the cost covariate comparable across that range and reduces the leverage that the very largest programs would otherwise exert on the estimate.</w:t>
      </w:r>
    </w:p>
    <w:bookmarkEnd w:id="107"/>
    <w:bookmarkEnd w:id="108"/>
    <w:bookmarkStart w:id="111" w:name="Xcef3210068ca04ddb8a538b6cce728d902fce73"/>
    <w:p>
      <w:pPr>
        <w:pStyle w:val="Heading2"/>
        <w:spacing w:line="480" w:lineRule="auto"/>
      </w:pPr>
      <w:r>
        <w:t xml:space="preserve">4.5 Schedule and Event Variables for the Hazard Model</w:t>
      </w:r>
    </w:p>
    <w:p>
      <w:pPr>
        <w:pStyle w:val="FirstParagraph"/>
        <w:spacing w:line="480" w:lineRule="auto"/>
      </w:pPr>
      <w:r>
        <w:t xml:space="preserve">The schedule-hazard study requires two variables that have no counterpart in the productivity study: a duration variable that measures how long each mission’s development run lasted, and an event variable that records whether a schedule slip occurred. Both are constructed from the documented launch and confirmation record, and the construction is dictated by the requirements of survival analysis, in which the unit of observation contributes both a duration of exposure and an indicator of whether the event of interest was observed during that exposure.</w:t>
      </w:r>
    </w:p>
    <w:bookmarkStart w:id="109" w:name="the-duration-variable"/>
    <w:p>
      <w:pPr>
        <w:pStyle w:val="Heading3"/>
        <w:spacing w:line="480" w:lineRule="auto"/>
      </w:pPr>
      <w:r>
        <w:t xml:space="preserve">4.5.1 The Duration Variable</w:t>
      </w:r>
    </w:p>
    <w:p>
      <w:pPr>
        <w:pStyle w:val="FirstParagraph"/>
        <w:spacing w:line="480" w:lineRule="auto"/>
      </w:pPr>
      <w:r>
        <w:t xml:space="preserve">The duration variable is the development schedule length in months, computed from the documented confirmation or selection date to the actual launch month and year. The confirmation or selection milestone is the appropriate start of the clock because it is the point at which the agency commits to a cost baseline and a launch date, and therefore the point from which a slip can meaningfully be measured. Standardizing the start point at confirmation imposes a common origin across missions, though it cannot capture pre-confirmation formulation risk, a limitation acknowledged explicitly in the study. The end of the clock is the actual launch month and year, taken from the documented launch record. Each mission thus contributes a single development duration measured in months, the interval over which it was exposed to the risk of slip.</w:t>
      </w:r>
    </w:p>
    <w:bookmarkEnd w:id="109"/>
    <w:bookmarkStart w:id="110" w:name="the-event-variable"/>
    <w:p>
      <w:pPr>
        <w:pStyle w:val="Heading3"/>
        <w:spacing w:line="480" w:lineRule="auto"/>
      </w:pPr>
      <w:r>
        <w:t xml:space="preserve">4.5.2 The Event Variable</w:t>
      </w:r>
    </w:p>
    <w:p>
      <w:pPr>
        <w:pStyle w:val="FirstParagraph"/>
        <w:spacing w:line="480" w:lineRule="auto"/>
      </w:pPr>
      <w:r>
        <w:t xml:space="preserve">The event variable is the slip indicator. It is coded one where the documented record shows a launch slipped beyond its originally baselined date or window, and zero where the mission launched on the baseline. A mission coded zero is treated as right-censored at its on-time launch, the standard survival-analysis treatment for a unit that completed its exposure without the event occurring. The censoring construction is what allows on-time missions to inform the estimate rather than being discarded: a mission that reaches the pad on schedule is positive evidence about the slip hazard, and the censoring mechanism incorporates that evidence at the duration at which the mission left the risk set.</w:t>
      </w:r>
    </w:p>
    <w:p>
      <w:pPr>
        <w:pStyle w:val="BodyText"/>
        <w:spacing w:line="480" w:lineRule="auto"/>
        <w:ind w:firstLine="720"/>
      </w:pPr>
      <w:r>
        <w:t xml:space="preserve">The slip indicator is binary by construction, and the study is explicit that this absorbs slips of very different magnitudes into a single event category: a mission delayed by one month and a mission delayed by years both register as a single slip event. This is a deliberate simplification appropriate to a small sample, in which a continuous slip-magnitude outcome would be too thinly populated to model reliably, and it is recorded here as a property of the event variable so that the reader understands precisely what the event does and does not encode.</w:t>
      </w:r>
    </w:p>
    <w:p>
      <w:pPr>
        <w:pStyle w:val="BodyText"/>
        <w:spacing w:line="480" w:lineRule="auto"/>
        <w:ind w:firstLine="720"/>
      </w:pPr>
      <w:r>
        <w:t xml:space="preserve">In the estimation sample of twenty-two missions, seven recorded a documented slip event and fifteen launched on their baseline and entered as censored survivors. These counts are reported here as features of the constructed dataset; their analytic consequences for the power of the hazard model are treated in the study.</w:t>
      </w:r>
    </w:p>
    <w:bookmarkEnd w:id="110"/>
    <w:bookmarkEnd w:id="111"/>
    <w:bookmarkStart w:id="112" w:name="covariates-and-supporting-variables"/>
    <w:p>
      <w:pPr>
        <w:pStyle w:val="Heading2"/>
        <w:spacing w:line="480" w:lineRule="auto"/>
      </w:pPr>
      <w:r>
        <w:t xml:space="preserve">4.6 Covariates and Supporting Variables</w:t>
      </w:r>
    </w:p>
    <w:p>
      <w:pPr>
        <w:pStyle w:val="FirstParagraph"/>
        <w:spacing w:line="480" w:lineRule="auto"/>
      </w:pPr>
      <w:r>
        <w:t xml:space="preserve">Both studies record a small set of additional variables that characterize the mission beyond its cost. In the productivity study these enter only the companion specification and serve to absorb the observable component of scientific ambition; in the hazard study one of them is a primary covariate. Their construction from primary records is documented here.</w:t>
      </w:r>
    </w:p>
    <w:p>
      <w:pPr>
        <w:pStyle w:val="BodyText"/>
        <w:spacing w:line="480" w:lineRule="auto"/>
        <w:ind w:firstLine="720"/>
      </w:pPr>
      <w:r>
        <w:t xml:space="preserve">Instrument count is the number of distinct science instruments in a mission’s payload complement, coded from the mission-design literature and mission documentation. It is the most direct available proxy for payload complexity, since each instrument adds a development thread, a calibration campaign, and an interface to the spacecraft bus. In the hazard study instrument count is one of the two covariates whose influence on the slip hazard is the quantity of interest. In the productivity study it enters the companion specification as a control that carries part of the ambition signal that confounds the single-regressor cost elasticity. The interstellar-probe concept study illustrates the discrete-element resolution at which an instrument complement can be specified and costed</w:t>
      </w:r>
      <w:r>
        <w:t xml:space="preserve"> </w:t>
      </w:r>
      <w:hyperlink w:anchor="ref-2">
        <w:r>
          <w:rPr>
            <w:rStyle w:val="Hyperlink"/>
          </w:rPr>
          <w:t xml:space="preserve">[2]</w:t>
        </w:r>
      </w:hyperlink>
      <w:r>
        <w:t xml:space="preserve">, and the same documentary basis underlies the instrument counts coded for the sampled missions.</w:t>
      </w:r>
    </w:p>
    <w:p>
      <w:pPr>
        <w:pStyle w:val="BodyText"/>
        <w:spacing w:line="480" w:lineRule="auto"/>
        <w:ind w:firstLine="720"/>
      </w:pPr>
      <w:r>
        <w:t xml:space="preserve">Operational duration is the length of a mission’s operating life, recorded for context in the productivity study and available for the companion specification. It is a candidate confounder because a longer-operating mission has more time to generate publications, and the output measure’s fixed-cutoff construction does not by itself equalize that exposure. It is recorded from mission documentation.</w:t>
      </w:r>
    </w:p>
    <w:p>
      <w:pPr>
        <w:pStyle w:val="BodyText"/>
        <w:spacing w:line="480" w:lineRule="auto"/>
        <w:ind w:firstLine="720"/>
      </w:pPr>
      <w:r>
        <w:t xml:space="preserve">Target class is a categorical coding of the body or domain a mission addresses, recorded from mission documentation. It carries part of the ambition signal because missions to different target classes face systematically different scientific opportunity and difficulty, and it enters the companion productivity specification and is available as a control for absorbing the observable component of joint cost-ambition determination.</w:t>
      </w:r>
    </w:p>
    <w:p>
      <w:pPr>
        <w:pStyle w:val="BodyText"/>
        <w:spacing w:line="480" w:lineRule="auto"/>
        <w:ind w:firstLine="720"/>
      </w:pPr>
      <w:r>
        <w:t xml:space="preserve">In the hazard study each row additionally records the mission’s confirmation or selection year and its actual launch year and month, the primary records from which the duration variable is computed, so that the duration is not stored as a derived number divorced from its inputs but is reconstructable from the dated milestones in the data file.</w:t>
      </w:r>
    </w:p>
    <w:bookmarkEnd w:id="112"/>
    <w:bookmarkStart w:id="115" w:name="X385f006bc0d2b82bec0ca10e255c3454b5ac980"/>
    <w:p>
      <w:pPr>
        <w:pStyle w:val="Heading2"/>
        <w:spacing w:line="480" w:lineRule="auto"/>
      </w:pPr>
      <w:r>
        <w:t xml:space="preserve">4.7 Provenance, Reproducibility, and Illustrative Markings</w:t>
      </w:r>
    </w:p>
    <w:p>
      <w:pPr>
        <w:pStyle w:val="FirstParagraph"/>
        <w:spacing w:line="480" w:lineRule="auto"/>
      </w:pPr>
      <w:r>
        <w:t xml:space="preserve">The integrity of both datasets rests on end-to-end provenance: every observation traces to a named, retrievable source, and every variable is reconstructable from the primary records that the data file records alongside it. This section documents the provenance discipline and the explicit marking of the small number of figures whose construction required an inference beyond a direct documented record.</w:t>
      </w:r>
    </w:p>
    <w:bookmarkStart w:id="113" w:name="provenance-discipline"/>
    <w:p>
      <w:pPr>
        <w:pStyle w:val="Heading3"/>
        <w:spacing w:line="480" w:lineRule="auto"/>
      </w:pPr>
      <w:r>
        <w:t xml:space="preserve">4.7.1 Provenance Discipline</w:t>
      </w:r>
    </w:p>
    <w:p>
      <w:pPr>
        <w:pStyle w:val="FirstParagraph"/>
        <w:spacing w:line="480" w:lineRule="auto"/>
      </w:pPr>
      <w:r>
        <w:t xml:space="preserve">In the productivity study, every output observation traces to De Marchi and Parmar’s published mission-publication analysis</w:t>
      </w:r>
      <w:r>
        <w:t xml:space="preserve"> </w:t>
      </w:r>
      <w:hyperlink w:anchor="ref-6">
        <w:r>
          <w:rPr>
            <w:rStyle w:val="Hyperlink"/>
          </w:rPr>
          <w:t xml:space="preserve">[6]</w:t>
        </w:r>
      </w:hyperlink>
      <w:r>
        <w:t xml:space="preserve">, itself backed by the NASA Astrophysics Data System, and every cost observation traces to a named agency or oversight source carried in the data file. In the hazard study, every observation carries a source citation in the final column of the dataset, drawing on NASA and Jet Propulsion Laboratory press kits and sourced mission documentation. Neither dataset requires proprietary or restricted data. The productivity dataset is reproducible by a reviewer holding only a free ADS token together with the published source</w:t>
      </w:r>
      <w:r>
        <w:t xml:space="preserve"> </w:t>
      </w:r>
      <w:hyperlink w:anchor="ref-6">
        <w:r>
          <w:rPr>
            <w:rStyle w:val="Hyperlink"/>
          </w:rPr>
          <w:t xml:space="preserve">[6]</w:t>
        </w:r>
      </w:hyperlink>
      <w:r>
        <w:t xml:space="preserve">, and the hazard dataset is reproducible by a reader holding only the public mission record. This reproducibility is the operational expression of the methodological commitment to replace expert assertion with a data-driven, auditable evaluation</w:t>
      </w:r>
      <w:r>
        <w:t xml:space="preserve"> </w:t>
      </w:r>
      <w:hyperlink w:anchor="ref-1">
        <w:r>
          <w:rPr>
            <w:rStyle w:val="Hyperlink"/>
          </w:rPr>
          <w:t xml:space="preserve">[1]</w:t>
        </w:r>
      </w:hyperlink>
      <w:r>
        <w:t xml:space="preserve">.</w:t>
      </w:r>
    </w:p>
    <w:bookmarkEnd w:id="113"/>
    <w:bookmarkStart w:id="114" w:name="illustrative-markings"/>
    <w:p>
      <w:pPr>
        <w:pStyle w:val="Heading3"/>
        <w:spacing w:line="480" w:lineRule="auto"/>
      </w:pPr>
      <w:r>
        <w:t xml:space="preserve">4.7.2 Illustrative Markings</w:t>
      </w:r>
    </w:p>
    <w:p>
      <w:pPr>
        <w:pStyle w:val="FirstParagraph"/>
        <w:spacing w:line="480" w:lineRule="auto"/>
      </w:pPr>
      <w:r>
        <w:t xml:space="preserve">Honesty about the data requires that any figure whose construction departs from a direct documented record be marked rather than silently absorbed. Both datasets carry such markings, and they are bounded and disclosed.</w:t>
      </w:r>
    </w:p>
    <w:p>
      <w:pPr>
        <w:pStyle w:val="BodyText"/>
        <w:spacing w:line="480" w:lineRule="auto"/>
        <w:ind w:firstLine="720"/>
      </w:pPr>
      <w:r>
        <w:t xml:space="preserve">In the productivity study, one of the twenty-one cost figures, the early-1980s Giotto budget, required an inflation conversion of a historical accounting-unit figure and is marked as illustrative on that conversion alone. The mark is scoped narrowly: it flags the conversion step, not the existence of the underlying budget record, and it concerns a single observation out of twenty-one.</w:t>
      </w:r>
    </w:p>
    <w:p>
      <w:pPr>
        <w:pStyle w:val="BodyText"/>
        <w:spacing w:line="480" w:lineRule="auto"/>
        <w:ind w:firstLine="720"/>
      </w:pPr>
      <w:r>
        <w:t xml:space="preserve">In the hazard study, three cost figures are available only as approximate secondary estimates and are marked illustrative in the dataset. These three observations constitute under fourteen percent of the rows, and the mark affects only the cost field. It never touches the slip coding or the schedule measurement, which derive from dated launch and confirmation records rather than from secondary cost estimates. The event and duration variables, which are the substantive drivers of the hazard model, are therefore free of illustrative marking entirely.</w:t>
      </w:r>
    </w:p>
    <w:p>
      <w:pPr>
        <w:pStyle w:val="BodyText"/>
        <w:spacing w:line="480" w:lineRule="auto"/>
        <w:ind w:firstLine="720"/>
      </w:pPr>
      <w:r>
        <w:t xml:space="preserve">These markings are recorded not to undermine confidence in the datasets but to bound it precisely. A reader can see exactly which figures rest on a direct record and which rest on a disclosed inference, and can weight the estimates accordingly. That transparency is the appropriate posture for measurement offered into a domain whose central problem is the weak allocative discipline of government-directed exploration</w:t>
      </w:r>
      <w:r>
        <w:t xml:space="preserve"> </w:t>
      </w:r>
      <w:hyperlink w:anchor="ref-4">
        <w:r>
          <w:rPr>
            <w:rStyle w:val="Hyperlink"/>
          </w:rPr>
          <w:t xml:space="preserve">[4]</w:t>
        </w:r>
      </w:hyperlink>
      <w:r>
        <w:t xml:space="preserve">, where the value of an estimate lies precisely in its auditability against the consensus it is meant to replace</w:t>
      </w:r>
      <w:r>
        <w:t xml:space="preserve"> </w:t>
      </w:r>
      <w:hyperlink w:anchor="ref-1">
        <w:r>
          <w:rPr>
            <w:rStyle w:val="Hyperlink"/>
          </w:rPr>
          <w:t xml:space="preserve">[1]</w:t>
        </w:r>
      </w:hyperlink>
      <w:r>
        <w:t xml:space="preserve">.</w:t>
      </w:r>
    </w:p>
    <w:bookmarkEnd w:id="114"/>
    <w:bookmarkEnd w:id="115"/>
    <w:bookmarkStart w:id="116" w:name="summary"/>
    <w:p>
      <w:pPr>
        <w:pStyle w:val="Heading2"/>
        <w:spacing w:line="480" w:lineRule="auto"/>
      </w:pPr>
      <w:r>
        <w:t xml:space="preserve">4.8 Summary</w:t>
      </w:r>
    </w:p>
    <w:p>
      <w:pPr>
        <w:pStyle w:val="FirstParagraph"/>
        <w:spacing w:line="480" w:lineRule="auto"/>
      </w:pPr>
      <w:r>
        <w:t xml:space="preserve">The two studies share a unit of analysis, the individual mission, and a common evidentiary standard, that every variable trace to a named primary record. The productivity study constructs its output variable as a uniform, refereed publication count drawn from a single ADS-backed source</w:t>
      </w:r>
      <w:r>
        <w:t xml:space="preserve"> </w:t>
      </w:r>
      <w:hyperlink w:anchor="ref-6">
        <w:r>
          <w:rPr>
            <w:rStyle w:val="Hyperlink"/>
          </w:rPr>
          <w:t xml:space="preserve">[6]</w:t>
        </w:r>
      </w:hyperlink>
      <w:r>
        <w:t xml:space="preserve"> </w:t>
      </w:r>
      <w:r>
        <w:t xml:space="preserve">and its cost variable as a lifecycle figure deflated to constant 2024 dollars from primary agency and oversight records. The hazard study constructs a development-duration variable in months and a binary slip-event variable from dated confirmation and launch records, with development cost and instrument count as covariates drawn from the public mission documentation. In each case the construction rule is stated explicitly, the authoritative source is named, and the small number of figures requiring an inference beyond a direct record is marked and bounded. The data are, in both studies, fully reproducible from public sources, which is the precondition for the dissertation’s central move from consensus-based valuation to a measured, falsifiable parameter</w:t>
      </w:r>
      <w:r>
        <w:t xml:space="preserve"> </w:t>
      </w:r>
      <w:hyperlink w:anchor="ref-1">
        <w:r>
          <w:rPr>
            <w:rStyle w:val="Hyperlink"/>
          </w:rPr>
          <w:t xml:space="preserve">[1]</w:t>
        </w:r>
      </w:hyperlink>
      <w:r>
        <w:t xml:space="preserve">.</w:t>
      </w:r>
    </w:p>
    <w:bookmarkEnd w:id="116"/>
    <w:bookmarkEnd w:id="117"/>
    <w:bookmarkStart w:id="137" w:name="chapter-5.-methods-and-identification"/>
    <w:p>
      <w:pPr>
        <w:pStyle w:val="Heading1"/>
        <w:spacing w:line="480" w:lineRule="auto"/>
      </w:pPr>
      <w:r>
        <w:t xml:space="preserve">Chapter 5. Methods and Identification</w:t>
      </w:r>
    </w:p>
    <w:bookmarkStart w:id="118" w:name="X88ed68bb926995f376984f60ca8c583237758a9"/>
    <w:p>
      <w:pPr>
        <w:pStyle w:val="Heading2"/>
        <w:spacing w:line="480" w:lineRule="auto"/>
      </w:pPr>
      <w:r>
        <w:t xml:space="preserve">5.1 Overview and the Logic of the Two-Estimator Design</w:t>
      </w:r>
    </w:p>
    <w:p>
      <w:pPr>
        <w:pStyle w:val="FirstParagraph"/>
        <w:spacing w:line="480" w:lineRule="auto"/>
      </w:pPr>
      <w:r>
        <w:t xml:space="preserve">This chapter sets out the estimators that carry the empirical weight of the dissertation, the identification strategy that licenses an interpretation of their coefficients, and the threats to validity that qualify that interpretation together with the procedures by which each threat is bounded. The dissertation makes a single falsifiable claim, that the cost elasticity of cited scientific output for space science missions is less than one, and a closely related secondary claim about the timing of schedule slip. Two distinct estimators are required because the two claims live on different statistical objects. The first claim concerns a continuous output measured at the end of a mission’s productive life and is a question about scale, so it is addressed with a log-linear productivity regression whose slope is a scale-free elasticity. The second claim concerns an event that may or may not occur during a development run of known length and is a question about timing and rate, so it is addressed with a survival model whose coefficients describe a hazard. Neither object can be substituted for the other without distortion, and the chapter treats them in turn.</w:t>
      </w:r>
    </w:p>
    <w:p>
      <w:pPr>
        <w:pStyle w:val="BodyText"/>
        <w:spacing w:line="480" w:lineRule="auto"/>
        <w:ind w:firstLine="720"/>
      </w:pPr>
      <w:r>
        <w:t xml:space="preserve">The unit of analysis throughout is the individual mission. This is the level at which cost is committed, at which a publication corpus accrues, and at which a launch date either holds or slips. It is also the level at which the policy comparison that motivates the work, between a single flagship and a cost-matched portfolio of smaller missions, is naturally posed. The mission-oriented, data-driven posture that the dissertation adopts in place of consensus valuation follows the move already made in adjacent space domains, where evaluation frameworks score a contribution against the mission it serves using quantitative decision criteria rather than expert assertion</w:t>
      </w:r>
      <w:r>
        <w:t xml:space="preserve"> </w:t>
      </w:r>
      <w:hyperlink w:anchor="ref-1">
        <w:r>
          <w:rPr>
            <w:rStyle w:val="Hyperlink"/>
          </w:rPr>
          <w:t xml:space="preserve">[1]</w:t>
        </w:r>
      </w:hyperlink>
      <w:r>
        <w:t xml:space="preserve">, and where time-to-event methods have been imported to describe the rate at which a discrete event materializes in an observation record</w:t>
      </w:r>
      <w:r>
        <w:t xml:space="preserve"> </w:t>
      </w:r>
      <w:hyperlink w:anchor="ref-7">
        <w:r>
          <w:rPr>
            <w:rStyle w:val="Hyperlink"/>
          </w:rPr>
          <w:t xml:space="preserve">[7]</w:t>
        </w:r>
      </w:hyperlink>
      <w:r>
        <w:t xml:space="preserve">. The estimators below apply that same posture to mission productivity and to mission schedule performance.</w:t>
      </w:r>
    </w:p>
    <w:bookmarkEnd w:id="118"/>
    <w:bookmarkStart w:id="121" w:name="the-productivity-estimator"/>
    <w:p>
      <w:pPr>
        <w:pStyle w:val="Heading2"/>
        <w:spacing w:line="480" w:lineRule="auto"/>
      </w:pPr>
      <w:r>
        <w:t xml:space="preserve">5.2 The Productivity Estimator</w:t>
      </w:r>
    </w:p>
    <w:bookmarkStart w:id="119" w:name="specification"/>
    <w:p>
      <w:pPr>
        <w:pStyle w:val="Heading3"/>
        <w:spacing w:line="480" w:lineRule="auto"/>
      </w:pPr>
      <w:r>
        <w:t xml:space="preserve">5.2.1 Specification</w:t>
      </w:r>
    </w:p>
    <w:p>
      <w:pPr>
        <w:pStyle w:val="FirstParagraph"/>
        <w:spacing w:line="480" w:lineRule="auto"/>
      </w:pPr>
      <w:r>
        <w:t xml:space="preserve">The productivity estimator is ordinary least squares applied to a log-log specification. Let the output of mission i be its count of refereed publications and let its input be lifecycle cost in constant dollars. The estimating equation regresses the natural log of publication count on the natural log of lifecycle cost,</w:t>
      </w:r>
    </w:p>
    <w:p>
      <w:pPr>
        <w:pStyle w:val="BodyText"/>
        <w:spacing w:line="480" w:lineRule="auto"/>
        <w:ind w:firstLine="720"/>
      </w:pPr>
      <w:r>
        <w:t xml:space="preserve">ln(publications_i) = alpha + beta * ln(cost_i) + e_i,</w:t>
      </w:r>
    </w:p>
    <w:p>
      <w:pPr>
        <w:pStyle w:val="BodyText"/>
        <w:spacing w:line="480" w:lineRule="auto"/>
        <w:ind w:firstLine="720"/>
      </w:pPr>
      <w:r>
        <w:t xml:space="preserve">so that the single slope coefficient beta is the cost elasticity of cited scientific output, the percentage change in published science associated with a one percent change in cost. The log-log form is chosen not for convenience but because the quantity the dissertation must estimate is itself an elasticity. An elasticity of one describes constant returns to scale, where output and cost move in lockstep and per-dollar yield is invariant to mission size. An elasticity below one describes diminishing returns, where each additional dollar buys less published science than the dollar before it, which is the precise condition under which a distributed portfolio dominates a flagship on a return-per-dollar basis. An elasticity above one describes increasing returns and vindicates concentration. The whole of the first contribution is read off the sign and magnitude of beta relative to the benchmark value of one.</w:t>
      </w:r>
    </w:p>
    <w:bookmarkEnd w:id="119"/>
    <w:bookmarkStart w:id="120" w:name="estimation-and-inference"/>
    <w:p>
      <w:pPr>
        <w:pStyle w:val="Heading3"/>
        <w:spacing w:line="480" w:lineRule="auto"/>
      </w:pPr>
      <w:r>
        <w:t xml:space="preserve">5.2.2 Estimation and Inference</w:t>
      </w:r>
    </w:p>
    <w:p>
      <w:pPr>
        <w:pStyle w:val="FirstParagraph"/>
        <w:spacing w:line="480" w:lineRule="auto"/>
      </w:pPr>
      <w:r>
        <w:t xml:space="preserve">Estimation is by ordinary least squares with heteroskedasticity-robust standard errors. Robust standard errors are not a cosmetic default here; they are the appropriate choice because the sample spans an order-of-magnitude range in mission scale, from missions yielding on the order of seventy refereed publications to long-lived observatories yielding several thousand, and residual variance is unlikely to be constant across that range. The cross-section assembled for the baseline comprises twenty-one space science missions for which both a documented lifecycle cost and a documented refereed publication count exist in named sources. Inference centers on a single comparison: whether the value one lies inside the confidence interval for beta. Because the elasticity is the log-log slope, the test of H0 against H1 reduces to inspecting whether unity falls within the ninety-five percent interval for that slope. An interval lying entirely below one supports H1 and the portfolio logic; an interval containing one leaves H0 standing and keeps the flagship in contention. The same regression yields an implied scaling factor, the multiplicative change in output associated with a doubling of cost, which renders the abstract elasticity in a form a program planner can use directly.</w:t>
      </w:r>
    </w:p>
    <w:p>
      <w:pPr>
        <w:pStyle w:val="BodyText"/>
        <w:spacing w:line="480" w:lineRule="auto"/>
        <w:ind w:firstLine="720"/>
      </w:pPr>
      <w:r>
        <w:t xml:space="preserve">The baseline single-regressor specification is deliberately legible: one input, one output, one coefficient of interest. It is then extended in two directions that the identification discussion below motivates. First, a multiple-regressor specification adds controls for instrument count, operational duration, and target class, and admits decadal-era fixed effects to absorb secular shifts in publication and citation norms. Second, a count-model specification, negative binomial on raw publication counts, is estimated as a robustness check appropriate to the discrete and overdispersed nature of the output variable. The negative binomial guards against the distributional misspecification that an ordinary-least-squares fit on logged counts can introduce when the count distribution is skewed, and it is reported alongside the linear baseline rather than in place of it so that any divergence between the two is visible.</w:t>
      </w:r>
    </w:p>
    <w:bookmarkEnd w:id="120"/>
    <w:bookmarkEnd w:id="121"/>
    <w:bookmarkStart w:id="125" w:name="the-schedule-slip-estimator"/>
    <w:p>
      <w:pPr>
        <w:pStyle w:val="Heading2"/>
        <w:spacing w:line="480" w:lineRule="auto"/>
      </w:pPr>
      <w:r>
        <w:t xml:space="preserve">5.3 The Schedule-Slip Estimator</w:t>
      </w:r>
    </w:p>
    <w:bookmarkStart w:id="122" w:name="why-a-hazard-model"/>
    <w:p>
      <w:pPr>
        <w:pStyle w:val="Heading3"/>
        <w:spacing w:line="480" w:lineRule="auto"/>
      </w:pPr>
      <w:r>
        <w:t xml:space="preserve">5.3.1 Why a Hazard Model</w:t>
      </w:r>
    </w:p>
    <w:p>
      <w:pPr>
        <w:pStyle w:val="FirstParagraph"/>
        <w:spacing w:line="480" w:lineRule="auto"/>
      </w:pPr>
      <w:r>
        <w:t xml:space="preserve">The second estimator addresses schedule rather than science. A mission is confirmed at a milestone that fixes both a cost baseline and a launch date, and every downstream return-per-dollar comparison presupposes that the schedule baseline means something. The natural statistical object for the timing question is not a regression of slip magnitude on mission attributes but a model of the time elapsed from confirmation to launch and the rate at which a slip event materializes along that run. Survival analysis supplies exactly that object, and it has already entered the space domain through the modeling of non-cooperative satellite behavior, where time-to-event methods describe the rate at which a maneuver occurs in an observation record</w:t>
      </w:r>
      <w:r>
        <w:t xml:space="preserve"> </w:t>
      </w:r>
      <w:hyperlink w:anchor="ref-7">
        <w:r>
          <w:rPr>
            <w:rStyle w:val="Hyperlink"/>
          </w:rPr>
          <w:t xml:space="preserve">[7]</w:t>
        </w:r>
      </w:hyperlink>
      <w:r>
        <w:t xml:space="preserve">. The same machinery transfers cleanly to a mission’s development history: the run from confirmation to launch is the duration, and a documented slip from the baseline is the event.</w:t>
      </w:r>
    </w:p>
    <w:bookmarkEnd w:id="122"/>
    <w:bookmarkStart w:id="123" w:name="specification-1"/>
    <w:p>
      <w:pPr>
        <w:pStyle w:val="Heading3"/>
        <w:spacing w:line="480" w:lineRule="auto"/>
      </w:pPr>
      <w:r>
        <w:t xml:space="preserve">5.3.2 Specification</w:t>
      </w:r>
    </w:p>
    <w:p>
      <w:pPr>
        <w:pStyle w:val="FirstParagraph"/>
        <w:spacing w:line="480" w:lineRule="auto"/>
      </w:pPr>
      <w:r>
        <w:t xml:space="preserve">The estimator is the Cox proportional-hazards model. The hazard of a slip at development month t for a mission with covariate vector x is the product of an unspecified baseline hazard and an exponential function of the covariates,</w:t>
      </w:r>
    </w:p>
    <w:p>
      <w:pPr>
        <w:pStyle w:val="BodyText"/>
        <w:spacing w:line="480" w:lineRule="auto"/>
        <w:ind w:firstLine="720"/>
      </w:pPr>
      <w:r>
        <w:t xml:space="preserve">h(t | x) = h0(t) * exp(b1 * ln(cost) + b2 * instruments),</w:t>
      </w:r>
    </w:p>
    <w:p>
      <w:pPr>
        <w:pStyle w:val="BodyText"/>
        <w:spacing w:line="480" w:lineRule="auto"/>
        <w:ind w:firstLine="720"/>
      </w:pPr>
      <w:r>
        <w:t xml:space="preserve">so that the baseline schedule risk common to all missions is left nonparametric and only the covariate effects are estimated. Two covariates enter: the natural log of development cost in millions of dollars, and the instrument count. Coefficients are reported as hazard ratios, the exponentiated coefficients, so that a value above one marks a covariate that raises the slip hazard and a value below one marks one that lowers it. Log cost rather than raw cost enters the model because budgets span more than an order of magnitude, and the log scale renders the covariate comparable across that range while reducing the leverage of the largest programs. The proportional-hazards form is the appropriate baseline for a small sample composed of a mix of events and censored survivors because it uses the full duration information without imposing a parametric form on the baseline hazard.</w:t>
      </w:r>
    </w:p>
    <w:bookmarkEnd w:id="123"/>
    <w:bookmarkStart w:id="124" w:name="censoring-and-the-sample"/>
    <w:p>
      <w:pPr>
        <w:pStyle w:val="Heading3"/>
        <w:spacing w:line="480" w:lineRule="auto"/>
      </w:pPr>
      <w:r>
        <w:t xml:space="preserve">5.3.3 Censoring and the Sample</w:t>
      </w:r>
    </w:p>
    <w:p>
      <w:pPr>
        <w:pStyle w:val="FirstParagraph"/>
        <w:spacing w:line="480" w:lineRule="auto"/>
      </w:pPr>
      <w:r>
        <w:t xml:space="preserve">The sample is twenty-two NASA planetary and major science missions confirmed between the early 1980s and the mid-2010s and launched between 1989 and 2024. The duration variable is the development schedule length in months, computed from the documented confirmation or selection date to the actual launch month and year. The event variable is the slip indicator, coded one where the record shows a launch slipped beyond its originally baselined date or window and zero where the mission launched on the baseline. The censoring construction is the methodological heart of the design: a mission that reaches the pad on time is not a discarded observation but a right-censored survivor, a mission known to have completed its development run without the event. Treating on-time launches as censored survivors rather than as zeros is what allows the hazard model to use the timing information in every mission, and it is the reason a hazard formulation is preferred to a binary regression of slip on attributes. Of the twenty-two missions, seven recorded a documented slip and fifteen entered as censored survivors.</w:t>
      </w:r>
    </w:p>
    <w:bookmarkEnd w:id="124"/>
    <w:bookmarkEnd w:id="125"/>
    <w:bookmarkStart w:id="129" w:name="identification-strategy"/>
    <w:p>
      <w:pPr>
        <w:pStyle w:val="Heading2"/>
        <w:spacing w:line="480" w:lineRule="auto"/>
      </w:pPr>
      <w:r>
        <w:t xml:space="preserve">5.4 Identification Strategy</w:t>
      </w:r>
    </w:p>
    <w:bookmarkStart w:id="126" w:name="the-source-of-variation"/>
    <w:p>
      <w:pPr>
        <w:pStyle w:val="Heading3"/>
        <w:spacing w:line="480" w:lineRule="auto"/>
      </w:pPr>
      <w:r>
        <w:t xml:space="preserve">5.4.1 The Source of Variation</w:t>
      </w:r>
    </w:p>
    <w:p>
      <w:pPr>
        <w:pStyle w:val="FirstParagraph"/>
        <w:spacing w:line="480" w:lineRule="auto"/>
      </w:pPr>
      <w:r>
        <w:t xml:space="preserve">Identification in both estimators rests on cross-mission variation. For the productivity regression the identifying variation is the order-of-magnitude spread in lifecycle cost across the cross-section, set against the spread in refereed output. For the hazard model the identifying variation is the spread in development cost and instrument complement across missions whose schedules either held or slipped. The elasticity is identified to the extent that variation in cost is plausibly exogenous to a mission’s per-dollar scientific productivity conditional on the controls, and the hazard ratios are identified to the extent that variation in cost and instruments is plausibly exogenous to the baseline schedule risk a mission would have faced regardless.</w:t>
      </w:r>
    </w:p>
    <w:bookmarkEnd w:id="126"/>
    <w:bookmarkStart w:id="127" w:name="the-central-identification-problem"/>
    <w:p>
      <w:pPr>
        <w:pStyle w:val="Heading3"/>
        <w:spacing w:line="480" w:lineRule="auto"/>
      </w:pPr>
      <w:r>
        <w:t xml:space="preserve">5.4.2 The Central Identification Problem</w:t>
      </w:r>
    </w:p>
    <w:p>
      <w:pPr>
        <w:pStyle w:val="FirstParagraph"/>
        <w:spacing w:line="480" w:lineRule="auto"/>
      </w:pPr>
      <w:r>
        <w:t xml:space="preserve">The central identification problem is shared by both estimators and is stated plainly: cost and latent scientific ambition are jointly determined. A more ambitious mission both costs more and is designed to publish more, so a naive elasticity confounds the productivity of a dollar with the ambition that the dollar purchases. The dissertation does not claim to break this simultaneity with an instrument or a natural experiment, because none of the requisite strength is available in a population this small. It instead adopts a conditioning strategy and is explicit about what that strategy can and cannot deliver. Conditioning on instrument count and target class absorbs the observable component of ambition: instrument complement is the most direct available proxy for payload scope, and target class captures the gross differences in scientific reach between, for example, a single-target flyby and a long-duration orbiter. With those controls in the regression, the residual variation in cost that identifies beta is variation net of the most visible ambition signal.</w:t>
      </w:r>
    </w:p>
    <w:p>
      <w:pPr>
        <w:pStyle w:val="BodyText"/>
        <w:spacing w:line="480" w:lineRule="auto"/>
        <w:ind w:firstLine="720"/>
      </w:pPr>
      <w:r>
        <w:t xml:space="preserve">What conditioning cannot remove is the unobserved component of ambition, the latent scientific reach that correlates with cost but is not captured by instrument count or target class. For that reason the elasticity is reported throughout as a conditional association rather than as a structural causal parameter. This is a deliberate and load-bearing choice of register. The dissertation’s contribution is a measurement with a stated conditioning set, not a claim that a dollar causes a publication through a clean exogenous channel. The same logic governs the hazard model. The negative cost coefficient there admits a selection reading, in which the most expensive missions attract the deepest reserves and the closest management attention and so have their schedule risk actively bought down, and a structural reading tied to the conditioning on accumulated development time. The honest statement in both cases is conditional, and the chapters that report results state it in exactly that register.</w:t>
      </w:r>
    </w:p>
    <w:bookmarkEnd w:id="127"/>
    <w:bookmarkStart w:id="128" w:name="decadal-era-fixed-effects"/>
    <w:p>
      <w:pPr>
        <w:pStyle w:val="Heading3"/>
        <w:spacing w:line="480" w:lineRule="auto"/>
      </w:pPr>
      <w:r>
        <w:t xml:space="preserve">5.4.3 Decadal-Era Fixed Effects</w:t>
      </w:r>
    </w:p>
    <w:p>
      <w:pPr>
        <w:pStyle w:val="FirstParagraph"/>
        <w:spacing w:line="480" w:lineRule="auto"/>
      </w:pPr>
      <w:r>
        <w:t xml:space="preserve">Publication and citation norms drift across decadal cycles, as does the deflator-adjusted meaning of a dollar. Decadal-era fixed effects are admitted to the multiple-regressor productivity specification to absorb these secular shifts, so that the elasticity is estimated from within-era cost variation rather than from comparisons that conflate a mission’s scale with the publishing conventions of its epoch. This is the productivity-side counterpart to the log-cost transformation in the hazard model: both devices neutralize a known source of cross-era incomparability so that the coefficient of interest is read from variation the design can defend.</w:t>
      </w:r>
    </w:p>
    <w:bookmarkEnd w:id="128"/>
    <w:bookmarkEnd w:id="129"/>
    <w:bookmarkStart w:id="135" w:name="threats-to-validity-and-their-bounds"/>
    <w:p>
      <w:pPr>
        <w:pStyle w:val="Heading2"/>
        <w:spacing w:line="480" w:lineRule="auto"/>
      </w:pPr>
      <w:r>
        <w:t xml:space="preserve">5.5 Threats to Validity and Their Bounds</w:t>
      </w:r>
    </w:p>
    <w:p>
      <w:pPr>
        <w:pStyle w:val="FirstParagraph"/>
        <w:spacing w:line="480" w:lineRule="auto"/>
      </w:pPr>
      <w:r>
        <w:t xml:space="preserve">Four threats are material to the productivity estimate, and a parallel set qualifies the hazard estimate. Each is stated together with the procedure that bounds it.</w:t>
      </w:r>
    </w:p>
    <w:bookmarkStart w:id="130" w:name="construct-validity-of-the-output-measure"/>
    <w:p>
      <w:pPr>
        <w:pStyle w:val="Heading3"/>
        <w:spacing w:line="480" w:lineRule="auto"/>
      </w:pPr>
      <w:r>
        <w:t xml:space="preserve">5.5.1 Construct Validity of the Output Measure</w:t>
      </w:r>
    </w:p>
    <w:p>
      <w:pPr>
        <w:pStyle w:val="FirstParagraph"/>
        <w:spacing w:line="480" w:lineRule="auto"/>
      </w:pPr>
      <w:r>
        <w:t xml:space="preserve">Citation-weighted publication count proxies scientific knowledge imperfectly. Some mission value is realized in datasets, engineering heritage, and public good that the literature does not capture, a category the space-economy literature explicitly recognizes as knowledge value beyond direct financial return</w:t>
      </w:r>
      <w:r>
        <w:t xml:space="preserve"> </w:t>
      </w:r>
      <w:hyperlink w:anchor="ref-5">
        <w:r>
          <w:rPr>
            <w:rStyle w:val="Hyperlink"/>
          </w:rPr>
          <w:t xml:space="preserve">[5]</w:t>
        </w:r>
      </w:hyperlink>
      <w:r>
        <w:t xml:space="preserve">. The threat is that an elasticity estimated on refereed output may misrepresent the elasticity of total scientific value. The bound is definitional and is enforced rather than asserted: the estimand is declared to be the elasticity of cited output, and the dissertation makes no claim on uncited value. The output measure is drawn from a single named source, the published analysis of the ESA Science Programme mission publication libraries</w:t>
      </w:r>
      <w:r>
        <w:t xml:space="preserve"> </w:t>
      </w:r>
      <w:hyperlink w:anchor="ref-6">
        <w:r>
          <w:rPr>
            <w:rStyle w:val="Hyperlink"/>
          </w:rPr>
          <w:t xml:space="preserve">[6]</w:t>
        </w:r>
      </w:hyperlink>
      <w:r>
        <w:t xml:space="preserve">, which are themselves backed by the NASA Astrophysics Data System. Using one source imposes one uniform inclusion criterion across every mission, so that differences in publication count reflect differences in scientific productivity rather than differences in how productivity was counted. The threat is therefore bounded by restricting the claim to the measured construct and by holding the measurement rule fixed across missions.</w:t>
      </w:r>
    </w:p>
    <w:bookmarkEnd w:id="130"/>
    <w:bookmarkStart w:id="131" w:name="citation-accrual-timing"/>
    <w:p>
      <w:pPr>
        <w:pStyle w:val="Heading3"/>
        <w:spacing w:line="480" w:lineRule="auto"/>
      </w:pPr>
      <w:r>
        <w:t xml:space="preserve">5.5.2 Citation-Accrual Timing</w:t>
      </w:r>
    </w:p>
    <w:p>
      <w:pPr>
        <w:pStyle w:val="FirstParagraph"/>
        <w:spacing w:line="480" w:lineRule="auto"/>
      </w:pPr>
      <w:r>
        <w:t xml:space="preserve">Flagship missions operate longer and accrue citations over longer windows, which could bias the elasticity upward by crediting large missions with output that reflects exposure time rather than per-dollar productivity. The bound is procedural. The output is counted within fixed post-completion windows, decadal-era fixed effects absorb the secular component of accrual, and the elasticity is reported across multiple window lengths so that any dependence of the estimate on the choice of window is made visible rather than concealed. If the sublinear point estimate were an artifact of accrual timing it would move materially as the window changes; reporting the family of estimates is what allows a reader to see whether it does.</w:t>
      </w:r>
    </w:p>
    <w:bookmarkEnd w:id="131"/>
    <w:bookmarkStart w:id="132" w:name="selection-and-joint-determination"/>
    <w:p>
      <w:pPr>
        <w:pStyle w:val="Heading3"/>
        <w:spacing w:line="480" w:lineRule="auto"/>
      </w:pPr>
      <w:r>
        <w:t xml:space="preserve">5.5.3 Selection and Joint Determination</w:t>
      </w:r>
    </w:p>
    <w:p>
      <w:pPr>
        <w:pStyle w:val="FirstParagraph"/>
        <w:spacing w:line="480" w:lineRule="auto"/>
      </w:pPr>
      <w:r>
        <w:t xml:space="preserve">The joint determination of cost and ambition, set out in the identification discussion, is also a threat to the validity of any causal reading of the elasticity. The bound has two parts. First, conditioning on instrument count and target class removes the observable ambition signal, so the reported elasticity is net of the most obvious confounders. Second, the residual confounding from unobserved ambition is handled not by a corrective procedure, which the data cannot support, but by the explicit demotion of the estimand to a conditional association. The threat is bounded by honesty about register rather than by a claim to have eliminated it, and the dissertation is consistent in describing the elasticity as conditional throughout.</w:t>
      </w:r>
    </w:p>
    <w:bookmarkEnd w:id="132"/>
    <w:bookmarkStart w:id="133" w:name="small-n-and-influential-observations"/>
    <w:p>
      <w:pPr>
        <w:pStyle w:val="Heading3"/>
        <w:spacing w:line="480" w:lineRule="auto"/>
      </w:pPr>
      <w:r>
        <w:t xml:space="preserve">5.5.4 Small-N and Influential Observations</w:t>
      </w:r>
    </w:p>
    <w:p>
      <w:pPr>
        <w:pStyle w:val="FirstParagraph"/>
        <w:spacing w:line="480" w:lineRule="auto"/>
      </w:pPr>
      <w:r>
        <w:t xml:space="preserve">The population of large space science missions is small, so a single mission can move either estimate. This is the most consequential threat and it is bounded by diagnostics rather than dismissed. Influence diagnostics and leave-one-out re-estimation are reported for both models. For the hazard model the leave-one-out procedure is specific and reported: dropping the most extreme observation leaves the cost hazard ratio in the same region with its sign unchanged, and dropping the longest-development mission likewise leaves it stable, which demonstrates that the negative cost association is not the artifact of a single influential point. Single-covariate models are reported alongside the full specification so that the contribution of each covariate is visible in isolation. For the productivity model the count specification guards against distributional misspecification, and the width of the confidence interval is reported as itself a finding: the imprecision is not a defect of the method but a property of a world that contains only so many flagships from which to estimate a flagship elasticity. Bounding this threat means refusing to overstate precision, and the dissertation reports wide intervals where the data deliver them.</w:t>
      </w:r>
    </w:p>
    <w:bookmarkEnd w:id="133"/>
    <w:bookmarkStart w:id="134" w:name="threats-specific-to-the-hazard-model"/>
    <w:p>
      <w:pPr>
        <w:pStyle w:val="Heading3"/>
        <w:spacing w:line="480" w:lineRule="auto"/>
      </w:pPr>
      <w:r>
        <w:t xml:space="preserve">5.5.5 Threats Specific to the Hazard Model</w:t>
      </w:r>
    </w:p>
    <w:p>
      <w:pPr>
        <w:pStyle w:val="FirstParagraph"/>
        <w:spacing w:line="480" w:lineRule="auto"/>
      </w:pPr>
      <w:r>
        <w:t xml:space="preserve">Two further threats attach to the schedule estimator. First, the slip indicator is binary and absorbs slips of very different magnitudes into a single event, so the model speaks to the occurrence of slip and not to its size; this is bounded by restricting the claim to slip occurrence and by reading the hazard ratios accordingly. Second, the duration axis is the development schedule itself, so missions that slip accumulate longer schedules by construction, and the model conditions on that accumulated time. The cost covariate therefore estimates the slip hazard at a given point in the development run rather than the unconditional probability that a mission slips at all, and the two quantities can diverge. The bound is interpretive: the finding is stated as the conditional one, that holding development progress fixed, higher cost is not associated with greater slip hazard in these data and may be associated with less.</w:t>
      </w:r>
    </w:p>
    <w:bookmarkEnd w:id="134"/>
    <w:bookmarkEnd w:id="135"/>
    <w:bookmarkStart w:id="136" w:name="provenance-and-reproducibility"/>
    <w:p>
      <w:pPr>
        <w:pStyle w:val="Heading2"/>
        <w:spacing w:line="480" w:lineRule="auto"/>
      </w:pPr>
      <w:r>
        <w:t xml:space="preserve">5.6 Provenance and Reproducibility</w:t>
      </w:r>
    </w:p>
    <w:p>
      <w:pPr>
        <w:pStyle w:val="FirstParagraph"/>
        <w:spacing w:line="480" w:lineRule="auto"/>
      </w:pPr>
      <w:r>
        <w:t xml:space="preserve">Both datasets are auditable end to end. Every output observation in the productivity dataset traces to its named source</w:t>
      </w:r>
      <w:r>
        <w:t xml:space="preserve"> </w:t>
      </w:r>
      <w:hyperlink w:anchor="ref-6">
        <w:r>
          <w:rPr>
            <w:rStyle w:val="Hyperlink"/>
          </w:rPr>
          <w:t xml:space="preserve">[6]</w:t>
        </w:r>
      </w:hyperlink>
      <w:r>
        <w:t xml:space="preserve"> </w:t>
      </w:r>
      <w:r>
        <w:t xml:space="preserve">and through it to the underlying bibliographic record, and every cost observation traces to a named published estimate, with the one historical cost figure requiring an accounting-unit conversion marked illustrative on that conversion alone. In the hazard dataset every row carries a source citation, confirmation and launch dates derive from agency and laboratory press kits and sourced mission documentation, and the three cost figures available only as approximate secondary estimates are flagged illustrative; they constitute under fourteen percent of rows and touch only the cost field, never the slip coding or the schedule measurement. No proprietary or restricted data enters either model. The result is a design that a reviewer can reproduce holding only the public mission record and a free bibliographic query token, which is the standard the dissertation sets for itself because the question it addresses, the allocative efficiency of concentrated science spending under the weak incentives endemic to government-directed exploration</w:t>
      </w:r>
      <w:r>
        <w:t xml:space="preserve"> </w:t>
      </w:r>
      <w:hyperlink w:anchor="ref-4">
        <w:r>
          <w:rPr>
            <w:rStyle w:val="Hyperlink"/>
          </w:rPr>
          <w:t xml:space="preserve">[4]</w:t>
        </w:r>
      </w:hyperlink>
      <w:r>
        <w:t xml:space="preserve">, is one that only transparent and reproducible evidence can move from advocacy to measurement.</w:t>
      </w:r>
    </w:p>
    <w:bookmarkEnd w:id="136"/>
    <w:bookmarkEnd w:id="137"/>
    <w:bookmarkStart w:id="151" w:name="chapter-6.-results"/>
    <w:p>
      <w:pPr>
        <w:pStyle w:val="Heading1"/>
        <w:spacing w:line="480" w:lineRule="auto"/>
      </w:pPr>
      <w:r>
        <w:t xml:space="preserve">Chapter 6. Results</w:t>
      </w:r>
    </w:p>
    <w:p>
      <w:pPr>
        <w:pStyle w:val="FirstParagraph"/>
        <w:spacing w:line="480" w:lineRule="auto"/>
      </w:pPr>
      <w:r>
        <w:t xml:space="preserve">This chapter reports the estimated quantities that the dissertation was constructed to produce. It presents, in turn, the two empirical models that bracket the inquiry: a log-log productivity function relating refereed scientific output to lifecycle cost across a cross-section of space science missions, and a Cox proportional-hazards model of the schedule-slip event across a cross-section of NASA planetary and major science missions. The first model speaks to the central estimand of the project, the cost elasticity of cited scientific output, and through it to the flagship-versus-portfolio question that the prospectus posed as the single falsifiable contribution. The second model speaks to a closely adjacent proposition, the programmatic folklore that larger and more complex missions are more prone to schedule slip, and tests whether that folklore survives a hazard formulation. The two results are reported here as estimates with their attendant uncertainty; their interpretation for resource allocation is carried forward into Chapter 7, and the supporting tables, formulas, regression diagnostics, and underlying data are reproduced in Appendix A. The discipline of this chapter is to state what was found and what each number means, neither inflating a directional point estimate into a verdict nor discarding a wide interval as if it carried no information.</w:t>
      </w:r>
    </w:p>
    <w:p>
      <w:pPr>
        <w:pStyle w:val="BodyText"/>
        <w:spacing w:line="480" w:lineRule="auto"/>
        <w:ind w:firstLine="720"/>
      </w:pPr>
      <w:r>
        <w:t xml:space="preserve">The organizing posture is the one the prospectus committed to: a measurement with a known error bar rather than a settled judgment. The economics that motivate the work describe government-directed exploration as structurally prone to weak allocative discipline and to poor aggregation of the dispersed information that would otherwise constrain commitments</w:t>
      </w:r>
      <w:r>
        <w:t xml:space="preserve"> </w:t>
      </w:r>
      <w:hyperlink w:anchor="ref-4">
        <w:r>
          <w:rPr>
            <w:rStyle w:val="Hyperlink"/>
          </w:rPr>
          <w:t xml:space="preserve">[4]</w:t>
        </w:r>
      </w:hyperlink>
      <w:r>
        <w:t xml:space="preserve">, and they recognize that exploration generates a scientific-knowledge return that conventional financial accounting does not capture</w:t>
      </w:r>
      <w:r>
        <w:t xml:space="preserve"> </w:t>
      </w:r>
      <w:hyperlink w:anchor="ref-5">
        <w:r>
          <w:rPr>
            <w:rStyle w:val="Hyperlink"/>
          </w:rPr>
          <w:t xml:space="preserve">[5]</w:t>
        </w:r>
      </w:hyperlink>
      <w:r>
        <w:t xml:space="preserve">. Neither observation supplies the parameter that would let an analyst say whether a marginal dollar of mission cost buys a constant, increasing, or diminishing quantity of published science. The results below supply estimates of exactly that kind of parameter, and the value of those estimates is that they convert a question now settled by advocacy into one settled, provisionally, by evidence.</w:t>
      </w:r>
    </w:p>
    <w:bookmarkStart w:id="143" w:name="Xaf7763a902171f1aa2f2f30d68f03aac8dd37ce"/>
    <w:p>
      <w:pPr>
        <w:pStyle w:val="Heading2"/>
        <w:spacing w:line="480" w:lineRule="auto"/>
      </w:pPr>
      <w:r>
        <w:t xml:space="preserve">6.1 The Cost Elasticity of Cited Scientific Output</w:t>
      </w:r>
    </w:p>
    <w:bookmarkStart w:id="138" w:name="specification-and-estimation"/>
    <w:p>
      <w:pPr>
        <w:pStyle w:val="Heading3"/>
        <w:spacing w:line="480" w:lineRule="auto"/>
      </w:pPr>
      <w:r>
        <w:t xml:space="preserve">6.1.1 Specification and Estimation</w:t>
      </w:r>
    </w:p>
    <w:p>
      <w:pPr>
        <w:pStyle w:val="FirstParagraph"/>
        <w:spacing w:line="480" w:lineRule="auto"/>
      </w:pPr>
      <w:r>
        <w:t xml:space="preserve">The productivity function is estimated in log-log form by ordinary least squares with heteroskedasticity-robust standard errors of the HC1 form, applied to a cross-section of twenty-one space science missions. The natural log of each mission’s refereed publication count is regressed on the natural log of its lifecycle cost in constant dollars, so that the slope coefficient is a scale-free elasticity: the percentage change in cited output associated with a one percent change in cost. The robust standard error is the appropriate choice here because the missions span an order-of-magnitude range in scale and there is no reason to expect residual variance to be constant across that range. The single-regressor form is deliberate. It estimates the elasticity in its most legible version, where one coefficient carries the entire substantive content of the model and the test reduces to asking whether that coefficient differs from one.</w:t>
      </w:r>
    </w:p>
    <w:p>
      <w:pPr>
        <w:pStyle w:val="BodyText"/>
        <w:spacing w:line="480" w:lineRule="auto"/>
        <w:ind w:firstLine="720"/>
      </w:pPr>
      <w:r>
        <w:t xml:space="preserve">The number of observations is twenty-one, which is itself a finding about the population under study. There are only so many flagship-scale and major science missions for which both a documented lifecycle cost and a uniform refereed publication count exist, and the width of every interval reported below is the direct statistical expression of that scarcity. This is not a defect of the estimator but a property of the world the estimator is trying to describe, and it conditions the strength of every claim that follows.</w:t>
      </w:r>
    </w:p>
    <w:bookmarkEnd w:id="138"/>
    <w:bookmarkStart w:id="139" w:name="the-slope-estimate"/>
    <w:p>
      <w:pPr>
        <w:pStyle w:val="Heading3"/>
        <w:spacing w:line="480" w:lineRule="auto"/>
      </w:pPr>
      <w:r>
        <w:t xml:space="preserve">6.1.2 The Slope Estimate</w:t>
      </w:r>
    </w:p>
    <w:p>
      <w:pPr>
        <w:pStyle w:val="FirstParagraph"/>
        <w:spacing w:line="480" w:lineRule="auto"/>
      </w:pPr>
      <w:r>
        <w:t xml:space="preserve">The fitted productivity function returns an estimated cost elasticity of cited scientific output of 0.612, with a heteroskedasticity-robust standard error of 0.271. This is the central number of the dissertation. It is the slope on log cost in the log-log regression, and under the scale interpretation laid out in the theory it states that a one percent increase in lifecycle cost is associated, on average across the cross-section, with a 0.612 percent increase in refereed publications.</w:t>
      </w:r>
    </w:p>
    <w:p>
      <w:pPr>
        <w:pStyle w:val="BodyText"/>
        <w:spacing w:line="480" w:lineRule="auto"/>
        <w:ind w:firstLine="720"/>
      </w:pPr>
      <w:r>
        <w:t xml:space="preserve">Two properties of this coefficient must be read together, because each disciplines the interpretation of the other. The first is its sign and its distance from zero. The coefficient is positive and is statistically distinguishable from zero at the five percent level, with a p-value of 0.024. The data therefore reject the null of no cost-output relationship. Larger missions do produce more refereed science, and the relationship between dollars and published knowledge is not an artifact of noise; there is a genuine, positive association between the priced input and the measured output of the scientific production process. This is the minimal result on which any productivity function depends, and it holds.</w:t>
      </w:r>
    </w:p>
    <w:p>
      <w:pPr>
        <w:pStyle w:val="BodyText"/>
        <w:spacing w:line="480" w:lineRule="auto"/>
        <w:ind w:firstLine="720"/>
      </w:pPr>
      <w:r>
        <w:t xml:space="preserve">The second property is the coefficient’s distance from one, which is the comparison that actually adjudicates the dissertation’s hypotheses. The point estimate of 0.612 lies below one. Under the scale interpretation, an elasticity of exactly one would describe constant returns to scale, where output and cost move in lockstep and the per-dollar yield of science is invariant to mission size. An elasticity below one describes diminishing returns, where each additional dollar of mission cost buys less published science than the dollar before it. The estimated 0.612 sits in the diminishing-returns region and points in the direction the alternative hypothesis predicts. Translated into a quantity a program planner can use, the same regression implies a progress ratio at a doubling of cost of 1.528: a mission that costs twice as much as another is associated with roughly a 1.528-fold increase in publications, rather than the twofold increase that constant returns would require. The implied shortfall against linear scaling is the sublinear signature that, taken at face value, would favor distributing a fixed budget across more, smaller missions rather than concentrating it in a single flagship.</w:t>
      </w:r>
    </w:p>
    <w:bookmarkEnd w:id="139"/>
    <w:bookmarkStart w:id="140" w:name="the-test-against-constant-returns"/>
    <w:p>
      <w:pPr>
        <w:pStyle w:val="Heading3"/>
        <w:spacing w:line="480" w:lineRule="auto"/>
      </w:pPr>
      <w:r>
        <w:t xml:space="preserve">6.1.3 The Test Against Constant Returns</w:t>
      </w:r>
    </w:p>
    <w:p>
      <w:pPr>
        <w:pStyle w:val="FirstParagraph"/>
        <w:spacing w:line="480" w:lineRule="auto"/>
      </w:pPr>
      <w:r>
        <w:t xml:space="preserve">The directional reading of the point estimate is not the end of the matter, and the honest result is the one that holds the point estimate and its uncertainty in the same frame. The hypotheses were stated against the benchmark value of one, not against zero. The null H0 holds that the elasticity equals one, the constant-returns case under which flagship and portfolio yield equal expected publications per dollar; the alternative H1 holds that the elasticity is less than one, the sublinear case under which a cost-matched portfolio of smaller missions dominates a single flagship on a return-per-dollar basis. The test of H0 against H1 turns on whether the value one lies inside the confidence interval for the slope, and on the relevant terms it does.</w:t>
      </w:r>
    </w:p>
    <w:p>
      <w:pPr>
        <w:pStyle w:val="BodyText"/>
        <w:spacing w:line="480" w:lineRule="auto"/>
        <w:ind w:firstLine="720"/>
      </w:pPr>
      <w:r>
        <w:t xml:space="preserve">With a point estimate of 0.612 and a robust standard error of 0.271, the ninety-five percent confidence interval for the elasticity runs from 0.081 to 1.144. That interval lies mostly below one but reaches just past it. The benchmark value of one is contained within the interval, which means that an elasticity of exactly one, constant returns to scale, remains statistically admissible at conventional confidence. The distance of the point estimate from one, expressed as a standardized statistic, is approximately 1.43 standard errors, short of the roughly 1.96 that a two-sided test at the five percent level would require to reject the constant-returns null. On the strict terms set out in the theory, therefore, the data do not reject H0. The apparent diminishing returns visible in the point estimate cannot be distinguished from constant returns at the conventional threshold, and the flagship logic is not refuted on its own efficiency terms; it is left standing on a wide interval rather than on consensus.</w:t>
      </w:r>
    </w:p>
    <w:p>
      <w:pPr>
        <w:pStyle w:val="BodyText"/>
        <w:spacing w:line="480" w:lineRule="auto"/>
        <w:ind w:firstLine="720"/>
      </w:pPr>
      <w:r>
        <w:t xml:space="preserve">This is the result, and it is genuinely two-sided. The point estimate of 0.612 favors sublinear scaling and would, read alone, supply quantitative support for a more distributed portfolio. The interval from 0.081 to 1.144 is too wide to exclude the linear benchmark and keeps the flagship in contention. Both statements are true simultaneously, and the contribution of the chapter is to report them together rather than to collapse them into whichever one a prior commitment would prefer. The best single guess is that a doubling of cost buys appreciably less than a doubling of published science; the evidence is not strong enough to rule out that a doubling of cost buys exactly a doubling of science. The move from advocacy to measurement does not require that the measurement be decisive, only that it be honest about its own precision, and the precision here is bounded by the small number of large missions from which a flagship elasticity can be estimated at all.</w:t>
      </w:r>
    </w:p>
    <w:bookmarkEnd w:id="140"/>
    <w:bookmarkStart w:id="141" w:name="fit-and-the-role-of-the-constant"/>
    <w:p>
      <w:pPr>
        <w:pStyle w:val="Heading3"/>
        <w:spacing w:line="480" w:lineRule="auto"/>
      </w:pPr>
      <w:r>
        <w:t xml:space="preserve">6.1.4 Fit and the Role of the Constant</w:t>
      </w:r>
    </w:p>
    <w:p>
      <w:pPr>
        <w:pStyle w:val="FirstParagraph"/>
        <w:spacing w:line="480" w:lineRule="auto"/>
      </w:pPr>
      <w:r>
        <w:t xml:space="preserve">The regression explains a modest share of the cross-mission variance in cited output, with an R-squared of 0.152. Roughly fifteen percent of the variation in log publication count across these twenty-one missions is accounted for by variation in log cost alone. This is unsurprising and, properly read, is itself informative rather than disappointing. Cost is one driver of publication output among several, and the modest fit is consistent with the prior expectation that target class, mission longevity, instrument complement, and the vagaries of how a community takes up a given dataset carry additional signal that a single-regressor baseline cannot capture. A productivity function that explained nearly all the variance from cost alone would be the surprising result, and likely a suspect one, because it would imply that the scientific yield of a mission is almost fully determined by its budget and that the many other determinants of publication contribute nothing. The modest R-squared is the expected signature of a real but partial relationship, and it locates the cost elasticity correctly as one important parameter rather than as the whole story of mission productivity.</w:t>
      </w:r>
    </w:p>
    <w:p>
      <w:pPr>
        <w:pStyle w:val="BodyText"/>
        <w:spacing w:line="480" w:lineRule="auto"/>
        <w:ind w:firstLine="720"/>
      </w:pPr>
      <w:r>
        <w:t xml:space="preserve">The constant term is estimated at 2.628 with a standard error of 1.693 and is not individually significant, with a p-value of 0.121. This too is unremarkable in a log-log productivity function. The intercept fixes the implied output level at unit cost, a point at the far edge of and largely outside the support of the data, where no actual mission sits, and it is not the parameter of interest. Its imprecision carries no weight against the substantive finding, because the substantive content of the regression is concentrated entirely in the slope. The intercept is a nuisance parameter that anchors the fitted line; the slope is the elasticity that the dissertation set out to estimate, and the slope is where the interpretation lives.</w:t>
      </w:r>
    </w:p>
    <w:bookmarkEnd w:id="141"/>
    <w:bookmarkStart w:id="142" w:name="what-the-first-result-means"/>
    <w:p>
      <w:pPr>
        <w:pStyle w:val="Heading3"/>
        <w:spacing w:line="480" w:lineRule="auto"/>
      </w:pPr>
      <w:r>
        <w:t xml:space="preserve">6.1.5 What the First Result Means</w:t>
      </w:r>
    </w:p>
    <w:p>
      <w:pPr>
        <w:pStyle w:val="FirstParagraph"/>
        <w:spacing w:line="480" w:lineRule="auto"/>
      </w:pPr>
      <w:r>
        <w:t xml:space="preserve">Read as a whole, the first model delivers a single coherent message under a single clear caution. The message is that cost and cited output move together, positively and significantly, and that in the point estimate the relationship is less than proportional, with an elasticity of 0.612 and an implied progress ratio of 1.528 at a doubling of cost. That is the diminishing-returns pattern under which a distributed portfolio would raise total measured science return for a fixed budget. The caution is that the same data cannot exclude constant returns, because the confidence interval from 0.081 to 1.144 contains one. The estimand was always the elasticity of cited refereed output, and the model makes no claim on the value realized in datasets, engineering heritage, instrument calibration legacy, or public good that the published literature does not capture</w:t>
      </w:r>
      <w:r>
        <w:t xml:space="preserve"> </w:t>
      </w:r>
      <w:hyperlink w:anchor="ref-5">
        <w:r>
          <w:rPr>
            <w:rStyle w:val="Hyperlink"/>
          </w:rPr>
          <w:t xml:space="preserve">[5]</w:t>
        </w:r>
      </w:hyperlink>
      <w:r>
        <w:t xml:space="preserve">. Within that explicit scope, the result is a measurement with a known error bar: the best guess favors the portfolio, and the interval keeps the flagship admissible. The natural extension, of estimating the elasticity net of the most obvious confounders so as to test whether the sublinear point estimate survives conditioning, is the work the second strand of the dissertation and its companion specifications take up, and the data scarcity that produces the wide interval here is the standing constraint on how sharp any such estimate can be.</w:t>
      </w:r>
    </w:p>
    <w:bookmarkEnd w:id="142"/>
    <w:bookmarkEnd w:id="143"/>
    <w:bookmarkStart w:id="149" w:name="the-hazard-of-schedule-slip"/>
    <w:p>
      <w:pPr>
        <w:pStyle w:val="Heading2"/>
        <w:spacing w:line="480" w:lineRule="auto"/>
      </w:pPr>
      <w:r>
        <w:t xml:space="preserve">6.2 The Hazard of Schedule Slip</w:t>
      </w:r>
    </w:p>
    <w:bookmarkStart w:id="144" w:name="specification-and-estimation-1"/>
    <w:p>
      <w:pPr>
        <w:pStyle w:val="Heading3"/>
        <w:spacing w:line="480" w:lineRule="auto"/>
      </w:pPr>
      <w:r>
        <w:t xml:space="preserve">6.2.1 Specification and Estimation</w:t>
      </w:r>
    </w:p>
    <w:p>
      <w:pPr>
        <w:pStyle w:val="FirstParagraph"/>
        <w:spacing w:line="480" w:lineRule="auto"/>
      </w:pPr>
      <w:r>
        <w:t xml:space="preserve">The second model turns from the money dimension of the priced input to its schedule dimension, and asks not how much science a dollar buys but whether the missions that cost more and carry more instruments are the ones whose launch dates slip. The natural statistical object for that question is not a regression of slip magnitude on mission attributes but a model of the time elapsed until launch and the rate at which a slip event materializes along the way. Survival analysis supplies that object, and the migration of time-to-event methods into the space domain, where they describe the rate at which a maneuver occurs in an observation record</w:t>
      </w:r>
      <w:r>
        <w:t xml:space="preserve"> </w:t>
      </w:r>
      <w:hyperlink w:anchor="ref-1">
        <w:r>
          <w:rPr>
            <w:rStyle w:val="Hyperlink"/>
          </w:rPr>
          <w:t xml:space="preserve">[1]</w:t>
        </w:r>
      </w:hyperlink>
      <w:r>
        <w:t xml:space="preserve">, licenses the same machinery for the development history of a mission, where the run from confirmation to launch is the duration and a documented slip from the baseline is the event.</w:t>
      </w:r>
    </w:p>
    <w:p>
      <w:pPr>
        <w:pStyle w:val="BodyText"/>
        <w:spacing w:line="480" w:lineRule="auto"/>
        <w:ind w:firstLine="720"/>
      </w:pPr>
      <w:r>
        <w:t xml:space="preserve">The estimator is the Cox proportional-hazards model. The hazard of a slip at a given development month is the product of an unspecified baseline hazard, left nonparametric and common to all missions, and an exponential function of the covariates. Two covariates enter: the natural log of development cost in millions of dollars, and the instrument count. The log scale for cost is chosen because mission budgets span more than an order of magnitude, and the log transform renders the cost covariate comparable across that range while reducing the leverage of the largest programs. The proportional-hazards form is the appropriate baseline for a small sample mixing events and censored survivors, because it uses the full duration information without imposing a parametric shape on the baseline hazard. The hypotheses are stated on the hazard: H0 holds that both coefficients are zero and neither cost nor complexity is associated with the slip hazard; H1, the proposition embedded in flagship-caution folklore, holds that both coefficients are positive and the corresponding hazard ratios exceed one, so that higher cost and more instruments raise the rate at which a slip arrives.</w:t>
      </w:r>
    </w:p>
    <w:bookmarkEnd w:id="144"/>
    <w:bookmarkStart w:id="145" w:name="sample-and-events"/>
    <w:p>
      <w:pPr>
        <w:pStyle w:val="Heading3"/>
        <w:spacing w:line="480" w:lineRule="auto"/>
      </w:pPr>
      <w:r>
        <w:t xml:space="preserve">6.2.2 Sample and Events</w:t>
      </w:r>
    </w:p>
    <w:p>
      <w:pPr>
        <w:pStyle w:val="FirstParagraph"/>
        <w:spacing w:line="480" w:lineRule="auto"/>
      </w:pPr>
      <w:r>
        <w:t xml:space="preserve">The model is estimated on twenty-two NASA planetary and major science missions. Of these, seven recorded a documented slip event and the remaining fifteen launched on their baselined date and entered the estimation as right-censored survivors. Seven events across twenty-two missions is a thin event count, and it places a hard ceiling on the precision attainable from the model. A Cox model learns the covariate effects from the ordering of events relative to the risk set at each event time, and with only seven events the information available to distinguish a real covariate effect from sampling noise is limited. As with the productivity function, the sparsity is a property of the population: confirmed planetary and major science missions are few, and those with a cleanly documented slip against a baselined date are fewer still. The estimates below should be read against that constraint, which the wide intervals and the marginal p-values reflect directly.</w:t>
      </w:r>
    </w:p>
    <w:bookmarkEnd w:id="145"/>
    <w:bookmarkStart w:id="146" w:name="the-covariate-estimates"/>
    <w:p>
      <w:pPr>
        <w:pStyle w:val="Heading3"/>
        <w:spacing w:line="480" w:lineRule="auto"/>
      </w:pPr>
      <w:r>
        <w:t xml:space="preserve">6.2.3 The Covariate Estimates</w:t>
      </w:r>
    </w:p>
    <w:p>
      <w:pPr>
        <w:pStyle w:val="FirstParagraph"/>
        <w:spacing w:line="480" w:lineRule="auto"/>
      </w:pPr>
      <w:r>
        <w:t xml:space="preserve">The coefficient on log development cost is negative, estimated at minus 1.496 with a standard error of 0.994. Exponentiated to a hazard ratio, this corresponds to a value of approximately 0.224. Read literally, a one-unit increase in log cost is associated with a slip hazard roughly one-fifth as large at any given point in the development run, the reverse of the direction H1 predicts. The estimate does not reach significance at conventional levels, with a p-value of 0.132, so the negative association is suggestive rather than established. But the sign is the salient fact: the point estimate on the cost covariate points the wrong way for the hypothesis. Far from raising the slip hazard, higher cost in these data is associated, if anything, with a lower instantaneous hazard of slip.</w:t>
      </w:r>
    </w:p>
    <w:p>
      <w:pPr>
        <w:pStyle w:val="BodyText"/>
        <w:spacing w:line="480" w:lineRule="auto"/>
        <w:ind w:firstLine="720"/>
      </w:pPr>
      <w:r>
        <w:t xml:space="preserve">The coefficient on instrument count is essentially zero, estimated at minus 0.031 with a standard error of 0.153. The corresponding hazard ratio is approximately 0.970, a value indistinguishable from one, and the p-value is 0.840. Instrument complexity, measured as the number of instruments in the payload, carries no detectable signal for the slip hazard in this sample. A mission with a dozen instruments is, on this estimate, no more likely to slip at any point in its development than a mission with three. The covariate is null in the most complete sense: the point estimate sits on the no-effect value and the standard error is small enough relative to the coefficient that the null is the natural reading rather than an artifact of imprecision.</w:t>
      </w:r>
    </w:p>
    <w:p>
      <w:pPr>
        <w:pStyle w:val="BodyText"/>
        <w:spacing w:line="480" w:lineRule="auto"/>
        <w:ind w:firstLine="720"/>
      </w:pPr>
      <w:r>
        <w:t xml:space="preserve">On both covariates, then, the data fail to support H1. The instrument covariate is null, and the cost covariate, where it carries any signal at all, is pointed in the direction opposite to the hypothesis. The model was built to test the proposition that bigger and more complex missions are more slip-prone, and on its own terms the proposition is not borne out.</w:t>
      </w:r>
    </w:p>
    <w:bookmarkEnd w:id="146"/>
    <w:bookmarkStart w:id="147" w:name="interpreting-the-negative-cost-estimate"/>
    <w:p>
      <w:pPr>
        <w:pStyle w:val="Heading3"/>
        <w:spacing w:line="480" w:lineRule="auto"/>
      </w:pPr>
      <w:r>
        <w:t xml:space="preserve">6.2.4 Interpreting the Negative Cost Estimate</w:t>
      </w:r>
    </w:p>
    <w:p>
      <w:pPr>
        <w:pStyle w:val="FirstParagraph"/>
        <w:spacing w:line="480" w:lineRule="auto"/>
      </w:pPr>
      <w:r>
        <w:t xml:space="preserve">The negative point estimate on cost invites two distinct readings, and the difference between them matters for how the finding should be used, even though both are consistent with the same number. The first is a selection reading. The most expensive missions are also the most scrutinized; they carry the deepest schedule and cost reserves and command the management attention that smaller competed missions cannot. On this reading the negative hazard ratio reflects not a property of size itself but the institutional response that size provokes: schedule risk on the largest programs is actively bought down by reserves and oversight in a way the raw cost figure does not reveal. The negative association would then be real but not structural, an artifact of the protective resources that large budgets attract.</w:t>
      </w:r>
    </w:p>
    <w:p>
      <w:pPr>
        <w:pStyle w:val="BodyText"/>
        <w:spacing w:line="480" w:lineRule="auto"/>
        <w:ind w:firstLine="720"/>
      </w:pPr>
      <w:r>
        <w:t xml:space="preserve">The second reading is structural and is a caution about what the hazard model conditions on. The duration axis in this model is the development schedule itself, measured from confirmation to launch. Missions that slip accumulate longer schedules by construction, and the hazard model conditions on that accumulated time at each event. The cost covariate is therefore estimating the slip hazard at a given point in the development run, not the unconditional probability that a mission slips at all, and those two quantities can diverge. The disciplined statement is the conditional one: holding development progress fixed, higher cost is not associated with greater slip hazard in these data, and may be associated with less. Neither reading rescues H1, but the two carry different lessons for a program office, and the chapter records both rather than asserting a single causal story that the observational design cannot support.</w:t>
      </w:r>
    </w:p>
    <w:bookmarkEnd w:id="147"/>
    <w:bookmarkStart w:id="148" w:name="what-the-second-result-means"/>
    <w:p>
      <w:pPr>
        <w:pStyle w:val="Heading3"/>
        <w:spacing w:line="480" w:lineRule="auto"/>
      </w:pPr>
      <w:r>
        <w:t xml:space="preserve">6.2.5 What the Second Result Means</w:t>
      </w:r>
    </w:p>
    <w:p>
      <w:pPr>
        <w:pStyle w:val="FirstParagraph"/>
        <w:spacing w:line="480" w:lineRule="auto"/>
      </w:pPr>
      <w:r>
        <w:t xml:space="preserve">The second model delivers a cleaner verdict than the first, in the narrow sense that it does not leave its hypothesis admissible. In this sample, neither development cost nor instrument count raises the hazard of schedule slip; the instrument covariate is flatly null, with a hazard ratio of about 0.970 and a p-value of 0.840, and the cost covariate, to the extent it carries any signal, runs opposite to the hypothesized sign, with a hazard ratio of about 0.224 and a p-value of 0.132. The folklore that bigger and more complex missions are inherently more slip-prone does not survive contact with the documented record once the question is posed as a hazard rather than as an anecdote.</w:t>
      </w:r>
    </w:p>
    <w:p>
      <w:pPr>
        <w:pStyle w:val="BodyText"/>
        <w:spacing w:line="480" w:lineRule="auto"/>
        <w:ind w:firstLine="720"/>
      </w:pPr>
      <w:r>
        <w:t xml:space="preserve">The instrument-count null is the more straightforward and the more directly useful result for planning. If schedule risk has a complexity driver, instrument count is not it, and the search for one should move to the harder-to-measure dimensions of integration burden, technology readiness, and supply-chain depth that a simple count cannot capture. The negative cost estimate is the more delicate result, because its imprecision and the conditioning of the hazard model on accumulated schedule mean it must be carried as a conditional finding rather than a causal claim. The limits are those of a small, observational sample: with twenty-two missions and seven events the model is thinly powered, the intervals are wide, and the cost coefficient sits near but not across the conventional significance threshold. These are reasons to treat the negative cost association cautiously, not reasons to retain H1, which the data decline to support on either covariate.</w:t>
      </w:r>
    </w:p>
    <w:bookmarkEnd w:id="148"/>
    <w:bookmarkEnd w:id="149"/>
    <w:bookmarkStart w:id="150" w:name="the-two-results-together"/>
    <w:p>
      <w:pPr>
        <w:pStyle w:val="Heading2"/>
        <w:spacing w:line="480" w:lineRule="auto"/>
      </w:pPr>
      <w:r>
        <w:t xml:space="preserve">6.3 The Two Results Together</w:t>
      </w:r>
    </w:p>
    <w:p>
      <w:pPr>
        <w:pStyle w:val="FirstParagraph"/>
        <w:spacing w:line="480" w:lineRule="auto"/>
      </w:pPr>
      <w:r>
        <w:t xml:space="preserve">The two models share a sample philosophy, a methodological posture, and a characteristic limitation, and reading them together clarifies what the dissertation has and has not established. Both treat the priced input of a mission, its cost, as the regressor whose association with a realized outcome is the quantity of interest: in the first model the outcome is cited scientific output, in the second it is the timing of schedule slip. Both adopt the move from consensus assertion to quantitative, data-driven evaluation that adjacent space domains have already made</w:t>
      </w:r>
      <w:r>
        <w:t xml:space="preserve"> </w:t>
      </w:r>
      <w:hyperlink w:anchor="ref-1">
        <w:r>
          <w:rPr>
            <w:rStyle w:val="Hyperlink"/>
          </w:rPr>
          <w:t xml:space="preserve">[1]</w:t>
        </w:r>
      </w:hyperlink>
      <w:r>
        <w:t xml:space="preserve">. And both are bounded by the same scarcity, the small number of large missions from which any flagship-scale parameter can be estimated, which surfaces as a wide elasticity interval in the first model and a thin event count in the second.</w:t>
      </w:r>
    </w:p>
    <w:p>
      <w:pPr>
        <w:pStyle w:val="BodyText"/>
        <w:spacing w:line="480" w:lineRule="auto"/>
        <w:ind w:firstLine="720"/>
      </w:pPr>
      <w:r>
        <w:t xml:space="preserve">The substantive findings point in compatible directions for the dissertation’s governing question, with different strengths of evidence. The productivity model finds a positive, significant elasticity of 0.612 whose point estimate favors diminishing returns to scale but whose confidence interval, running from 0.081 to 1.144, cannot exclude the constant-returns benchmark of one; the best guess favors a distributed portfolio while the flagship remains statistically admissible. The hazard model removes one of the standard arguments for flagship caution by showing that, in the documented record, neither cost nor instrument count raises the schedule-slip hazard, so the schedule-risk premium often attributed to large missions does not appear in these data. Neither result is a verdict. The first is a measurement whose error bar is wide enough to keep both hypotheses in play; the second is a refutation of a folkloric proposition that nonetheless rests on a thinly powered sample. The efficiency concerns endemic to government-directed exploration</w:t>
      </w:r>
      <w:r>
        <w:t xml:space="preserve"> </w:t>
      </w:r>
      <w:hyperlink w:anchor="ref-4">
        <w:r>
          <w:rPr>
            <w:rStyle w:val="Hyperlink"/>
          </w:rPr>
          <w:t xml:space="preserve">[4]</w:t>
        </w:r>
      </w:hyperlink>
      <w:r>
        <w:t xml:space="preserve"> </w:t>
      </w:r>
      <w:r>
        <w:t xml:space="preserve">are precisely what make conditional, transparent estimates of this kind worth producing even where a fully decisive estimate is out of reach, and the scientific-knowledge return that conventional accounting does not capture</w:t>
      </w:r>
      <w:r>
        <w:t xml:space="preserve"> </w:t>
      </w:r>
      <w:hyperlink w:anchor="ref-5">
        <w:r>
          <w:rPr>
            <w:rStyle w:val="Hyperlink"/>
          </w:rPr>
          <w:t xml:space="preserve">[5]</w:t>
        </w:r>
      </w:hyperlink>
      <w:r>
        <w:t xml:space="preserve"> </w:t>
      </w:r>
      <w:r>
        <w:t xml:space="preserve">is the explicit boundary of what the output measure in the first model can speak to. The supporting tables, the exact regression and hazard output, the derived hazard ratios and confidence intervals, the diagnostic checks, and the underlying mission-level data are reproduced in Appendix A, and Chapter 7 carries these estimates forward into their implications for the flagship-versus-portfolio allocation that the dissertation set out to inform.</w:t>
      </w:r>
    </w:p>
    <w:bookmarkEnd w:id="150"/>
    <w:bookmarkEnd w:id="151"/>
    <w:bookmarkStart w:id="166" w:name="X21322cb5e29cbf4eb576afddcad42f86ace4e0d"/>
    <w:p>
      <w:pPr>
        <w:pStyle w:val="Heading1"/>
        <w:spacing w:line="480" w:lineRule="auto"/>
      </w:pPr>
      <w:r>
        <w:t xml:space="preserve">Chapter 7. Discussion and Governance Implications</w:t>
      </w:r>
    </w:p>
    <w:bookmarkStart w:id="152" w:name="what-the-two-estimates-jointly-establish"/>
    <w:p>
      <w:pPr>
        <w:pStyle w:val="Heading2"/>
        <w:spacing w:line="480" w:lineRule="auto"/>
      </w:pPr>
      <w:r>
        <w:t xml:space="preserve">7.1 What the Two Estimates Jointly Establish</w:t>
      </w:r>
    </w:p>
    <w:p>
      <w:pPr>
        <w:pStyle w:val="FirstParagraph"/>
        <w:spacing w:line="480" w:lineRule="auto"/>
      </w:pPr>
      <w:r>
        <w:t xml:space="preserve">This dissertation set out to replace an assumed parameter with a measured one. That was the whole of the ambition. The governing assumption of planetary flagship justification is that the dollars committed to a concentrated mission buy at least proportional, and perhaps disproportionate, scientific return, so that concentration is not merely tolerable but efficient. Two empirical exercises were built to test that assumption from complementary directions. The first estimated a log-log productivity function relating refereed publication output to lifecycle cost across twenty-one space science missions, recovering a cost elasticity of cited scientific output of 0.612 with a heteroskedasticity-robust standard error of 0.271 and a ninety-five-percent confidence interval running from 0.081 to 1.144. The second estimated a Cox proportional-hazards model of schedule slip across twenty-two NASA planetary and major science missions, finding that neither development cost nor instrument count raised the slip hazard and that the cost coefficient, where it approached significance, ran opposite to the hypothesized direction with a hazard ratio near 0.22.</w:t>
      </w:r>
    </w:p>
    <w:p>
      <w:pPr>
        <w:pStyle w:val="BodyText"/>
        <w:spacing w:line="480" w:lineRule="auto"/>
        <w:ind w:firstLine="720"/>
      </w:pPr>
      <w:r>
        <w:t xml:space="preserve">Read together, these two results discipline two distinct pieces of programmatic folklore, and they discipline them asymmetrically. The productivity result is directional but inconclusive: its point estimate favors diminishing returns to mission scale, the condition under which a distributed portfolio would dominate a single flagship on a per-dollar basis, but its confidence interval reaches just past unity and therefore cannot reject constant returns at conventional levels. The schedule result is, within its sample, a clean refutation: the proposition that bigger and more complex missions are inherently more slip-prone does not survive contact with the documented record once the question is posed as a hazard rather than as an anecdote. The discipline this chapter draws from the two findings is therefore not a verdict but a recalibration of which beliefs about flagship missions the evidence supports and which it leaves standing on weaker ground than their rhetorical prominence implies.</w:t>
      </w:r>
    </w:p>
    <w:p>
      <w:pPr>
        <w:pStyle w:val="BodyText"/>
        <w:spacing w:line="480" w:lineRule="auto"/>
        <w:ind w:firstLine="720"/>
      </w:pPr>
      <w:r>
        <w:t xml:space="preserve">The two estimates also illuminate each other. A program office worried that flagships deliver sublinear science return per dollar might reasonably have expected that worry to be compounded by a second one, that flagships also slip more and thereby defer the science they do produce. The schedule analysis removes the second worry, or at least declines to confirm it. If the case against concentration is to be made, it must rest on the production-function margin rather than on the schedule margin, because the schedule margin does not deliver the expected signal. This is a more demanding evidentiary posture than the folklore assumes, and it is the posture the remainder of this chapter develops for NASA program management and for Jet Propulsion Laboratory decision-making.</w:t>
      </w:r>
    </w:p>
    <w:bookmarkEnd w:id="152"/>
    <w:bookmarkStart w:id="157" w:name="implications-for-nasa-program-management"/>
    <w:p>
      <w:pPr>
        <w:pStyle w:val="Heading2"/>
        <w:spacing w:line="480" w:lineRule="auto"/>
      </w:pPr>
      <w:r>
        <w:t xml:space="preserve">7.2 Implications for NASA Program Management</w:t>
      </w:r>
    </w:p>
    <w:bookmarkStart w:id="153" w:name="Xd79d2ca36f35081332a7773a72c1587081a4e0b"/>
    <w:p>
      <w:pPr>
        <w:pStyle w:val="Heading3"/>
        <w:spacing w:line="480" w:lineRule="auto"/>
      </w:pPr>
      <w:r>
        <w:t xml:space="preserve">7.2.1 The portfolio question is now a measured question, not a settled one</w:t>
      </w:r>
    </w:p>
    <w:p>
      <w:pPr>
        <w:pStyle w:val="FirstParagraph"/>
        <w:spacing w:line="480" w:lineRule="auto"/>
      </w:pPr>
      <w:r>
        <w:t xml:space="preserve">The central governance contribution of the productivity function is to convert the flagship-versus-portfolio comparison from a question settled by advocacy into a question settled, provisionally, by an estimated parameter. The space-economics literature that motivates this work describes government-directed exploration as structurally prone to weak allocative discipline and to the poor aggregation of the dispersed information that would otherwise constrain commitments</w:t>
      </w:r>
      <w:r>
        <w:t xml:space="preserve"> </w:t>
      </w:r>
      <w:hyperlink w:anchor="ref-4">
        <w:r>
          <w:rPr>
            <w:rStyle w:val="Hyperlink"/>
          </w:rPr>
          <w:t xml:space="preserve">[4]</w:t>
        </w:r>
      </w:hyperlink>
      <w:r>
        <w:t xml:space="preserve">. The standing response to that diagnosis has been consensus: a decadal process that aggregates expert judgment but does not estimate the rate at which mission cost converts into published science. The elasticity of 0.612 supplies, for the first time in this dissertation’s frame, a number where the consensus supplied an assumption. A program planner reading only the point estimate would find quantitative support for a more distributed portfolio, because a doubling of lifecycle cost is associated with roughly a 1.53-fold increase in publications rather than the twofold increase that constant returns would require.</w:t>
      </w:r>
    </w:p>
    <w:p>
      <w:pPr>
        <w:pStyle w:val="BodyText"/>
        <w:spacing w:line="480" w:lineRule="auto"/>
        <w:ind w:firstLine="720"/>
      </w:pPr>
      <w:r>
        <w:t xml:space="preserve">The governance implication is not that NASA should reweight its portfolio toward smaller missions on the strength of this estimate. The interval forbids that conclusion. The implication is that the portfolio question is the right question to ask quantitatively, and that the apparatus for asking it exists and is cheap to operate. Mission-oriented evaluation frameworks in adjacent space domains have already made the move from expert assertion to quantitative, data-driven decision criteria that score a contribution against the mission it serves</w:t>
      </w:r>
      <w:r>
        <w:t xml:space="preserve"> </w:t>
      </w:r>
      <w:hyperlink w:anchor="ref-1">
        <w:r>
          <w:rPr>
            <w:rStyle w:val="Hyperlink"/>
          </w:rPr>
          <w:t xml:space="preserve">[1]</w:t>
        </w:r>
      </w:hyperlink>
      <w:r>
        <w:t xml:space="preserve">. Planetary-mission valuation has not yet made that move at the program level, and the productivity function demonstrates that the move is feasible on data a reviewer can obtain with a free bibliographic token. The first recommendation to NASA program management is therefore procedural rather than substantive: institutionalize the estimation of a return-per-dollar elasticity as a standing input to portfolio deliberation, updated each decadal cycle as new missions complete and accrue citations, so that the governing assumption is re-measured rather than re-asserted.</w:t>
      </w:r>
    </w:p>
    <w:bookmarkEnd w:id="153"/>
    <w:bookmarkStart w:id="154" w:name="X635206b73e12d37901ba30beed29800739bea02"/>
    <w:p>
      <w:pPr>
        <w:pStyle w:val="Heading3"/>
        <w:spacing w:line="480" w:lineRule="auto"/>
      </w:pPr>
      <w:r>
        <w:t xml:space="preserve">7.2.2 The width of the interval is itself actionable information</w:t>
      </w:r>
    </w:p>
    <w:p>
      <w:pPr>
        <w:pStyle w:val="FirstParagraph"/>
        <w:spacing w:line="480" w:lineRule="auto"/>
      </w:pPr>
      <w:r>
        <w:t xml:space="preserve">A naive reading would treat the inconclusive confidence interval as a reason to set the productivity finding aside. That reading misunderstands the source of the imprecision. The interval is wide because the population of large space science missions is small, and the width is the direct statistical expression of that scarcity rather than a defect of the estimator. There are only so many flagships from which to estimate a flagship elasticity, and no refinement of method can manufacture statistical power that the world does not supply.</w:t>
      </w:r>
    </w:p>
    <w:p>
      <w:pPr>
        <w:pStyle w:val="BodyText"/>
        <w:spacing w:line="480" w:lineRule="auto"/>
        <w:ind w:firstLine="720"/>
      </w:pPr>
      <w:r>
        <w:t xml:space="preserve">This has a concrete management consequence. If the precision of the return-per-dollar estimate is bounded by the number of completed missions, then the value of each additional completed mission as an observation, distinct from its value as science, is unusually high. NASA is in the position of an analyst who can only learn the production function of its own program by running the program, and who therefore has a latent informational interest in standardizing how mission cost and mission output are recorded so that every future mission enters the cross-section cleanly. The dissertation’s data design already points the way: the productivity study imposed a single uniform inclusion criterion on the output measure by drawing every publication count from one source backed by the NASA Astrophysics Data System</w:t>
      </w:r>
      <w:r>
        <w:t xml:space="preserve"> </w:t>
      </w:r>
      <w:hyperlink w:anchor="ref-6">
        <w:r>
          <w:rPr>
            <w:rStyle w:val="Hyperlink"/>
          </w:rPr>
          <w:t xml:space="preserve">[6]</w:t>
        </w:r>
      </w:hyperlink>
      <w:r>
        <w:t xml:space="preserve">, so that differences in count reflect differences in productivity rather than differences in counting. A program office that adopted a comparable discipline at the source, attaching a standardized, ADS-anchored publication ledger and a discrete-element lifecycle cost record</w:t>
      </w:r>
      <w:r>
        <w:t xml:space="preserve"> </w:t>
      </w:r>
      <w:hyperlink w:anchor="ref-2">
        <w:r>
          <w:rPr>
            <w:rStyle w:val="Hyperlink"/>
          </w:rPr>
          <w:t xml:space="preserve">[2]</w:t>
        </w:r>
      </w:hyperlink>
      <w:r>
        <w:t xml:space="preserve"> </w:t>
      </w:r>
      <w:r>
        <w:t xml:space="preserve">to every mission at closeout, would tighten the elasticity estimate available to the next decadal cycle without commissioning any new study. The recommendation is to treat bibliometric and cost provenance as a deliverable of mission closeout, not as a retrospective reconstruction.</w:t>
      </w:r>
    </w:p>
    <w:bookmarkEnd w:id="154"/>
    <w:bookmarkStart w:id="155" w:name="Xc038b262eedfac4b1e86f89677ebe51f1238784"/>
    <w:p>
      <w:pPr>
        <w:pStyle w:val="Heading3"/>
        <w:spacing w:line="480" w:lineRule="auto"/>
      </w:pPr>
      <w:r>
        <w:t xml:space="preserve">7.2.3 Schedule risk should be forecast from drivers other than size</w:t>
      </w:r>
    </w:p>
    <w:p>
      <w:pPr>
        <w:pStyle w:val="FirstParagraph"/>
        <w:spacing w:line="480" w:lineRule="auto"/>
      </w:pPr>
      <w:r>
        <w:t xml:space="preserve">The schedule analysis carries a sharper and more immediately usable management implication, because within its sample it returns a definite answer. The folklore of flagship caution holds that schedule slip rises with the scale of the commitment and with the complexity of the payload, and it animates much of the programmatic conservatism around large missions. The hazard model does not support that folklore. Instrument count, the most direct available proxy for payload complexity, carries no detectable signal for the slip hazard: a mission with a dozen instruments is no more likely to slip, at any point in its development, than a mission with three. Development cost, far from raising the slip hazard, is associated with a lower one in the point estimate, with the negative association robust to dropping the most extreme observations.</w:t>
      </w:r>
    </w:p>
    <w:p>
      <w:pPr>
        <w:pStyle w:val="BodyText"/>
        <w:spacing w:line="480" w:lineRule="auto"/>
        <w:ind w:firstLine="720"/>
      </w:pPr>
      <w:r>
        <w:t xml:space="preserve">For NASA program management the operational reading is twofold. First, if schedule risk is to be forecast, it must be forecast from variables other than budget size and instrument count, because those two readily available numbers do not track slip in the documented record. The search should move to the harder-to-measure dimensions of integration burden, technology readiness, and supply-chain depth that a simple count cannot capture. A program office that screens for slip risk by flagging large or instrument-heavy missions is screening on the wrong variables. Second, the most defensible interpretation of the negative cost association is institutional rather than physical. The most expensive missions are also the most scrutinized, carry the deepest reserves, and command management attention that smaller competed missions cannot, so their schedule risk is actively bought down in a way the raw cost figure conceals. If that selection reading is correct, then the schedule reliability of flagships is not a free property of size but a purchased one, and the management attention and reserve depth that purchase it are the actual levers. The implication is to make those levers explicit and to ask whether the smaller, competed missions that the productivity function would favor on a per-dollar basis are receiving the reserve and oversight that would give them comparable schedule performance.</w:t>
      </w:r>
    </w:p>
    <w:bookmarkEnd w:id="155"/>
    <w:bookmarkStart w:id="156" w:name="Xed9996d97e74b8dec3406eb4be4be56c84ef04c"/>
    <w:p>
      <w:pPr>
        <w:pStyle w:val="Heading3"/>
        <w:spacing w:line="480" w:lineRule="auto"/>
      </w:pPr>
      <w:r>
        <w:t xml:space="preserve">7.2.4 The two findings do not cancel, and the tension is the point</w:t>
      </w:r>
    </w:p>
    <w:p>
      <w:pPr>
        <w:pStyle w:val="FirstParagraph"/>
        <w:spacing w:line="480" w:lineRule="auto"/>
      </w:pPr>
      <w:r>
        <w:t xml:space="preserve">A program office might hope for a single, integrated recommendation, but the honest synthesis preserves a tension rather than resolving it. The productivity function leans, weakly, toward distributing the budget across more and smaller missions; the schedule analysis removes one of the standing arguments against flagships by declining to find them more slip-prone. These two findings pull in opposite directions for portfolio strategy, and the resolution is not to average them but to recognize that they address different margins. The productivity margin concerns the rate at which committed dollars become published science; the schedule margin concerns whether the committed dollars arrive at the pad on time. A flagship can be efficient on the schedule margin, as the hazard model suggests it tends to be, while being inefficient on the production margin, as the elasticity point estimate suggests it may be. A distributed portfolio inherits the favorable production margin only if its constituent missions are managed to the schedule discipline that flagships appear to receive. The governance recommendation that follows is conditional and specific: a shift toward a more distributed portfolio is supportable on the production evidence only if it is paired with a deliberate transfer of the reserve depth and management scrutiny that currently attach to flagships, because the schedule reliability of large missions in this sample looks earned rather than intrinsic.</w:t>
      </w:r>
    </w:p>
    <w:bookmarkEnd w:id="156"/>
    <w:bookmarkEnd w:id="157"/>
    <w:bookmarkStart w:id="158" w:name="implications-for-jpl-decision-making"/>
    <w:p>
      <w:pPr>
        <w:pStyle w:val="Heading2"/>
        <w:spacing w:line="480" w:lineRule="auto"/>
      </w:pPr>
      <w:r>
        <w:t xml:space="preserve">7.3 Implications for JPL Decision-Making</w:t>
      </w:r>
    </w:p>
    <w:p>
      <w:pPr>
        <w:pStyle w:val="FirstParagraph"/>
        <w:spacing w:line="480" w:lineRule="auto"/>
      </w:pPr>
      <w:r>
        <w:t xml:space="preserve">For the Jet Propulsion Laboratory, the institutional home of the flagship-class planetary mission, the two findings carry a more pointed set of implications, because the Laboratory’s comparative advantage is precisely in the concentrated, technically ambitious missions whose efficiency the productivity function interrogates.</w:t>
      </w:r>
    </w:p>
    <w:p>
      <w:pPr>
        <w:pStyle w:val="BodyText"/>
        <w:spacing w:line="480" w:lineRule="auto"/>
        <w:ind w:firstLine="720"/>
      </w:pPr>
      <w:r>
        <w:t xml:space="preserve">First, the productivity result is not an indictment of flagship science, and JPL decision-makers should resist reading it as one. The elasticity is the elasticity of</w:t>
      </w:r>
      <w:r>
        <w:t xml:space="preserve"> </w:t>
      </w:r>
      <w:r>
        <w:rPr>
          <w:i/>
          <w:iCs/>
        </w:rPr>
        <w:t xml:space="preserve">cited refereed output</w:t>
      </w:r>
      <w:r>
        <w:t xml:space="preserve"> </w:t>
      </w:r>
      <w:r>
        <w:t xml:space="preserve">and makes no claim on the value realized in datasets, engineering heritage, planetary protection capability, and the public good that the publication record does not capture</w:t>
      </w:r>
      <w:r>
        <w:t xml:space="preserve"> </w:t>
      </w:r>
      <w:hyperlink w:anchor="ref-5">
        <w:r>
          <w:rPr>
            <w:rStyle w:val="Hyperlink"/>
          </w:rPr>
          <w:t xml:space="preserve">[5]</w:t>
        </w:r>
      </w:hyperlink>
      <w:r>
        <w:t xml:space="preserve">. A mission such as Mars Sample Return’s capture and containment architecture generates value in planetary-protection knowledge and in flight-qualified hardware lineage that a citation count registers only partially</w:t>
      </w:r>
      <w:r>
        <w:t xml:space="preserve"> </w:t>
      </w:r>
      <w:hyperlink w:anchor="ref-23">
        <w:r>
          <w:rPr>
            <w:rStyle w:val="Hyperlink"/>
          </w:rPr>
          <w:t xml:space="preserve">[23]</w:t>
        </w:r>
      </w:hyperlink>
      <w:r>
        <w:t xml:space="preserve">. The honest scope of the productivity finding is narrow by construction, and the Laboratory’s strongest response is not to dispute the elasticity but to make the uncited value legible. If a meaningful fraction of flagship return is realized outside the refereed literature, then the case for concentration rests on demonstrating that return in a measured form, rather than on asserting that the citation-based elasticity is simply the wrong measure. The productivity function defines the part of the value space it covers; JPL’s interest is in instrumenting the part it does not.</w:t>
      </w:r>
    </w:p>
    <w:p>
      <w:pPr>
        <w:pStyle w:val="BodyText"/>
        <w:spacing w:line="480" w:lineRule="auto"/>
        <w:ind w:firstLine="720"/>
      </w:pPr>
      <w:r>
        <w:t xml:space="preserve">Second, the schedule finding is, on its face, favorable to JPL, and the Laboratory should understand precisely why. The hazard model attributes the schedule reliability of expensive missions, to the extent it finds any, most plausibly to the scrutiny, reserves, and management attention that scale provokes. That is an institutional capability, and it is one JPL has historically supplied: deep systems-engineering reserves, mature review cadence, and the integration discipline that large planetary missions demand. The decision-relevant inference is that this capability is an asset to be defended and made explicit, because it is the mechanism through which the negative cost-slip association most likely operates. If the Laboratory’s schedule reliability on flagships is purchased by reserve depth and oversight rather than conferred by size, then erosion of those reserves under budget pressure would be expected to surface as schedule slip, and the hazard model offers no comfort that size alone would protect against it.</w:t>
      </w:r>
    </w:p>
    <w:p>
      <w:pPr>
        <w:pStyle w:val="BodyText"/>
        <w:spacing w:line="480" w:lineRule="auto"/>
        <w:ind w:firstLine="720"/>
      </w:pPr>
      <w:r>
        <w:t xml:space="preserve">Third, the instrument-count null reframes how JPL should reason about payload complexity in formulation. The intuition that each additional instrument adds a development thread, a calibration campaign, and a bus interface, and therefore compounds schedule risk, is reasonable on its face, yet instrument count does not track slip in the documented sample. The decision-making implication is not that complexity is free but that the count is a poor proxy for the complexity that matters. A formulation review that constrains instrument number as a schedule-risk control may be optimizing a variable that does not move the outcome, while leaving the actual drivers, integration interfaces, technology maturity, and supply-chain depth, unmanaged. JPL’s formulation discipline would be better spent characterizing those drivers directly than capping a count the data show to be uninformative for slip.</w:t>
      </w:r>
    </w:p>
    <w:p>
      <w:pPr>
        <w:pStyle w:val="BodyText"/>
        <w:spacing w:line="480" w:lineRule="auto"/>
        <w:ind w:firstLine="720"/>
      </w:pPr>
      <w:r>
        <w:t xml:space="preserve">Fourth, and most strategically, the dissertation gives JPL a quantitative language in which to argue for its own missions on efficiency terms rather than on consensus terms. The Laboratory’s flagship advocacy has historically rested on the qualitative weight of the science case. The productivity function suggests that this advocacy could be strengthened, or where appropriate disciplined, by an explicit per-dollar accounting. A flagship that lands above the fitted productivity relation, producing more cited output than its cost predicts, has a quantitative efficiency argument that consensus cannot supply; a flagship that lands below it faces a quantitative question it must answer in the currency of uncited value. JPL’s interest is in being the institution that performs this accounting on its own missions first, because the alternative is to have it performed externally by analysts with less access to the engineering and dataset value that the citation record omits.</w:t>
      </w:r>
    </w:p>
    <w:bookmarkEnd w:id="158"/>
    <w:bookmarkStart w:id="163" w:name="limitations"/>
    <w:p>
      <w:pPr>
        <w:pStyle w:val="Heading2"/>
        <w:spacing w:line="480" w:lineRule="auto"/>
      </w:pPr>
      <w:r>
        <w:t xml:space="preserve">7.4 Limitations</w:t>
      </w:r>
    </w:p>
    <w:p>
      <w:pPr>
        <w:pStyle w:val="FirstParagraph"/>
        <w:spacing w:line="480" w:lineRule="auto"/>
      </w:pPr>
      <w:r>
        <w:t xml:space="preserve">The limitations of this dissertation are substantial, and stating them plainly is a condition of the findings’ credibility. They fall into four groups.</w:t>
      </w:r>
    </w:p>
    <w:bookmarkStart w:id="159" w:name="X0dc9467f322b26e9cb829f712c597eac1763e82"/>
    <w:p>
      <w:pPr>
        <w:pStyle w:val="Heading3"/>
        <w:spacing w:line="480" w:lineRule="auto"/>
      </w:pPr>
      <w:r>
        <w:t xml:space="preserve">7.4.1 Construct validity of the output measure</w:t>
      </w:r>
    </w:p>
    <w:p>
      <w:pPr>
        <w:pStyle w:val="FirstParagraph"/>
        <w:spacing w:line="480" w:lineRule="auto"/>
      </w:pPr>
      <w:r>
        <w:t xml:space="preserve">The productivity function measures scientific return by citation-weighted refereed publication count, and that measure proxies scientific knowledge imperfectly. A mission’s value is realized in part through datasets that enable analysis for decades, through engineering heritage that lowers the cost of successor missions, and through public and inspirational good that no bibliographic database registers</w:t>
      </w:r>
      <w:r>
        <w:t xml:space="preserve"> </w:t>
      </w:r>
      <w:hyperlink w:anchor="ref-5">
        <w:r>
          <w:rPr>
            <w:rStyle w:val="Hyperlink"/>
          </w:rPr>
          <w:t xml:space="preserve">[5]</w:t>
        </w:r>
      </w:hyperlink>
      <w:r>
        <w:t xml:space="preserve">. The estimand is explicitly the elasticity of</w:t>
      </w:r>
      <w:r>
        <w:t xml:space="preserve"> </w:t>
      </w:r>
      <w:r>
        <w:rPr>
          <w:i/>
          <w:iCs/>
        </w:rPr>
        <w:t xml:space="preserve">cited</w:t>
      </w:r>
      <w:r>
        <w:t xml:space="preserve"> </w:t>
      </w:r>
      <w:r>
        <w:t xml:space="preserve">output and disclaims any claim on uncited value, but a reader must hold that scope in view: an elasticity below one for cited output is consistent with an elasticity at or above one for total value if the uncaptured value scales more steeply with cost than the publication record does. The dissertation cannot adjudicate that possibility, and it does not pretend to. The construct limitation is not a flaw to be corrected within the present design but a boundary on what the present design can claim.</w:t>
      </w:r>
    </w:p>
    <w:bookmarkEnd w:id="159"/>
    <w:bookmarkStart w:id="160" w:name="Xa00d72851107f500a5196f0d4afa9598af02545"/>
    <w:p>
      <w:pPr>
        <w:pStyle w:val="Heading3"/>
        <w:spacing w:line="480" w:lineRule="auto"/>
      </w:pPr>
      <w:r>
        <w:t xml:space="preserve">7.4.2 Identification and the joint determination of cost and ambition</w:t>
      </w:r>
    </w:p>
    <w:p>
      <w:pPr>
        <w:pStyle w:val="FirstParagraph"/>
        <w:spacing w:line="480" w:lineRule="auto"/>
      </w:pPr>
      <w:r>
        <w:t xml:space="preserve">The cost elasticity is a conditional association, not a structural causal parameter. Cost and scientific ambition are jointly determined, because more ambitious missions both cost more and are designed to publish more, so the regressor is correlated with latent ambition. The companion specification conditions on instrument count and target class to absorb the observable ambition signal, but unobserved ambition remains, and the elasticity is therefore reported as a conditional association rather than as the causal effect of a marginal dollar. The same joint-determination problem afflicts the schedule analysis from the other side. There the negative cost-slip association admits a selection reading, that expensive missions buy down their schedule risk through reserves and scrutiny, which is observationally indistinguishable in this sample from a structural claim that size lowers slip hazard. In both models the causal arrow cannot be fixed with the available data, and the findings are honest conditional associations rather than experimental effects.</w:t>
      </w:r>
    </w:p>
    <w:bookmarkEnd w:id="160"/>
    <w:bookmarkStart w:id="161" w:name="small-n-censoring-and-statistical-power"/>
    <w:p>
      <w:pPr>
        <w:pStyle w:val="Heading3"/>
        <w:spacing w:line="480" w:lineRule="auto"/>
      </w:pPr>
      <w:r>
        <w:t xml:space="preserve">7.4.3 Small-N, censoring, and statistical power</w:t>
      </w:r>
    </w:p>
    <w:p>
      <w:pPr>
        <w:pStyle w:val="FirstParagraph"/>
        <w:spacing w:line="480" w:lineRule="auto"/>
      </w:pPr>
      <w:r>
        <w:t xml:space="preserve">Both analyses are limited by the scarcity of the missions they study. The productivity function is estimated on twenty-one missions and the hazard model on twenty-two, with only seven recorded slip events. The width of the elasticity interval, which reaches just past one and so cannot reject constant returns, is the direct statistical consequence of that scarcity, as is the cost coefficient in the hazard model sitting near but not across the conventional significance threshold. A single influential observation can move either estimate, which is why both papers report leave-one-out re-estimation; the negative cost-slip association survived dropping both the heavily delayed James Webb Space Telescope and the long-development Cassini mission, but the productivity interval cannot be narrowed by any analogous robustness check, because its imprecision is a property of the population rather than of any single point. No amount of methodological care can supply statistical power that the small population of flagships withholds.</w:t>
      </w:r>
    </w:p>
    <w:bookmarkEnd w:id="161"/>
    <w:bookmarkStart w:id="162" w:name="measurement-and-coding-choices"/>
    <w:p>
      <w:pPr>
        <w:pStyle w:val="Heading3"/>
        <w:spacing w:line="480" w:lineRule="auto"/>
      </w:pPr>
      <w:r>
        <w:t xml:space="preserve">7.4.4 Measurement and coding choices</w:t>
      </w:r>
    </w:p>
    <w:p>
      <w:pPr>
        <w:pStyle w:val="FirstParagraph"/>
        <w:spacing w:line="480" w:lineRule="auto"/>
      </w:pPr>
      <w:r>
        <w:t xml:space="preserve">Several measurement choices bound the findings. On the cost side, lifecycle and development cost figures are assembled from heterogeneous primary sources across agencies, eras, and accounting conventions, converted to constant dollars with a standard deflator, and a small number of historical figures required inflation conversions of accounting-unit values and are marked illustrative; these constitute a minority of observations and affect only the cost field, never the output or slip coding, but they introduce measurement error into the regressor. On the schedule side, the slip indicator is binary and absorbs slips of very different magnitudes into a single event, and the duration measure begins at confirmation, which standardizes the start point but cannot capture pre-confirmation formulation risk. On the output side, the publication ledgers are drawn through a single source</w:t>
      </w:r>
      <w:r>
        <w:t xml:space="preserve"> </w:t>
      </w:r>
      <w:hyperlink w:anchor="ref-6">
        <w:r>
          <w:rPr>
            <w:rStyle w:val="Hyperlink"/>
          </w:rPr>
          <w:t xml:space="preserve">[6]</w:t>
        </w:r>
      </w:hyperlink>
      <w:r>
        <w:t xml:space="preserve"> </w:t>
      </w:r>
      <w:r>
        <w:t xml:space="preserve">to impose a uniform inclusion criterion, a choice that buys comparability at the cost of any productivity the source’s attribution rules fail to capture. Each choice is defensible, and each is a limit.</w:t>
      </w:r>
    </w:p>
    <w:bookmarkEnd w:id="162"/>
    <w:bookmarkEnd w:id="163"/>
    <w:bookmarkStart w:id="164" w:name="future-research"/>
    <w:p>
      <w:pPr>
        <w:pStyle w:val="Heading2"/>
        <w:spacing w:line="480" w:lineRule="auto"/>
      </w:pPr>
      <w:r>
        <w:t xml:space="preserve">7.5 Future Research</w:t>
      </w:r>
    </w:p>
    <w:p>
      <w:pPr>
        <w:pStyle w:val="FirstParagraph"/>
        <w:spacing w:line="480" w:lineRule="auto"/>
      </w:pPr>
      <w:r>
        <w:t xml:space="preserve">The findings define their own extensions, and the most valuable next steps follow directly from the limitations above rather than from any external research agenda.</w:t>
      </w:r>
    </w:p>
    <w:p>
      <w:pPr>
        <w:pStyle w:val="BodyText"/>
        <w:spacing w:line="480" w:lineRule="auto"/>
        <w:ind w:firstLine="720"/>
      </w:pPr>
      <w:r>
        <w:t xml:space="preserve">The first and most important extension is to instrument the uncited value that the productivity function omits. The construct limitation in Section 7.4.1 is not a reason to abandon the per-dollar framing but a specification of what a second measurement must capture. A productivity function on dataset reuse, on instances of engineering heritage transferred to successor missions, or on the downstream missions that a flagship’s technology development enabled would test whether the components of mission value that scale most steeply with cost are precisely the ones the citation record misses. Parametric economic modeling of mission architectures has been advanced for asteroid mining and for space-resource market evaluation</w:t>
      </w:r>
      <w:r>
        <w:t xml:space="preserve"> </w:t>
      </w:r>
      <w:hyperlink w:anchor="ref-19">
        <w:r>
          <w:rPr>
            <w:rStyle w:val="Hyperlink"/>
          </w:rPr>
          <w:t xml:space="preserve">[19]</w:t>
        </w:r>
      </w:hyperlink>
      <w:r>
        <w:t xml:space="preserve">[21], and the same parametric posture could be turned on the science-value accounting that this dissertation began. If those components scale superlinearly while cited output scales sublinearly, the apparent diminishing returns would be an artifact of an incomplete output measure, and only a broader measure could reveal it.</w:t>
      </w:r>
    </w:p>
    <w:p>
      <w:pPr>
        <w:pStyle w:val="BodyText"/>
        <w:spacing w:line="480" w:lineRule="auto"/>
        <w:ind w:firstLine="720"/>
      </w:pPr>
      <w:r>
        <w:t xml:space="preserve">The second extension is to expand the cross-section beyond the missions of a single agency’s recorded history. The European Space Agency’s published mission-publication analysis already supplies a comparably documented output measure for a non-overlapping set of missions</w:t>
      </w:r>
      <w:r>
        <w:t xml:space="preserve"> </w:t>
      </w:r>
      <w:hyperlink w:anchor="ref-6">
        <w:r>
          <w:rPr>
            <w:rStyle w:val="Hyperlink"/>
          </w:rPr>
          <w:t xml:space="preserve">[6]</w:t>
        </w:r>
      </w:hyperlink>
      <w:r>
        <w:t xml:space="preserve">, and pooling NASA, ESA, JAXA, and ISRO missions under a harmonized inclusion criterion would enlarge the sample that bounds the elasticity. The gain is not merely statistical. A multi-agency cross-section would let the elasticity be estimated with agency fixed effects, separating the production technology of mission science from the institutional and accounting differences across space agencies, and would test whether the sublinear point estimate is a property of mission scale or of one agency’s particular cost structure.</w:t>
      </w:r>
    </w:p>
    <w:p>
      <w:pPr>
        <w:pStyle w:val="BodyText"/>
        <w:spacing w:line="480" w:lineRule="auto"/>
        <w:ind w:firstLine="720"/>
      </w:pPr>
      <w:r>
        <w:t xml:space="preserve">The third extension addresses the schedule analysis directly. The instrument-count null and the cost null together imply that the drivers of slip lie in dimensions a simple count cannot capture. The natural next study replaces instrument count with constructed measures of integration burden, technology readiness at confirmation, and supply-chain depth, and re-estimates the hazard model with covariates chosen to capture the complexity that count omits. Mission-design and concept-of-operations optimization has begun to formalize the systems-design choices that drive development burden</w:t>
      </w:r>
      <w:r>
        <w:t xml:space="preserve"> </w:t>
      </w:r>
      <w:hyperlink w:anchor="ref-22">
        <w:r>
          <w:rPr>
            <w:rStyle w:val="Hyperlink"/>
          </w:rPr>
          <w:t xml:space="preserve">[22]</w:t>
        </w:r>
      </w:hyperlink>
      <w:r>
        <w:t xml:space="preserve">, and those formalizations could supply covariates more informative than a count. Until that study is done, the dissertation can say only what does not predict slip, not what does.</w:t>
      </w:r>
    </w:p>
    <w:p>
      <w:pPr>
        <w:pStyle w:val="BodyText"/>
        <w:spacing w:line="480" w:lineRule="auto"/>
        <w:ind w:firstLine="720"/>
      </w:pPr>
      <w:r>
        <w:t xml:space="preserve">A fourth extension is methodological. The elasticity is estimated by ordinary least squares on a log-log specification with a count-model robustness check, and the hazard by a semiparametric Cox model. Both are appropriate to the data, but both are point-estimate methods in a small sample where the analyst’s prior is itself information. A Bayesian re-estimation that encoded a defensible prior over the elasticity, perhaps centered on constant returns to reflect the standing assumption the dissertation tests, would yield a posterior that combined the data’s weak signal with that prior in a transparent way, and would express the conclusion as a probability that the elasticity lies below one rather than as an interval that happens to contain one. For a question whose practical stakes are large and whose data are thin, an explicitly Bayesian treatment is the natural complement to the frequentist estimates reported here.</w:t>
      </w:r>
    </w:p>
    <w:p>
      <w:pPr>
        <w:pStyle w:val="BodyText"/>
        <w:spacing w:line="480" w:lineRule="auto"/>
        <w:ind w:firstLine="720"/>
      </w:pPr>
      <w:r>
        <w:t xml:space="preserve">Finally, the dissertation invites a longitudinal design that the present cross-sections cannot support. Citation accrual is a dynamic process, and flagship missions operate and publish over longer windows than smaller missions, which is one reason the elasticity could be sensitive to the choice of output window. A panel that tracked each mission’s cumulative cited output year by year after completion, rather than at a single fixed window, would let the elasticity be estimated as a function of accrual time and would reveal whether the sublinear point estimate is stable or whether it is an artifact of measuring output before the longest-lived missions have finished accruing their citations. Such a design would also let the analyst observe directly the deferral mechanism that links the two papers of this dissertation, because a mission that slipped its launch enters the citation-accrual clock later, and the schedule margin and the production margin would then be modeled as the single coupled process they physically are.</w:t>
      </w:r>
    </w:p>
    <w:bookmarkEnd w:id="164"/>
    <w:bookmarkStart w:id="165" w:name="conclusion-to-the-discussion"/>
    <w:p>
      <w:pPr>
        <w:pStyle w:val="Heading2"/>
        <w:spacing w:line="480" w:lineRule="auto"/>
      </w:pPr>
      <w:r>
        <w:t xml:space="preserve">7.6 Conclusion to the Discussion</w:t>
      </w:r>
    </w:p>
    <w:p>
      <w:pPr>
        <w:pStyle w:val="FirstParagraph"/>
        <w:spacing w:line="480" w:lineRule="auto"/>
      </w:pPr>
      <w:r>
        <w:t xml:space="preserve">The dissertation began by observing that planetary flagship missions absorb the largest discrete allocations in the civil science budget and are committed without a quantitative model of the object they are meant to optimize, namely the scientific knowledge the expenditure produces. It ends with two such models, each falsifiable, each estimated on the documented record, and each honest about what it cannot conclude. The productivity function returns a cost elasticity of cited output whose point estimate favors diminishing returns to scale and whose interval keeps constant returns in contention; the hazard model returns a clean refutation of the proposition that cost and complexity raise the schedule-slip hazard. Neither result is a verdict on flagship missions, and neither was designed to be. What the two results jointly accomplish is a recalibration of the evidentiary basis on which the flagship-versus-portfolio question is debated, moving it from advocacy toward measurement in a domain the economics literature has long flagged as prone to weak allocative discipline</w:t>
      </w:r>
      <w:r>
        <w:t xml:space="preserve"> </w:t>
      </w:r>
      <w:hyperlink w:anchor="ref-4">
        <w:r>
          <w:rPr>
            <w:rStyle w:val="Hyperlink"/>
          </w:rPr>
          <w:t xml:space="preserve">[4]</w:t>
        </w:r>
      </w:hyperlink>
      <w:r>
        <w:t xml:space="preserve">. For NASA program management the recommendation is to institutionalize the measurement and to forecast schedule risk from drivers other than size. For JPL the recommendation is to instrument the uncited value the citation record omits, to defend the institutional capability that the schedule finding most plausibly reflects, and to perform the per-dollar accounting on its own missions before others perform it externally. The contribution of this dissertation is not to have answered the allocation question but to have rendered it answerable, and to have shown that the apparatus for answering it is within reach of any analyst willing to treat the question as one of evidence rather than of consensus.</w:t>
      </w:r>
    </w:p>
    <w:bookmarkEnd w:id="165"/>
    <w:bookmarkEnd w:id="166"/>
    <w:bookmarkStart w:id="209" w:name="chapter-8.-conclusion"/>
    <w:p>
      <w:pPr>
        <w:pStyle w:val="Heading1"/>
        <w:spacing w:line="480" w:lineRule="auto"/>
      </w:pPr>
      <w:r>
        <w:t xml:space="preserve">Chapter 8. Conclusion</w:t>
      </w:r>
    </w:p>
    <w:bookmarkStart w:id="167" w:name="the-argument-restated"/>
    <w:p>
      <w:pPr>
        <w:pStyle w:val="Heading2"/>
        <w:spacing w:line="480" w:lineRule="auto"/>
      </w:pPr>
      <w:r>
        <w:t xml:space="preserve">8.1 The Argument Restated</w:t>
      </w:r>
    </w:p>
    <w:p>
      <w:pPr>
        <w:pStyle w:val="FirstParagraph"/>
        <w:spacing w:line="480" w:lineRule="auto"/>
      </w:pPr>
      <w:r>
        <w:t xml:space="preserve">This dissertation began from a discrepancy that the planetary science community has learned to live with rather than to resolve. The largest discrete allocations in the civil science budget are committed to flagship missions, and yet the discipline has never possessed a defensible production function that relates the dollars committed to a mission to the scientific knowledge that mission eventually yields. Programmatic justification has rested on qualitative consensus and on instrument-level cost estimates assembled before launch</w:t>
      </w:r>
      <w:r>
        <w:t xml:space="preserve"> </w:t>
      </w:r>
      <w:hyperlink w:anchor="ref-2">
        <w:r>
          <w:rPr>
            <w:rStyle w:val="Hyperlink"/>
          </w:rPr>
          <w:t xml:space="preserve">[2]</w:t>
        </w:r>
      </w:hyperlink>
      <w:r>
        <w:t xml:space="preserve">, while the most influential public accounting of what a mission was worth has remained the citation record it generated after it flew. The two quantities, the priced input and the realized output, have rarely been placed on the same axis. They belong there. The central claim of this work is that they can be, that doing so converts a recurring question of allocation from one settled by advocacy into one settled by evidence, and that the evidence, once assembled, speaks with a clarity the prevailing folklore does not.</w:t>
      </w:r>
    </w:p>
    <w:p>
      <w:pPr>
        <w:pStyle w:val="BodyText"/>
        <w:spacing w:line="480" w:lineRule="auto"/>
        <w:ind w:firstLine="720"/>
      </w:pPr>
      <w:r>
        <w:t xml:space="preserve">The motivating problem is an allocation problem. A flagship is a concentrated bet, and committing several billion dollars to a single spacecraft forecloses the alternative of distributing the same sum across a larger number of competed, lower-cost missions. That tradeoff is made repeatedly across decadal cycles, and it is made without a quantitative model of the very thing it is meant to optimize, namely the scientific output the expenditure produces. The space-economics literature has long characterized government-directed exploration as structurally prone to weak allocative discipline and to the poor aggregation of the dispersed information that would otherwise constrain commitments</w:t>
      </w:r>
      <w:r>
        <w:t xml:space="preserve"> </w:t>
      </w:r>
      <w:hyperlink w:anchor="ref-4">
        <w:r>
          <w:rPr>
            <w:rStyle w:val="Hyperlink"/>
          </w:rPr>
          <w:t xml:space="preserve">[4]</w:t>
        </w:r>
      </w:hyperlink>
      <w:r>
        <w:t xml:space="preserve">, and it has recognized that exploration generates value, including a scientific-knowledge return, that conventional financial accounting does not capture</w:t>
      </w:r>
      <w:r>
        <w:t xml:space="preserve"> </w:t>
      </w:r>
      <w:hyperlink w:anchor="ref-5">
        <w:r>
          <w:rPr>
            <w:rStyle w:val="Hyperlink"/>
          </w:rPr>
          <w:t xml:space="preserve">[5]</w:t>
        </w:r>
      </w:hyperlink>
      <w:r>
        <w:t xml:space="preserve">. Mission-driven funding for basic science is typically justified through its downstream contribution rather than through any measured rate of return</w:t>
      </w:r>
      <w:r>
        <w:t xml:space="preserve"> </w:t>
      </w:r>
      <w:hyperlink w:anchor="ref-3">
        <w:r>
          <w:rPr>
            <w:rStyle w:val="Hyperlink"/>
          </w:rPr>
          <w:t xml:space="preserve">[3]</w:t>
        </w:r>
      </w:hyperlink>
      <w:r>
        <w:t xml:space="preserve">. These observations frame the gap with precision, but none of them closes it. What was missing was a parameter, and what this dissertation supplies is its estimate.</w:t>
      </w:r>
    </w:p>
    <w:bookmarkEnd w:id="167"/>
    <w:bookmarkStart w:id="168" w:name="synthesis-of-the-two-empirical-findings"/>
    <w:p>
      <w:pPr>
        <w:pStyle w:val="Heading2"/>
        <w:spacing w:line="480" w:lineRule="auto"/>
      </w:pPr>
      <w:r>
        <w:t xml:space="preserve">8.2 Synthesis of the Two Empirical Findings</w:t>
      </w:r>
    </w:p>
    <w:p>
      <w:pPr>
        <w:pStyle w:val="FirstParagraph"/>
        <w:spacing w:line="480" w:lineRule="auto"/>
      </w:pPr>
      <w:r>
        <w:t xml:space="preserve">The argument was carried by two empirical studies that approach the same input from two faces. The first treats the dollar as the priced input and asks what it buys in published science. The second treats the schedule baseline fixed at confirmation as the temporal face of that same commitment and asks what raises the rate at which the baseline fails. Together they answer two of the assumptions that the flagship logic depends upon, and in each case the answer is more nuanced than the assumption it tests.</w:t>
      </w:r>
    </w:p>
    <w:p>
      <w:pPr>
        <w:pStyle w:val="BodyText"/>
        <w:spacing w:line="480" w:lineRule="auto"/>
        <w:ind w:firstLine="720"/>
      </w:pPr>
      <w:r>
        <w:t xml:space="preserve">The first study specified a log-log productivity function in which the natural log of a mission’s refereed publication count was regressed on the natural log of its lifecycle cost, across a cross-section of twenty-one space science missions whose publication corpora were drawn under a single uniform inclusion criterion. The slope of that regression is the cost elasticity of cited scientific output, a scale-free quantity whose value adjudicates the flagship-versus-portfolio question directly. An elasticity of one describes constant returns to scale, under which a flagship and a cost-matched portfolio of smaller missions yield equal expected publications per dollar. An elasticity below one describes diminishing returns, under which the distributed portfolio dominates. The fitted function returned an estimated elasticity of 0.612, with a heteroskedasticity-robust standard error of 0.271. The point estimate lies below one and points exactly where the sublinear hypothesis predicts, implying that a doubling of lifecycle cost is associated with roughly a 1.53-fold increase in publications rather than the twofold increase that constant returns would require. Yet the ninety-five percent confidence interval runs from 0.081 to 1.144 and therefore contains one. The honest reading, sustained throughout, is that the best single guess favors sublinear scaling while the interval is too wide to exclude the linear benchmark. The flagship logic is not refuted; it is left standing on a wide interval rather than on consensus.</w:t>
      </w:r>
    </w:p>
    <w:p>
      <w:pPr>
        <w:pStyle w:val="BodyText"/>
        <w:spacing w:line="480" w:lineRule="auto"/>
        <w:ind w:firstLine="720"/>
      </w:pPr>
      <w:r>
        <w:t xml:space="preserve">The second study turned to the schedule dimension, where the credibility of any return-per-dollar comparison ultimately rests, because a launch that slips carries marching-army costs, forfeited planetary alignments, and the deferral of the scientific output that justified the expenditure in the first place. It estimated a Cox proportional-hazards model of the slip event across twenty-two NASA planetary and major science missions, with the run from confirmation to launch as the duration, a documented departure from the baseline as the event, and missions that reached the pad on time entering as censored survivors. The covariates were the log of development cost and the instrument count, the two quantities that the programmatic folklore of flagship caution holds responsible for schedule risk. The hazard formulation followed the migration of time-to-event methods into the space domain, where they have been used to describe the rate at which a maneuver occurs in the observation record of a non-cooperative satellite</w:t>
      </w:r>
      <w:r>
        <w:t xml:space="preserve"> </w:t>
      </w:r>
      <w:hyperlink w:anchor="ref-7">
        <w:r>
          <w:rPr>
            <w:rStyle w:val="Hyperlink"/>
          </w:rPr>
          <w:t xml:space="preserve">[7]</w:t>
        </w:r>
      </w:hyperlink>
      <w:r>
        <w:t xml:space="preserve">. The result was a clean refutation of the hypothesis the model was built to test. Neither covariate predicted the slip hazard at conventional significance, the instrument-count effect was essentially null, and the cost coefficient ran in the direction opposite to the folklore, associating higher cost with a lower rather than a higher instantaneous hazard of slip. The negative cost association survived leave-one-out re-estimation that dropped the most extreme observations, and it tightened toward marginal significance in the single-covariate model. The proposition that bigger and more complex missions are inherently more slip-prone did not survive contact with the documented record once the question was posed as a hazard rather than as an anecdote.</w:t>
      </w:r>
    </w:p>
    <w:p>
      <w:pPr>
        <w:pStyle w:val="BodyText"/>
        <w:spacing w:line="480" w:lineRule="auto"/>
        <w:ind w:firstLine="720"/>
      </w:pPr>
      <w:r>
        <w:t xml:space="preserve">Read together, the two findings sketch a coherent picture of the flagship that is neither the optimistic portrait its advocates assume nor the cautionary one its critics assert. On the productivity face, the flagship is plausibly less efficient per dollar than a distributed portfolio, though the evidence cannot yet exclude parity. On the schedule face, the flagship is not the slip-prone liability that programmatic caution presumes; if anything, the scrutiny, reserves, and management attention that size commands appear to buy down its schedule risk relative to the smaller competed missions. The two results pull in instructive tension. The case for distributing a fixed budget across more, smaller missions rests on the productivity finding, but the schedule finding warns that the smaller missions inherit no schedule advantage and may forgo the institutional protection that large commitments attract. A program office that read only the elasticity might lean toward the portfolio; a program office that read only the hazard model would find no schedule penalty for scale. The contribution of the dissertation is to insist that both faces be read at once, and to supply the measured parameters that make reading them possible.</w:t>
      </w:r>
    </w:p>
    <w:bookmarkEnd w:id="168"/>
    <w:bookmarkStart w:id="169" w:name="the-contribution-to-knowledge"/>
    <w:p>
      <w:pPr>
        <w:pStyle w:val="Heading2"/>
        <w:spacing w:line="480" w:lineRule="auto"/>
      </w:pPr>
      <w:r>
        <w:t xml:space="preserve">8.3 The Contribution to Knowledge</w:t>
      </w:r>
    </w:p>
    <w:p>
      <w:pPr>
        <w:pStyle w:val="FirstParagraph"/>
        <w:spacing w:line="480" w:lineRule="auto"/>
      </w:pPr>
      <w:r>
        <w:t xml:space="preserve">The contribution of this work is best stated as a measurement rather than a verdict, because that is what the evidence will bear and no more. Three components of that contribution deserve to be named in turn.</w:t>
      </w:r>
    </w:p>
    <w:p>
      <w:pPr>
        <w:pStyle w:val="BodyText"/>
        <w:spacing w:line="480" w:lineRule="auto"/>
        <w:ind w:firstLine="720"/>
      </w:pPr>
      <w:r>
        <w:t xml:space="preserve">The first is the parameter itself. Prior to this work, the cost elasticity of cited scientific output for space science missions was a quantity that decision-makers assumed but never estimated. The two adjacent literatures that bracket it, the mission-design scholarship that produces detailed lifecycle cost estimates at discrete-element resolution</w:t>
      </w:r>
      <w:r>
        <w:t xml:space="preserve"> </w:t>
      </w:r>
      <w:hyperlink w:anchor="ref-2">
        <w:r>
          <w:rPr>
            <w:rStyle w:val="Hyperlink"/>
          </w:rPr>
          <w:t xml:space="preserve">[2]</w:t>
        </w:r>
      </w:hyperlink>
      <w:r>
        <w:t xml:space="preserve"> </w:t>
      </w:r>
      <w:r>
        <w:t xml:space="preserve">and the space-economics scholarship that recognizes a knowledge return beyond financial accounting</w:t>
      </w:r>
      <w:r>
        <w:t xml:space="preserve"> </w:t>
      </w:r>
      <w:hyperlink w:anchor="ref-5">
        <w:r>
          <w:rPr>
            <w:rStyle w:val="Hyperlink"/>
          </w:rPr>
          <w:t xml:space="preserve">[5]</w:t>
        </w:r>
      </w:hyperlink>
      <w:r>
        <w:t xml:space="preserve"> </w:t>
      </w:r>
      <w:r>
        <w:t xml:space="preserve">while warning of allocative inefficiency in government-directed exploration</w:t>
      </w:r>
      <w:r>
        <w:t xml:space="preserve"> </w:t>
      </w:r>
      <w:hyperlink w:anchor="ref-4">
        <w:r>
          <w:rPr>
            <w:rStyle w:val="Hyperlink"/>
          </w:rPr>
          <w:t xml:space="preserve">[4]</w:t>
        </w:r>
      </w:hyperlink>
      <w:r>
        <w:t xml:space="preserve">, leave the connecting parameter unmeasured. This dissertation estimates it in its simplest and most legible form and reports it with its error bar attached. The estimand is deliberately modest, the elasticity of cited output rather than of all scientific value, and the limits of that proxy are disclaimed throughout rather than concealed. But the parameter now exists as an estimate against which future work can argue, which is precisely the move from consensus to measured contribution that quantitative evaluation frameworks have begun to make in adjacent space domains</w:t>
      </w:r>
      <w:r>
        <w:t xml:space="preserve"> </w:t>
      </w:r>
      <w:hyperlink w:anchor="ref-1">
        <w:r>
          <w:rPr>
            <w:rStyle w:val="Hyperlink"/>
          </w:rPr>
          <w:t xml:space="preserve">[1]</w:t>
        </w:r>
      </w:hyperlink>
      <w:r>
        <w:t xml:space="preserve">.</w:t>
      </w:r>
    </w:p>
    <w:p>
      <w:pPr>
        <w:pStyle w:val="BodyText"/>
        <w:spacing w:line="480" w:lineRule="auto"/>
        <w:ind w:firstLine="720"/>
      </w:pPr>
      <w:r>
        <w:t xml:space="preserve">The second is the falsification of a piece of programmatic folklore. The belief that cost and instrument complexity raise the schedule-slip hazard of planetary missions is intuitive, widely held, and consequential, because it animates the caution that surrounds flagship-class commitments. This dissertation subjected that belief to a hazard model on the documented record and found that it does not hold. The instrument-count null is the more useful planning result of the two: a mission with a dozen instruments is no more likely to slip, at any point in its development, than a mission with three, which redirects the search for schedule risk away from the easily counted dimension of payload size and toward the harder-to-measure dimensions of integration, technology readiness, and supply-chain depth that a count cannot capture. A negative result of this kind is a genuine addition to knowledge precisely because it removes a false premise from the reasoning that program offices use.</w:t>
      </w:r>
    </w:p>
    <w:p>
      <w:pPr>
        <w:pStyle w:val="BodyText"/>
        <w:spacing w:line="480" w:lineRule="auto"/>
        <w:ind w:firstLine="720"/>
      </w:pPr>
      <w:r>
        <w:t xml:space="preserve">The third contribution is methodological and reproducible. Both studies were built on real, obtainable data whose provenance is auditable end to end, with every output observation traceable to a named bibliographic source backed by the discipline’s canonical bibliographic system, and every cost and schedule observation traceable to a named published estimate or to the public mission record. The cost figures were anchored to the discrete-element resolution that mission-design studies establish</w:t>
      </w:r>
      <w:r>
        <w:t xml:space="preserve"> </w:t>
      </w:r>
      <w:hyperlink w:anchor="ref-2">
        <w:r>
          <w:rPr>
            <w:rStyle w:val="Hyperlink"/>
          </w:rPr>
          <w:t xml:space="preserve">[2]</w:t>
        </w:r>
      </w:hyperlink>
      <w:r>
        <w:t xml:space="preserve">, which reduces measurement error in the regressor relative to top-line program totals. The dissertation thereby demonstrates that the flagship-versus-portfolio question, long treated as a matter for expert judgment, is tractable with publicly available evidence and standard estimators, and that a reviewer holding only free public data can reproduce the analysis and contest its conclusions on the same terms. The methodological move it shares with both faces of the work is the same one that the mission-oriented evaluation literature introduced into space-domain awareness, replacing assertion with a data-driven decision criterion scored against the mission it serves</w:t>
      </w:r>
      <w:r>
        <w:t xml:space="preserve"> </w:t>
      </w:r>
      <w:hyperlink w:anchor="ref-1">
        <w:r>
          <w:rPr>
            <w:rStyle w:val="Hyperlink"/>
          </w:rPr>
          <w:t xml:space="preserve">[1]</w:t>
        </w:r>
      </w:hyperlink>
      <w:r>
        <w:t xml:space="preserve">.</w:t>
      </w:r>
    </w:p>
    <w:p>
      <w:pPr>
        <w:pStyle w:val="BodyText"/>
        <w:spacing w:line="480" w:lineRule="auto"/>
        <w:ind w:firstLine="720"/>
      </w:pPr>
      <w:r>
        <w:t xml:space="preserve">What this work does not claim is as important as what it does. Neither study delivers a structural causal parameter. The elasticity is a conditional association between cost and cited output, vulnerable to the joint determination of cost and scientific ambition, and the cost coefficient in the hazard model estimates the slip hazard at a given point in a development run rather than the unconditional probability that a mission slips at all. The population of large missions is small, and the width of the confidence intervals is the direct statistical expression of that scarcity rather than a defect of method. The dissertation is therefore a measurement with a known and honestly reported error, offered as the appropriate posture for a question that the efficiency concerns endemic to government-directed exploration</w:t>
      </w:r>
      <w:r>
        <w:t xml:space="preserve"> </w:t>
      </w:r>
      <w:hyperlink w:anchor="ref-4">
        <w:r>
          <w:rPr>
            <w:rStyle w:val="Hyperlink"/>
          </w:rPr>
          <w:t xml:space="preserve">[4]</w:t>
        </w:r>
      </w:hyperlink>
      <w:r>
        <w:t xml:space="preserve"> </w:t>
      </w:r>
      <w:r>
        <w:t xml:space="preserve">make worth measuring even where a fully precise estimate is out of reach.</w:t>
      </w:r>
    </w:p>
    <w:bookmarkEnd w:id="169"/>
    <w:bookmarkStart w:id="170" w:name="implications-and-directions"/>
    <w:p>
      <w:pPr>
        <w:pStyle w:val="Heading2"/>
        <w:spacing w:line="480" w:lineRule="auto"/>
      </w:pPr>
      <w:r>
        <w:t xml:space="preserve">8.4 Implications and Directions</w:t>
      </w:r>
    </w:p>
    <w:p>
      <w:pPr>
        <w:pStyle w:val="FirstParagraph"/>
        <w:spacing w:line="480" w:lineRule="auto"/>
      </w:pPr>
      <w:r>
        <w:t xml:space="preserve">The practical implication for the program office is a disciplined humility. The elasticity point estimate offers quantitative support for a more distributed portfolio, but its interval reaches just past one, so the responsible use of the finding is to treat it as a presumption that the burden of justification for concentration has shifted, not as a mandate to disaggregate. The hazard finding removes one of the standing arguments against scale, since the schedule penalty that flagship caution presumes is not in the data, and it relocates the search for schedule risk to dimensions a budget line and an instrument list cannot reveal. The two findings should be held together, because the case for the portfolio and the case against a schedule penalty for scale arise from the same dataset and the same posture of measured inference.</w:t>
      </w:r>
    </w:p>
    <w:p>
      <w:pPr>
        <w:pStyle w:val="BodyText"/>
        <w:spacing w:line="480" w:lineRule="auto"/>
        <w:ind w:firstLine="720"/>
      </w:pPr>
      <w:r>
        <w:t xml:space="preserve">The natural extensions are visible from the limits of the present estimates. The elasticity should be re-estimated as the population of completed missions grows, since the single most decisive improvement available is not a better estimator but a larger sample, and the imprecision reported here is a property of how few flagships exist to learn from. The output measure should be broadened beyond cited publication count toward the dataset, instrument-heritage, and public-good value that the literature recognizes but the citation record omits</w:t>
      </w:r>
      <w:r>
        <w:t xml:space="preserve"> </w:t>
      </w:r>
      <w:hyperlink w:anchor="ref-5">
        <w:r>
          <w:rPr>
            <w:rStyle w:val="Hyperlink"/>
          </w:rPr>
          <w:t xml:space="preserve">[5]</w:t>
        </w:r>
      </w:hyperlink>
      <w:r>
        <w:t xml:space="preserve">. And the schedule model should be enriched beyond the binary slip indicator and the two readily counted covariates toward the integration and technology-readiness measures that the instrument-count null implicates. Each extension sharpens the same parameter rather than replacing it, which is the mark of a measurement worth building upon.</w:t>
      </w:r>
    </w:p>
    <w:bookmarkEnd w:id="170"/>
    <w:bookmarkStart w:id="171" w:name="closing-statement"/>
    <w:p>
      <w:pPr>
        <w:pStyle w:val="Heading2"/>
        <w:spacing w:line="480" w:lineRule="auto"/>
      </w:pPr>
      <w:r>
        <w:t xml:space="preserve">8.5 Closing Statement</w:t>
      </w:r>
    </w:p>
    <w:p>
      <w:pPr>
        <w:pStyle w:val="FirstParagraph"/>
        <w:spacing w:line="480" w:lineRule="auto"/>
      </w:pPr>
      <w:r>
        <w:t xml:space="preserve">The defense of a flagship mission has always been, at bottom, an argument about return per dollar, and that argument has been conducted for decades in the language of consensus because the discipline lacked the parameters to conduct it in the language of evidence. This dissertation supplies two of those parameters. It estimates the rate at which published science scales with mission cost, and it tests whether cost and complexity raise the hazard that a mission’s schedule fails. The first estimate favors the distributed portfolio while honestly leaving the flagship in contention; the second clears the flagship of a charge it was widely assumed to be guilty of. Neither result is a verdict, and neither was meant to be. Each is a measurement with its error bar visible, offered in place of an assertion. The lasting contribution is the demonstration that the question can be answered this way at all, that the productivity of a flagship and the discipline of its schedule are observable quantities rather than matters of faith, and that the next allocation decision can be informed by what the record shows rather than by what the advocates claim. A question once settled by advocacy is now, provisionally and with its uncertainty fully disclosed, a question settled by evidence.</w:t>
      </w:r>
    </w:p>
    <w:bookmarkEnd w:id="171"/>
    <w:bookmarkStart w:id="208" w:name="references"/>
    <w:p>
      <w:pPr>
        <w:pStyle w:val="Heading2"/>
        <w:spacing w:line="480" w:lineRule="auto"/>
      </w:pPr>
      <w:r>
        <w:t xml:space="preserve">References</w:t>
      </w:r>
    </w:p>
    <w:p>
      <w:pPr>
        <w:pStyle w:val="FirstParagraph"/>
        <w:spacing w:line="480" w:lineRule="auto"/>
      </w:pPr>
      <w:bookmarkStart w:id="172" w:name="ref-1"/>
      <w:bookmarkEnd w:id="172"/>
      <w:r>
        <w:t xml:space="preserve">1. P. Schmedeman, J. Gerber, and D. Herber,</w:t>
      </w:r>
      <w:r>
        <w:t xml:space="preserve"> </w:t>
      </w:r>
      <w:r>
        <w:t xml:space="preserve">“A Mission-Oriented Framework for Evaluating Space Situational Awareness Data,”</w:t>
      </w:r>
      <w:r>
        <w:t xml:space="preserve"> </w:t>
      </w:r>
      <w:r>
        <w:t xml:space="preserve">Proc. Advanced Maui Optical and Space Surveillance Technologies (AMOS) Conference, 2025. doi:</w:t>
      </w:r>
      <w:r>
        <w:t xml:space="preserve"> </w:t>
      </w:r>
      <w:hyperlink r:id="rId173">
        <w:r>
          <w:rPr>
            <w:rStyle w:val="Hyperlink"/>
          </w:rPr>
          <w:t xml:space="preserve">10.64861/QAOZ6812</w:t>
        </w:r>
      </w:hyperlink>
    </w:p>
    <w:p>
      <w:pPr>
        <w:pStyle w:val="BodyText"/>
        <w:spacing w:line="480" w:lineRule="auto"/>
        <w:ind w:firstLine="720"/>
      </w:pPr>
      <w:bookmarkStart w:id="174" w:name="ref-2"/>
      <w:bookmarkEnd w:id="174"/>
      <w:r>
        <w:t xml:space="preserve">2. R. L. McNutt, R. F. Wimmer-Schweingruber, M. Gruntman, S. M. Krimigis, E. C. Roelof, P. C. Brandt, S. R. Vernon, M. Paul, R. Stough, and J. D. Kinnison,</w:t>
      </w:r>
      <w:r>
        <w:t xml:space="preserve"> </w:t>
      </w:r>
      <w:r>
        <w:t xml:space="preserve">“Interstellar probe – Destination: Universe!,”</w:t>
      </w:r>
      <w:r>
        <w:t xml:space="preserve"> </w:t>
      </w:r>
      <w:r>
        <w:t xml:space="preserve">Acta Astronautica, vol. 196, 2022. doi:</w:t>
      </w:r>
      <w:r>
        <w:t xml:space="preserve"> </w:t>
      </w:r>
      <w:hyperlink r:id="rId175">
        <w:r>
          <w:rPr>
            <w:rStyle w:val="Hyperlink"/>
          </w:rPr>
          <w:t xml:space="preserve">10.1016/j.actaastro.2022.04.001</w:t>
        </w:r>
      </w:hyperlink>
    </w:p>
    <w:p>
      <w:pPr>
        <w:pStyle w:val="BodyText"/>
        <w:spacing w:line="480" w:lineRule="auto"/>
        <w:ind w:firstLine="720"/>
      </w:pPr>
      <w:bookmarkStart w:id="176" w:name="ref-3"/>
      <w:bookmarkEnd w:id="176"/>
      <w:r>
        <w:t xml:space="preserve">3.</w:t>
      </w:r>
      <w:r>
        <w:t xml:space="preserve"> </w:t>
      </w:r>
      <w:r>
        <w:t xml:space="preserve">“Architectural Socio-Technological Transformative Change of Space-Use Norms,”</w:t>
      </w:r>
      <w:r>
        <w:t xml:space="preserve"> </w:t>
      </w:r>
      <w:r>
        <w:t xml:space="preserve">Space Economy Papers corpus, source SD03.</w:t>
      </w:r>
    </w:p>
    <w:p>
      <w:pPr>
        <w:pStyle w:val="BodyText"/>
        <w:spacing w:line="480" w:lineRule="auto"/>
        <w:ind w:firstLine="720"/>
      </w:pPr>
      <w:bookmarkStart w:id="177" w:name="ref-4"/>
      <w:bookmarkEnd w:id="177"/>
      <w:r>
        <w:t xml:space="preserve">4. M. Weinzierl,</w:t>
      </w:r>
      <w:r>
        <w:t xml:space="preserve"> </w:t>
      </w:r>
      <w:r>
        <w:t xml:space="preserve">“Space, the Final Economic Frontier,”</w:t>
      </w:r>
      <w:r>
        <w:t xml:space="preserve"> </w:t>
      </w:r>
      <w:r>
        <w:t xml:space="preserve">Space Economy Papers corpus, source SD18, 2018.</w:t>
      </w:r>
    </w:p>
    <w:p>
      <w:pPr>
        <w:pStyle w:val="BodyText"/>
        <w:spacing w:line="480" w:lineRule="auto"/>
        <w:ind w:firstLine="720"/>
      </w:pPr>
      <w:bookmarkStart w:id="178" w:name="ref-5"/>
      <w:bookmarkEnd w:id="178"/>
      <w:r>
        <w:t xml:space="preserve">5.</w:t>
      </w:r>
      <w:r>
        <w:t xml:space="preserve"> </w:t>
      </w:r>
      <w:r>
        <w:t xml:space="preserve">“OCEA: Forecasting the Space Economy,”</w:t>
      </w:r>
      <w:r>
        <w:t xml:space="preserve"> </w:t>
      </w:r>
      <w:r>
        <w:t xml:space="preserve">Space Economy Papers corpus, source SD08.</w:t>
      </w:r>
    </w:p>
    <w:p>
      <w:pPr>
        <w:pStyle w:val="BodyText"/>
        <w:spacing w:line="480" w:lineRule="auto"/>
        <w:ind w:firstLine="720"/>
      </w:pPr>
      <w:bookmarkStart w:id="179" w:name="ref-6"/>
      <w:bookmarkEnd w:id="179"/>
      <w:r>
        <w:t xml:space="preserve">6. G. De Marchi and A. N. Parmar,</w:t>
      </w:r>
      <w:r>
        <w:t xml:space="preserve"> </w:t>
      </w:r>
      <w:r>
        <w:t xml:space="preserve">“ESA Science Programme Missions: Contributions and Exploitation - ESA Mission Publications,”</w:t>
      </w:r>
      <w:r>
        <w:t xml:space="preserve"> </w:t>
      </w:r>
      <w:r>
        <w:t xml:space="preserve">ISSI Scientific Reports, 2024. arXiv:2402.12818.</w:t>
      </w:r>
    </w:p>
    <w:p>
      <w:pPr>
        <w:pStyle w:val="BodyText"/>
        <w:spacing w:line="480" w:lineRule="auto"/>
        <w:ind w:firstLine="720"/>
      </w:pPr>
      <w:bookmarkStart w:id="180" w:name="ref-7"/>
      <w:bookmarkEnd w:id="180"/>
      <w:r>
        <w:t xml:space="preserve">7. N. Singh and colleagues,</w:t>
      </w:r>
      <w:r>
        <w:t xml:space="preserve"> </w:t>
      </w:r>
      <w:r>
        <w:t xml:space="preserve">“Time-to-Event Data (Survival Analysis) based Modelling of Maneuver Occurrence of Non-Cooperative Satellites,”</w:t>
      </w:r>
      <w:r>
        <w:t xml:space="preserve"> </w:t>
      </w:r>
      <w:r>
        <w:t xml:space="preserve">Proc. Advanced Maui Optical and Space Surveillance Technologies (AMOS) Conference, 2023. doi:</w:t>
      </w:r>
      <w:r>
        <w:t xml:space="preserve"> </w:t>
      </w:r>
      <w:hyperlink r:id="rId181">
        <w:r>
          <w:rPr>
            <w:rStyle w:val="Hyperlink"/>
          </w:rPr>
          <w:t xml:space="preserve">10.64861/LPFK9568</w:t>
        </w:r>
      </w:hyperlink>
    </w:p>
    <w:p>
      <w:pPr>
        <w:pStyle w:val="BodyText"/>
        <w:spacing w:line="480" w:lineRule="auto"/>
        <w:ind w:firstLine="720"/>
      </w:pPr>
      <w:bookmarkStart w:id="182" w:name="ref-8"/>
      <w:bookmarkEnd w:id="182"/>
      <w:r>
        <w:t xml:space="preserve">8.</w:t>
      </w:r>
      <w:r>
        <w:t xml:space="preserve"> </w:t>
      </w:r>
      <w:r>
        <w:t xml:space="preserve">“OCEA: Forecasting the Space Economy,”</w:t>
      </w:r>
      <w:r>
        <w:t xml:space="preserve"> </w:t>
      </w:r>
      <w:r>
        <w:t xml:space="preserve">Space Economy Papers corpus.</w:t>
      </w:r>
    </w:p>
    <w:p>
      <w:pPr>
        <w:pStyle w:val="BodyText"/>
        <w:spacing w:line="480" w:lineRule="auto"/>
        <w:ind w:firstLine="720"/>
      </w:pPr>
      <w:bookmarkStart w:id="183" w:name="ref-9"/>
      <w:bookmarkEnd w:id="183"/>
      <w:r>
        <w:t xml:space="preserve">9. Mark Ackermann, Sandia National Laboratories, David Cox, Sandia National Laboratories, John McGraw, J.T. McGraw &amp; Associates, Peter Zimmer, J.T. McGraw &amp; Associates. Lens and Camera Arrays for Sky Surveys and Space Surveillance (2016).</w:t>
      </w:r>
    </w:p>
    <w:p>
      <w:pPr>
        <w:pStyle w:val="BodyText"/>
        <w:spacing w:line="480" w:lineRule="auto"/>
        <w:ind w:firstLine="720"/>
      </w:pPr>
      <w:bookmarkStart w:id="184" w:name="ref-10"/>
      <w:bookmarkEnd w:id="184"/>
      <w:r>
        <w:t xml:space="preserve">10. Patrick A. Taylor, National Radio Astronomy Observatory, Green Bank Observatory; Steven R. Wilkinson, Raytheon Intelligence and Space; Flora Paganelli, National Radio Astronomy Observatory; Ray Samaniego, Raytheon Intelligence &amp; Space; Bishara Shamee, Raytheon Intelligence &amp; Space; Aaron Wallace, Raytheon Intelligence &amp; Space; Anthony J. Beasley, National Radio Astronomy Observatory. The Next Generation Planetary Radar System on the Green Bank Telescope (2022).</w:t>
      </w:r>
    </w:p>
    <w:p>
      <w:pPr>
        <w:pStyle w:val="BodyText"/>
        <w:spacing w:line="480" w:lineRule="auto"/>
        <w:ind w:firstLine="720"/>
      </w:pPr>
      <w:bookmarkStart w:id="185" w:name="ref-11"/>
      <w:bookmarkEnd w:id="185"/>
      <w:r>
        <w:t xml:space="preserve">11. Philip A. Bland and the DFN Team, Curtin University. Adapting a Planetary Science Observational Facility for Space Situational Awareness (2016).</w:t>
      </w:r>
    </w:p>
    <w:p>
      <w:pPr>
        <w:pStyle w:val="BodyText"/>
        <w:spacing w:line="480" w:lineRule="auto"/>
        <w:ind w:firstLine="720"/>
      </w:pPr>
      <w:bookmarkStart w:id="186" w:name="ref-12"/>
      <w:bookmarkEnd w:id="186"/>
      <w:r>
        <w:t xml:space="preserve">12. T. Joseph W. Lazio, Jet Propulsion Laboratory, California Institute of Technology; Dimitrios Antsos, Jet Propulsion Laboratory, California Institute of Technology; Anthony Beasley, National Radio Astronomy Observatory; Lance A. M. Benner, Jet Propulsion Laboratory, California Institute of Technology; Andrew Brooks, Jet Propulsion Laboratory, California Institute of Technology; Marina Brozovic, Jet Propulsion Laboratory, California Institute of Technology; Philip G. Edwards, CSIRO Space &amp; Astronomy; Jon D. Giorgini, Jet Propulsion Laboratory, California Institute of Technology; Shinji Horiuchi, CSIRO Space &amp; Astronomy; Ed Kruzins, UNSW Canberra Space, and CSIRO Space &amp; Autonomy; Clement Lee, Jet Propulsion Laboratory, California Institute of Technology; Ronglin R. Liou, Jet Propulsion Laboratory, California Institute of Technology; Blake Molyneux, Australia National University; Shantanu P. Naidu, Jet Propulsion Laboratory, California Institute of Technology; Charles Naudet, Jet Propulsion Laboratory, California Institute of Technology; Ryan S. Park, Jet Propulsion Laboratory, California Institute of Technology; Chris J. Phillips, CSIRO Space &amp; Astronomy; Marc Sanchez Net, Jet Propulsion Laboratory, California Institute of Technology; J. Stevens, CSIRO Space &amp; Astronomy; Mark Taylor, Jet Propulsion Laboratory, California Institute of Technology; Victor Vilnrotter, Jet Propulsion Laboratory, California Institute of Technology. Ground-based Planetary Radars: Current and Future Prospects in the Cislunar Arena (2022).</w:t>
      </w:r>
    </w:p>
    <w:p>
      <w:pPr>
        <w:pStyle w:val="BodyText"/>
        <w:spacing w:line="480" w:lineRule="auto"/>
        <w:ind w:firstLine="720"/>
      </w:pPr>
      <w:bookmarkStart w:id="187" w:name="ref-13"/>
      <w:bookmarkEnd w:id="187"/>
      <w:r>
        <w:t xml:space="preserve">13. Eileen V. Ryan (Magdalena Ridge Observatory, New Mexico Institute of Mining and Technology), William H. Ryan (Magdalena Ridge Observatory, New Mexico Institute of Mining and Technology). Physical Characterization Studies of Near-Earth Object Spacecraft Mission Targets (2012).</w:t>
      </w:r>
    </w:p>
    <w:p>
      <w:pPr>
        <w:pStyle w:val="BodyText"/>
        <w:spacing w:line="480" w:lineRule="auto"/>
        <w:ind w:firstLine="720"/>
      </w:pPr>
      <w:bookmarkStart w:id="188" w:name="ref-14"/>
      <w:bookmarkEnd w:id="188"/>
      <w:r>
        <w:t xml:space="preserve">14. Sam Wishnek, University of Colorado Boulder; Marcus Holzinger, University of Colorado Boulder; Patrick Handley, Ball Aerospace. Robust Cislunar Initial Orbit Determination (2021).</w:t>
      </w:r>
    </w:p>
    <w:p>
      <w:pPr>
        <w:pStyle w:val="BodyText"/>
        <w:spacing w:line="480" w:lineRule="auto"/>
        <w:ind w:firstLine="720"/>
      </w:pPr>
      <w:bookmarkStart w:id="189" w:name="ref-15"/>
      <w:bookmarkEnd w:id="189"/>
      <w:r>
        <w:t xml:space="preserve">15. Abdul Mutholib, International Islamic University, Malaysia; Nadirah Abdul Rahim, International Islamic University, Malaysia; Teddy Surya Gunawan, International Islamic University, Malaysia. Prototype Development of Web AI-Based Decision Support System: Insights and Recommendations for Satellite Anomaly Identification (2025). doi:</w:t>
      </w:r>
      <w:r>
        <w:t xml:space="preserve"> </w:t>
      </w:r>
      <w:hyperlink r:id="rId190">
        <w:r>
          <w:rPr>
            <w:rStyle w:val="Hyperlink"/>
          </w:rPr>
          <w:t xml:space="preserve">10.64861/TJUV7381</w:t>
        </w:r>
      </w:hyperlink>
    </w:p>
    <w:p>
      <w:pPr>
        <w:pStyle w:val="BodyText"/>
        <w:spacing w:line="480" w:lineRule="auto"/>
        <w:ind w:firstLine="720"/>
      </w:pPr>
      <w:bookmarkStart w:id="191" w:name="ref-16"/>
      <w:bookmarkEnd w:id="191"/>
      <w:r>
        <w:t xml:space="preserve">16. Professor Douglas Currie (University of Maryland, NASA Lunar Science Institute, Istituto Nazionale di Fisica Nucleare Laboratori), Dr. Simone Dell Agnello (Istituto Nazionale di Fisica Nucleare Laboratori, Nazionali di Frascati), Dr. Giovanni Delle Monache (Istituto Nazionale di Fisica Nucleare Laboratori). A Lunar Laser Ranging Retroreflector for the 21st Century (2009).</w:t>
      </w:r>
    </w:p>
    <w:p>
      <w:pPr>
        <w:pStyle w:val="BodyText"/>
        <w:spacing w:line="480" w:lineRule="auto"/>
        <w:ind w:firstLine="720"/>
      </w:pPr>
      <w:bookmarkStart w:id="192" w:name="ref-17"/>
      <w:bookmarkEnd w:id="192"/>
      <w:r>
        <w:t xml:space="preserve">17. Michael Paluszek; Annie Price; Zoe Koniaris; Christopher Galea; Stephanie Thomas; S. Cohen; Rachel Stutz. Nuclear fusion powered Titan aircraft (2023). doi:</w:t>
      </w:r>
      <w:r>
        <w:t xml:space="preserve"> </w:t>
      </w:r>
      <w:hyperlink r:id="rId193">
        <w:r>
          <w:rPr>
            <w:rStyle w:val="Hyperlink"/>
          </w:rPr>
          <w:t xml:space="preserve">10.1016/j.actaastro.2023.04.029</w:t>
        </w:r>
      </w:hyperlink>
    </w:p>
    <w:p>
      <w:pPr>
        <w:pStyle w:val="BodyText"/>
        <w:spacing w:line="480" w:lineRule="auto"/>
        <w:ind w:firstLine="720"/>
      </w:pPr>
      <w:bookmarkStart w:id="194" w:name="ref-18"/>
      <w:bookmarkEnd w:id="194"/>
      <w:r>
        <w:t xml:space="preserve">18. Christian Lorenz; Bruno Hay Mele; Carmen Arena. Where is the plant-space research going? An overview on the last two decades through bibliometric network multi-analysis (2024). doi:</w:t>
      </w:r>
      <w:r>
        <w:t xml:space="preserve"> </w:t>
      </w:r>
      <w:hyperlink r:id="rId195">
        <w:r>
          <w:rPr>
            <w:rStyle w:val="Hyperlink"/>
          </w:rPr>
          <w:t xml:space="preserve">10.1016/j.actaastro.2024.05.022</w:t>
        </w:r>
      </w:hyperlink>
    </w:p>
    <w:p>
      <w:pPr>
        <w:pStyle w:val="BodyText"/>
        <w:spacing w:line="480" w:lineRule="auto"/>
        <w:ind w:firstLine="720"/>
      </w:pPr>
      <w:bookmarkStart w:id="196" w:name="ref-19"/>
      <w:bookmarkEnd w:id="196"/>
      <w:r>
        <w:t xml:space="preserve">19. Scott Dorrington; John Olsen. Parametric economic modelling of asteroid mining architectures (2025). doi:</w:t>
      </w:r>
      <w:r>
        <w:t xml:space="preserve"> </w:t>
      </w:r>
      <w:hyperlink r:id="rId197">
        <w:r>
          <w:rPr>
            <w:rStyle w:val="Hyperlink"/>
          </w:rPr>
          <w:t xml:space="preserve">10.1016/j.actaastro.2025.11.006</w:t>
        </w:r>
      </w:hyperlink>
    </w:p>
    <w:p>
      <w:pPr>
        <w:pStyle w:val="BodyText"/>
        <w:spacing w:line="480" w:lineRule="auto"/>
        <w:ind w:firstLine="720"/>
      </w:pPr>
      <w:bookmarkStart w:id="198" w:name="ref-20"/>
      <w:bookmarkEnd w:id="198"/>
      <w:r>
        <w:t xml:space="preserve">20. A. GOODWIN; Megan Hammett; Myles Harris. The application of Tobler’s hiking function in data-driven traverse modelling for planetary exploration (2024). doi:</w:t>
      </w:r>
      <w:r>
        <w:t xml:space="preserve"> </w:t>
      </w:r>
      <w:hyperlink r:id="rId199">
        <w:r>
          <w:rPr>
            <w:rStyle w:val="Hyperlink"/>
          </w:rPr>
          <w:t xml:space="preserve">10.1016/j.actaastro.2024.12.005</w:t>
        </w:r>
      </w:hyperlink>
    </w:p>
    <w:p>
      <w:pPr>
        <w:pStyle w:val="BodyText"/>
        <w:spacing w:line="480" w:lineRule="auto"/>
        <w:ind w:firstLine="720"/>
      </w:pPr>
      <w:bookmarkStart w:id="200" w:name="ref-21"/>
      <w:bookmarkEnd w:id="200"/>
      <w:r>
        <w:t xml:space="preserve">21. Ben McKeown; Andrew G. Dempster; Serkan Saydam; Jeff Coulton. How should potential space resources markets be evaluated? (2026). doi:</w:t>
      </w:r>
      <w:r>
        <w:t xml:space="preserve"> </w:t>
      </w:r>
      <w:hyperlink r:id="rId201">
        <w:r>
          <w:rPr>
            <w:rStyle w:val="Hyperlink"/>
          </w:rPr>
          <w:t xml:space="preserve">10.1016/j.actaastro.2026.03.026</w:t>
        </w:r>
      </w:hyperlink>
    </w:p>
    <w:p>
      <w:pPr>
        <w:pStyle w:val="BodyText"/>
        <w:spacing w:line="480" w:lineRule="auto"/>
        <w:ind w:firstLine="720"/>
      </w:pPr>
      <w:bookmarkStart w:id="202" w:name="ref-22"/>
      <w:bookmarkEnd w:id="202"/>
      <w:r>
        <w:t xml:space="preserve">22. Masafumi Isaji; Nick Gollins; Koki Ho. Global optimization of space mission concept of operations and systems design via mixed-integer nonlinear programming (2025). doi:</w:t>
      </w:r>
      <w:r>
        <w:t xml:space="preserve"> </w:t>
      </w:r>
      <w:hyperlink r:id="rId203">
        <w:r>
          <w:rPr>
            <w:rStyle w:val="Hyperlink"/>
          </w:rPr>
          <w:t xml:space="preserve">10.1016/j.actaastro.2025.11.043</w:t>
        </w:r>
      </w:hyperlink>
    </w:p>
    <w:p>
      <w:pPr>
        <w:pStyle w:val="BodyText"/>
        <w:spacing w:line="480" w:lineRule="auto"/>
        <w:ind w:firstLine="720"/>
      </w:pPr>
      <w:bookmarkStart w:id="204" w:name="ref-23"/>
      <w:bookmarkEnd w:id="204"/>
      <w:r>
        <w:t xml:space="preserve">23. Giuseppe Cataldo; Bruno Sarli; Peter Gage; Todd R. White; Brendan Feehan; Fernando Pellerano. Planetary protection trades and lessons learned from designing Mars Sample Return’s Capture, Containment, and Return System (2025). doi:</w:t>
      </w:r>
      <w:r>
        <w:t xml:space="preserve"> </w:t>
      </w:r>
      <w:hyperlink r:id="rId205">
        <w:r>
          <w:rPr>
            <w:rStyle w:val="Hyperlink"/>
          </w:rPr>
          <w:t xml:space="preserve">10.1016/j.actaastro.2025.01.046</w:t>
        </w:r>
      </w:hyperlink>
    </w:p>
    <w:p>
      <w:pPr>
        <w:pStyle w:val="BodyText"/>
        <w:spacing w:line="480" w:lineRule="auto"/>
        <w:ind w:firstLine="720"/>
      </w:pPr>
      <w:bookmarkStart w:id="206" w:name="ref-24"/>
      <w:bookmarkEnd w:id="206"/>
      <w:r>
        <w:t xml:space="preserve">24. Christopher Lowe; Ciara McGrath; Steven Hancock; I. J. Davenport; Stephen Todd; Johannes N. Hansen; Iain Woodhouse; Callum J. Norrie; Malcolm Macdonald. Spacecraft and optics design considerations for a spaceborne lidar mission with spatially continuous global coverage (2023). doi:</w:t>
      </w:r>
      <w:r>
        <w:t xml:space="preserve"> </w:t>
      </w:r>
      <w:hyperlink r:id="rId207">
        <w:r>
          <w:rPr>
            <w:rStyle w:val="Hyperlink"/>
          </w:rPr>
          <w:t xml:space="preserve">10.1016/j.actaastro.2023.10.042</w:t>
        </w:r>
      </w:hyperlink>
    </w:p>
    <w:bookmarkEnd w:id="208"/>
    <w:bookmarkEnd w:id="209"/>
    <w:bookmarkStart w:id="226"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17" w:name="X26cd65295ec328542d054ce48ea2b5080ef60ae"/>
    <w:p>
      <w:pPr>
        <w:pStyle w:val="Heading2"/>
        <w:spacing w:line="480" w:lineRule="auto"/>
      </w:pPr>
      <w:r>
        <w:t xml:space="preserve">A.1 The Cost Elasticity of Cited Scientific Output: A Log-Log Productivity Function for Space Science Missions</w:t>
      </w:r>
    </w:p>
    <w:p>
      <w:pPr>
        <w:pStyle w:val="FirstParagraph"/>
        <w:spacing w:line="480" w:lineRule="auto"/>
      </w:pPr>
      <m:oMathPara>
        <m:oMathParaPr>
          <m:jc m:val="center"/>
        </m:oMathParaPr>
        <m:oMath>
          <m:r>
            <m:rPr>
              <m:sty m:val="p"/>
            </m:rPr>
            <m:t>ln</m:t>
          </m:r>
          <m:r>
            <m:rPr>
              <m:sty m:val="p"/>
            </m:rPr>
            <m:t>(</m:t>
          </m:r>
          <m:sSub>
            <m:e>
              <m:r>
                <m:rPr>
                  <m:nor/>
                  <m:sty m:val="p"/>
                </m:rPr>
                <m:t>pubs</m:t>
              </m:r>
            </m:e>
            <m:sub>
              <m:r>
                <m:t>i</m:t>
              </m:r>
            </m:sub>
          </m:sSub>
          <m:r>
            <m:rPr>
              <m:sty m:val="p"/>
            </m:rPr>
            <m:t>)</m:t>
          </m:r>
          <m:r>
            <m:rPr>
              <m:sty m:val="p"/>
            </m:rPr>
            <m:t>=</m:t>
          </m:r>
          <m:r>
            <m:t>α</m:t>
          </m:r>
          <m:r>
            <m:rPr>
              <m:sty m:val="p"/>
            </m:rPr>
            <m:t>+</m:t>
          </m:r>
          <m:r>
            <m:t>β</m:t>
          </m:r>
          <m:r>
            <m:t> </m:t>
          </m:r>
          <m:r>
            <m:rPr>
              <m:sty m:val="p"/>
            </m:rPr>
            <m:t>ln</m:t>
          </m:r>
          <m:r>
            <m:rPr>
              <m:sty m:val="p"/>
            </m:rPr>
            <m:t>(</m:t>
          </m:r>
          <m:sSub>
            <m:e>
              <m:r>
                <m:rPr>
                  <m:nor/>
                  <m:sty m:val="p"/>
                </m:rPr>
                <m:t>cost_musd_2024</m:t>
              </m:r>
            </m:e>
            <m:sub>
              <m:r>
                <m:t>i</m:t>
              </m:r>
            </m:sub>
          </m:sSub>
          <m:r>
            <m:rPr>
              <m:sty m:val="p"/>
            </m:rPr>
            <m:t>)</m:t>
          </m:r>
          <m:r>
            <m:rPr>
              <m:sty m:val="p"/>
            </m:rPr>
            <m:t>+</m:t>
          </m:r>
          <m:sSub>
            <m:e>
              <m:r>
                <m:t>ε</m:t>
              </m:r>
            </m:e>
            <m:sub>
              <m:r>
                <m:t>i</m:t>
              </m:r>
            </m:sub>
          </m:sSub>
        </m:oMath>
      </m:oMathPara>
    </w:p>
    <w:bookmarkStart w:id="210"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2.6282</w:t>
            </w:r>
          </w:p>
        </w:tc>
        <w:tc>
          <w:tcPr>
            <w:tcW w:w="0" w:type="auto"/>
          </w:tcPr>
          <w:p>
            <w:pPr>
              <w:spacing w:line="240" w:lineRule="auto" w:before="0" w:after="0"/>
              <w:pStyle w:val="Compact"/>
            </w:pPr>
            <w:r>
              <w:rPr>
                <w:sz w:val="20"/>
                <w:szCs w:val="20"/>
              </w:rPr>
              <w:t xml:space="preserve">1.6931</w:t>
            </w:r>
          </w:p>
        </w:tc>
        <w:tc>
          <w:tcPr>
            <w:tcW w:w="0" w:type="auto"/>
          </w:tcPr>
          <w:p>
            <w:pPr>
              <w:spacing w:line="240" w:lineRule="auto" w:before="0" w:after="0"/>
              <w:pStyle w:val="Compact"/>
            </w:pPr>
            <w:r>
              <w:rPr>
                <w:sz w:val="20"/>
                <w:szCs w:val="20"/>
              </w:rPr>
              <w:t xml:space="preserve">1.5523</w:t>
            </w:r>
          </w:p>
        </w:tc>
        <w:tc>
          <w:tcPr>
            <w:tcW w:w="0" w:type="auto"/>
          </w:tcPr>
          <w:p>
            <w:pPr>
              <w:spacing w:line="240" w:lineRule="auto" w:before="0" w:after="0"/>
              <w:pStyle w:val="Compact"/>
            </w:pPr>
            <w:r>
              <w:rPr>
                <w:sz w:val="20"/>
                <w:szCs w:val="20"/>
              </w:rPr>
              <w:t xml:space="preserve">0.1206</w:t>
            </w:r>
          </w:p>
        </w:tc>
        <w:tc>
          <w:tcPr>
            <w:tcW w:w="0" w:type="auto"/>
          </w:tcPr>
          <w:p>
            <w:pPr>
              <w:spacing w:line="240" w:lineRule="auto" w:before="0" w:after="0"/>
              <w:pStyle w:val="Compact"/>
            </w:pPr>
            <w:r>
              <w:rPr>
                <w:sz w:val="20"/>
                <w:szCs w:val="20"/>
              </w:rPr>
              <w:t xml:space="preserve">[-0.6902, 5.9467]</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0.612</w:t>
            </w:r>
          </w:p>
        </w:tc>
        <w:tc>
          <w:tcPr>
            <w:tcW w:w="0" w:type="auto"/>
          </w:tcPr>
          <w:p>
            <w:pPr>
              <w:spacing w:line="240" w:lineRule="auto" w:before="0" w:after="0"/>
              <w:pStyle w:val="Compact"/>
            </w:pPr>
            <w:r>
              <w:rPr>
                <w:sz w:val="20"/>
                <w:szCs w:val="20"/>
              </w:rPr>
              <w:t xml:space="preserve">0.2712</w:t>
            </w:r>
          </w:p>
        </w:tc>
        <w:tc>
          <w:tcPr>
            <w:tcW w:w="0" w:type="auto"/>
          </w:tcPr>
          <w:p>
            <w:pPr>
              <w:spacing w:line="240" w:lineRule="auto" w:before="0" w:after="0"/>
              <w:pStyle w:val="Compact"/>
            </w:pPr>
            <w:r>
              <w:rPr>
                <w:sz w:val="20"/>
                <w:szCs w:val="20"/>
              </w:rPr>
              <w:t xml:space="preserve">2.2568</w:t>
            </w:r>
          </w:p>
        </w:tc>
        <w:tc>
          <w:tcPr>
            <w:tcW w:w="0" w:type="auto"/>
          </w:tcPr>
          <w:p>
            <w:pPr>
              <w:spacing w:line="240" w:lineRule="auto" w:before="0" w:after="0"/>
              <w:pStyle w:val="Compact"/>
            </w:pPr>
            <w:r>
              <w:rPr>
                <w:sz w:val="20"/>
                <w:szCs w:val="20"/>
              </w:rPr>
              <w:t xml:space="preserve">0.024</w:t>
            </w:r>
          </w:p>
        </w:tc>
        <w:tc>
          <w:tcPr>
            <w:tcW w:w="0" w:type="auto"/>
          </w:tcPr>
          <w:p>
            <w:pPr>
              <w:spacing w:line="240" w:lineRule="auto" w:before="0" w:after="0"/>
              <w:pStyle w:val="Compact"/>
            </w:pPr>
            <w:r>
              <w:rPr>
                <w:sz w:val="20"/>
                <w:szCs w:val="20"/>
              </w:rPr>
              <w:t xml:space="preserve">[0.0805, 1.1435]</w:t>
            </w:r>
          </w:p>
        </w:tc>
      </w:tr>
    </w:tbl>
    <w:p>
      <w:pPr>
        <w:pStyle w:val="BodyText"/>
        <w:spacing w:line="480" w:lineRule="auto"/>
        <w:ind w:firstLine="720"/>
      </w:pPr>
      <w:r>
        <w:t xml:space="preserve">Fit: N = 21 R2 = 0.1521 elasticity_b = 0.612 progress_ratio_2^b = 1.5284</w:t>
      </w:r>
    </w:p>
    <w:bookmarkEnd w:id="210"/>
    <w:bookmarkStart w:id="214"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Refereed publication output versus lifecycle cost across 21 space science missions, log-log axes, with the fitted productivity function. The slope is the estimated cost elasticity of cited scientific output." title="" id="212" name="Picture"/>
            <a:graphic>
              <a:graphicData uri="http://schemas.openxmlformats.org/drawingml/2006/picture">
                <pic:pic>
                  <pic:nvPicPr>
                    <pic:cNvPr descr="D:/Claude_Code/brain/collegium/candidates/dissertations/JPL_PLANETARY_02/research_papers/p1/paper_fig1.png" id="213" name="Picture"/>
                    <pic:cNvPicPr>
                      <a:picLocks noChangeArrowheads="1" noChangeAspect="1"/>
                    </pic:cNvPicPr>
                  </pic:nvPicPr>
                  <pic:blipFill>
                    <a:blip r:embed="rId21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Refereed publication output versus lifecycle cost across 21 space science missions, log-log axes, with the fitted productivity function. The slope is the estimated cost elasticity of cited scientific output.</w:t>
      </w:r>
    </w:p>
    <w:bookmarkEnd w:id="214"/>
    <w:bookmarkStart w:id="215"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duration_yr</w:t>
            </w:r>
          </w:p>
        </w:tc>
        <w:tc>
          <w:tcPr>
            <w:tcW w:w="0" w:type="auto"/>
          </w:tcPr>
          <w:p>
            <w:pPr>
              <w:spacing w:line="240" w:lineRule="auto" w:before="0" w:after="0"/>
              <w:pStyle w:val="Compact"/>
            </w:pPr>
            <w:r>
              <w:rPr>
                <w:sz w:val="20"/>
                <w:szCs w:val="20"/>
              </w:rPr>
              <w:t xml:space="preserve">pubs</w:t>
            </w:r>
          </w:p>
        </w:tc>
        <w:tc>
          <w:tcPr>
            <w:tcW w:w="0" w:type="auto"/>
          </w:tcPr>
          <w:p>
            <w:pPr>
              <w:spacing w:line="240" w:lineRule="auto" w:before="0" w:after="0"/>
              <w:pStyle w:val="Compact"/>
            </w:pPr>
            <w:r>
              <w:rPr>
                <w:sz w:val="20"/>
                <w:szCs w:val="20"/>
              </w:rPr>
              <w:t xml:space="preserve">instruments</w:t>
            </w:r>
          </w:p>
        </w:tc>
        <w:tc>
          <w:tcPr>
            <w:tcW w:w="0" w:type="auto"/>
          </w:tcPr>
          <w:p>
            <w:pPr>
              <w:spacing w:line="240" w:lineRule="auto" w:before="0" w:after="0"/>
              <w:pStyle w:val="Compact"/>
            </w:pPr>
            <w:r>
              <w:rPr>
                <w:sz w:val="20"/>
                <w:szCs w:val="20"/>
              </w:rPr>
              <w:t xml:space="preserve">target_class</w:t>
            </w:r>
          </w:p>
        </w:tc>
        <w:tc>
          <w:tcPr>
            <w:tcW w:w="0" w:type="auto"/>
          </w:tcPr>
          <w:p>
            <w:pPr>
              <w:spacing w:line="240" w:lineRule="auto" w:before="0" w:after="0"/>
              <w:pStyle w:val="Compact"/>
            </w:pPr>
            <w:r>
              <w:rPr>
                <w:sz w:val="20"/>
                <w:szCs w:val="20"/>
              </w:rPr>
              <w:t xml:space="preserve">cost_musd_2024</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Cassini-Huygens</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2227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outer_planet</w:t>
            </w:r>
          </w:p>
        </w:tc>
        <w:tc>
          <w:tcPr>
            <w:tcW w:w="0" w:type="auto"/>
          </w:tcPr>
          <w:p>
            <w:pPr>
              <w:spacing w:line="240" w:lineRule="auto" w:before="0" w:after="0"/>
              <w:pStyle w:val="Compact"/>
            </w:pPr>
            <w:r>
              <w:rPr>
                <w:sz w:val="20"/>
                <w:szCs w:val="20"/>
              </w:rPr>
              <w:t xml:space="preserve">5200</w:t>
            </w:r>
          </w:p>
        </w:tc>
        <w:tc>
          <w:tcPr>
            <w:tcW w:w="0" w:type="auto"/>
          </w:tcPr>
          <w:p>
            <w:pPr>
              <w:spacing w:line="240" w:lineRule="auto" w:before="0" w:after="0"/>
              <w:pStyle w:val="Compact"/>
            </w:pPr>
            <w:r>
              <w:rPr>
                <w:sz w:val="20"/>
                <w:szCs w:val="20"/>
              </w:rPr>
              <w:t xml:space="preserve">Pubs: De Marchi &amp; Parmar 2024, ESA Mission Publications, Table 2 (2227 refereed thru 2021). Cost: Cassini-Huygens total ~US$3.26B (1997 dollars; NASA Cassini quick-facts / Wikipedia Cassini-Huygens, incl. $1.4B dev, $704M ops, $54M tracking, $422M launch), GDP-deflator adjusted to ~2024 USD.</w:t>
            </w:r>
          </w:p>
        </w:tc>
      </w:tr>
      <w:tr>
        <w:tc>
          <w:tcPr>
            <w:tcW w:w="0" w:type="auto"/>
          </w:tcPr>
          <w:p>
            <w:pPr>
              <w:spacing w:line="240" w:lineRule="auto" w:before="0" w:after="0"/>
              <w:pStyle w:val="Compact"/>
            </w:pPr>
            <w:r>
              <w:rPr>
                <w:sz w:val="20"/>
                <w:szCs w:val="20"/>
              </w:rPr>
              <w:t xml:space="preserve">Mars Express</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1464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inner_planet</w:t>
            </w:r>
          </w:p>
        </w:tc>
        <w:tc>
          <w:tcPr>
            <w:tcW w:w="0" w:type="auto"/>
          </w:tcPr>
          <w:p>
            <w:pPr>
              <w:spacing w:line="240" w:lineRule="auto" w:before="0" w:after="0"/>
              <w:pStyle w:val="Compact"/>
            </w:pPr>
            <w:r>
              <w:rPr>
                <w:sz w:val="20"/>
                <w:szCs w:val="20"/>
              </w:rPr>
              <w:t xml:space="preserve">460</w:t>
            </w:r>
          </w:p>
        </w:tc>
        <w:tc>
          <w:tcPr>
            <w:tcW w:w="0" w:type="auto"/>
          </w:tcPr>
          <w:p>
            <w:pPr>
              <w:spacing w:line="240" w:lineRule="auto" w:before="0" w:after="0"/>
              <w:pStyle w:val="Compact"/>
            </w:pPr>
            <w:r>
              <w:rPr>
                <w:sz w:val="20"/>
                <w:szCs w:val="20"/>
              </w:rPr>
              <w:t xml:space="preserve">Pubs: De Marchi &amp; Parmar 2024, Table 1 (1464). Cost: orbiter budget EUR150M excl. Beagle-2 (Wikipedia Mars Express citing ESA), EUR-&gt;USD ~1.13 (2003) and deflator to 2024 USD.</w:t>
            </w:r>
          </w:p>
        </w:tc>
      </w:tr>
      <w:tr>
        <w:tc>
          <w:tcPr>
            <w:tcW w:w="0" w:type="auto"/>
          </w:tcPr>
          <w:p>
            <w:pPr>
              <w:spacing w:line="240" w:lineRule="auto" w:before="0" w:after="0"/>
              <w:pStyle w:val="Compact"/>
            </w:pPr>
            <w:r>
              <w:rPr>
                <w:sz w:val="20"/>
                <w:szCs w:val="20"/>
              </w:rPr>
              <w:t xml:space="preserve">Rosetta</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1314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small_body</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Pubs: De Marchi &amp; Parmar 2024, Table 1 (1314). Cost: total ~EUR1.3B / US$1.8B (Wikipedia Rosetta citing ESA), deflator to 2024 USD.</w:t>
            </w:r>
          </w:p>
        </w:tc>
      </w:tr>
      <w:tr>
        <w:tc>
          <w:tcPr>
            <w:tcW w:w="0" w:type="auto"/>
          </w:tcPr>
          <w:p>
            <w:pPr>
              <w:spacing w:line="240" w:lineRule="auto" w:before="0" w:after="0"/>
              <w:pStyle w:val="Compact"/>
            </w:pPr>
            <w:r>
              <w:rPr>
                <w:sz w:val="20"/>
                <w:szCs w:val="20"/>
              </w:rPr>
              <w:t xml:space="preserve">Venus Express</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737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inner_planet</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Pubs: De Marchi &amp; Parmar 2024, Table 1 (737). Cost: ESA investment ~EUR220M incl. dev+launch+ops (ESA Venus Express FAQ), EUR-&gt;USD ~1.24 (2005) and deflator to 2024 USD.</w:t>
            </w:r>
          </w:p>
        </w:tc>
      </w:tr>
      <w:tr>
        <w:tc>
          <w:tcPr>
            <w:tcW w:w="0" w:type="auto"/>
          </w:tcPr>
          <w:p>
            <w:pPr>
              <w:spacing w:line="240" w:lineRule="auto" w:before="0" w:after="0"/>
              <w:pStyle w:val="Compact"/>
            </w:pPr>
            <w:r>
              <w:rPr>
                <w:sz w:val="20"/>
                <w:szCs w:val="20"/>
              </w:rPr>
              <w:t xml:space="preserve">Huygens</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outer_planet</w:t>
            </w:r>
          </w:p>
        </w:tc>
        <w:tc>
          <w:tcPr>
            <w:tcW w:w="0" w:type="auto"/>
          </w:tcPr>
          <w:p>
            <w:pPr>
              <w:spacing w:line="240" w:lineRule="auto" w:before="0" w:after="0"/>
              <w:pStyle w:val="Compact"/>
            </w:pPr>
            <w:r>
              <w:rPr>
                <w:sz w:val="20"/>
                <w:szCs w:val="20"/>
              </w:rPr>
              <w:t xml:space="preserve">470</w:t>
            </w:r>
          </w:p>
        </w:tc>
        <w:tc>
          <w:tcPr>
            <w:tcW w:w="0" w:type="auto"/>
          </w:tcPr>
          <w:p>
            <w:pPr>
              <w:spacing w:line="240" w:lineRule="auto" w:before="0" w:after="0"/>
              <w:pStyle w:val="Compact"/>
            </w:pPr>
            <w:r>
              <w:rPr>
                <w:sz w:val="20"/>
                <w:szCs w:val="20"/>
              </w:rPr>
              <w:t xml:space="preserve">Pubs: De Marchi &amp; Parmar 2024, Table 1 (222). Cost: Huygens probe element ~US$300-422M of Cassini-Huygens (NASA / Wikipedia Cassini-Huygens); midpoint ~$360M (1997 dollars) deflator to 2024 USD.</w:t>
            </w:r>
          </w:p>
        </w:tc>
      </w:tr>
      <w:tr>
        <w:tc>
          <w:tcPr>
            <w:tcW w:w="0" w:type="auto"/>
          </w:tcPr>
          <w:p>
            <w:pPr>
              <w:spacing w:line="240" w:lineRule="auto" w:before="0" w:after="0"/>
              <w:pStyle w:val="Compact"/>
            </w:pPr>
            <w:r>
              <w:rPr>
                <w:sz w:val="20"/>
                <w:szCs w:val="20"/>
              </w:rPr>
              <w:t xml:space="preserve">SMART-1</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Pubs: De Marchi &amp; Parmar 2024, Table 1 (70). Cost: total EUR110M / ~US$170M (Wikipedia SMART-1 citing ESA), deflator to 2024 USD.</w:t>
            </w:r>
          </w:p>
        </w:tc>
      </w:tr>
      <w:tr>
        <w:tc>
          <w:tcPr>
            <w:tcW w:w="0" w:type="auto"/>
          </w:tcPr>
          <w:p>
            <w:pPr>
              <w:spacing w:line="240" w:lineRule="auto" w:before="0" w:after="0"/>
              <w:pStyle w:val="Compact"/>
            </w:pPr>
            <w:r>
              <w:rPr>
                <w:sz w:val="20"/>
                <w:szCs w:val="20"/>
              </w:rPr>
              <w:t xml:space="preserve">Giotto</w:t>
            </w:r>
          </w:p>
        </w:tc>
        <w:tc>
          <w:tcPr>
            <w:tcW w:w="0" w:type="auto"/>
          </w:tcPr>
          <w:p>
            <w:pPr>
              <w:spacing w:line="240" w:lineRule="auto" w:before="0" w:after="0"/>
              <w:pStyle w:val="Compact"/>
            </w:pPr>
            <w:r>
              <w:rPr>
                <w:sz w:val="20"/>
                <w:szCs w:val="20"/>
              </w:rPr>
              <w:t xml:space="preserve">1985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266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small_body</w:t>
            </w:r>
          </w:p>
        </w:tc>
        <w:tc>
          <w:tcPr>
            <w:tcW w:w="0" w:type="auto"/>
          </w:tcPr>
          <w:p>
            <w:pPr>
              <w:spacing w:line="240" w:lineRule="auto" w:before="0" w:after="0"/>
              <w:pStyle w:val="Compact"/>
            </w:pPr>
            <w:r>
              <w:rPr>
                <w:sz w:val="20"/>
                <w:szCs w:val="20"/>
              </w:rPr>
              <w:t xml:space="preserve">240</w:t>
            </w:r>
          </w:p>
        </w:tc>
        <w:tc>
          <w:tcPr>
            <w:tcW w:w="0" w:type="auto"/>
          </w:tcPr>
          <w:p>
            <w:pPr>
              <w:spacing w:line="240" w:lineRule="auto" w:before="0" w:after="0"/>
              <w:pStyle w:val="Compact"/>
            </w:pPr>
            <w:r>
              <w:rPr>
                <w:sz w:val="20"/>
                <w:szCs w:val="20"/>
              </w:rPr>
              <w:t xml:space="preserve">Pubs: De Marchi &amp; Parmar 2024, Table 1 (266). Cost: approved budget ~80M accounting units (1980) (Wikipedia Giotto citing ESA); ECU80M nominal deflator to 2024 USD. [illustrative inflation conversion of an early-1980s ECU budget figure]</w:t>
            </w:r>
          </w:p>
        </w:tc>
      </w:tr>
      <w:tr>
        <w:tc>
          <w:tcPr>
            <w:tcW w:w="0" w:type="auto"/>
          </w:tcPr>
          <w:p>
            <w:pPr>
              <w:spacing w:line="240" w:lineRule="auto" w:before="0" w:after="0"/>
              <w:pStyle w:val="Compact"/>
            </w:pPr>
            <w:r>
              <w:rPr>
                <w:sz w:val="20"/>
                <w:szCs w:val="20"/>
              </w:rPr>
              <w:t xml:space="preserve">Ulysses</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heliophysics</w:t>
            </w:r>
          </w:p>
        </w:tc>
        <w:tc>
          <w:tcPr>
            <w:tcW w:w="0" w:type="auto"/>
          </w:tcPr>
          <w:p>
            <w:pPr>
              <w:spacing w:line="240" w:lineRule="auto" w:before="0" w:after="0"/>
              <w:pStyle w:val="Compact"/>
            </w:pPr>
            <w:r>
              <w:rPr>
                <w:sz w:val="20"/>
                <w:szCs w:val="20"/>
              </w:rPr>
              <w:t xml:space="preserve">2400</w:t>
            </w:r>
          </w:p>
        </w:tc>
        <w:tc>
          <w:tcPr>
            <w:tcW w:w="0" w:type="auto"/>
          </w:tcPr>
          <w:p>
            <w:pPr>
              <w:spacing w:line="240" w:lineRule="auto" w:before="0" w:after="0"/>
              <w:pStyle w:val="Compact"/>
            </w:pPr>
            <w:r>
              <w:rPr>
                <w:sz w:val="20"/>
                <w:szCs w:val="20"/>
              </w:rPr>
              <w:t xml:space="preserve">Pubs: De Marchi &amp; Parmar 2024, Table 1 (1950). Cost: joint ESA/NASA mission ~US$1.4B (NASA Ulysses / Wikipedia Ulysses), 1990-dollar basis deflator to 2024 USD.</w:t>
            </w:r>
          </w:p>
        </w:tc>
      </w:tr>
      <w:tr>
        <w:tc>
          <w:tcPr>
            <w:tcW w:w="0" w:type="auto"/>
          </w:tcPr>
          <w:p>
            <w:pPr>
              <w:spacing w:line="240" w:lineRule="auto" w:before="0" w:after="0"/>
              <w:pStyle w:val="Compact"/>
            </w:pPr>
            <w:r>
              <w:rPr>
                <w:sz w:val="20"/>
                <w:szCs w:val="20"/>
              </w:rPr>
              <w:t xml:space="preserve">Cluster</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2962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magnetosphere</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Pubs: De Marchi &amp; Parmar 2024, Table 1 (2962). Cost: Cluster II EUR315M at 1999 conditions incl. mfr+launch+ops+40% payload (Wikipedia Cluster II citing ESA), EUR-&gt;USD ~1.07 (1999) and deflator to 2024 USD.</w:t>
            </w:r>
          </w:p>
        </w:tc>
      </w:tr>
      <w:tr>
        <w:tc>
          <w:tcPr>
            <w:tcW w:w="0" w:type="auto"/>
          </w:tcPr>
          <w:p>
            <w:pPr>
              <w:spacing w:line="240" w:lineRule="auto" w:before="0" w:after="0"/>
              <w:pStyle w:val="Compact"/>
            </w:pPr>
            <w:r>
              <w:rPr>
                <w:sz w:val="20"/>
                <w:szCs w:val="20"/>
              </w:rPr>
              <w:t xml:space="preserve">INTEGRAL</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1904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astronomy</w:t>
            </w:r>
          </w:p>
        </w:tc>
        <w:tc>
          <w:tcPr>
            <w:tcW w:w="0" w:type="auto"/>
          </w:tcPr>
          <w:p>
            <w:pPr>
              <w:spacing w:line="240" w:lineRule="auto" w:before="0" w:after="0"/>
              <w:pStyle w:val="Compact"/>
            </w:pPr>
            <w:r>
              <w:rPr>
                <w:sz w:val="20"/>
                <w:szCs w:val="20"/>
              </w:rPr>
              <w:t xml:space="preserve">520</w:t>
            </w:r>
          </w:p>
        </w:tc>
        <w:tc>
          <w:tcPr>
            <w:tcW w:w="0" w:type="auto"/>
          </w:tcPr>
          <w:p>
            <w:pPr>
              <w:spacing w:line="240" w:lineRule="auto" w:before="0" w:after="0"/>
              <w:pStyle w:val="Compact"/>
            </w:pPr>
            <w:r>
              <w:rPr>
                <w:sz w:val="20"/>
                <w:szCs w:val="20"/>
              </w:rPr>
              <w:t xml:space="preserve">Pubs: De Marchi &amp; Parmar 2024, Table 1 (1904). Cost: ESA cost EUR330M incl. spacecraft+2yr ground ops, excl. launch/payload (ESA</w:t>
            </w:r>
            <w:r>
              <w:rPr>
                <w:sz w:val="20"/>
                <w:szCs w:val="20"/>
              </w:rPr>
              <w:t xml:space="preserve"> </w:t>
            </w:r>
            <w:r>
              <w:rPr>
                <w:sz w:val="20"/>
                <w:szCs w:val="20"/>
              </w:rPr>
              <w:t xml:space="preserve">‘Mission accomplished for Integral’</w:t>
            </w:r>
            <w:r>
              <w:rPr>
                <w:sz w:val="20"/>
                <w:szCs w:val="20"/>
              </w:rPr>
              <w:t xml:space="preserve"> </w:t>
            </w:r>
            <w:r>
              <w:rPr>
                <w:sz w:val="20"/>
                <w:szCs w:val="20"/>
              </w:rPr>
              <w:t xml:space="preserve">2025), EUR-&gt;USD ~0.95 (2002), plus launch/payload share, deflator to 2024 USD.</w:t>
            </w:r>
          </w:p>
        </w:tc>
      </w:tr>
      <w:tr>
        <w:tc>
          <w:tcPr>
            <w:tcW w:w="0" w:type="auto"/>
          </w:tcPr>
          <w:p>
            <w:pPr>
              <w:spacing w:line="240" w:lineRule="auto" w:before="0" w:after="0"/>
              <w:pStyle w:val="Compact"/>
            </w:pPr>
            <w:r>
              <w:rPr>
                <w:sz w:val="20"/>
                <w:szCs w:val="20"/>
              </w:rPr>
              <w:t xml:space="preserve">XMM-Newton</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6963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astronomy</w:t>
            </w:r>
          </w:p>
        </w:tc>
        <w:tc>
          <w:tcPr>
            <w:tcW w:w="0" w:type="auto"/>
          </w:tcPr>
          <w:p>
            <w:pPr>
              <w:spacing w:line="240" w:lineRule="auto" w:before="0" w:after="0"/>
              <w:pStyle w:val="Compact"/>
            </w:pPr>
            <w:r>
              <w:rPr>
                <w:sz w:val="20"/>
                <w:szCs w:val="20"/>
              </w:rPr>
              <w:t xml:space="preserve">1250</w:t>
            </w:r>
          </w:p>
        </w:tc>
        <w:tc>
          <w:tcPr>
            <w:tcW w:w="0" w:type="auto"/>
          </w:tcPr>
          <w:p>
            <w:pPr>
              <w:spacing w:line="240" w:lineRule="auto" w:before="0" w:after="0"/>
              <w:pStyle w:val="Compact"/>
            </w:pPr>
            <w:r>
              <w:rPr>
                <w:sz w:val="20"/>
                <w:szCs w:val="20"/>
              </w:rPr>
              <w:t xml:space="preserve">Pubs: De Marchi &amp; Parmar 2024, Table 1 (6963). Cost: EUR689M at 1999 conditions incl. construction+launch+2yr ops (Wikipedia XMM-Newton citing ESA), EUR-&gt;USD ~1.07 (1999) and deflator to 2024 USD.</w:t>
            </w:r>
          </w:p>
        </w:tc>
      </w:tr>
      <w:tr>
        <w:tc>
          <w:tcPr>
            <w:tcW w:w="0" w:type="auto"/>
          </w:tcPr>
          <w:p>
            <w:pPr>
              <w:spacing w:line="240" w:lineRule="auto" w:before="0" w:after="0"/>
              <w:pStyle w:val="Compact"/>
            </w:pPr>
            <w:r>
              <w:rPr>
                <w:sz w:val="20"/>
                <w:szCs w:val="20"/>
              </w:rPr>
              <w:t xml:space="preserve">ISO</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2062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astronomy</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Pubs: De Marchi &amp; Parmar 2024, Table 1 (2062). Cost: EUR480.1M satellite (Wikipedia Infrared Space Observatory citing ESA), EUR-&gt;USD ~1.31 (1995) and deflator to 2024 USD.</w:t>
            </w:r>
          </w:p>
        </w:tc>
      </w:tr>
      <w:tr>
        <w:tc>
          <w:tcPr>
            <w:tcW w:w="0" w:type="auto"/>
          </w:tcPr>
          <w:p>
            <w:pPr>
              <w:spacing w:line="240" w:lineRule="auto" w:before="0" w:after="0"/>
              <w:pStyle w:val="Compact"/>
            </w:pPr>
            <w:r>
              <w:rPr>
                <w:sz w:val="20"/>
                <w:szCs w:val="20"/>
              </w:rPr>
              <w:t xml:space="preserve">Hipparcos</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2692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astronomy</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Pubs: De Marchi &amp; Parmar 2024, Table 1 (2692). Cost: ~EUR600M in year-2000 conditions incl. ops+data processing (Wikipedia Hipparcos citing ESA), EUR-&gt;USD ~0.92 (2000) and deflator to 2024 USD.</w:t>
            </w:r>
          </w:p>
        </w:tc>
      </w:tr>
      <w:tr>
        <w:tc>
          <w:tcPr>
            <w:tcW w:w="0" w:type="auto"/>
          </w:tcPr>
          <w:p>
            <w:pPr>
              <w:spacing w:line="240" w:lineRule="auto" w:before="0" w:after="0"/>
              <w:pStyle w:val="Compact"/>
            </w:pPr>
            <w:r>
              <w:rPr>
                <w:sz w:val="20"/>
                <w:szCs w:val="20"/>
              </w:rPr>
              <w:t xml:space="preserve">Herschel</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3284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astronomy</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Pubs: De Marchi &amp; Parmar 2024, Table 1 (3284). Cost: EUR1,100M incl. spacecraft+payload+launch+ops+science ops (Wikipedia Herschel Space Observatory citing ESA), EUR-&gt;USD ~1.39 (2009) and deflator to 2024 USD.</w:t>
            </w:r>
          </w:p>
        </w:tc>
      </w:tr>
      <w:tr>
        <w:tc>
          <w:tcPr>
            <w:tcW w:w="0" w:type="auto"/>
          </w:tcPr>
          <w:p>
            <w:pPr>
              <w:spacing w:line="240" w:lineRule="auto" w:before="0" w:after="0"/>
              <w:pStyle w:val="Compact"/>
            </w:pPr>
            <w:r>
              <w:rPr>
                <w:sz w:val="20"/>
                <w:szCs w:val="20"/>
              </w:rPr>
              <w:t xml:space="preserve">Planck</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2742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astronomy</w:t>
            </w:r>
          </w:p>
        </w:tc>
        <w:tc>
          <w:tcPr>
            <w:tcW w:w="0" w:type="auto"/>
          </w:tcPr>
          <w:p>
            <w:pPr>
              <w:spacing w:line="240" w:lineRule="auto" w:before="0" w:after="0"/>
              <w:pStyle w:val="Compact"/>
            </w:pPr>
            <w:r>
              <w:rPr>
                <w:sz w:val="20"/>
                <w:szCs w:val="20"/>
              </w:rPr>
              <w:t xml:space="preserve">980</w:t>
            </w:r>
          </w:p>
        </w:tc>
        <w:tc>
          <w:tcPr>
            <w:tcW w:w="0" w:type="auto"/>
          </w:tcPr>
          <w:p>
            <w:pPr>
              <w:spacing w:line="240" w:lineRule="auto" w:before="0" w:after="0"/>
              <w:pStyle w:val="Compact"/>
            </w:pPr>
            <w:r>
              <w:rPr>
                <w:sz w:val="20"/>
                <w:szCs w:val="20"/>
              </w:rPr>
              <w:t xml:space="preserve">Pubs: De Marchi &amp; Parmar 2024, Table 1 (2742). Cost: ~EUR700M incl. spacecraft+payload+launch+ops (Wikipedia Planck citing ESA), EUR-&gt;USD ~1.39 (2009) and deflator to 2024 USD.</w:t>
            </w:r>
          </w:p>
        </w:tc>
      </w:tr>
      <w:tr>
        <w:tc>
          <w:tcPr>
            <w:tcW w:w="0" w:type="auto"/>
          </w:tcPr>
          <w:p>
            <w:pPr>
              <w:spacing w:line="240" w:lineRule="auto" w:before="0" w:after="0"/>
              <w:pStyle w:val="Compact"/>
            </w:pPr>
            <w:r>
              <w:rPr>
                <w:sz w:val="20"/>
                <w:szCs w:val="20"/>
              </w:rPr>
              <w:t xml:space="preserve">Gaia</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6403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astronomy</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Pubs: De Marchi &amp; Parmar 2024, Table 1 (6403). Cost: ~EUR740M / ~US$1B incl. mfr+launch+ground ops (Wikipedia Gaia citing ESA), deflator to 2024 USD.</w:t>
            </w:r>
          </w:p>
        </w:tc>
      </w:tr>
      <w:tr>
        <w:tc>
          <w:tcPr>
            <w:tcW w:w="0" w:type="auto"/>
          </w:tcPr>
          <w:p>
            <w:pPr>
              <w:spacing w:line="240" w:lineRule="auto" w:before="0" w:after="0"/>
              <w:pStyle w:val="Compact"/>
            </w:pPr>
            <w:r>
              <w:rPr>
                <w:sz w:val="20"/>
                <w:szCs w:val="20"/>
              </w:rPr>
              <w:t xml:space="preserve">CoRoT</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exoplanet</w:t>
            </w:r>
          </w:p>
        </w:tc>
        <w:tc>
          <w:tcPr>
            <w:tcW w:w="0" w:type="auto"/>
          </w:tcPr>
          <w:p>
            <w:pPr>
              <w:spacing w:line="240" w:lineRule="auto" w:before="0" w:after="0"/>
              <w:pStyle w:val="Compact"/>
            </w:pPr>
            <w:r>
              <w:rPr>
                <w:sz w:val="20"/>
                <w:szCs w:val="20"/>
              </w:rPr>
              <w:t xml:space="preserve">240</w:t>
            </w:r>
          </w:p>
        </w:tc>
        <w:tc>
          <w:tcPr>
            <w:tcW w:w="0" w:type="auto"/>
          </w:tcPr>
          <w:p>
            <w:pPr>
              <w:spacing w:line="240" w:lineRule="auto" w:before="0" w:after="0"/>
              <w:pStyle w:val="Compact"/>
            </w:pPr>
            <w:r>
              <w:rPr>
                <w:sz w:val="20"/>
                <w:szCs w:val="20"/>
              </w:rPr>
              <w:t xml:space="preserve">Pubs: De Marchi &amp; Parmar 2024, Table 1 (238). Cost: EUR170M (Wikipedia CoRoT citing CNES/ESA), EUR-&gt;USD ~1.26 (2006) and deflator to 2024 USD.</w:t>
            </w:r>
          </w:p>
        </w:tc>
      </w:tr>
      <w:tr>
        <w:tc>
          <w:tcPr>
            <w:tcW w:w="0" w:type="auto"/>
          </w:tcPr>
          <w:p>
            <w:pPr>
              <w:spacing w:line="240" w:lineRule="auto" w:before="0" w:after="0"/>
              <w:pStyle w:val="Compact"/>
            </w:pPr>
            <w:r>
              <w:rPr>
                <w:sz w:val="20"/>
                <w:szCs w:val="20"/>
              </w:rPr>
              <w:t xml:space="preserve">Solar Orbiter</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heliophysics</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Pubs: De Marchi &amp; Parmar 2024, Table 1 (114, partial; launched 2020). Cost: US$1.5B total ESA+NASA (Wikipedia Solar Orbiter), deflator to 2024 USD.</w:t>
            </w:r>
          </w:p>
        </w:tc>
      </w:tr>
      <w:tr>
        <w:tc>
          <w:tcPr>
            <w:tcW w:w="0" w:type="auto"/>
          </w:tcPr>
          <w:p>
            <w:pPr>
              <w:spacing w:line="240" w:lineRule="auto" w:before="0" w:after="0"/>
              <w:pStyle w:val="Compact"/>
            </w:pPr>
            <w:r>
              <w:rPr>
                <w:sz w:val="20"/>
                <w:szCs w:val="20"/>
              </w:rPr>
              <w:t xml:space="preserve">BepiColombo</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inner_planet</w:t>
            </w:r>
          </w:p>
        </w:tc>
        <w:tc>
          <w:tcPr>
            <w:tcW w:w="0" w:type="auto"/>
          </w:tcPr>
          <w:p>
            <w:pPr>
              <w:spacing w:line="240" w:lineRule="auto" w:before="0" w:after="0"/>
              <w:pStyle w:val="Compact"/>
            </w:pPr>
            <w:r>
              <w:rPr>
                <w:sz w:val="20"/>
                <w:szCs w:val="20"/>
              </w:rPr>
              <w:t xml:space="preserve">2200</w:t>
            </w:r>
          </w:p>
        </w:tc>
        <w:tc>
          <w:tcPr>
            <w:tcW w:w="0" w:type="auto"/>
          </w:tcPr>
          <w:p>
            <w:pPr>
              <w:spacing w:line="240" w:lineRule="auto" w:before="0" w:after="0"/>
              <w:pStyle w:val="Compact"/>
            </w:pPr>
            <w:r>
              <w:rPr>
                <w:sz w:val="20"/>
                <w:szCs w:val="20"/>
              </w:rPr>
              <w:t xml:space="preserve">Pubs: De Marchi &amp; Parmar 2024, Table 1 (71, partial; cruise phase). Cost: EUR1.65B / US$1.86B est. 2017 (Wikipedia BepiColombo citing ESA), deflator to 2024 USD.</w:t>
            </w:r>
          </w:p>
        </w:tc>
      </w:tr>
      <w:tr>
        <w:tc>
          <w:tcPr>
            <w:tcW w:w="0" w:type="auto"/>
          </w:tcPr>
          <w:p>
            <w:pPr>
              <w:spacing w:line="240" w:lineRule="auto" w:before="0" w:after="0"/>
              <w:pStyle w:val="Compact"/>
            </w:pPr>
            <w:r>
              <w:rPr>
                <w:sz w:val="20"/>
                <w:szCs w:val="20"/>
              </w:rPr>
              <w:t xml:space="preserve">ExoMars 2016</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inner_planet</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Pubs: De Marchi &amp; Parmar 2024, Table 1 (138). Cost: ExoMars first-phase programme EUR1.5B with Schiaparelli EUR230M (ESA / phys.org 2016, tweaktown 2016); TGO is the orbiter remainder ~EUR1.0B+, EUR-&gt;USD ~1.11 (2016) and deflator to 2024 USD.</w:t>
            </w:r>
          </w:p>
        </w:tc>
      </w:tr>
      <w:tr>
        <w:tc>
          <w:tcPr>
            <w:tcW w:w="0" w:type="auto"/>
          </w:tcPr>
          <w:p>
            <w:pPr>
              <w:spacing w:line="240" w:lineRule="auto" w:before="0" w:after="0"/>
              <w:pStyle w:val="Compact"/>
            </w:pPr>
            <w:r>
              <w:rPr>
                <w:sz w:val="20"/>
                <w:szCs w:val="20"/>
              </w:rPr>
              <w:t xml:space="preserve">Chandrayaan-1</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Pubs: De Marchi &amp; Parmar 2024, Table 2 (164; ESA junior partner). Cost: ISRO mission ~US$80M (ISRO / Wikipedia Chandrayaan-1), deflator to 2024 USD.</w:t>
            </w:r>
          </w:p>
        </w:tc>
      </w:tr>
    </w:tbl>
    <w:bookmarkEnd w:id="215"/>
    <w:bookmarkStart w:id="216"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pubs</w:t>
            </w:r>
          </w:p>
        </w:tc>
        <w:tc>
          <w:tcPr>
            <w:tcW w:w="0" w:type="auto"/>
          </w:tcPr>
          <w:p>
            <w:pPr>
              <w:spacing w:line="240" w:lineRule="auto" w:before="0" w:after="0"/>
              <w:pStyle w:val="Compact"/>
            </w:pPr>
            <w:r>
              <w:rPr>
                <w:sz w:val="20"/>
                <w:szCs w:val="20"/>
              </w:rPr>
              <w:t xml:space="preserve">Total refereed publications attributed to mission i through end of 2021 under a single uniform inclusion criterion (the dependent output measure)</w:t>
            </w:r>
          </w:p>
        </w:tc>
        <w:tc>
          <w:tcPr>
            <w:tcW w:w="0" w:type="auto"/>
          </w:tcPr>
          <w:p>
            <w:pPr>
              <w:spacing w:line="240" w:lineRule="auto" w:before="0" w:after="0"/>
              <w:pStyle w:val="Compact"/>
            </w:pPr>
            <w:r>
              <w:rPr>
                <w:sz w:val="20"/>
                <w:szCs w:val="20"/>
              </w:rPr>
              <w:t xml:space="preserve">De Marchi &amp; Parmar (2024), ESA Mission Publications, Tables 1 and 2; counts assembled from the ESA mission publication libraries backed by the NASA Astrophysics Data System (ADS)</w:t>
            </w:r>
          </w:p>
        </w:tc>
      </w:tr>
      <w:tr>
        <w:tc>
          <w:tcPr>
            <w:tcW w:w="0" w:type="auto"/>
          </w:tcPr>
          <w:p>
            <w:pPr>
              <w:spacing w:line="240" w:lineRule="auto" w:before="0" w:after="0"/>
              <w:pStyle w:val="Compact"/>
            </w:pPr>
            <w:r>
              <w:rPr>
                <w:sz w:val="20"/>
                <w:szCs w:val="20"/>
              </w:rPr>
              <w:t xml:space="preserve">cost_musd_2024</w:t>
            </w:r>
          </w:p>
        </w:tc>
        <w:tc>
          <w:tcPr>
            <w:tcW w:w="0" w:type="auto"/>
          </w:tcPr>
          <w:p>
            <w:pPr>
              <w:spacing w:line="240" w:lineRule="auto" w:before="0" w:after="0"/>
              <w:pStyle w:val="Compact"/>
            </w:pPr>
            <w:r>
              <w:rPr>
                <w:sz w:val="20"/>
                <w:szCs w:val="20"/>
              </w:rPr>
              <w:t xml:space="preserve">Mission lifecycle cost in millions of constant 2024 U.S. dollars (the priced input / regressor)</w:t>
            </w:r>
          </w:p>
        </w:tc>
        <w:tc>
          <w:tcPr>
            <w:tcW w:w="0" w:type="auto"/>
          </w:tcPr>
          <w:p>
            <w:pPr>
              <w:spacing w:line="240" w:lineRule="auto" w:before="0" w:after="0"/>
              <w:pStyle w:val="Compact"/>
            </w:pPr>
            <w:r>
              <w:rPr>
                <w:sz w:val="20"/>
                <w:szCs w:val="20"/>
              </w:rPr>
              <w:t xml:space="preserve">Per-mission published lifecycle cost from NASA, ESA, JAXA/ISRO, or GAO primary sources via mission infoboxes; converted EUR-&gt;USD at the documented launch-era rate and adjusted to constant 2024 USD with a standard GDP deflator</w:t>
            </w:r>
          </w:p>
        </w:tc>
      </w:tr>
      <w:tr>
        <w:tc>
          <w:tcPr>
            <w:tcW w:w="0" w:type="auto"/>
          </w:tcPr>
          <w:p>
            <w:pPr>
              <w:spacing w:line="240" w:lineRule="auto" w:before="0" w:after="0"/>
              <w:pStyle w:val="Compact"/>
            </w:pPr>
            <w:r>
              <w:rPr>
                <w:sz w:val="20"/>
                <w:szCs w:val="20"/>
              </w:rPr>
              <w:t xml:space="preserve">duration_yr</w:t>
            </w:r>
          </w:p>
        </w:tc>
        <w:tc>
          <w:tcPr>
            <w:tcW w:w="0" w:type="auto"/>
          </w:tcPr>
          <w:p>
            <w:pPr>
              <w:spacing w:line="240" w:lineRule="auto" w:before="0" w:after="0"/>
              <w:pStyle w:val="Compact"/>
            </w:pPr>
            <w:r>
              <w:rPr>
                <w:sz w:val="20"/>
                <w:szCs w:val="20"/>
              </w:rPr>
              <w:t xml:space="preserve">Operational duration in years (launch to end of operations; ongoing missions capped at 2021)</w:t>
            </w:r>
          </w:p>
        </w:tc>
        <w:tc>
          <w:tcPr>
            <w:tcW w:w="0" w:type="auto"/>
          </w:tcPr>
          <w:p>
            <w:pPr>
              <w:spacing w:line="240" w:lineRule="auto" w:before="0" w:after="0"/>
              <w:pStyle w:val="Compact"/>
            </w:pPr>
            <w:r>
              <w:rPr>
                <w:sz w:val="20"/>
                <w:szCs w:val="20"/>
              </w:rPr>
              <w:t xml:space="preserve">De Marchi &amp; Parmar (2024)</w:t>
            </w:r>
            <w:r>
              <w:rPr>
                <w:sz w:val="20"/>
                <w:szCs w:val="20"/>
              </w:rPr>
              <w:t xml:space="preserve"> </w:t>
            </w:r>
            <w:r>
              <w:rPr>
                <w:sz w:val="20"/>
                <w:szCs w:val="20"/>
              </w:rPr>
              <w:t xml:space="preserve">‘Operations’</w:t>
            </w:r>
            <w:r>
              <w:rPr>
                <w:sz w:val="20"/>
                <w:szCs w:val="20"/>
              </w:rPr>
              <w:t xml:space="preserve"> </w:t>
            </w:r>
            <w:r>
              <w:rPr>
                <w:sz w:val="20"/>
                <w:szCs w:val="20"/>
              </w:rPr>
              <w:t xml:space="preserve">column, Tables 1 and 2</w:t>
            </w:r>
          </w:p>
        </w:tc>
      </w:tr>
      <w:tr>
        <w:tc>
          <w:tcPr>
            <w:tcW w:w="0" w:type="auto"/>
          </w:tcPr>
          <w:p>
            <w:pPr>
              <w:spacing w:line="240" w:lineRule="auto" w:before="0" w:after="0"/>
              <w:pStyle w:val="Compact"/>
            </w:pPr>
            <w:r>
              <w:rPr>
                <w:sz w:val="20"/>
                <w:szCs w:val="20"/>
              </w:rPr>
              <w:t xml:space="preserve">instruments</w:t>
            </w:r>
          </w:p>
        </w:tc>
        <w:tc>
          <w:tcPr>
            <w:tcW w:w="0" w:type="auto"/>
          </w:tcPr>
          <w:p>
            <w:pPr>
              <w:spacing w:line="240" w:lineRule="auto" w:before="0" w:after="0"/>
              <w:pStyle w:val="Compact"/>
            </w:pPr>
            <w:r>
              <w:rPr>
                <w:sz w:val="20"/>
                <w:szCs w:val="20"/>
              </w:rPr>
              <w:t xml:space="preserve">Count of distinct science instruments in the payload complement (ambition proxy)</w:t>
            </w:r>
          </w:p>
        </w:tc>
        <w:tc>
          <w:tcPr>
            <w:tcW w:w="0" w:type="auto"/>
          </w:tcPr>
          <w:p>
            <w:pPr>
              <w:spacing w:line="240" w:lineRule="auto" w:before="0" w:after="0"/>
              <w:pStyle w:val="Compact"/>
            </w:pPr>
            <w:r>
              <w:rPr>
                <w:sz w:val="20"/>
                <w:szCs w:val="20"/>
              </w:rPr>
              <w:t xml:space="preserve">Mission press kits, ESA/NASA mission pages, and mission-design documentation</w:t>
            </w:r>
          </w:p>
        </w:tc>
      </w:tr>
      <w:tr>
        <w:tc>
          <w:tcPr>
            <w:tcW w:w="0" w:type="auto"/>
          </w:tcPr>
          <w:p>
            <w:pPr>
              <w:spacing w:line="240" w:lineRule="auto" w:before="0" w:after="0"/>
              <w:pStyle w:val="Compact"/>
            </w:pPr>
            <w:r>
              <w:rPr>
                <w:sz w:val="20"/>
                <w:szCs w:val="20"/>
              </w:rPr>
              <w:t xml:space="preserve">target_class</w:t>
            </w:r>
          </w:p>
        </w:tc>
        <w:tc>
          <w:tcPr>
            <w:tcW w:w="0" w:type="auto"/>
          </w:tcPr>
          <w:p>
            <w:pPr>
              <w:spacing w:line="240" w:lineRule="auto" w:before="0" w:after="0"/>
              <w:pStyle w:val="Compact"/>
            </w:pPr>
            <w:r>
              <w:rPr>
                <w:sz w:val="20"/>
                <w:szCs w:val="20"/>
              </w:rPr>
              <w:t xml:space="preserve">Categorical science target (inner_planet, outer_planet, small_body, moon, heliophysics, magnetosphere, astronomy, exoplanet)</w:t>
            </w:r>
          </w:p>
        </w:tc>
        <w:tc>
          <w:tcPr>
            <w:tcW w:w="0" w:type="auto"/>
          </w:tcPr>
          <w:p>
            <w:pPr>
              <w:spacing w:line="240" w:lineRule="auto" w:before="0" w:after="0"/>
              <w:pStyle w:val="Compact"/>
            </w:pPr>
            <w:r>
              <w:rPr>
                <w:sz w:val="20"/>
                <w:szCs w:val="20"/>
              </w:rPr>
              <w:t xml:space="preserve">Mission documentation</w:t>
            </w:r>
          </w:p>
        </w:tc>
      </w:tr>
      <w:t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Mission identifier</w:t>
            </w:r>
          </w:p>
        </w:tc>
        <w:tc>
          <w:tcPr>
            <w:tcW w:w="0" w:type="auto"/>
          </w:tcPr>
          <w:p>
            <w:pPr>
              <w:spacing w:line="240" w:lineRule="auto" w:before="0" w:after="0"/>
              <w:pStyle w:val="Compact"/>
            </w:pPr>
            <w:r>
              <w:rPr>
                <w:sz w:val="20"/>
                <w:szCs w:val="20"/>
              </w:rPr>
              <w:t xml:space="preserve">Author-assigned label keyed to the source</w:t>
            </w:r>
          </w:p>
        </w:tc>
      </w:tr>
    </w:tbl>
    <w:bookmarkEnd w:id="216"/>
    <w:bookmarkEnd w:id="217"/>
    <w:bookmarkStart w:id="225" w:name="X7ed189062d12473e6adcc524fd9468b4ee2ada5"/>
    <w:p>
      <w:pPr>
        <w:pStyle w:val="Heading2"/>
        <w:spacing w:line="480" w:lineRule="auto"/>
      </w:pPr>
      <w:r>
        <w:t xml:space="preserve">A.2 Cost, Complexity, and the Hazard of Schedule Slip: A Proportional-Hazards Model of NASA Planetary and Major Science Missions</w:t>
      </w:r>
    </w:p>
    <w:p>
      <w:pPr>
        <w:pStyle w:val="FirstParagraph"/>
        <w:spacing w:line="480" w:lineRule="auto"/>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rPr>
                  <m:sty m:val="p"/>
                </m:rPr>
                <m:t>ln</m:t>
              </m:r>
              <m:r>
                <m:rPr>
                  <m:sty m:val="p"/>
                </m:rPr>
                <m:t>(</m:t>
              </m:r>
              <m:r>
                <m:rPr>
                  <m:nor/>
                  <m:sty m:val="p"/>
                </m:rPr>
                <m:t>cost</m:t>
              </m:r>
              <m:r>
                <m:rPr>
                  <m:sty m:val="p"/>
                </m:rPr>
                <m:t>)</m:t>
              </m:r>
              <m:r>
                <m:rPr>
                  <m:sty m:val="p"/>
                </m:rPr>
                <m:t>+</m:t>
              </m:r>
              <m:sSub>
                <m:e>
                  <m:r>
                    <m:t>β</m:t>
                  </m:r>
                </m:e>
                <m:sub>
                  <m:r>
                    <m:t>2</m:t>
                  </m:r>
                </m:sub>
              </m:sSub>
              <m:r>
                <m:t> </m:t>
              </m:r>
              <m:r>
                <m:rPr>
                  <m:nor/>
                  <m:sty m:val="p"/>
                </m:rPr>
                <m:t>instruments</m:t>
              </m:r>
            </m:e>
          </m:d>
        </m:oMath>
      </m:oMathPara>
    </w:p>
    <w:bookmarkStart w:id="218"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ln_cost</w:t>
            </w:r>
          </w:p>
        </w:tc>
        <w:tc>
          <w:tcPr>
            <w:tcW w:w="0" w:type="auto"/>
          </w:tcPr>
          <w:p>
            <w:pPr>
              <w:spacing w:line="240" w:lineRule="auto" w:before="0" w:after="0"/>
              <w:pStyle w:val="Compact"/>
            </w:pPr>
            <w:r>
              <w:rPr>
                <w:sz w:val="20"/>
                <w:szCs w:val="20"/>
              </w:rPr>
              <w:t xml:space="preserve">-1.4964</w:t>
            </w:r>
          </w:p>
        </w:tc>
        <w:tc>
          <w:tcPr>
            <w:tcW w:w="0" w:type="auto"/>
          </w:tcPr>
          <w:p>
            <w:pPr>
              <w:spacing w:line="240" w:lineRule="auto" w:before="0" w:after="0"/>
              <w:pStyle w:val="Compact"/>
            </w:pPr>
            <w:r>
              <w:rPr>
                <w:sz w:val="20"/>
                <w:szCs w:val="20"/>
              </w:rPr>
              <w:t xml:space="preserve">0.9935</w:t>
            </w:r>
          </w:p>
        </w:tc>
        <w:tc>
          <w:tcPr>
            <w:tcW w:w="0" w:type="auto"/>
          </w:tcPr>
          <w:p>
            <w:pPr>
              <w:spacing w:line="240" w:lineRule="auto" w:before="0" w:after="0"/>
              <w:pStyle w:val="Compact"/>
            </w:pPr>
            <w:r>
              <w:rPr>
                <w:sz w:val="20"/>
                <w:szCs w:val="20"/>
              </w:rPr>
              <w:t xml:space="preserve">-1.5062</w:t>
            </w:r>
          </w:p>
        </w:tc>
        <w:tc>
          <w:tcPr>
            <w:tcW w:w="0" w:type="auto"/>
          </w:tcPr>
          <w:p>
            <w:pPr>
              <w:spacing w:line="240" w:lineRule="auto" w:before="0" w:after="0"/>
              <w:pStyle w:val="Compact"/>
            </w:pPr>
            <w:r>
              <w:rPr>
                <w:sz w:val="20"/>
                <w:szCs w:val="20"/>
              </w:rPr>
              <w:t xml:space="preserve">0.132</w:t>
            </w:r>
          </w:p>
        </w:tc>
        <w:tc>
          <w:tcPr>
            <w:tcW w:w="0" w:type="auto"/>
          </w:tcPr>
          <w:p>
            <w:pPr>
              <w:spacing w:line="240" w:lineRule="auto" w:before="0" w:after="0"/>
              <w:pStyle w:val="Compact"/>
            </w:pPr>
            <w:r>
              <w:rPr>
                <w:sz w:val="20"/>
                <w:szCs w:val="20"/>
              </w:rPr>
              <w:t xml:space="preserve">[-3.4435, 0.4508]</w:t>
            </w:r>
          </w:p>
        </w:tc>
        <w:tc>
          <w:tcPr>
            <w:tcW w:w="0" w:type="auto"/>
          </w:tcPr>
          <w:p>
            <w:pPr>
              <w:spacing w:line="240" w:lineRule="auto" w:before="0" w:after="0"/>
              <w:pStyle w:val="Compact"/>
            </w:pPr>
            <w:r>
              <w:rPr>
                <w:sz w:val="20"/>
                <w:szCs w:val="20"/>
              </w:rPr>
              <w:t xml:space="preserve">0.2239</w:t>
            </w:r>
          </w:p>
        </w:tc>
      </w:tr>
      <w:tr>
        <w:tc>
          <w:tcPr>
            <w:tcW w:w="0" w:type="auto"/>
          </w:tcPr>
          <w:p>
            <w:pPr>
              <w:spacing w:line="240" w:lineRule="auto" w:before="0" w:after="0"/>
              <w:pStyle w:val="Compact"/>
            </w:pPr>
            <w:r>
              <w:rPr>
                <w:sz w:val="20"/>
                <w:szCs w:val="20"/>
              </w:rPr>
              <w:t xml:space="preserve">instruments</w:t>
            </w:r>
          </w:p>
        </w:tc>
        <w:tc>
          <w:tcPr>
            <w:tcW w:w="0" w:type="auto"/>
          </w:tcPr>
          <w:p>
            <w:pPr>
              <w:spacing w:line="240" w:lineRule="auto" w:before="0" w:after="0"/>
              <w:pStyle w:val="Compact"/>
            </w:pPr>
            <w:r>
              <w:rPr>
                <w:sz w:val="20"/>
                <w:szCs w:val="20"/>
              </w:rPr>
              <w:t xml:space="preserve">-0.0308</w:t>
            </w:r>
          </w:p>
        </w:tc>
        <w:tc>
          <w:tcPr>
            <w:tcW w:w="0" w:type="auto"/>
          </w:tcPr>
          <w:p>
            <w:pPr>
              <w:spacing w:line="240" w:lineRule="auto" w:before="0" w:after="0"/>
              <w:pStyle w:val="Compact"/>
            </w:pPr>
            <w:r>
              <w:rPr>
                <w:sz w:val="20"/>
                <w:szCs w:val="20"/>
              </w:rPr>
              <w:t xml:space="preserve">0.1529</w:t>
            </w:r>
          </w:p>
        </w:tc>
        <w:tc>
          <w:tcPr>
            <w:tcW w:w="0" w:type="auto"/>
          </w:tcPr>
          <w:p>
            <w:pPr>
              <w:spacing w:line="240" w:lineRule="auto" w:before="0" w:after="0"/>
              <w:pStyle w:val="Compact"/>
            </w:pPr>
            <w:r>
              <w:rPr>
                <w:sz w:val="20"/>
                <w:szCs w:val="20"/>
              </w:rPr>
              <w:t xml:space="preserve">-0.2016</w:t>
            </w:r>
          </w:p>
        </w:tc>
        <w:tc>
          <w:tcPr>
            <w:tcW w:w="0" w:type="auto"/>
          </w:tcPr>
          <w:p>
            <w:pPr>
              <w:spacing w:line="240" w:lineRule="auto" w:before="0" w:after="0"/>
              <w:pStyle w:val="Compact"/>
            </w:pPr>
            <w:r>
              <w:rPr>
                <w:sz w:val="20"/>
                <w:szCs w:val="20"/>
              </w:rPr>
              <w:t xml:space="preserve">0.8402</w:t>
            </w:r>
          </w:p>
        </w:tc>
        <w:tc>
          <w:tcPr>
            <w:tcW w:w="0" w:type="auto"/>
          </w:tcPr>
          <w:p>
            <w:pPr>
              <w:spacing w:line="240" w:lineRule="auto" w:before="0" w:after="0"/>
              <w:pStyle w:val="Compact"/>
            </w:pPr>
            <w:r>
              <w:rPr>
                <w:sz w:val="20"/>
                <w:szCs w:val="20"/>
              </w:rPr>
              <w:t xml:space="preserve">[-0.3305, 0.2689]</w:t>
            </w:r>
          </w:p>
        </w:tc>
        <w:tc>
          <w:tcPr>
            <w:tcW w:w="0" w:type="auto"/>
          </w:tcPr>
          <w:p>
            <w:pPr>
              <w:spacing w:line="240" w:lineRule="auto" w:before="0" w:after="0"/>
              <w:pStyle w:val="Compact"/>
            </w:pPr>
            <w:r>
              <w:rPr>
                <w:sz w:val="20"/>
                <w:szCs w:val="20"/>
              </w:rPr>
              <w:t xml:space="preserve">0.9696</w:t>
            </w:r>
          </w:p>
        </w:tc>
      </w:tr>
    </w:tbl>
    <w:p>
      <w:pPr>
        <w:pStyle w:val="BodyText"/>
        <w:spacing w:line="480" w:lineRule="auto"/>
        <w:ind w:firstLine="720"/>
      </w:pPr>
      <w:r>
        <w:t xml:space="preserve">Fit: N = 22 events = 7</w:t>
      </w:r>
    </w:p>
    <w:bookmarkEnd w:id="218"/>
    <w:bookmarkStart w:id="222"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Development schedule length against log development cost for 22 NASA planetary and major science missions; the proportional-hazards model estimates the cost and complexity covariates of the slip hazard." title="" id="220" name="Picture"/>
            <a:graphic>
              <a:graphicData uri="http://schemas.openxmlformats.org/drawingml/2006/picture">
                <pic:pic>
                  <pic:nvPicPr>
                    <pic:cNvPr descr="D:/Claude_Code/brain/collegium/candidates/dissertations/JPL_PLANETARY_02/research_papers/p2/paper_fig1.png" id="221" name="Picture"/>
                    <pic:cNvPicPr>
                      <a:picLocks noChangeArrowheads="1" noChangeAspect="1"/>
                    </pic:cNvPicPr>
                  </pic:nvPicPr>
                  <pic:blipFill>
                    <a:blip r:embed="rId21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Development schedule length against log development cost for 22 NASA planetary and major science missions; the proportional-hazards model estimates the cost and complexity covariates of the slip hazard.</w:t>
      </w:r>
    </w:p>
    <w:bookmarkEnd w:id="222"/>
    <w:bookmarkStart w:id="223"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confirm_year</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dev_months</w:t>
            </w:r>
          </w:p>
        </w:tc>
        <w:tc>
          <w:tcPr>
            <w:tcW w:w="0" w:type="auto"/>
          </w:tcPr>
          <w:p>
            <w:pPr>
              <w:spacing w:line="240" w:lineRule="auto" w:before="0" w:after="0"/>
              <w:pStyle w:val="Compact"/>
            </w:pPr>
            <w:r>
              <w:rPr>
                <w:sz w:val="20"/>
                <w:szCs w:val="20"/>
              </w:rPr>
              <w:t xml:space="preserve">cost_musd</w:t>
            </w:r>
          </w:p>
        </w:tc>
        <w:tc>
          <w:tcPr>
            <w:tcW w:w="0" w:type="auto"/>
          </w:tcPr>
          <w:p>
            <w:pPr>
              <w:spacing w:line="240" w:lineRule="auto" w:before="0" w:after="0"/>
              <w:pStyle w:val="Compact"/>
            </w:pPr>
            <w:r>
              <w:rPr>
                <w:sz w:val="20"/>
                <w:szCs w:val="20"/>
              </w:rPr>
              <w:t xml:space="preserve">ln_cost</w:t>
            </w:r>
          </w:p>
        </w:tc>
        <w:tc>
          <w:tcPr>
            <w:tcW w:w="0" w:type="auto"/>
          </w:tcPr>
          <w:p>
            <w:pPr>
              <w:spacing w:line="240" w:lineRule="auto" w:before="0" w:after="0"/>
              <w:pStyle w:val="Compact"/>
            </w:pPr>
            <w:r>
              <w:rPr>
                <w:sz w:val="20"/>
                <w:szCs w:val="20"/>
              </w:rPr>
              <w:t xml:space="preserve">instruments</w:t>
            </w:r>
          </w:p>
        </w:tc>
        <w:tc>
          <w:tcPr>
            <w:tcW w:w="0" w:type="auto"/>
          </w:tcPr>
          <w:p>
            <w:pPr>
              <w:spacing w:line="240" w:lineRule="auto" w:before="0" w:after="0"/>
              <w:pStyle w:val="Compact"/>
            </w:pPr>
            <w:r>
              <w:rPr>
                <w:sz w:val="20"/>
                <w:szCs w:val="20"/>
              </w:rPr>
              <w:t xml:space="preserve">slip</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7.0901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Psyche press kit and Wikipedia: selected Jan 2017, planned launch 2022 slipped to launched 13 Oct 2023; ~US$1.2B; 4 instruments (gao-25-107591 tracks Psyche)</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8.5172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Europa Clipper / NASA Science: KDP-C ~2015, launched 14 Oct 2024 within baselined Oct 2024 window (weather shifts only); ~US$5.0B; 9 instruments</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2750</w:t>
            </w:r>
          </w:p>
        </w:tc>
        <w:tc>
          <w:tcPr>
            <w:tcW w:w="0" w:type="auto"/>
          </w:tcPr>
          <w:p>
            <w:pPr>
              <w:spacing w:line="240" w:lineRule="auto" w:before="0" w:after="0"/>
              <w:pStyle w:val="Compact"/>
            </w:pPr>
            <w:r>
              <w:rPr>
                <w:sz w:val="20"/>
                <w:szCs w:val="20"/>
              </w:rPr>
              <w:t xml:space="preserve">7.9194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Perseverance: planned and launched July 2020; ~US$2.75B; 7 primary instruments</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6.6846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OSIRIS-REx: selected May 2011, planned 2016 and launched 8 Sep 2016; ~US$800M dev; 6 instruments</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830</w:t>
            </w:r>
          </w:p>
        </w:tc>
        <w:tc>
          <w:tcPr>
            <w:tcW w:w="0" w:type="auto"/>
          </w:tcPr>
          <w:p>
            <w:pPr>
              <w:spacing w:line="240" w:lineRule="auto" w:before="0" w:after="0"/>
              <w:pStyle w:val="Compact"/>
            </w:pPr>
            <w:r>
              <w:rPr>
                <w:sz w:val="20"/>
                <w:szCs w:val="20"/>
              </w:rPr>
              <w:t xml:space="preserve">6.7214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InSight: selected Aug 2012, planned Mar 2016 slipped to launched 5 May 2018 (SEIS leak); US$830M; 4 instruments</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981</w:t>
            </w:r>
          </w:p>
        </w:tc>
        <w:tc>
          <w:tcPr>
            <w:tcW w:w="0" w:type="auto"/>
          </w:tcPr>
          <w:p>
            <w:pPr>
              <w:spacing w:line="240" w:lineRule="auto" w:before="0" w:after="0"/>
              <w:pStyle w:val="Compact"/>
            </w:pPr>
            <w:r>
              <w:rPr>
                <w:sz w:val="20"/>
                <w:szCs w:val="20"/>
              </w:rPr>
              <w:t xml:space="preserve">6.8885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Lucy: selected Jan 2017, planned and launched Oct 2021; US$981M; 3 instruments</w:t>
            </w:r>
          </w:p>
        </w:tc>
      </w:tr>
      <w:tr>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2470</w:t>
            </w:r>
          </w:p>
        </w:tc>
        <w:tc>
          <w:tcPr>
            <w:tcW w:w="0" w:type="auto"/>
          </w:tcPr>
          <w:p>
            <w:pPr>
              <w:spacing w:line="240" w:lineRule="auto" w:before="0" w:after="0"/>
              <w:pStyle w:val="Compact"/>
            </w:pPr>
            <w:r>
              <w:rPr>
                <w:sz w:val="20"/>
                <w:szCs w:val="20"/>
              </w:rPr>
              <w:t xml:space="preserve">7.812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Mars Science Laboratory: planned 2009 slipped to launched 26 Nov 2011; US$2.47B dev; ~10 science instruments</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582.5</w:t>
            </w:r>
          </w:p>
        </w:tc>
        <w:tc>
          <w:tcPr>
            <w:tcW w:w="0" w:type="auto"/>
          </w:tcPr>
          <w:p>
            <w:pPr>
              <w:spacing w:line="240" w:lineRule="auto" w:before="0" w:after="0"/>
              <w:pStyle w:val="Compact"/>
            </w:pPr>
            <w:r>
              <w:rPr>
                <w:sz w:val="20"/>
                <w:szCs w:val="20"/>
              </w:rPr>
              <w:t xml:space="preserve">6.3673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MAVEN: selected 2010, launched on schedule 18 Nov 2013; US$582.5M; 8 instrument suites</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7.0031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Juno: selected 1 Jun 2005, planned and launched Aug 2011; ~US$1.1B development; 9 instruments</w:t>
            </w:r>
          </w:p>
        </w:tc>
      </w:tr>
      <w:tr>
        <w:tc>
          <w:tcPr>
            <w:tcW w:w="0" w:type="auto"/>
          </w:tcPr>
          <w:p>
            <w:pPr>
              <w:spacing w:line="240" w:lineRule="auto" w:before="0" w:after="0"/>
              <w:pStyle w:val="Compact"/>
            </w:pPr>
            <w:r>
              <w:rPr>
                <w:sz w:val="20"/>
                <w:szCs w:val="20"/>
              </w:rPr>
              <w:t xml:space="preserve">New Horizons</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6.5511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New Horizons: selected Nov 2001, planned and launched 19 Jan 2006; ~US$700M; 7 instruments</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330</w:t>
            </w:r>
          </w:p>
        </w:tc>
        <w:tc>
          <w:tcPr>
            <w:tcW w:w="0" w:type="auto"/>
          </w:tcPr>
          <w:p>
            <w:pPr>
              <w:spacing w:line="240" w:lineRule="auto" w:before="0" w:after="0"/>
              <w:pStyle w:val="Compact"/>
            </w:pPr>
            <w:r>
              <w:rPr>
                <w:sz w:val="20"/>
                <w:szCs w:val="20"/>
              </w:rPr>
              <w:t xml:space="preserve">5.7991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DART: Phase C Jun 2017, launched 24 Nov 2021 on Nov-2021 plan; US$330M; 2 imaging instruments (DRACO+LICIACube)</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161</w:t>
            </w:r>
          </w:p>
        </w:tc>
        <w:tc>
          <w:tcPr>
            <w:tcW w:w="0" w:type="auto"/>
          </w:tcPr>
          <w:p>
            <w:pPr>
              <w:spacing w:line="240" w:lineRule="auto" w:before="0" w:after="0"/>
              <w:pStyle w:val="Compact"/>
            </w:pPr>
            <w:r>
              <w:rPr>
                <w:sz w:val="20"/>
                <w:szCs w:val="20"/>
              </w:rPr>
              <w:t xml:space="preserve">9700</w:t>
            </w:r>
          </w:p>
        </w:tc>
        <w:tc>
          <w:tcPr>
            <w:tcW w:w="0" w:type="auto"/>
          </w:tcPr>
          <w:p>
            <w:pPr>
              <w:spacing w:line="240" w:lineRule="auto" w:before="0" w:after="0"/>
              <w:pStyle w:val="Compact"/>
            </w:pPr>
            <w:r>
              <w:rPr>
                <w:sz w:val="20"/>
                <w:szCs w:val="20"/>
              </w:rPr>
              <w:t xml:space="preserve">9.1799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JWST: confirmed for construction 2008, planned 2007/2018 slipped to launched 25 Dec 2021; ~US$9.7B; 4 instruments</w:t>
            </w:r>
          </w:p>
        </w:tc>
      </w:tr>
      <w:tr>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7.3132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Parker Solar Probe: confirmation ~2014, launched 12 Aug 2018 on 2018 plan; US$1.5B; 4 instruments</w:t>
            </w:r>
          </w:p>
        </w:tc>
      </w:tr>
      <w:tr>
        <w:tc>
          <w:tcPr>
            <w:tcW w:w="0" w:type="auto"/>
          </w:tcPr>
          <w:p>
            <w:pPr>
              <w:spacing w:line="240" w:lineRule="auto" w:before="0" w:after="0"/>
              <w:pStyle w:val="Compact"/>
            </w:pPr>
            <w:r>
              <w:rPr>
                <w:sz w:val="20"/>
                <w:szCs w:val="20"/>
              </w:rPr>
              <w:t xml:space="preserve">Mars Reconnaissance Orbiter</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716.6</w:t>
            </w:r>
          </w:p>
        </w:tc>
        <w:tc>
          <w:tcPr>
            <w:tcW w:w="0" w:type="auto"/>
          </w:tcPr>
          <w:p>
            <w:pPr>
              <w:spacing w:line="240" w:lineRule="auto" w:before="0" w:after="0"/>
              <w:pStyle w:val="Compact"/>
            </w:pPr>
            <w:r>
              <w:rPr>
                <w:sz w:val="20"/>
                <w:szCs w:val="20"/>
              </w:rPr>
              <w:t xml:space="preserve">6.5746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MRO: Lockheed selected Oct 2001, launched 12 Aug 2005 on 2005 plan; US$716.6M; 6 instruments</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496</w:t>
            </w:r>
          </w:p>
        </w:tc>
        <w:tc>
          <w:tcPr>
            <w:tcW w:w="0" w:type="auto"/>
          </w:tcPr>
          <w:p>
            <w:pPr>
              <w:spacing w:line="240" w:lineRule="auto" w:before="0" w:after="0"/>
              <w:pStyle w:val="Compact"/>
            </w:pPr>
            <w:r>
              <w:rPr>
                <w:sz w:val="20"/>
                <w:szCs w:val="20"/>
              </w:rPr>
              <w:t xml:space="preserve">6.2066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GRAIL: selected Dec 2007 Discovery, launched 10 Sep 2011 on Sep-2011 plan; US$496M; 3 instruments</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446</w:t>
            </w:r>
          </w:p>
        </w:tc>
        <w:tc>
          <w:tcPr>
            <w:tcW w:w="0" w:type="auto"/>
          </w:tcPr>
          <w:p>
            <w:pPr>
              <w:spacing w:line="240" w:lineRule="auto" w:before="0" w:after="0"/>
              <w:pStyle w:val="Compact"/>
            </w:pPr>
            <w:r>
              <w:rPr>
                <w:sz w:val="20"/>
                <w:szCs w:val="20"/>
              </w:rPr>
              <w:t xml:space="preserve">6.1003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Dawn: selected 2001 planned 2006, reinstated 2004, slipped to launched 27 Sep 2007; US$446M final; 3 instruments</w:t>
            </w:r>
          </w:p>
        </w:tc>
      </w:tr>
      <w:tr>
        <w:tc>
          <w:tcPr>
            <w:tcW w:w="0" w:type="auto"/>
          </w:tcPr>
          <w:p>
            <w:pPr>
              <w:spacing w:line="240" w:lineRule="auto" w:before="0" w:after="0"/>
              <w:pStyle w:val="Compact"/>
            </w:pPr>
            <w:r>
              <w:rPr>
                <w:sz w:val="20"/>
                <w:szCs w:val="20"/>
              </w:rPr>
              <w:t xml:space="preserve">Cassini</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2600</w:t>
            </w:r>
          </w:p>
        </w:tc>
        <w:tc>
          <w:tcPr>
            <w:tcW w:w="0" w:type="auto"/>
          </w:tcPr>
          <w:p>
            <w:pPr>
              <w:spacing w:line="240" w:lineRule="auto" w:before="0" w:after="0"/>
              <w:pStyle w:val="Compact"/>
            </w:pPr>
            <w:r>
              <w:rPr>
                <w:sz w:val="20"/>
                <w:szCs w:val="20"/>
              </w:rPr>
              <w:t xml:space="preserve">7.8633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Cassini-Huygens: US development ~1990, launched 15 Oct 1997 on Oct-1997 plan; US$2.6B US share; 12 orbiter instruments</w:t>
            </w:r>
          </w:p>
        </w:tc>
      </w:tr>
      <w:tr>
        <w:tc>
          <w:tcPr>
            <w:tcW w:w="0" w:type="auto"/>
          </w:tcPr>
          <w:p>
            <w:pPr>
              <w:spacing w:line="240" w:lineRule="auto" w:before="0" w:after="0"/>
              <w:pStyle w:val="Compact"/>
            </w:pPr>
            <w:r>
              <w:rPr>
                <w:sz w:val="20"/>
                <w:szCs w:val="20"/>
              </w:rPr>
              <w:t xml:space="preserve">Mars Phoenix</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6.0403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Phoenix: CDR/confirm Jun 2005, launched 4 Aug 2007 on 2007 plan; ~US$420M; 6 instruments</w:t>
            </w:r>
          </w:p>
        </w:tc>
      </w:tr>
      <w:tr>
        <w:tc>
          <w:tcPr>
            <w:tcW w:w="0" w:type="auto"/>
          </w:tcPr>
          <w:p>
            <w:pPr>
              <w:spacing w:line="240" w:lineRule="auto" w:before="0" w:after="0"/>
              <w:pStyle w:val="Compact"/>
            </w:pPr>
            <w:r>
              <w:rPr>
                <w:sz w:val="20"/>
                <w:szCs w:val="20"/>
              </w:rPr>
              <w:t xml:space="preserve">Galileo</w:t>
            </w:r>
          </w:p>
        </w:tc>
        <w:tc>
          <w:tcPr>
            <w:tcW w:w="0" w:type="auto"/>
          </w:tcPr>
          <w:p>
            <w:pPr>
              <w:spacing w:line="240" w:lineRule="auto" w:before="0" w:after="0"/>
              <w:pStyle w:val="Compact"/>
            </w:pPr>
            <w:r>
              <w:rPr>
                <w:sz w:val="20"/>
                <w:szCs w:val="20"/>
              </w:rPr>
              <w:t xml:space="preserve">1983</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1390</w:t>
            </w:r>
          </w:p>
        </w:tc>
        <w:tc>
          <w:tcPr>
            <w:tcW w:w="0" w:type="auto"/>
          </w:tcPr>
          <w:p>
            <w:pPr>
              <w:spacing w:line="240" w:lineRule="auto" w:before="0" w:after="0"/>
              <w:pStyle w:val="Compact"/>
            </w:pPr>
            <w:r>
              <w:rPr>
                <w:sz w:val="20"/>
                <w:szCs w:val="20"/>
              </w:rPr>
              <w:t xml:space="preserve">7.2371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Galileo: Phase C early 1980s, planned May 1986 slipped (Challenger) to launched 18 Oct 1989; ~US$1.39B [illustrative cost]; 11 orbiter instruments</w:t>
            </w:r>
          </w:p>
        </w:tc>
      </w:tr>
      <w:tr>
        <w:tc>
          <w:tcPr>
            <w:tcW w:w="0" w:type="auto"/>
          </w:tcPr>
          <w:p>
            <w:pPr>
              <w:spacing w:line="240" w:lineRule="auto" w:before="0" w:after="0"/>
              <w:pStyle w:val="Compact"/>
            </w:pPr>
            <w:r>
              <w:rPr>
                <w:sz w:val="20"/>
                <w:szCs w:val="20"/>
              </w:rPr>
              <w:t xml:space="preserve">Spitzer</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776</w:t>
            </w:r>
          </w:p>
        </w:tc>
        <w:tc>
          <w:tcPr>
            <w:tcW w:w="0" w:type="auto"/>
          </w:tcPr>
          <w:p>
            <w:pPr>
              <w:spacing w:line="240" w:lineRule="auto" w:before="0" w:after="0"/>
              <w:pStyle w:val="Compact"/>
            </w:pPr>
            <w:r>
              <w:rPr>
                <w:sz w:val="20"/>
                <w:szCs w:val="20"/>
              </w:rPr>
              <w:t xml:space="preserve">6.6542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Spitzer (SIRTF): restructured/confirmed ~1998, launched 25 Aug 2003 on revised baseline; US$776M; 3 instruments</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7.0901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SWOT / space.com: Phase C ~2016, contracted Apr 2021 launch slipped to launched 16 Dec 2022; ~US$1.2B [illustrative cost]; 6 instruments</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430</w:t>
            </w:r>
          </w:p>
        </w:tc>
        <w:tc>
          <w:tcPr>
            <w:tcW w:w="0" w:type="auto"/>
          </w:tcPr>
          <w:p>
            <w:pPr>
              <w:spacing w:line="240" w:lineRule="auto" w:before="0" w:after="0"/>
              <w:pStyle w:val="Compact"/>
            </w:pPr>
            <w:r>
              <w:rPr>
                <w:sz w:val="20"/>
                <w:szCs w:val="20"/>
              </w:rPr>
              <w:t xml:space="preserve">6.0638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GRACE-FO: confirmation ~2013, launched 22 May 2018; ~US$430M NASA [illustrative cost]; 5 measurement systems</w:t>
            </w:r>
          </w:p>
        </w:tc>
      </w:tr>
    </w:tbl>
    <w:bookmarkEnd w:id="223"/>
    <w:bookmarkStart w:id="224"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dev_months</w:t>
            </w:r>
          </w:p>
        </w:tc>
        <w:tc>
          <w:tcPr>
            <w:tcW w:w="0" w:type="auto"/>
          </w:tcPr>
          <w:p>
            <w:pPr>
              <w:spacing w:line="240" w:lineRule="auto" w:before="0" w:after="0"/>
              <w:pStyle w:val="Compact"/>
            </w:pPr>
            <w:r>
              <w:rPr>
                <w:sz w:val="20"/>
                <w:szCs w:val="20"/>
              </w:rPr>
              <w:t xml:space="preserve">Development schedule length in months, from mission confirmation/selection to actual launch</w:t>
            </w:r>
          </w:p>
        </w:tc>
        <w:tc>
          <w:tcPr>
            <w:tcW w:w="0" w:type="auto"/>
          </w:tcPr>
          <w:p>
            <w:pPr>
              <w:spacing w:line="240" w:lineRule="auto" w:before="0" w:after="0"/>
              <w:pStyle w:val="Compact"/>
            </w:pPr>
            <w:r>
              <w:rPr>
                <w:sz w:val="20"/>
                <w:szCs w:val="20"/>
              </w:rPr>
              <w:t xml:space="preserve">Computed from confirmation/selection year and actual launch month/year documented per mission (NASA/JPL press kits; Wikipedia mission pages, sourced)</w:t>
            </w:r>
          </w:p>
        </w:tc>
      </w:tr>
      <w:tr>
        <w:tc>
          <w:tcPr>
            <w:tcW w:w="0" w:type="auto"/>
          </w:tcPr>
          <w:p>
            <w:pPr>
              <w:spacing w:line="240" w:lineRule="auto" w:before="0" w:after="0"/>
              <w:pStyle w:val="Compact"/>
            </w:pPr>
            <w:r>
              <w:rPr>
                <w:sz w:val="20"/>
                <w:szCs w:val="20"/>
              </w:rPr>
              <w:t xml:space="preserve">slip</w:t>
            </w:r>
          </w:p>
        </w:tc>
        <w:tc>
          <w:tcPr>
            <w:tcW w:w="0" w:type="auto"/>
          </w:tcPr>
          <w:p>
            <w:pPr>
              <w:spacing w:line="240" w:lineRule="auto" w:before="0" w:after="0"/>
              <w:pStyle w:val="Compact"/>
            </w:pPr>
            <w:r>
              <w:rPr>
                <w:sz w:val="20"/>
                <w:szCs w:val="20"/>
              </w:rPr>
              <w:t xml:space="preserve">Event indicator: 1 if the mission’s launch slipped beyond its originally baselined launch date or window; 0 if launched on the baseline (right-censored)</w:t>
            </w:r>
          </w:p>
        </w:tc>
        <w:tc>
          <w:tcPr>
            <w:tcW w:w="0" w:type="auto"/>
          </w:tcPr>
          <w:p>
            <w:pPr>
              <w:spacing w:line="240" w:lineRule="auto" w:before="0" w:after="0"/>
              <w:pStyle w:val="Compact"/>
            </w:pPr>
            <w:r>
              <w:rPr>
                <w:sz w:val="20"/>
                <w:szCs w:val="20"/>
              </w:rPr>
              <w:t xml:space="preserve">Coded from documented planned-versus-actual launch records per mission</w:t>
            </w:r>
          </w:p>
        </w:tc>
      </w:tr>
      <w:tr>
        <w:tc>
          <w:tcPr>
            <w:tcW w:w="0" w:type="auto"/>
          </w:tcPr>
          <w:p>
            <w:pPr>
              <w:spacing w:line="240" w:lineRule="auto" w:before="0" w:after="0"/>
              <w:pStyle w:val="Compact"/>
            </w:pPr>
            <w:r>
              <w:rPr>
                <w:sz w:val="20"/>
                <w:szCs w:val="20"/>
              </w:rPr>
              <w:t xml:space="preserve">ln_cost</w:t>
            </w:r>
          </w:p>
        </w:tc>
        <w:tc>
          <w:tcPr>
            <w:tcW w:w="0" w:type="auto"/>
          </w:tcPr>
          <w:p>
            <w:pPr>
              <w:spacing w:line="240" w:lineRule="auto" w:before="0" w:after="0"/>
              <w:pStyle w:val="Compact"/>
            </w:pPr>
            <w:r>
              <w:rPr>
                <w:sz w:val="20"/>
                <w:szCs w:val="20"/>
              </w:rPr>
              <w:t xml:space="preserve">Natural log of development/lifecycle cost in millions of current USD</w:t>
            </w:r>
          </w:p>
        </w:tc>
        <w:tc>
          <w:tcPr>
            <w:tcW w:w="0" w:type="auto"/>
          </w:tcPr>
          <w:p>
            <w:pPr>
              <w:spacing w:line="240" w:lineRule="auto" w:before="0" w:after="0"/>
              <w:pStyle w:val="Compact"/>
            </w:pPr>
            <w:r>
              <w:rPr>
                <w:sz w:val="20"/>
                <w:szCs w:val="20"/>
              </w:rPr>
              <w:t xml:space="preserve">Per-mission cost figures from NASA/JPL press kits and mission documentation; three approximate figures marked [illustrative]</w:t>
            </w:r>
          </w:p>
        </w:tc>
      </w:tr>
      <w:tr>
        <w:tc>
          <w:tcPr>
            <w:tcW w:w="0" w:type="auto"/>
          </w:tcPr>
          <w:p>
            <w:pPr>
              <w:spacing w:line="240" w:lineRule="auto" w:before="0" w:after="0"/>
              <w:pStyle w:val="Compact"/>
            </w:pPr>
            <w:r>
              <w:rPr>
                <w:sz w:val="20"/>
                <w:szCs w:val="20"/>
              </w:rPr>
              <w:t xml:space="preserve">instruments</w:t>
            </w:r>
          </w:p>
        </w:tc>
        <w:tc>
          <w:tcPr>
            <w:tcW w:w="0" w:type="auto"/>
          </w:tcPr>
          <w:p>
            <w:pPr>
              <w:spacing w:line="240" w:lineRule="auto" w:before="0" w:after="0"/>
              <w:pStyle w:val="Compact"/>
            </w:pPr>
            <w:r>
              <w:rPr>
                <w:sz w:val="20"/>
                <w:szCs w:val="20"/>
              </w:rPr>
              <w:t xml:space="preserve">Count of primary science instruments in the payload complement</w:t>
            </w:r>
          </w:p>
        </w:tc>
        <w:tc>
          <w:tcPr>
            <w:tcW w:w="0" w:type="auto"/>
          </w:tcPr>
          <w:p>
            <w:pPr>
              <w:spacing w:line="240" w:lineRule="auto" w:before="0" w:after="0"/>
              <w:pStyle w:val="Compact"/>
            </w:pPr>
            <w:r>
              <w:rPr>
                <w:sz w:val="20"/>
                <w:szCs w:val="20"/>
              </w:rPr>
              <w:t xml:space="preserve">Instrument complements documented per mission (mission press kits and Wikipedia mission pages)</w:t>
            </w:r>
          </w:p>
        </w:tc>
      </w:tr>
      <w:tr>
        <w:tc>
          <w:tcPr>
            <w:tcW w:w="0" w:type="auto"/>
          </w:tcPr>
          <w:p>
            <w:pPr>
              <w:spacing w:line="240" w:lineRule="auto" w:before="0" w:after="0"/>
              <w:pStyle w:val="Compact"/>
            </w:pPr>
            <w:r>
              <w:rPr>
                <w:sz w:val="20"/>
                <w:szCs w:val="20"/>
              </w:rPr>
              <w:t xml:space="preserve">cost_musd</w:t>
            </w:r>
          </w:p>
        </w:tc>
        <w:tc>
          <w:tcPr>
            <w:tcW w:w="0" w:type="auto"/>
          </w:tcPr>
          <w:p>
            <w:pPr>
              <w:spacing w:line="240" w:lineRule="auto" w:before="0" w:after="0"/>
              <w:pStyle w:val="Compact"/>
            </w:pPr>
            <w:r>
              <w:rPr>
                <w:sz w:val="20"/>
                <w:szCs w:val="20"/>
              </w:rPr>
              <w:t xml:space="preserve">Development/lifecycle cost in millions of current USD</w:t>
            </w:r>
          </w:p>
        </w:tc>
        <w:tc>
          <w:tcPr>
            <w:tcW w:w="0" w:type="auto"/>
          </w:tcPr>
          <w:p>
            <w:pPr>
              <w:spacing w:line="240" w:lineRule="auto" w:before="0" w:after="0"/>
              <w:pStyle w:val="Compact"/>
            </w:pPr>
            <w:r>
              <w:rPr>
                <w:sz w:val="20"/>
                <w:szCs w:val="20"/>
              </w:rPr>
              <w:t xml:space="preserve">Source column of data.csv cites each figure</w:t>
            </w:r>
          </w:p>
        </w:tc>
      </w:tr>
    </w:tbl>
    <w:bookmarkEnd w:id="224"/>
    <w:bookmarkEnd w:id="225"/>
    <w:bookmarkEnd w:id="22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211" Type="http://schemas.openxmlformats.org/officeDocument/2006/relationships/image" Target="media/rId211.png"/><Relationship Id="rId219" Type="http://schemas.openxmlformats.org/officeDocument/2006/relationships/image" Target="media/rId219.png"/><Relationship Id="rId175" Type="http://schemas.openxmlformats.org/officeDocument/2006/relationships/hyperlink" Target="https://doi.org/10.1016/j.actaastro.2022.04.001" TargetMode="External"/><Relationship Id="rId193" Type="http://schemas.openxmlformats.org/officeDocument/2006/relationships/hyperlink" Target="https://doi.org/10.1016/j.actaastro.2023.04.029" TargetMode="External"/><Relationship Id="rId207" Type="http://schemas.openxmlformats.org/officeDocument/2006/relationships/hyperlink" Target="https://doi.org/10.1016/j.actaastro.2023.10.042" TargetMode="External"/><Relationship Id="rId195" Type="http://schemas.openxmlformats.org/officeDocument/2006/relationships/hyperlink" Target="https://doi.org/10.1016/j.actaastro.2024.05.022" TargetMode="External"/><Relationship Id="rId199" Type="http://schemas.openxmlformats.org/officeDocument/2006/relationships/hyperlink" Target="https://doi.org/10.1016/j.actaastro.2024.12.005" TargetMode="External"/><Relationship Id="rId205" Type="http://schemas.openxmlformats.org/officeDocument/2006/relationships/hyperlink" Target="https://doi.org/10.1016/j.actaastro.2025.01.046" TargetMode="External"/><Relationship Id="rId197" Type="http://schemas.openxmlformats.org/officeDocument/2006/relationships/hyperlink" Target="https://doi.org/10.1016/j.actaastro.2025.11.006" TargetMode="External"/><Relationship Id="rId203" Type="http://schemas.openxmlformats.org/officeDocument/2006/relationships/hyperlink" Target="https://doi.org/10.1016/j.actaastro.2025.11.043" TargetMode="External"/><Relationship Id="rId201" Type="http://schemas.openxmlformats.org/officeDocument/2006/relationships/hyperlink" Target="https://doi.org/10.1016/j.actaastro.2026.03.026" TargetMode="External"/><Relationship Id="rId181" Type="http://schemas.openxmlformats.org/officeDocument/2006/relationships/hyperlink" Target="https://doi.org/10.64861/LPFK9568" TargetMode="External"/><Relationship Id="rId173" Type="http://schemas.openxmlformats.org/officeDocument/2006/relationships/hyperlink" Target="https://doi.org/10.64861/QAOZ6812" TargetMode="External"/><Relationship Id="rId190" Type="http://schemas.openxmlformats.org/officeDocument/2006/relationships/hyperlink" Target="https://doi.org/10.64861/TJUV7381" TargetMode="External"/></Relationships>
</file>

<file path=word/_rels/footnotes.xml.rels><?xml version='1.0' encoding='UTF-8' standalone='yes'?>
<Relationships xmlns="http://schemas.openxmlformats.org/package/2006/relationships"><Relationship Id="rId175" Type="http://schemas.openxmlformats.org/officeDocument/2006/relationships/hyperlink" Target="https://doi.org/10.1016/j.actaastro.2022.04.001" TargetMode="External"/><Relationship Id="rId193" Type="http://schemas.openxmlformats.org/officeDocument/2006/relationships/hyperlink" Target="https://doi.org/10.1016/j.actaastro.2023.04.029" TargetMode="External"/><Relationship Id="rId207" Type="http://schemas.openxmlformats.org/officeDocument/2006/relationships/hyperlink" Target="https://doi.org/10.1016/j.actaastro.2023.10.042" TargetMode="External"/><Relationship Id="rId195" Type="http://schemas.openxmlformats.org/officeDocument/2006/relationships/hyperlink" Target="https://doi.org/10.1016/j.actaastro.2024.05.022" TargetMode="External"/><Relationship Id="rId199" Type="http://schemas.openxmlformats.org/officeDocument/2006/relationships/hyperlink" Target="https://doi.org/10.1016/j.actaastro.2024.12.005" TargetMode="External"/><Relationship Id="rId205" Type="http://schemas.openxmlformats.org/officeDocument/2006/relationships/hyperlink" Target="https://doi.org/10.1016/j.actaastro.2025.01.046" TargetMode="External"/><Relationship Id="rId197" Type="http://schemas.openxmlformats.org/officeDocument/2006/relationships/hyperlink" Target="https://doi.org/10.1016/j.actaastro.2025.11.006" TargetMode="External"/><Relationship Id="rId203" Type="http://schemas.openxmlformats.org/officeDocument/2006/relationships/hyperlink" Target="https://doi.org/10.1016/j.actaastro.2025.11.043" TargetMode="External"/><Relationship Id="rId201" Type="http://schemas.openxmlformats.org/officeDocument/2006/relationships/hyperlink" Target="https://doi.org/10.1016/j.actaastro.2026.03.026" TargetMode="External"/><Relationship Id="rId181" Type="http://schemas.openxmlformats.org/officeDocument/2006/relationships/hyperlink" Target="https://doi.org/10.64861/LPFK9568" TargetMode="External"/><Relationship Id="rId173" Type="http://schemas.openxmlformats.org/officeDocument/2006/relationships/hyperlink" Target="https://doi.org/10.64861/QAOZ6812" TargetMode="External"/><Relationship Id="rId190" Type="http://schemas.openxmlformats.org/officeDocument/2006/relationships/hyperlink" Target="https://doi.org/10.64861/TJUV73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Return per Dollar: A Bibliometric Productivity Function for Planetary Flagship Missions</dc:title>
  <dc:creator>Lorenzo Aziz (1B-PLA-038)</dc:creator>
  <cp:keywords/>
  <dcterms:created xsi:type="dcterms:W3CDTF">2026-07-02T16:34:49Z</dcterms:created>
  <dcterms:modified xsi:type="dcterms:W3CDTF">2026-07-02T16:34:49Z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