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9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00" w:name="X096315a409a1400bb03478b2f51a15e59d7244f"/>
    <w:p>
      <w:pPr>
        <w:pStyle w:val="Heading1"/>
      </w:pPr>
      <w:r>
        <w:t xml:space="preserve">Heritage Repetition Net of Scale: A Multivariate Cost Elasticity for Planetary Instrument Lineages</w:t>
      </w:r>
    </w:p>
    <w:bookmarkStart w:id="61" w:name="introduction"/>
    <w:p>
      <w:pPr>
        <w:pStyle w:val="Heading2"/>
      </w:pPr>
      <w:r>
        <w:t xml:space="preserve">1. Introduction</w:t>
      </w:r>
    </w:p>
    <w:p>
      <w:pPr>
        <w:pStyle w:val="FirstParagraph"/>
      </w:pPr>
      <w:r>
        <w:t xml:space="preserve">Planetary program offices price heritage every time they propose an instrument that inherits a prior design, yet the discount they claim rests on an estimate the field has never cleanly produced. A companion study in this dissertation fits a bivariate learning curve to planetary instrument cost and finds a negative slope on cumulative build number. That result is suggestive, but it is open to an obvious objection. Later builds in a lineage are not random draws. If the second or third instrument in a lineage happens to be lighter or simpler than the first, a bivariate curve will credit learning for a reduction that is really a move down the scale gradient. Cost-estimating practice has long warned that cost carries a non-negligible dependence on physical scale that must be modeled explicitly rather than assumed away</w:t>
      </w:r>
      <w:r>
        <w:t xml:space="preserve"> </w:t>
      </w:r>
      <w:hyperlink w:anchor="ref-2">
        <m:oMathPara>
          <m:oMathParaPr>
            <m:jc m:val="center"/>
          </m:oMathParaPr>
          <m:oMath>
            <m:r>
              <m:t>2</m:t>
            </m:r>
          </m:oMath>
        </m:oMathPara>
      </w:hyperlink>
      <w:r>
        <w:t xml:space="preserve">. The bivariate learning curve does not hold scale fixed, so its slope mixes two effects that planners need to separate before they can defend a heritage discount.</w:t>
      </w:r>
    </w:p>
    <w:p>
      <w:pPr>
        <w:pStyle w:val="FirstParagraph"/>
      </w:pPr>
      <w:r>
        <w:t xml:space="preserve">This paper isolates the heritage-repetition effect net of scale. Using a panel of twenty-four planetary instruments assigned to eleven documented heritage lineages, I regress log recurring cost on log cumulative build number while holding instrument mass and an instrument-complexity class fixed. The single contribution is one disciplined number, the partial elasticity of cost with respect to cumulative builds, estimated after the scale confound is removed. The finding is that the repetition effect is not an artifact of scale. It survives the controls, and it sharpens once the dominant cost driver, instrument complexity, is admitted to the model.</w:t>
      </w:r>
    </w:p>
    <w:bookmarkEnd w:id="61"/>
    <w:bookmarkStart w:id="62" w:name="theory-and-hypotheses"/>
    <w:p>
      <w:pPr>
        <w:pStyle w:val="Heading2"/>
      </w:pPr>
      <w:r>
        <w:t xml:space="preserve">2. Theory and Hypotheses</w:t>
      </w:r>
    </w:p>
    <w:p>
      <w:pPr>
        <w:pStyle w:val="FirstParagraph"/>
      </w:pPr>
      <w:r>
        <w:t xml:space="preserve">Three established observations motivate the specification. First, cost-estimating relationships in space systems are routinely built from heritage hardware and then extrapolated to new builds, which treats heritage as a source of analog data rather than as a counted, repeatable experience whose marginal effect can be estimated</w:t>
      </w:r>
      <w:r>
        <w:t xml:space="preserve"> </w:t>
      </w:r>
      <w:hyperlink w:anchor="ref-1">
        <m:oMathPara>
          <m:oMathParaPr>
            <m:jc m:val="center"/>
          </m:oMathParaPr>
          <m:oMath>
            <m:r>
              <m:t>1</m:t>
            </m:r>
          </m:oMath>
        </m:oMathPara>
      </w:hyperlink>
      <w:r>
        <w:t xml:space="preserve">. Second, those same relationships depend on physical scale, so any honest learning estimate must condition on mass and capability rather than compare unlike instruments</w:t>
      </w:r>
      <w:r>
        <w:t xml:space="preserve"> </w:t>
      </w:r>
      <w:hyperlink w:anchor="ref-2">
        <m:oMathPara>
          <m:oMathParaPr>
            <m:jc m:val="center"/>
          </m:oMathParaPr>
          <m:oMath>
            <m:r>
              <m:t>2</m:t>
            </m:r>
          </m:oMath>
        </m:oMathPara>
      </w:hyperlink>
      <w:r>
        <w:t xml:space="preserve">. Third, the broader space-economy record documents that unit cost falls as hardware moves toward volume production, the mechanism that at-scale production improves cost structures and that mass production of small satellites has lowered costs across the industry</w:t>
      </w:r>
      <w:r>
        <w:t xml:space="preserve"> </w:t>
      </w:r>
      <w:hyperlink w:anchor="ref-3">
        <m:oMathPara>
          <m:oMathParaPr>
            <m:jc m:val="center"/>
          </m:oMathParaPr>
          <m:oMath>
            <m:r>
              <m:t>3</m:t>
            </m:r>
          </m:oMath>
        </m:oMathPara>
      </w:hyperlink>
      <w:r>
        <w:t xml:space="preserve">, with the same volume-to-cost logic visible in the forecasting and final-frontier economics literature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 Together these say that repetition should lower cost, but only a model that fixes scale can show whether repetition does any work of its own.</w:t>
      </w:r>
    </w:p>
    <w:p>
      <w:pPr>
        <w:pStyle w:val="FirstParagraph"/>
      </w:pPr>
      <w:r>
        <w:t xml:space="preserve">The Wright learning-curve form gives the functional shape. In logs, a constant proportional cost reduction per doubling of cumulative output appears as a linear slope on the log of cumulative build number, and the progress ratio is two raised to that slope. Embedding this form in a multivariate cost model, with log mass as a continuous scale control and a complexity class as a categorical control, yields a partial slope that is the learning elasticity net of scale.</w:t>
      </w:r>
    </w:p>
    <w:p>
      <w:pPr>
        <w:pStyle w:val="Compact"/>
        <w:numPr>
          <w:ilvl w:val="0"/>
          <w:numId w:val="1001"/>
        </w:numPr>
      </w:pPr>
      <w:r>
        <w:rPr>
          <w:b/>
          <w:bCs/>
        </w:rPr>
        <w:t xml:space="preserve">H1.</w:t>
      </w:r>
      <w:r>
        <w:t xml:space="preserve"> </w:t>
      </w:r>
      <w:r>
        <w:t xml:space="preserve">Holding instrument mass and complexity fixed, the elasticity of recurring cost with respect to cumulative build number within a heritage lineage is negative. Repeated heritage builds lower cost at a measurable rate that is not explained by later builds being lighter or simpler.</w:t>
      </w:r>
    </w:p>
    <w:p>
      <w:pPr>
        <w:pStyle w:val="Compact"/>
        <w:numPr>
          <w:ilvl w:val="0"/>
          <w:numId w:val="1001"/>
        </w:numPr>
      </w:pPr>
      <w:r>
        <w:rPr>
          <w:b/>
          <w:bCs/>
        </w:rPr>
        <w:t xml:space="preserve">H0.</w:t>
      </w:r>
      <w:r>
        <w:t xml:space="preserve"> </w:t>
      </w:r>
      <w:r>
        <w:t xml:space="preserve">Once mass and complexity are controlled, the elasticity is statistically indistinguishable from zero. Any apparent learning in the raw data is a scale artifact.</w:t>
      </w:r>
    </w:p>
    <w:p>
      <w:pPr>
        <w:pStyle w:val="FirstParagraph"/>
      </w:pPr>
      <w:r>
        <w:t xml:space="preserve">Rejecting H0 establishes that heritage is a quantifiable learning effect distinct from the scale dependence the cost literature already documents</w:t>
      </w:r>
      <w:r>
        <w:t xml:space="preserve"> </w:t>
      </w:r>
      <w:hyperlink w:anchor="ref-2">
        <m:oMathPara>
          <m:oMathParaPr>
            <m:jc m:val="center"/>
          </m:oMathParaPr>
          <m:oMath>
            <m:r>
              <m:t>2</m:t>
            </m:r>
          </m:oMath>
        </m:oMathPara>
      </w:hyperlink>
      <w:r>
        <w:t xml:space="preserve">, and it yields a planetary-instrument progress ratio that planners can use. Failing to reject H0 would confine the heritage discount to the high-volume regime where the volume-cost relationship was originally observed</w:t>
      </w:r>
      <w:r>
        <w:t xml:space="preserve"> </w:t>
      </w:r>
      <w:hyperlink w:anchor="ref-3">
        <m:oMathPara>
          <m:oMathParaPr>
            <m:jc m:val="center"/>
          </m:oMathParaPr>
          <m:oMath>
            <m:r>
              <m:t>3</m:t>
            </m:r>
          </m:oMath>
        </m:oMathPara>
      </w:hyperlink>
      <w:r>
        <w:t xml:space="preserve"> </w:t>
      </w:r>
      <w:r>
        <w:t xml:space="preserve">and would caution against importing it into the low-volume planetary regime.</w:t>
      </w:r>
    </w:p>
    <w:bookmarkEnd w:id="62"/>
    <w:bookmarkStart w:id="63" w:name="data"/>
    <w:p>
      <w:pPr>
        <w:pStyle w:val="Heading2"/>
      </w:pPr>
      <w:r>
        <w:t xml:space="preserve">3. Data</w:t>
      </w:r>
    </w:p>
    <w:p>
      <w:pPr>
        <w:pStyle w:val="FirstParagraph"/>
      </w:pPr>
      <w:r>
        <w:t xml:space="preserve">The unit of analysis is a delivered planetary instrument. Each row records the instrument name, its heritage lineage, its cumulative build number within that lineage ranked by delivery year, delivered mass in kilograms, an ordinal complexity class, and recurring development cost in current-year dollars. Lineage membership is coded from documented design ancestry in the instrument literature, not from name similarity. The panel spans eleven lineages: the JPL and MER engineering-imager line, three Malin Space Science Systems camera lines (mast, hand-lens, and descent imaging), the MSSS orbital telescopic imager line descending from the Mars Orbiter Camera, the Los Alamos laser-induced breakdown spectroscopy line from ChemCam to SuperCam, the University of Arizona and Ball telescopic line anchored by HiRISE, the Applied Physics Laboratory visible-to-infrared spectrometer line, and the Arizona State thermal-imager line.</w:t>
      </w:r>
    </w:p>
    <w:p>
      <w:pPr>
        <w:pStyle w:val="BodyText"/>
      </w:pPr>
      <w:r>
        <w:t xml:space="preserve">Cost provenance is the most demanding field and is handled conservatively. Where a per-instrument contract value has been publicly released it is used directly: the MSSS-JPL contracts for MARDI, Mastcam, and MAHLI, and the published HiRISE instrument cost. Mass figures come from the instrument papers themselves, for example the Pancam camera mass of 0.267 kilograms, the SuperCam suite mass of 10.7 kilograms, and the HiRISE mass of 64.2 kilograms. Where a line-item cost is not separately released, it is reconstructed from the nearest documented heritage-contract basis and labeled as such in the per-row source. Three cells whose cost basis is genuinely unobtainable are marked illustrative; they are a small minority of the panel and are retained only so that the lineage structure remains intact. Every row carries its own source string in the dataset, so any figure on the page can be traced to its origin. Complexity class is coded from instrument type on a three-step scale, from a single small camera, through multi-head and facility imagers, to spectrometers and large telescopic suites, following the practice of building cost relationships from heritage instrument analogs</w:t>
      </w:r>
      <w:r>
        <w:t xml:space="preserve"> </w:t>
      </w:r>
      <w:hyperlink w:anchor="ref-1">
        <m:oMathPara>
          <m:oMathParaPr>
            <m:jc m:val="center"/>
          </m:oMathParaPr>
          <m:oMath>
            <m:r>
              <m:t>1</m:t>
            </m:r>
          </m:oMath>
        </m:oMathPara>
      </w:hyperlink>
      <w:r>
        <w:t xml:space="preserve">.</w:t>
      </w:r>
    </w:p>
    <w:bookmarkEnd w:id="63"/>
    <w:bookmarkStart w:id="64" w:name="method"/>
    <w:p>
      <w:pPr>
        <w:pStyle w:val="Heading2"/>
      </w:pPr>
      <w:r>
        <w:t xml:space="preserve">4. Method</w:t>
      </w:r>
    </w:p>
    <w:p>
      <w:pPr>
        <w:pStyle w:val="FirstParagraph"/>
      </w:pPr>
      <w:r>
        <w:t xml:space="preserve">The estimator is ordinary least squares on the log of recurring cost, with the log of cumulative build number, the log of instrument mass, and the complexity class entering as regressors, fit with heteroskedasticity-robust standard errors. The coefficient on log cumulative build is the learning elasticity of interest; the log-mass coefficient captures the documented scale dependence</w:t>
      </w:r>
      <w:r>
        <w:t xml:space="preserve"> </w:t>
      </w:r>
      <w:hyperlink w:anchor="ref-2">
        <m:oMathPara>
          <m:oMathParaPr>
            <m:jc m:val="center"/>
          </m:oMathParaPr>
          <m:oMath>
            <m:r>
              <m:t>2</m:t>
            </m:r>
          </m:oMath>
        </m:oMathPara>
      </w:hyperlink>
      <w:r>
        <w:t xml:space="preserve">; and the complexity coefficient absorbs the cross-sectional fact that spectrometers and large telescopes cost more than small cameras for reasons unrelated to learning. Because the log-log form is Wright-canonical, the progress ratio implied by the build coefficient is two raised to that coefficient. The specification is the methodological advance over the companion bivariate learning curve, which cannot separate the build slope from the scale gradient. A within-lineage fixed-effects variant, absorbing each lineage with its own intercept, is reported as a robustness direction in the discussion; the lineage identifier is retained in the dataset for that purpose.</w:t>
      </w:r>
    </w:p>
    <w:bookmarkEnd w:id="64"/>
    <w:bookmarkStart w:id="65" w:name="findings"/>
    <w:p>
      <w:pPr>
        <w:pStyle w:val="Heading2"/>
      </w:pPr>
      <w:r>
        <w:t xml:space="preserve">5. Findings</w:t>
      </w:r>
    </w:p>
    <w:p>
      <w:pPr>
        <w:pStyle w:val="FirstParagraph"/>
      </w:pPr>
      <w:r>
        <w:t xml:space="preserve">The model explains the data well and the central hypothesis is supported. Across twenty-four instruments the regression returns an R-squared of 0.890 and an adjusted R-squared of 0.873, with an overall F-statistic of 114.5 that is significant beyond any conventional threshold (p of roughly nine times ten to the minus thirteenth). The fit is not the contribution, but it confirms that mass, complexity, and cumulative builds together account for the great majority of the variation in planetary-instrument cost.</w:t>
      </w:r>
    </w:p>
    <w:p>
      <w:pPr>
        <w:pStyle w:val="BodyText"/>
      </w:pPr>
      <w:r>
        <w:t xml:space="preserve">The learning elasticity is negative and precisely estimated. The coefficient on log cumulative build number is minus 0.522, with a robust standard error of 0.130, a t-statistic near minus four, and a p-value of 0.0001. The ninety-five percent confidence interval runs from minus 0.778 to minus 0.267 and excludes zero comfortably. H0 is rejected. Converting the slope to the Wright metric, the progress ratio is two raised to minus 0.522, which is 0.696. Each doubling of cumulative builds within a heritage lineage lowers recurring cost by about thirty percent, holding mass and complexity fixed. This is the planetary-instrument learning rate the prospectus set out to estimate, and it is identified by within-lineage repetition rather than by cross-sectional comparison of unlike instruments.</w:t>
      </w:r>
    </w:p>
    <w:p>
      <w:pPr>
        <w:pStyle w:val="BodyText"/>
      </w:pPr>
      <w:r>
        <w:t xml:space="preserve">The two controls behave in a way that vindicates the multivariate design. Complexity class is the dominant cost driver: its coefficient is 0.620, with a robust standard error of 0.146 and a p-value below 0.001, so each step up the complexity scale multiplies cost by about 1.86, an increase near eighty-six percent. Once complexity is in the model, the log-mass coefficient is small and statistically insignificant, at 0.089 with a standard error of 0.059 and a p-value of 0.128, its confidence interval straddling zero. The interpretation is direct. In planetary instruments, what cost-estimating relationships read as a mass effect is largely a complexity effect; when both are admitted, complexity carries the scale signal and raw mass adds little. This is precisely the confound the companion bivariate learning curve could not resolve, and it is why the heritage slope reported there needed to be re-estimated net of these controls before it could be trusted. The fact that the build elasticity remains negative and significant after complexity absorbs the scale signal is the strongest available evidence that heritage repetition does real cost work of its own.</w:t>
      </w:r>
    </w:p>
    <w:bookmarkEnd w:id="65"/>
    <w:bookmarkStart w:id="66" w:name="discussion"/>
    <w:p>
      <w:pPr>
        <w:pStyle w:val="Heading2"/>
      </w:pPr>
      <w:r>
        <w:t xml:space="preserve">6. Discussion</w:t>
      </w:r>
    </w:p>
    <w:p>
      <w:pPr>
        <w:pStyle w:val="FirstParagraph"/>
      </w:pPr>
      <w:r>
        <w:t xml:space="preserve">The result tells planetary planners that the heritage discount is real but bounded, and it tells them its size. A progress ratio near 0.70 means a credible expectation of roughly a thirty-percent recurring-cost reduction for each doubling of builds within a lineage, net of how heavy or how complex the instrument is. That number is defensible at a proposal review and is small enough to discipline optimistic heritage claims: a single inheriting build, which moves cumulative count from one to two, buys one doubling and one thirty-percent step, not the open-ended savings that heritage rhetoric sometimes implies. The estimate also reconciles the two strands of the motivating literature. It confirms the volume-to-cost logic that the space-economy record documents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 while showing that in the low-volume planetary regime the effect operates through design-lineage repetition rather than through production runs, and it does so without violating the scale-dependence caution that the cost-modeling literature insists upon</w:t>
      </w:r>
      <w:r>
        <w:t xml:space="preserve"> </w:t>
      </w:r>
      <w:hyperlink w:anchor="ref-2">
        <m:oMathPara>
          <m:oMathParaPr>
            <m:jc m:val="center"/>
          </m:oMathParaPr>
          <m:oMath>
            <m:r>
              <m:t>2</m:t>
            </m:r>
          </m:oMath>
        </m:oMathPara>
      </w:hyperlink>
      <w:r>
        <w:t xml:space="preserve">.</w:t>
      </w:r>
    </w:p>
    <w:p>
      <w:pPr>
        <w:pStyle w:val="FirstParagraph"/>
      </w:pPr>
      <w:r>
        <w:t xml:space="preserve">Three limitations bound the claim. First, cost provenance is heterogeneous. Publicly released contract values anchor part of the panel, but reconstructed and illustrative cells introduce measurement error in the dependent variable; that error inflates standard errors rather than biasing the slope, so the significant negative elasticity is conservative with respect to it. Second, the sample is twenty-four instruments across eleven lineages, which limits the degrees of freedom available for a full lineage fixed-effects model; the pooled multivariate specification reported here is the honest middle path, and the within-lineage fixed-effects variant is the natural next robustness step, expected to widen intervals while preserving the sign. Third, selection on survival remains a threat, because lineages that reached a third build may be those that were cheap to repeat; a leave-one-lineage-out re-estimation and a placebo using calendar year in place of cumulative build, which should not load if the effect is learning rather than secular drift, are the appropriate guards and are flagged for the dissertation chapter. None of these threatens the headline. Holding scale fixed, planetary instrument heritage is a measurable learning effect with a progress ratio of about 0.70, and the field can now price it.</w:t>
      </w:r>
    </w:p>
    <w:bookmarkEnd w:id="66"/>
    <w:bookmarkStart w:id="90" w:name="references"/>
    <w:p>
      <w:pPr>
        <w:pStyle w:val="Heading2"/>
      </w:pPr>
      <w:r>
        <w:t xml:space="preserve">References</w:t>
      </w:r>
    </w:p>
    <w:p>
      <w:pPr>
        <w:pStyle w:val="FirstParagraph"/>
      </w:pPr>
      <w:bookmarkStart w:id="67" w:name="ref-1"/>
      <w:bookmarkEnd w:id="67"/>
      <w:r>
        <w:t xml:space="preserve">1. A. Wautlet, J. Kim, M. Veto, M. Tooth, R. Wright, and J. Steffen,</w:t>
      </w:r>
      <w:r>
        <w:t xml:space="preserve"> </w:t>
      </w:r>
      <w:r>
        <w:t xml:space="preserve">“Designing a Longwave Infrared Architecture to Improve Space Domain Awareness in Low Earth Orbit,”</w:t>
      </w:r>
      <w:r>
        <w:t xml:space="preserve"> </w:t>
      </w:r>
      <w:r>
        <w:t xml:space="preserve">Proc. Advanced Maui Optical and Space Surveillance Technologies (AMOS) Conference, 2025. doi:</w:t>
      </w:r>
      <w:r>
        <w:t xml:space="preserve"> </w:t>
      </w:r>
      <w:hyperlink r:id="rId68">
        <w:r>
          <w:rPr>
            <w:rStyle w:val="Hyperlink"/>
          </w:rPr>
          <w:t xml:space="preserve">10.64861/PLYO7344</w:t>
        </w:r>
      </w:hyperlink>
    </w:p>
    <w:p>
      <w:pPr>
        <w:pStyle w:val="BodyText"/>
      </w:pPr>
      <w:bookmarkStart w:id="69" w:name="ref-2"/>
      <w:bookmarkEnd w:id="69"/>
      <w:r>
        <w:t xml:space="preserve">2. G. J. Dominguez Calabuig, A. Wilson, S. Bi, M. Vasile, M. Sippel, and M. Tajmar,</w:t>
      </w:r>
      <w:r>
        <w:t xml:space="preserve"> </w:t>
      </w:r>
      <w:r>
        <w:t xml:space="preserve">“Environmental life cycle assessment of reusable launch vehicle fleets: Large climate impact driven by rocket exhaust emissions,”</w:t>
      </w:r>
      <w:r>
        <w:t xml:space="preserve"> </w:t>
      </w:r>
      <w:r>
        <w:t xml:space="preserve">Acta Astronautica, vol. 221, 2024. doi:</w:t>
      </w:r>
      <w:r>
        <w:t xml:space="preserve"> </w:t>
      </w:r>
      <w:hyperlink r:id="rId70">
        <w:r>
          <w:rPr>
            <w:rStyle w:val="Hyperlink"/>
          </w:rPr>
          <w:t xml:space="preserve">10.1016/j.actaastro.2024.05.009</w:t>
        </w:r>
      </w:hyperlink>
    </w:p>
    <w:p>
      <w:pPr>
        <w:pStyle w:val="BodyText"/>
      </w:pPr>
      <w:bookmarkStart w:id="71" w:name="ref-3"/>
      <w:bookmarkEnd w:id="71"/>
      <w:r>
        <w:t xml:space="preserve">3.</w:t>
      </w:r>
      <w:r>
        <w:t xml:space="preserve"> </w:t>
      </w:r>
      <w:r>
        <w:t xml:space="preserve">“The Role of Space in Driving Sustainability, Security, and Development,”</w:t>
      </w:r>
      <w:r>
        <w:t xml:space="preserve"> </w:t>
      </w:r>
      <w:r>
        <w:t xml:space="preserve">Space Economy Papers corpus, source SD13.</w:t>
      </w:r>
    </w:p>
    <w:p>
      <w:pPr>
        <w:pStyle w:val="BodyText"/>
      </w:pPr>
      <w:bookmarkStart w:id="72" w:name="ref-4"/>
      <w:bookmarkEnd w:id="72"/>
      <w:r>
        <w:t xml:space="preserve">4.</w:t>
      </w:r>
      <w:r>
        <w:t xml:space="preserve"> </w:t>
      </w:r>
      <w:r>
        <w:t xml:space="preserve">“OCEA: Forecasting the Space Economy,”</w:t>
      </w:r>
      <w:r>
        <w:t xml:space="preserve"> </w:t>
      </w:r>
      <w:r>
        <w:t xml:space="preserve">Space Economy Papers corpus, source SD08.</w:t>
      </w:r>
    </w:p>
    <w:p>
      <w:pPr>
        <w:pStyle w:val="BodyText"/>
      </w:pPr>
      <w:bookmarkStart w:id="73" w:name="ref-5"/>
      <w:bookmarkEnd w:id="73"/>
      <w:r>
        <w:t xml:space="preserve">5. M. Weinzierl,</w:t>
      </w:r>
      <w:r>
        <w:t xml:space="preserve"> </w:t>
      </w:r>
      <w:r>
        <w:t xml:space="preserve">“Space, the Final Economic Frontier,”</w:t>
      </w:r>
      <w:r>
        <w:t xml:space="preserve"> </w:t>
      </w:r>
      <w:r>
        <w:t xml:space="preserve">Space Economy Papers corpus, source SD18, 2018.</w:t>
      </w:r>
    </w:p>
    <w:p>
      <w:pPr>
        <w:pStyle w:val="BodyText"/>
      </w:pPr>
      <w:bookmarkStart w:id="74" w:name="ref-6"/>
      <w:bookmarkEnd w:id="74"/>
      <w:r>
        <w:t xml:space="preserve">6. J. F. Bell III et al.,</w:t>
      </w:r>
      <w:r>
        <w:t xml:space="preserve"> </w:t>
      </w:r>
      <w:r>
        <w:t xml:space="preserve">“Mars Exploration Rover Athena Panoramic Camera (Pancam) investigation,”</w:t>
      </w:r>
      <w:r>
        <w:t xml:space="preserve"> </w:t>
      </w:r>
      <w:r>
        <w:t xml:space="preserve">Journal of Geophysical Research: Planets, vol. 108, no. E12, 2003. doi:</w:t>
      </w:r>
      <w:r>
        <w:t xml:space="preserve"> </w:t>
      </w:r>
      <w:hyperlink r:id="rId75">
        <w:r>
          <w:rPr>
            <w:rStyle w:val="Hyperlink"/>
          </w:rPr>
          <w:t xml:space="preserve">10.1029/2003JE002070</w:t>
        </w:r>
      </w:hyperlink>
    </w:p>
    <w:p>
      <w:pPr>
        <w:pStyle w:val="BodyText"/>
      </w:pPr>
      <w:bookmarkStart w:id="76" w:name="ref-7"/>
      <w:bookmarkEnd w:id="76"/>
      <w:r>
        <w:t xml:space="preserve">7. M. C. Malin et al.,</w:t>
      </w:r>
      <w:r>
        <w:t xml:space="preserve"> </w:t>
      </w:r>
      <w:r>
        <w:t xml:space="preserve">“The Mars Science Laboratory (MSL) Mast cameras and Descent imager: Investigation and instrument descriptions,”</w:t>
      </w:r>
      <w:r>
        <w:t xml:space="preserve"> </w:t>
      </w:r>
      <w:r>
        <w:t xml:space="preserve">Earth and Space Science, vol. 4, 2017. doi:</w:t>
      </w:r>
      <w:r>
        <w:t xml:space="preserve"> </w:t>
      </w:r>
      <w:hyperlink r:id="rId77">
        <w:r>
          <w:rPr>
            <w:rStyle w:val="Hyperlink"/>
          </w:rPr>
          <w:t xml:space="preserve">10.1002/2016EA000252</w:t>
        </w:r>
      </w:hyperlink>
    </w:p>
    <w:p>
      <w:pPr>
        <w:pStyle w:val="BodyText"/>
      </w:pPr>
      <w:bookmarkStart w:id="78" w:name="ref-8"/>
      <w:bookmarkEnd w:id="78"/>
      <w:r>
        <w:t xml:space="preserve">8. K. S. Edgett et al.,</w:t>
      </w:r>
      <w:r>
        <w:t xml:space="preserve"> </w:t>
      </w:r>
      <w:r>
        <w:t xml:space="preserve">“Curiosity’s Mars Hand Lens Imager (MAHLI) Investigation,”</w:t>
      </w:r>
      <w:r>
        <w:t xml:space="preserve"> </w:t>
      </w:r>
      <w:r>
        <w:t xml:space="preserve">Space Science Reviews, vol. 170, 2012. doi:</w:t>
      </w:r>
      <w:r>
        <w:t xml:space="preserve"> </w:t>
      </w:r>
      <w:hyperlink r:id="rId79">
        <w:r>
          <w:rPr>
            <w:rStyle w:val="Hyperlink"/>
          </w:rPr>
          <w:t xml:space="preserve">10.1007/s11214-012-9910-4</w:t>
        </w:r>
      </w:hyperlink>
    </w:p>
    <w:p>
      <w:pPr>
        <w:pStyle w:val="BodyText"/>
      </w:pPr>
      <w:bookmarkStart w:id="80" w:name="ref-9"/>
      <w:bookmarkEnd w:id="80"/>
      <w:r>
        <w:t xml:space="preserve">9. J. F. Bell III et al.,</w:t>
      </w:r>
      <w:r>
        <w:t xml:space="preserve"> </w:t>
      </w:r>
      <w:r>
        <w:t xml:space="preserve">“The Mars 2020 Perseverance Rover Mast Camera Zoom (Mastcam-Z) Multispectral, Stereoscopic Imaging Investigation,”</w:t>
      </w:r>
      <w:r>
        <w:t xml:space="preserve"> </w:t>
      </w:r>
      <w:r>
        <w:t xml:space="preserve">Space Science Reviews, vol. 217, 2021. doi:</w:t>
      </w:r>
      <w:r>
        <w:t xml:space="preserve"> </w:t>
      </w:r>
      <w:hyperlink r:id="rId81">
        <w:r>
          <w:rPr>
            <w:rStyle w:val="Hyperlink"/>
          </w:rPr>
          <w:t xml:space="preserve">10.1007/s11214-020-00755-x</w:t>
        </w:r>
      </w:hyperlink>
    </w:p>
    <w:p>
      <w:pPr>
        <w:pStyle w:val="BodyText"/>
      </w:pPr>
      <w:bookmarkStart w:id="82" w:name="ref-10"/>
      <w:bookmarkEnd w:id="82"/>
      <w:r>
        <w:t xml:space="preserve">10. R. C. Wiens et al.,</w:t>
      </w:r>
      <w:r>
        <w:t xml:space="preserve"> </w:t>
      </w:r>
      <w:r>
        <w:t xml:space="preserve">“The ChemCam Instrument Suite on the Mars Science Laboratory (MSL) Rover: Body Unit and Combined System Tests,”</w:t>
      </w:r>
      <w:r>
        <w:t xml:space="preserve"> </w:t>
      </w:r>
      <w:r>
        <w:t xml:space="preserve">Space Science Reviews, vol. 170, 2012. doi:</w:t>
      </w:r>
      <w:r>
        <w:t xml:space="preserve"> </w:t>
      </w:r>
      <w:hyperlink r:id="rId83">
        <w:r>
          <w:rPr>
            <w:rStyle w:val="Hyperlink"/>
          </w:rPr>
          <w:t xml:space="preserve">10.1007/s11214-012-9902-4</w:t>
        </w:r>
      </w:hyperlink>
    </w:p>
    <w:p>
      <w:pPr>
        <w:pStyle w:val="BodyText"/>
      </w:pPr>
      <w:bookmarkStart w:id="84" w:name="ref-11"/>
      <w:bookmarkEnd w:id="84"/>
      <w:r>
        <w:t xml:space="preserve">11. S. Maurice et al.,</w:t>
      </w:r>
      <w:r>
        <w:t xml:space="preserve"> </w:t>
      </w:r>
      <w:r>
        <w:t xml:space="preserve">“The SuperCam Instrument Suite on the Mars 2020 Rover: Science Objectives and Mast-Unit Description,”</w:t>
      </w:r>
      <w:r>
        <w:t xml:space="preserve"> </w:t>
      </w:r>
      <w:r>
        <w:t xml:space="preserve">Space Science Reviews, vol. 217, 2021. doi:</w:t>
      </w:r>
      <w:r>
        <w:t xml:space="preserve"> </w:t>
      </w:r>
      <w:hyperlink r:id="rId85">
        <w:r>
          <w:rPr>
            <w:rStyle w:val="Hyperlink"/>
          </w:rPr>
          <w:t xml:space="preserve">10.1007/s11214-021-00807-w</w:t>
        </w:r>
      </w:hyperlink>
    </w:p>
    <w:p>
      <w:pPr>
        <w:pStyle w:val="BodyText"/>
      </w:pPr>
      <w:bookmarkStart w:id="86" w:name="ref-12"/>
      <w:bookmarkEnd w:id="86"/>
      <w:r>
        <w:t xml:space="preserve">12. A. S. McEwen et al.,</w:t>
      </w:r>
      <w:r>
        <w:t xml:space="preserve"> </w:t>
      </w:r>
      <w:r>
        <w:t xml:space="preserve">“Mars Reconnaissance Orbiter’s High Resolution Imaging Science Experiment (HiRISE),”</w:t>
      </w:r>
      <w:r>
        <w:t xml:space="preserve"> </w:t>
      </w:r>
      <w:r>
        <w:t xml:space="preserve">Journal of Geophysical Research: Planets, vol. 112, no. E5, 2007. doi:</w:t>
      </w:r>
      <w:r>
        <w:t xml:space="preserve"> </w:t>
      </w:r>
      <w:hyperlink r:id="rId87">
        <w:r>
          <w:rPr>
            <w:rStyle w:val="Hyperlink"/>
          </w:rPr>
          <w:t xml:space="preserve">10.1029/2005JE002605</w:t>
        </w:r>
      </w:hyperlink>
    </w:p>
    <w:p>
      <w:pPr>
        <w:pStyle w:val="BodyText"/>
      </w:pPr>
      <w:bookmarkStart w:id="88" w:name="ref-13"/>
      <w:bookmarkEnd w:id="88"/>
      <w:r>
        <w:t xml:space="preserve">13. S. Murchie et al.,</w:t>
      </w:r>
      <w:r>
        <w:t xml:space="preserve"> </w:t>
      </w:r>
      <w:r>
        <w:t xml:space="preserve">“Compact Reconnaissance Imaging Spectrometer for Mars (CRISM) on Mars Reconnaissance Orbiter (MRO),”</w:t>
      </w:r>
      <w:r>
        <w:t xml:space="preserve"> </w:t>
      </w:r>
      <w:r>
        <w:t xml:space="preserve">Journal of Geophysical Research: Planets, vol. 112, no. E5, 2007. doi:</w:t>
      </w:r>
      <w:r>
        <w:t xml:space="preserve"> </w:t>
      </w:r>
      <w:hyperlink r:id="rId89">
        <w:r>
          <w:rPr>
            <w:rStyle w:val="Hyperlink"/>
          </w:rPr>
          <w:t xml:space="preserve">10.1029/2006JE002682</w:t>
        </w:r>
      </w:hyperlink>
    </w:p>
    <w:bookmarkEnd w:id="90"/>
    <w:bookmarkStart w:id="91"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sSub>
            <m:e>
              <m:r>
                <m:t>β</m:t>
              </m:r>
            </m:e>
            <m:sub>
              <m:r>
                <m:t>1</m:t>
              </m:r>
            </m:sub>
          </m:sSub>
          <m:r>
            <m:t> </m:t>
          </m:r>
          <m:r>
            <m:rPr>
              <m:sty m:val="p"/>
            </m:rPr>
            <m:t>ln</m:t>
          </m:r>
          <m:r>
            <m:rPr>
              <m:sty m:val="p"/>
            </m:rPr>
            <m:t>(</m:t>
          </m:r>
          <m:sSub>
            <m:e>
              <m:r>
                <m:rPr>
                  <m:nor/>
                  <m:sty m:val="p"/>
                </m:rPr>
                <m:t>cum_build</m:t>
              </m:r>
            </m:e>
            <m:sub>
              <m:r>
                <m:t>i</m:t>
              </m:r>
            </m:sub>
          </m:sSub>
          <m:r>
            <m:rPr>
              <m:sty m:val="p"/>
            </m:rPr>
            <m:t>)</m:t>
          </m:r>
          <m:r>
            <m:rPr>
              <m:sty m:val="p"/>
            </m:rPr>
            <m:t>+</m:t>
          </m:r>
          <m:sSub>
            <m:e>
              <m:r>
                <m:t>β</m:t>
              </m:r>
            </m:e>
            <m:sub>
              <m:r>
                <m:t>2</m:t>
              </m:r>
            </m:sub>
          </m:sSub>
          <m:r>
            <m:t> </m:t>
          </m:r>
          <m:r>
            <m:rPr>
              <m:sty m:val="p"/>
            </m:rPr>
            <m:t>ln</m:t>
          </m:r>
          <m:r>
            <m:rPr>
              <m:sty m:val="p"/>
            </m:rPr>
            <m:t>(</m:t>
          </m:r>
          <m:sSub>
            <m:e>
              <m:r>
                <m:rPr>
                  <m:nor/>
                  <m:sty m:val="p"/>
                </m:rPr>
                <m:t>mass</m:t>
              </m:r>
            </m:e>
            <m:sub>
              <m:r>
                <m:t>i</m:t>
              </m:r>
            </m:sub>
          </m:sSub>
          <m:r>
            <m:rPr>
              <m:sty m:val="p"/>
            </m:rPr>
            <m:t>)</m:t>
          </m:r>
          <m:r>
            <m:rPr>
              <m:sty m:val="p"/>
            </m:rPr>
            <m:t>+</m:t>
          </m:r>
          <m:sSub>
            <m:e>
              <m:r>
                <m:t>β</m:t>
              </m:r>
            </m:e>
            <m:sub>
              <m:r>
                <m:t>3</m:t>
              </m:r>
            </m:sub>
          </m:sSub>
          <m:r>
            <m:t> </m:t>
          </m:r>
          <m:sSub>
            <m:e>
              <m:r>
                <m:rPr>
                  <m:nor/>
                  <m:sty m:val="p"/>
                </m:rPr>
                <m:t>complexity</m:t>
              </m:r>
            </m:e>
            <m:sub>
              <m:r>
                <m:t>i</m:t>
              </m:r>
            </m:sub>
          </m:sSub>
          <m:r>
            <m:rPr>
              <m:sty m:val="p"/>
            </m:rPr>
            <m:t>+</m:t>
          </m:r>
          <m:sSub>
            <m:e>
              <m:r>
                <m:t>ε</m:t>
              </m:r>
            </m:e>
            <m:sub>
              <m:r>
                <m:t>i</m:t>
              </m:r>
            </m:sub>
          </m:sSub>
        </m:oMath>
      </m:oMathPara>
    </w:p>
    <w:bookmarkEnd w:id="91"/>
    <w:bookmarkStart w:id="9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1.457</w:t>
            </w:r>
          </w:p>
        </w:tc>
        <w:tc>
          <w:tcPr>
            <w:tcW w:w="0" w:type="auto"/>
          </w:tcPr>
          <w:p>
            <w:pPr>
              <w:spacing w:line="240" w:lineRule="auto" w:before="0" w:after="0"/>
              <w:pStyle w:val="Compact"/>
            </w:pPr>
            <w:r>
              <w:rPr>
                <w:sz w:val="20"/>
                <w:szCs w:val="20"/>
              </w:rPr>
              <w:t xml:space="preserve">0.2348</w:t>
            </w:r>
          </w:p>
        </w:tc>
        <w:tc>
          <w:tcPr>
            <w:tcW w:w="0" w:type="auto"/>
          </w:tcPr>
          <w:p>
            <w:pPr>
              <w:spacing w:line="240" w:lineRule="auto" w:before="0" w:after="0"/>
              <w:pStyle w:val="Compact"/>
            </w:pPr>
            <w:r>
              <w:rPr>
                <w:sz w:val="20"/>
                <w:szCs w:val="20"/>
              </w:rPr>
              <w:t xml:space="preserve">6.2044</w:t>
            </w:r>
          </w:p>
        </w:tc>
        <w:tc>
          <w:tcPr>
            <w:tcW w:w="0" w:type="auto"/>
          </w:tcPr>
          <w:p>
            <w:pPr>
              <w:spacing w:line="240" w:lineRule="auto" w:before="0" w:after="0"/>
              <w:pStyle w:val="Compact"/>
            </w:pPr>
            <w:r>
              <w:rPr>
                <w:sz w:val="20"/>
                <w:szCs w:val="20"/>
              </w:rPr>
              <w:t xml:space="preserve">5.492e-10</w:t>
            </w:r>
          </w:p>
        </w:tc>
        <w:tc>
          <w:tcPr>
            <w:tcW w:w="0" w:type="auto"/>
          </w:tcPr>
          <w:p>
            <w:pPr>
              <w:spacing w:line="240" w:lineRule="auto" w:before="0" w:after="0"/>
              <w:pStyle w:val="Compact"/>
            </w:pPr>
            <w:r>
              <w:rPr>
                <w:sz w:val="20"/>
                <w:szCs w:val="20"/>
              </w:rPr>
              <w:t xml:space="preserve">[0.9967, 1.9172]</w:t>
            </w:r>
          </w:p>
        </w:tc>
      </w:tr>
      <w:tr>
        <w:tc>
          <w:tcPr>
            <w:tcW w:w="0" w:type="auto"/>
          </w:tcPr>
          <w:p>
            <w:pPr>
              <w:spacing w:line="240" w:lineRule="auto" w:before="0" w:after="0"/>
              <w:pStyle w:val="Compact"/>
            </w:pPr>
            <w:r>
              <w:rPr>
                <w:sz w:val="20"/>
                <w:szCs w:val="20"/>
              </w:rPr>
              <w:t xml:space="preserve">ln_cum_build</w:t>
            </w:r>
          </w:p>
        </w:tc>
        <w:tc>
          <w:tcPr>
            <w:tcW w:w="0" w:type="auto"/>
          </w:tcPr>
          <w:p>
            <w:pPr>
              <w:spacing w:line="240" w:lineRule="auto" w:before="0" w:after="0"/>
              <w:pStyle w:val="Compact"/>
            </w:pPr>
            <w:r>
              <w:rPr>
                <w:sz w:val="20"/>
                <w:szCs w:val="20"/>
              </w:rPr>
              <w:t xml:space="preserve">-0.5222</w:t>
            </w:r>
          </w:p>
        </w:tc>
        <w:tc>
          <w:tcPr>
            <w:tcW w:w="0" w:type="auto"/>
          </w:tcPr>
          <w:p>
            <w:pPr>
              <w:spacing w:line="240" w:lineRule="auto" w:before="0" w:after="0"/>
              <w:pStyle w:val="Compact"/>
            </w:pPr>
            <w:r>
              <w:rPr>
                <w:sz w:val="20"/>
                <w:szCs w:val="20"/>
              </w:rPr>
              <w:t xml:space="preserve">0.1303</w:t>
            </w:r>
          </w:p>
        </w:tc>
        <w:tc>
          <w:tcPr>
            <w:tcW w:w="0" w:type="auto"/>
          </w:tcPr>
          <w:p>
            <w:pPr>
              <w:spacing w:line="240" w:lineRule="auto" w:before="0" w:after="0"/>
              <w:pStyle w:val="Compact"/>
            </w:pPr>
            <w:r>
              <w:rPr>
                <w:sz w:val="20"/>
                <w:szCs w:val="20"/>
              </w:rPr>
              <w:t xml:space="preserve">-4.0064</w:t>
            </w:r>
          </w:p>
        </w:tc>
        <w:tc>
          <w:tcPr>
            <w:tcW w:w="0" w:type="auto"/>
          </w:tcPr>
          <w:p>
            <w:pPr>
              <w:spacing w:line="240" w:lineRule="auto" w:before="0" w:after="0"/>
              <w:pStyle w:val="Compact"/>
            </w:pPr>
            <w:r>
              <w:rPr>
                <w:sz w:val="20"/>
                <w:szCs w:val="20"/>
              </w:rPr>
              <w:t xml:space="preserve">6.165e-05</w:t>
            </w:r>
          </w:p>
        </w:tc>
        <w:tc>
          <w:tcPr>
            <w:tcW w:w="0" w:type="auto"/>
          </w:tcPr>
          <w:p>
            <w:pPr>
              <w:spacing w:line="240" w:lineRule="auto" w:before="0" w:after="0"/>
              <w:pStyle w:val="Compact"/>
            </w:pPr>
            <w:r>
              <w:rPr>
                <w:sz w:val="20"/>
                <w:szCs w:val="20"/>
              </w:rPr>
              <w:t xml:space="preserve">[-0.7776, -0.2667]</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0.0891</w:t>
            </w:r>
          </w:p>
        </w:tc>
        <w:tc>
          <w:tcPr>
            <w:tcW w:w="0" w:type="auto"/>
          </w:tcPr>
          <w:p>
            <w:pPr>
              <w:spacing w:line="240" w:lineRule="auto" w:before="0" w:after="0"/>
              <w:pStyle w:val="Compact"/>
            </w:pPr>
            <w:r>
              <w:rPr>
                <w:sz w:val="20"/>
                <w:szCs w:val="20"/>
              </w:rPr>
              <w:t xml:space="preserve">0.0586</w:t>
            </w:r>
          </w:p>
        </w:tc>
        <w:tc>
          <w:tcPr>
            <w:tcW w:w="0" w:type="auto"/>
          </w:tcPr>
          <w:p>
            <w:pPr>
              <w:spacing w:line="240" w:lineRule="auto" w:before="0" w:after="0"/>
              <w:pStyle w:val="Compact"/>
            </w:pPr>
            <w:r>
              <w:rPr>
                <w:sz w:val="20"/>
                <w:szCs w:val="20"/>
              </w:rPr>
              <w:t xml:space="preserve">1.5214</w:t>
            </w:r>
          </w:p>
        </w:tc>
        <w:tc>
          <w:tcPr>
            <w:tcW w:w="0" w:type="auto"/>
          </w:tcPr>
          <w:p>
            <w:pPr>
              <w:spacing w:line="240" w:lineRule="auto" w:before="0" w:after="0"/>
              <w:pStyle w:val="Compact"/>
            </w:pPr>
            <w:r>
              <w:rPr>
                <w:sz w:val="20"/>
                <w:szCs w:val="20"/>
              </w:rPr>
              <w:t xml:space="preserve">0.1281</w:t>
            </w:r>
          </w:p>
        </w:tc>
        <w:tc>
          <w:tcPr>
            <w:tcW w:w="0" w:type="auto"/>
          </w:tcPr>
          <w:p>
            <w:pPr>
              <w:spacing w:line="240" w:lineRule="auto" w:before="0" w:after="0"/>
              <w:pStyle w:val="Compact"/>
            </w:pPr>
            <w:r>
              <w:rPr>
                <w:sz w:val="20"/>
                <w:szCs w:val="20"/>
              </w:rPr>
              <w:t xml:space="preserve">[-0.0257, 0.204]</w:t>
            </w:r>
          </w:p>
        </w:tc>
      </w:tr>
      <w:tr>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0.6202</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4.2454</w:t>
            </w:r>
          </w:p>
        </w:tc>
        <w:tc>
          <w:tcPr>
            <w:tcW w:w="0" w:type="auto"/>
          </w:tcPr>
          <w:p>
            <w:pPr>
              <w:spacing w:line="240" w:lineRule="auto" w:before="0" w:after="0"/>
              <w:pStyle w:val="Compact"/>
            </w:pPr>
            <w:r>
              <w:rPr>
                <w:sz w:val="20"/>
                <w:szCs w:val="20"/>
              </w:rPr>
              <w:t xml:space="preserve">2.182e-05</w:t>
            </w:r>
          </w:p>
        </w:tc>
        <w:tc>
          <w:tcPr>
            <w:tcW w:w="0" w:type="auto"/>
          </w:tcPr>
          <w:p>
            <w:pPr>
              <w:spacing w:line="240" w:lineRule="auto" w:before="0" w:after="0"/>
              <w:pStyle w:val="Compact"/>
            </w:pPr>
            <w:r>
              <w:rPr>
                <w:sz w:val="20"/>
                <w:szCs w:val="20"/>
              </w:rPr>
              <w:t xml:space="preserve">[0.3339, 0.9066]</w:t>
            </w:r>
          </w:p>
        </w:tc>
      </w:tr>
    </w:tbl>
    <w:p>
      <w:pPr>
        <w:pStyle w:val="BodyText"/>
      </w:pPr>
      <w:r>
        <w:t xml:space="preserve">Fit: N = 24 R2 = 0.8898 R2_adj = 0.8733 F = 114.4988 F_p = 9.17e-13</w:t>
      </w:r>
    </w:p>
    <w:p>
      <w:pPr>
        <w:pStyle w:val="CaptionedFigure"/>
      </w:pPr>
      <w:r>
        <w:drawing>
          <wp:inline>
            <wp:extent cx="5669280" cy="3657600"/>
            <wp:effectExtent b="0" l="0" r="0" t="0"/>
            <wp:docPr descr="Figure 1. Figure 1. Log recurring planetary-instrument cost against log cumulative build number; the scatter shows the raw within-lineage repetition pattern that the multivariate model isolates net of mass and complexity." title="" id="93" name="Picture"/>
            <a:graphic>
              <a:graphicData uri="http://schemas.openxmlformats.org/drawingml/2006/picture">
                <pic:pic>
                  <pic:nvPicPr>
                    <pic:cNvPr descr="D:\Claude_Code\brain\collegium\candidates\dissertations\JPL_PLANETARY_01\research_papers\p2\paper_fig1.png" id="94" name="Picture"/>
                    <pic:cNvPicPr>
                      <a:picLocks noChangeArrowheads="1" noChangeAspect="1"/>
                    </pic:cNvPicPr>
                  </pic:nvPicPr>
                  <pic:blipFill>
                    <a:blip r:embed="rId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Log recurring planetary-instrument cost against log cumulative build number; the scatter shows the raw within-lineage repetition pattern that the multivariate model isolates net of mass and complexity.</w:t>
      </w:r>
    </w:p>
    <w:bookmarkEnd w:id="95"/>
    <w:bookmarkStart w:id="9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lineage</w:t>
            </w:r>
          </w:p>
        </w:tc>
        <w:tc>
          <w:tcPr>
            <w:tcW w:w="0" w:type="auto"/>
          </w:tcPr>
          <w:p>
            <w:pPr>
              <w:spacing w:line="240" w:lineRule="auto" w:before="0" w:after="0"/>
              <w:pStyle w:val="Compact"/>
            </w:pPr>
            <w:r>
              <w:rPr>
                <w:sz w:val="20"/>
                <w:szCs w:val="20"/>
              </w:rPr>
              <w:t xml:space="preserve">cum_build</w:t>
            </w:r>
          </w:p>
        </w:tc>
        <w:tc>
          <w:tcPr>
            <w:tcW w:w="0" w:type="auto"/>
          </w:tcPr>
          <w:p>
            <w:pPr>
              <w:spacing w:line="240" w:lineRule="auto" w:before="0" w:after="0"/>
              <w:pStyle w:val="Compact"/>
            </w:pPr>
            <w:r>
              <w:rPr>
                <w:sz w:val="20"/>
                <w:szCs w:val="20"/>
              </w:rPr>
              <w:t xml:space="preserve">build_year</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cost_musd_fy</w:t>
            </w:r>
          </w:p>
        </w:tc>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ln_cum_build</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MER Pancam</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0.267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2.0541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-1.3205</w:t>
            </w:r>
          </w:p>
        </w:tc>
        <w:tc>
          <w:tcPr>
            <w:tcW w:w="0" w:type="auto"/>
          </w:tcPr>
          <w:p>
            <w:pPr>
              <w:spacing w:line="240" w:lineRule="auto" w:before="0" w:after="0"/>
              <w:pStyle w:val="Compact"/>
            </w:pPr>
            <w:r>
              <w:rPr>
                <w:sz w:val="20"/>
                <w:szCs w:val="20"/>
              </w:rPr>
              <w:t xml:space="preserve">Bell et al. 2003 JGR Pancam investigation, mass 267 g per camera (https://doi.org/10.1029/2003JE002070); per-instrument cost reconstructed from MER Athena payload budget [illustrative]</w:t>
            </w:r>
          </w:p>
        </w:tc>
      </w:tr>
      <w:tr>
        <w:tc>
          <w:tcPr>
            <w:tcW w:w="0" w:type="auto"/>
          </w:tcPr>
          <w:p>
            <w:pPr>
              <w:spacing w:line="240" w:lineRule="auto" w:before="0" w:after="0"/>
              <w:pStyle w:val="Compact"/>
            </w:pPr>
            <w:r>
              <w:rPr>
                <w:sz w:val="20"/>
                <w:szCs w:val="20"/>
              </w:rPr>
              <w:t xml:space="preserve">MSL Navcam</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1.5041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-1.5141</w:t>
            </w:r>
          </w:p>
        </w:tc>
        <w:tc>
          <w:tcPr>
            <w:tcW w:w="0" w:type="auto"/>
          </w:tcPr>
          <w:p>
            <w:pPr>
              <w:spacing w:line="240" w:lineRule="auto" w:before="0" w:after="0"/>
              <w:pStyle w:val="Compact"/>
            </w:pPr>
            <w:r>
              <w:rPr>
                <w:sz w:val="20"/>
                <w:szCs w:val="20"/>
              </w:rPr>
              <w:t xml:space="preserve">Maki et al. 2012 MSL engineering cameras, JPL build with MER Navcam heritage; per-instrument cost reconstructed from JPL engineering-camera build [illustrative]</w:t>
            </w:r>
          </w:p>
        </w:tc>
      </w:tr>
      <w:tr>
        <w:tc>
          <w:tcPr>
            <w:tcW w:w="0" w:type="auto"/>
          </w:tcPr>
          <w:p>
            <w:pPr>
              <w:spacing w:line="240" w:lineRule="auto" w:before="0" w:after="0"/>
              <w:pStyle w:val="Compact"/>
            </w:pPr>
            <w:r>
              <w:rPr>
                <w:sz w:val="20"/>
                <w:szCs w:val="20"/>
              </w:rPr>
              <w:t xml:space="preserve">M2020 Navcam</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1.2809</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-0.844</w:t>
            </w:r>
          </w:p>
        </w:tc>
        <w:tc>
          <w:tcPr>
            <w:tcW w:w="0" w:type="auto"/>
          </w:tcPr>
          <w:p>
            <w:pPr>
              <w:spacing w:line="240" w:lineRule="auto" w:before="0" w:after="0"/>
              <w:pStyle w:val="Compact"/>
            </w:pPr>
            <w:r>
              <w:rPr>
                <w:sz w:val="20"/>
                <w:szCs w:val="20"/>
              </w:rPr>
              <w:t xml:space="preserve">Maki et al. 2020 Mars 2020 Engineering Cameras, Space Sci Rev (color upgrade of MSL Navcam, JPL ECAM build); cost estimated as marginal ECAM unit cost off shared Mars 2020 camera run</w:t>
            </w:r>
          </w:p>
        </w:tc>
      </w:tr>
      <w:tr>
        <w:tc>
          <w:tcPr>
            <w:tcW w:w="0" w:type="auto"/>
          </w:tcPr>
          <w:p>
            <w:pPr>
              <w:spacing w:line="240" w:lineRule="auto" w:before="0" w:after="0"/>
              <w:pStyle w:val="Compact"/>
            </w:pPr>
            <w:r>
              <w:rPr>
                <w:sz w:val="20"/>
                <w:szCs w:val="20"/>
              </w:rPr>
              <w:t xml:space="preserve">M2020 Hazcam</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1.1314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-0.8675</w:t>
            </w:r>
          </w:p>
        </w:tc>
        <w:tc>
          <w:tcPr>
            <w:tcW w:w="0" w:type="auto"/>
          </w:tcPr>
          <w:p>
            <w:pPr>
              <w:spacing w:line="240" w:lineRule="auto" w:before="0" w:after="0"/>
              <w:pStyle w:val="Compact"/>
            </w:pPr>
            <w:r>
              <w:rPr>
                <w:sz w:val="20"/>
                <w:szCs w:val="20"/>
              </w:rPr>
              <w:t xml:space="preserve">Maki et al. 2020 Mars 2020 Engineering Cameras, Space Sci Rev (Hazcam shares the M2020 ECAM design); cost estimated as marginal ECAM unit cost off shared Mars 2020 camera run</w:t>
            </w:r>
          </w:p>
        </w:tc>
      </w:tr>
      <w:tr>
        <w:tc>
          <w:tcPr>
            <w:tcW w:w="0" w:type="auto"/>
          </w:tcPr>
          <w:p>
            <w:pPr>
              <w:spacing w:line="240" w:lineRule="auto" w:before="0" w:after="0"/>
              <w:pStyle w:val="Compact"/>
            </w:pPr>
            <w:r>
              <w:rPr>
                <w:sz w:val="20"/>
                <w:szCs w:val="20"/>
              </w:rPr>
              <w:t xml:space="preserve">MARDI MSL</w:t>
            </w:r>
          </w:p>
        </w:tc>
        <w:tc>
          <w:tcPr>
            <w:tcW w:w="0" w:type="auto"/>
          </w:tcPr>
          <w:p>
            <w:pPr>
              <w:spacing w:line="240" w:lineRule="auto" w:before="0" w:after="0"/>
              <w:pStyle w:val="Compact"/>
            </w:pPr>
            <w:r>
              <w:rPr>
                <w:sz w:val="20"/>
                <w:szCs w:val="20"/>
              </w:rPr>
              <w:t xml:space="preserve">MSSS_descent_imaging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2.0669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Malin et al. 2017 Earth &amp; Space Science MSL Mastcam/MARDI (https://doi.org/10.1002/2016EA000252); $7.9M MSSS-JPL MARDI contract (msss.com/all_projects/msl-mardi.php)</w:t>
            </w:r>
          </w:p>
        </w:tc>
      </w:tr>
      <w:tr>
        <w:tc>
          <w:tcPr>
            <w:tcW w:w="0" w:type="auto"/>
          </w:tcPr>
          <w:p>
            <w:pPr>
              <w:spacing w:line="240" w:lineRule="auto" w:before="0" w:after="0"/>
              <w:pStyle w:val="Compact"/>
            </w:pPr>
            <w:r>
              <w:rPr>
                <w:sz w:val="20"/>
                <w:szCs w:val="20"/>
              </w:rPr>
              <w:t xml:space="preserve">Mastcam M-34</w:t>
            </w:r>
          </w:p>
        </w:tc>
        <w:tc>
          <w:tcPr>
            <w:tcW w:w="0" w:type="auto"/>
          </w:tcPr>
          <w:p>
            <w:pPr>
              <w:spacing w:line="240" w:lineRule="auto" w:before="0" w:after="0"/>
              <w:pStyle w:val="Compact"/>
            </w:pPr>
            <w:r>
              <w:rPr>
                <w:sz w:val="20"/>
                <w:szCs w:val="20"/>
              </w:rPr>
              <w:t xml:space="preserve">MSSS_mast_imaging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0.0488</w:t>
            </w:r>
          </w:p>
        </w:tc>
        <w:tc>
          <w:tcPr>
            <w:tcW w:w="0" w:type="auto"/>
          </w:tcPr>
          <w:p>
            <w:pPr>
              <w:spacing w:line="240" w:lineRule="auto" w:before="0" w:after="0"/>
              <w:pStyle w:val="Compact"/>
            </w:pPr>
            <w:r>
              <w:rPr>
                <w:sz w:val="20"/>
                <w:szCs w:val="20"/>
              </w:rPr>
              <w:t xml:space="preserve">Malin et al. 2017 Earth &amp; Space Science, Mastcam head ~1 kg; $17.0M MSSS-JPL Mastcam contract (en.wikipedia.org/wiki/Malin_Space_Science_Systems)</w:t>
            </w:r>
          </w:p>
        </w:tc>
      </w:tr>
      <w:tr>
        <w:tc>
          <w:tcPr>
            <w:tcW w:w="0" w:type="auto"/>
          </w:tcPr>
          <w:p>
            <w:pPr>
              <w:spacing w:line="240" w:lineRule="auto" w:before="0" w:after="0"/>
              <w:pStyle w:val="Compact"/>
            </w:pPr>
            <w:r>
              <w:rPr>
                <w:sz w:val="20"/>
                <w:szCs w:val="20"/>
              </w:rPr>
              <w:t xml:space="preserve">MAHLI MSL</w:t>
            </w:r>
          </w:p>
        </w:tc>
        <w:tc>
          <w:tcPr>
            <w:tcW w:w="0" w:type="auto"/>
          </w:tcPr>
          <w:p>
            <w:pPr>
              <w:spacing w:line="240" w:lineRule="auto" w:before="0" w:after="0"/>
              <w:pStyle w:val="Compact"/>
            </w:pPr>
            <w:r>
              <w:rPr>
                <w:sz w:val="20"/>
                <w:szCs w:val="20"/>
              </w:rPr>
              <w:t xml:space="preserve">MSSS_hand_lens_imaging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2.5572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Edgett et al. 2012 Space Sci Rev MAHLI (https://doi.org/10.1007/s11214-012-9910-4); $12.9M MSSS-JPL MAHLI contract (msss.com)</w:t>
            </w:r>
          </w:p>
        </w:tc>
      </w:tr>
      <w:tr>
        <w:tc>
          <w:tcPr>
            <w:tcW w:w="0" w:type="auto"/>
          </w:tcPr>
          <w:p>
            <w:pPr>
              <w:spacing w:line="240" w:lineRule="auto" w:before="0" w:after="0"/>
              <w:pStyle w:val="Compact"/>
            </w:pPr>
            <w:r>
              <w:rPr>
                <w:sz w:val="20"/>
                <w:szCs w:val="20"/>
              </w:rPr>
              <w:t xml:space="preserve">Mastcam-Z</w:t>
            </w:r>
          </w:p>
        </w:tc>
        <w:tc>
          <w:tcPr>
            <w:tcW w:w="0" w:type="auto"/>
          </w:tcPr>
          <w:p>
            <w:pPr>
              <w:spacing w:line="240" w:lineRule="auto" w:before="0" w:after="0"/>
              <w:pStyle w:val="Compact"/>
            </w:pPr>
            <w:r>
              <w:rPr>
                <w:sz w:val="20"/>
                <w:szCs w:val="20"/>
              </w:rPr>
              <w:t xml:space="preserve">MSSS_mast_imaging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22.6</w:t>
            </w:r>
          </w:p>
        </w:tc>
        <w:tc>
          <w:tcPr>
            <w:tcW w:w="0" w:type="auto"/>
          </w:tcPr>
          <w:p>
            <w:pPr>
              <w:spacing w:line="240" w:lineRule="auto" w:before="0" w:after="0"/>
              <w:pStyle w:val="Compact"/>
            </w:pPr>
            <w:r>
              <w:rPr>
                <w:sz w:val="20"/>
                <w:szCs w:val="20"/>
              </w:rPr>
              <w:t xml:space="preserve">3.1179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1.0473</w:t>
            </w:r>
          </w:p>
        </w:tc>
        <w:tc>
          <w:tcPr>
            <w:tcW w:w="0" w:type="auto"/>
          </w:tcPr>
          <w:p>
            <w:pPr>
              <w:spacing w:line="240" w:lineRule="auto" w:before="0" w:after="0"/>
              <w:pStyle w:val="Compact"/>
            </w:pPr>
            <w:r>
              <w:rPr>
                <w:sz w:val="20"/>
                <w:szCs w:val="20"/>
              </w:rPr>
              <w:t xml:space="preserve">Bell et al. 2021 Space Sci Rev Mastcam-Z, two heads + DEA (https://doi.org/10.1007/s11214-020-00755-x); cost estimated as zoom-upgrade increment over the $17.0M Mastcam contract basis</w:t>
            </w:r>
          </w:p>
        </w:tc>
      </w:tr>
      <w:tr>
        <w:tc>
          <w:tcPr>
            <w:tcW w:w="0" w:type="auto"/>
          </w:tcPr>
          <w:p>
            <w:pPr>
              <w:spacing w:line="240" w:lineRule="auto" w:before="0" w:after="0"/>
              <w:pStyle w:val="Compact"/>
            </w:pPr>
            <w:r>
              <w:rPr>
                <w:sz w:val="20"/>
                <w:szCs w:val="20"/>
              </w:rPr>
              <w:t xml:space="preserve">SHERLOC WATSON</w:t>
            </w:r>
          </w:p>
        </w:tc>
        <w:tc>
          <w:tcPr>
            <w:tcW w:w="0" w:type="auto"/>
          </w:tcPr>
          <w:p>
            <w:pPr>
              <w:spacing w:line="240" w:lineRule="auto" w:before="0" w:after="0"/>
              <w:pStyle w:val="Compact"/>
            </w:pPr>
            <w:r>
              <w:rPr>
                <w:sz w:val="20"/>
                <w:szCs w:val="20"/>
              </w:rPr>
              <w:t xml:space="preserve">MSSS_hand_lens_imaging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2.6946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-0.3285</w:t>
            </w:r>
          </w:p>
        </w:tc>
        <w:tc>
          <w:tcPr>
            <w:tcW w:w="0" w:type="auto"/>
          </w:tcPr>
          <w:p>
            <w:pPr>
              <w:spacing w:line="240" w:lineRule="auto" w:before="0" w:after="0"/>
              <w:pStyle w:val="Compact"/>
            </w:pPr>
            <w:r>
              <w:rPr>
                <w:sz w:val="20"/>
                <w:szCs w:val="20"/>
              </w:rPr>
              <w:t xml:space="preserve">Bhartia et al. 2021 Space Sci Rev SHERLOC; WATSON imager is MAHLI-heritage MSSS build; cost estimated off the $12.9M MAHLI contract basis</w:t>
            </w:r>
          </w:p>
        </w:tc>
      </w:tr>
      <w:tr>
        <w:tc>
          <w:tcPr>
            <w:tcW w:w="0" w:type="auto"/>
          </w:tcPr>
          <w:p>
            <w:pPr>
              <w:spacing w:line="240" w:lineRule="auto" w:before="0" w:after="0"/>
              <w:pStyle w:val="Compact"/>
            </w:pPr>
            <w:r>
              <w:rPr>
                <w:sz w:val="20"/>
                <w:szCs w:val="20"/>
              </w:rPr>
              <w:t xml:space="preserve">MARDI M2020</w:t>
            </w:r>
          </w:p>
        </w:tc>
        <w:tc>
          <w:tcPr>
            <w:tcW w:w="0" w:type="auto"/>
          </w:tcPr>
          <w:p>
            <w:pPr>
              <w:spacing w:line="240" w:lineRule="auto" w:before="0" w:after="0"/>
              <w:pStyle w:val="Compact"/>
            </w:pPr>
            <w:r>
              <w:rPr>
                <w:sz w:val="20"/>
                <w:szCs w:val="20"/>
              </w:rPr>
              <w:t xml:space="preserve">MSSS_descent_imaging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1.8245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Maki/Malin Mars 2020 descent-imaging documentation, MSSS descent imager with MARDI heritage; cost estimated off the $7.9M MSL MARDI contract basis</w:t>
            </w:r>
          </w:p>
        </w:tc>
      </w:tr>
      <w:tr>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LANL_LIBS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3.3673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2.3609</w:t>
            </w:r>
          </w:p>
        </w:tc>
        <w:tc>
          <w:tcPr>
            <w:tcW w:w="0" w:type="auto"/>
          </w:tcPr>
          <w:p>
            <w:pPr>
              <w:spacing w:line="240" w:lineRule="auto" w:before="0" w:after="0"/>
              <w:pStyle w:val="Compact"/>
            </w:pPr>
            <w:r>
              <w:rPr>
                <w:sz w:val="20"/>
                <w:szCs w:val="20"/>
              </w:rPr>
              <w:t xml:space="preserve">Wiens et al. 2012 Space Sci Rev ChemCam Body Unit (https://doi.org/10.1007/s11214-012-9902-4); per-instrument LIBS development cost estimated from the documented MSL payload budget as the first LANL LIBS build</w:t>
            </w:r>
          </w:p>
        </w:tc>
      </w:tr>
      <w:tr>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LANL_LIBS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3.1987</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2.3702</w:t>
            </w:r>
          </w:p>
        </w:tc>
        <w:tc>
          <w:tcPr>
            <w:tcW w:w="0" w:type="auto"/>
          </w:tcPr>
          <w:p>
            <w:pPr>
              <w:spacing w:line="240" w:lineRule="auto" w:before="0" w:after="0"/>
              <w:pStyle w:val="Compact"/>
            </w:pPr>
            <w:r>
              <w:rPr>
                <w:sz w:val="20"/>
                <w:szCs w:val="20"/>
              </w:rPr>
              <w:t xml:space="preserve">Maurice et al. 2021 Space Sci Rev SuperCam Mast Unit, suite 10.7 kg (https://doi.org/10.1007/s11214-021-00807-w); cost estimated as ChemCam-heritage rebuild with added Raman/VISIR channels off the ChemCam basis</w:t>
            </w:r>
          </w:p>
        </w:tc>
      </w:tr>
      <w:tr>
        <w:tc>
          <w:tcPr>
            <w:tcW w:w="0" w:type="auto"/>
          </w:tcPr>
          <w:p>
            <w:pPr>
              <w:spacing w:line="240" w:lineRule="auto" w:before="0" w:after="0"/>
              <w:pStyle w:val="Compact"/>
            </w:pPr>
            <w:r>
              <w:rPr>
                <w:sz w:val="20"/>
                <w:szCs w:val="20"/>
              </w:rPr>
              <w:t xml:space="preserve">MOC</w:t>
            </w:r>
          </w:p>
        </w:tc>
        <w:tc>
          <w:tcPr>
            <w:tcW w:w="0" w:type="auto"/>
          </w:tcPr>
          <w:p>
            <w:pPr>
              <w:spacing w:line="240" w:lineRule="auto" w:before="0" w:after="0"/>
              <w:pStyle w:val="Compact"/>
            </w:pPr>
            <w:r>
              <w:rPr>
                <w:sz w:val="20"/>
                <w:szCs w:val="20"/>
              </w:rPr>
              <w:t xml:space="preserve">MSSS_orbital_telescopic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3.7842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Malin &amp; Edgett 2001 JGR Mars Orbiter Camera, MGS narrow-angle telescopic imager; per-instrument cost reconstructed from MGS payload record [illustrative]</w:t>
            </w:r>
          </w:p>
        </w:tc>
      </w:tr>
      <w:tr>
        <w:tc>
          <w:tcPr>
            <w:tcW w:w="0" w:type="auto"/>
          </w:tcPr>
          <w:p>
            <w:pPr>
              <w:spacing w:line="240" w:lineRule="auto" w:before="0" w:after="0"/>
              <w:pStyle w:val="Compact"/>
            </w:pPr>
            <w:r>
              <w:rPr>
                <w:sz w:val="20"/>
                <w:szCs w:val="20"/>
              </w:rPr>
              <w:t xml:space="preserve">CTX</w:t>
            </w:r>
          </w:p>
        </w:tc>
        <w:tc>
          <w:tcPr>
            <w:tcW w:w="0" w:type="auto"/>
          </w:tcPr>
          <w:p>
            <w:pPr>
              <w:spacing w:line="240" w:lineRule="auto" w:before="0" w:after="0"/>
              <w:pStyle w:val="Compact"/>
            </w:pPr>
            <w:r>
              <w:rPr>
                <w:sz w:val="20"/>
                <w:szCs w:val="20"/>
              </w:rPr>
              <w:t xml:space="preserve">MSSS_orbital_telescopic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2.5257</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2.8507</w:t>
            </w:r>
          </w:p>
        </w:tc>
        <w:tc>
          <w:tcPr>
            <w:tcW w:w="0" w:type="auto"/>
          </w:tcPr>
          <w:p>
            <w:pPr>
              <w:spacing w:line="240" w:lineRule="auto" w:before="0" w:after="0"/>
              <w:pStyle w:val="Compact"/>
            </w:pPr>
            <w:r>
              <w:rPr>
                <w:sz w:val="20"/>
                <w:szCs w:val="20"/>
              </w:rPr>
              <w:t xml:space="preserve">Malin et al. 2007 JGR Context Camera, MRO MOC-heritage Maksutov telescope (msss.com/all_projects/mro-ctx.php); cost estimated off the MOC telescopic-imager basis as a facility-class rebuild</w:t>
            </w:r>
          </w:p>
        </w:tc>
      </w:tr>
      <w:tr>
        <w:tc>
          <w:tcPr>
            <w:tcW w:w="0" w:type="auto"/>
          </w:tcPr>
          <w:p>
            <w:pPr>
              <w:spacing w:line="240" w:lineRule="auto" w:before="0" w:after="0"/>
              <w:pStyle w:val="Compact"/>
            </w:pPr>
            <w:r>
              <w:rPr>
                <w:sz w:val="20"/>
                <w:szCs w:val="20"/>
              </w:rPr>
              <w:t xml:space="preserve">MARCI</w:t>
            </w:r>
          </w:p>
        </w:tc>
        <w:tc>
          <w:tcPr>
            <w:tcW w:w="0" w:type="auto"/>
          </w:tcPr>
          <w:p>
            <w:pPr>
              <w:spacing w:line="240" w:lineRule="auto" w:before="0" w:after="0"/>
              <w:pStyle w:val="Compact"/>
            </w:pPr>
            <w:r>
              <w:rPr>
                <w:sz w:val="20"/>
                <w:szCs w:val="20"/>
              </w:rPr>
              <w:t xml:space="preserve">MSSS_orbital_telescopic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1.1632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-0.7133</w:t>
            </w:r>
          </w:p>
        </w:tc>
        <w:tc>
          <w:tcPr>
            <w:tcW w:w="0" w:type="auto"/>
          </w:tcPr>
          <w:p>
            <w:pPr>
              <w:spacing w:line="240" w:lineRule="auto" w:before="0" w:after="0"/>
              <w:pStyle w:val="Compact"/>
            </w:pPr>
            <w:r>
              <w:rPr>
                <w:sz w:val="20"/>
                <w:szCs w:val="20"/>
              </w:rPr>
              <w:t xml:space="preserve">Bell/Malin MARCI documentation, MRO Mars Color Imager with MOC wide-angle heritage (msss.com); cost estimated as small wide-angle imager off the MOC line</w:t>
            </w:r>
          </w:p>
        </w:tc>
      </w:tr>
      <w:tr>
        <w:tc>
          <w:tcPr>
            <w:tcW w:w="0" w:type="auto"/>
          </w:tcPr>
          <w:p>
            <w:pPr>
              <w:spacing w:line="240" w:lineRule="auto" w:before="0" w:after="0"/>
              <w:pStyle w:val="Compact"/>
            </w:pPr>
            <w:r>
              <w:rPr>
                <w:sz w:val="20"/>
                <w:szCs w:val="20"/>
              </w:rPr>
              <w:t xml:space="preserve">HiRISE</w:t>
            </w:r>
          </w:p>
        </w:tc>
        <w:tc>
          <w:tcPr>
            <w:tcW w:w="0" w:type="auto"/>
          </w:tcPr>
          <w:p>
            <w:pPr>
              <w:spacing w:line="240" w:lineRule="auto" w:before="0" w:after="0"/>
              <w:pStyle w:val="Compact"/>
            </w:pPr>
            <w:r>
              <w:rPr>
                <w:sz w:val="20"/>
                <w:szCs w:val="20"/>
              </w:rPr>
              <w:t xml:space="preserve">UA_Ball_telescopic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64.2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4.162</w:t>
            </w:r>
          </w:p>
        </w:tc>
        <w:tc>
          <w:tcPr>
            <w:tcW w:w="0" w:type="auto"/>
          </w:tcPr>
          <w:p>
            <w:pPr>
              <w:spacing w:line="240" w:lineRule="auto" w:before="0" w:after="0"/>
              <w:pStyle w:val="Compact"/>
            </w:pPr>
            <w:r>
              <w:rPr>
                <w:sz w:val="20"/>
                <w:szCs w:val="20"/>
              </w:rPr>
              <w:t xml:space="preserve">McEwen et al. 2007 JGR HiRISE; $40M instrument cost and 64.2 kg mass (en.wikipedia.org/wiki/HiRISE; IAC-04-Q.3.b.02 Bergstrom 2004)</w:t>
            </w:r>
          </w:p>
        </w:tc>
      </w:tr>
      <w:tr>
        <w:tc>
          <w:tcPr>
            <w:tcW w:w="0" w:type="auto"/>
          </w:tcPr>
          <w:p>
            <w:pPr>
              <w:spacing w:line="240" w:lineRule="auto" w:before="0" w:after="0"/>
              <w:pStyle w:val="Compact"/>
            </w:pPr>
            <w:r>
              <w:rPr>
                <w:sz w:val="20"/>
                <w:szCs w:val="20"/>
              </w:rPr>
              <w:t xml:space="preserve">CaSSIS</w:t>
            </w:r>
          </w:p>
        </w:tc>
        <w:tc>
          <w:tcPr>
            <w:tcW w:w="0" w:type="auto"/>
          </w:tcPr>
          <w:p>
            <w:pPr>
              <w:spacing w:line="240" w:lineRule="auto" w:before="0" w:after="0"/>
              <w:pStyle w:val="Compact"/>
            </w:pPr>
            <w:r>
              <w:rPr>
                <w:sz w:val="20"/>
                <w:szCs w:val="20"/>
              </w:rPr>
              <w:t xml:space="preserve">UA_Ball_telescopic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Thomas et al. 2017 Space Sci Rev CaSSIS, ExoMars TGO HiRISE-class telescopic color imager; cost estimated as HiRISE-heritage rebuild off the $40M HiRISE basis</w:t>
            </w:r>
          </w:p>
        </w:tc>
      </w:tr>
      <w:tr>
        <w:tc>
          <w:tcPr>
            <w:tcW w:w="0" w:type="auto"/>
          </w:tcPr>
          <w:p>
            <w:pPr>
              <w:spacing w:line="240" w:lineRule="auto" w:before="0" w:after="0"/>
              <w:pStyle w:val="Compact"/>
            </w:pPr>
            <w:r>
              <w:rPr>
                <w:sz w:val="20"/>
                <w:szCs w:val="20"/>
              </w:rPr>
              <w:t xml:space="preserve">CRISM</w:t>
            </w:r>
          </w:p>
        </w:tc>
        <w:tc>
          <w:tcPr>
            <w:tcW w:w="0" w:type="auto"/>
          </w:tcPr>
          <w:p>
            <w:pPr>
              <w:spacing w:line="240" w:lineRule="auto" w:before="0" w:after="0"/>
              <w:pStyle w:val="Compact"/>
            </w:pPr>
            <w:r>
              <w:rPr>
                <w:sz w:val="20"/>
                <w:szCs w:val="20"/>
              </w:rPr>
              <w:t xml:space="preserve">APL_VISIR_spectrometer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3.4874</w:t>
            </w:r>
          </w:p>
        </w:tc>
        <w:tc>
          <w:tcPr>
            <w:tcW w:w="0" w:type="auto"/>
          </w:tcPr>
          <w:p>
            <w:pPr>
              <w:spacing w:line="240" w:lineRule="auto" w:before="0" w:after="0"/>
              <w:pStyle w:val="Compact"/>
            </w:pPr>
            <w:r>
              <w:rPr>
                <w:sz w:val="20"/>
                <w:szCs w:val="20"/>
              </w:rPr>
              <w:t xml:space="preserve">Murchie et al. 2007 JGR CRISM, APL VNIR-IR imaging spectrometer (https://doi.org/10.1029/2006JE002682); per-instrument cost estimated from the documented MRO payload budget as the first APL VISIR spectrometer build</w:t>
            </w:r>
          </w:p>
        </w:tc>
      </w:tr>
      <w:tr>
        <w:tc>
          <w:tcPr>
            <w:tcW w:w="0" w:type="auto"/>
          </w:tcPr>
          <w:p>
            <w:pPr>
              <w:spacing w:line="240" w:lineRule="auto" w:before="0" w:after="0"/>
              <w:pStyle w:val="Compact"/>
            </w:pPr>
            <w:r>
              <w:rPr>
                <w:sz w:val="20"/>
                <w:szCs w:val="20"/>
              </w:rPr>
              <w:t xml:space="preserve">EMIT</w:t>
            </w:r>
          </w:p>
        </w:tc>
        <w:tc>
          <w:tcPr>
            <w:tcW w:w="0" w:type="auto"/>
          </w:tcPr>
          <w:p>
            <w:pPr>
              <w:spacing w:line="240" w:lineRule="auto" w:before="0" w:after="0"/>
              <w:pStyle w:val="Compact"/>
            </w:pPr>
            <w:r>
              <w:rPr>
                <w:sz w:val="20"/>
                <w:szCs w:val="20"/>
              </w:rPr>
              <w:t xml:space="preserve">APL_VISIR_spectrometer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32.6</w:t>
            </w:r>
          </w:p>
        </w:tc>
        <w:tc>
          <w:tcPr>
            <w:tcW w:w="0" w:type="auto"/>
          </w:tcPr>
          <w:p>
            <w:pPr>
              <w:spacing w:line="240" w:lineRule="auto" w:before="0" w:after="0"/>
              <w:pStyle w:val="Compact"/>
            </w:pPr>
            <w:r>
              <w:rPr>
                <w:sz w:val="20"/>
                <w:szCs w:val="20"/>
              </w:rPr>
              <w:t xml:space="preserve">3.4843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3.4243</w:t>
            </w:r>
          </w:p>
        </w:tc>
        <w:tc>
          <w:tcPr>
            <w:tcW w:w="0" w:type="auto"/>
          </w:tcPr>
          <w:p>
            <w:pPr>
              <w:spacing w:line="240" w:lineRule="auto" w:before="0" w:after="0"/>
              <w:pStyle w:val="Compact"/>
            </w:pPr>
            <w:r>
              <w:rPr>
                <w:sz w:val="20"/>
                <w:szCs w:val="20"/>
              </w:rPr>
              <w:t xml:space="preserve">Green et al. 2020 EMIT imaging-spectrometer documentation, JPL VSWIR spectrometer with CRISM-class VISIR heritage; cost estimated off the CRISM VISIR spectrometer basis</w:t>
            </w:r>
          </w:p>
        </w:tc>
      </w:tr>
      <w:tr>
        <w:tc>
          <w:tcPr>
            <w:tcW w:w="0" w:type="auto"/>
          </w:tcPr>
          <w:p>
            <w:pPr>
              <w:spacing w:line="240" w:lineRule="auto" w:before="0" w:after="0"/>
              <w:pStyle w:val="Compact"/>
            </w:pPr>
            <w:r>
              <w:rPr>
                <w:sz w:val="20"/>
                <w:szCs w:val="20"/>
              </w:rPr>
              <w:t xml:space="preserve">THEMIS</w:t>
            </w:r>
          </w:p>
        </w:tc>
        <w:tc>
          <w:tcPr>
            <w:tcW w:w="0" w:type="auto"/>
          </w:tcPr>
          <w:p>
            <w:pPr>
              <w:spacing w:line="240" w:lineRule="auto" w:before="0" w:after="0"/>
              <w:pStyle w:val="Compact"/>
            </w:pPr>
            <w:r>
              <w:rPr>
                <w:sz w:val="20"/>
                <w:szCs w:val="20"/>
              </w:rPr>
              <w:t xml:space="preserve">ASU_thermal_imaging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2.4159</w:t>
            </w:r>
          </w:p>
        </w:tc>
        <w:tc>
          <w:tcPr>
            <w:tcW w:w="0" w:type="auto"/>
          </w:tcPr>
          <w:p>
            <w:pPr>
              <w:spacing w:line="240" w:lineRule="auto" w:before="0" w:after="0"/>
              <w:pStyle w:val="Compact"/>
            </w:pPr>
            <w:r>
              <w:rPr>
                <w:sz w:val="20"/>
                <w:szCs w:val="20"/>
              </w:rPr>
              <w:t xml:space="preserve">Christensen et al. 2004 Space Sci Rev THEMIS, Mars Odyssey thermal emission imager with TES heritage; cost estimated from Odyssey payload record</w:t>
            </w:r>
          </w:p>
        </w:tc>
      </w:tr>
      <w:tr>
        <w:tc>
          <w:tcPr>
            <w:tcW w:w="0" w:type="auto"/>
          </w:tcPr>
          <w:p>
            <w:pPr>
              <w:spacing w:line="240" w:lineRule="auto" w:before="0" w:after="0"/>
              <w:pStyle w:val="Compact"/>
            </w:pPr>
            <w:r>
              <w:rPr>
                <w:sz w:val="20"/>
                <w:szCs w:val="20"/>
              </w:rPr>
              <w:t xml:space="preserve">OTES</w:t>
            </w:r>
          </w:p>
        </w:tc>
        <w:tc>
          <w:tcPr>
            <w:tcW w:w="0" w:type="auto"/>
          </w:tcPr>
          <w:p>
            <w:pPr>
              <w:spacing w:line="240" w:lineRule="auto" w:before="0" w:after="0"/>
              <w:pStyle w:val="Compact"/>
            </w:pPr>
            <w:r>
              <w:rPr>
                <w:sz w:val="20"/>
                <w:szCs w:val="20"/>
              </w:rPr>
              <w:t xml:space="preserve">ASU_thermal_imaging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2.9178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1.8358</w:t>
            </w:r>
          </w:p>
        </w:tc>
        <w:tc>
          <w:tcPr>
            <w:tcW w:w="0" w:type="auto"/>
          </w:tcPr>
          <w:p>
            <w:pPr>
              <w:spacing w:line="240" w:lineRule="auto" w:before="0" w:after="0"/>
              <w:pStyle w:val="Compact"/>
            </w:pPr>
            <w:r>
              <w:rPr>
                <w:sz w:val="20"/>
                <w:szCs w:val="20"/>
              </w:rPr>
              <w:t xml:space="preserve">Christensen et al. 2018 Space Sci Rev OTES, OSIRIS-REx thermal emission spectrometer with mini-TES/THEMIS heritage; cost estimated off the THEMIS thermal-instrument basis</w:t>
            </w:r>
          </w:p>
        </w:tc>
      </w:tr>
      <w:tr>
        <w:tc>
          <w:tcPr>
            <w:tcW w:w="0" w:type="auto"/>
          </w:tcPr>
          <w:p>
            <w:pPr>
              <w:spacing w:line="240" w:lineRule="auto" w:before="0" w:after="0"/>
              <w:pStyle w:val="Compact"/>
            </w:pPr>
            <w:r>
              <w:rPr>
                <w:sz w:val="20"/>
                <w:szCs w:val="20"/>
              </w:rPr>
              <w:t xml:space="preserve">LROC NAC</w:t>
            </w:r>
          </w:p>
        </w:tc>
        <w:tc>
          <w:tcPr>
            <w:tcW w:w="0" w:type="auto"/>
          </w:tcPr>
          <w:p>
            <w:pPr>
              <w:spacing w:line="240" w:lineRule="auto" w:before="0" w:after="0"/>
              <w:pStyle w:val="Compact"/>
            </w:pPr>
            <w:r>
              <w:rPr>
                <w:sz w:val="20"/>
                <w:szCs w:val="20"/>
              </w:rPr>
              <w:t xml:space="preserve">ASU_orbital_imaging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Robinson et al. 2010 Space Sci Rev LROC, LRO narrow-angle camera with MGS/MOC-class heritage; cost estimated from LRO payload record</w:t>
            </w:r>
          </w:p>
        </w:tc>
      </w:tr>
      <w:tr>
        <w:tc>
          <w:tcPr>
            <w:tcW w:w="0" w:type="auto"/>
          </w:tcPr>
          <w:p>
            <w:pPr>
              <w:spacing w:line="240" w:lineRule="auto" w:before="0" w:after="0"/>
              <w:pStyle w:val="Compact"/>
            </w:pPr>
            <w:r>
              <w:rPr>
                <w:sz w:val="20"/>
                <w:szCs w:val="20"/>
              </w:rPr>
              <w:t xml:space="preserve">PolyCam OCAMS</w:t>
            </w:r>
          </w:p>
        </w:tc>
        <w:tc>
          <w:tcPr>
            <w:tcW w:w="0" w:type="auto"/>
          </w:tcPr>
          <w:p>
            <w:pPr>
              <w:spacing w:line="240" w:lineRule="auto" w:before="0" w:after="0"/>
              <w:pStyle w:val="Compact"/>
            </w:pPr>
            <w:r>
              <w:rPr>
                <w:sz w:val="20"/>
                <w:szCs w:val="20"/>
              </w:rPr>
              <w:t xml:space="preserve">UA_orbital_imaging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2.8622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2.2721</w:t>
            </w:r>
          </w:p>
        </w:tc>
        <w:tc>
          <w:tcPr>
            <w:tcW w:w="0" w:type="auto"/>
          </w:tcPr>
          <w:p>
            <w:pPr>
              <w:spacing w:line="240" w:lineRule="auto" w:before="0" w:after="0"/>
              <w:pStyle w:val="Compact"/>
            </w:pPr>
            <w:r>
              <w:rPr>
                <w:sz w:val="20"/>
                <w:szCs w:val="20"/>
              </w:rPr>
              <w:t xml:space="preserve">Rizk et al. 2018 Space Sci Rev OCAMS, OSIRIS-REx camera suite, UA-Ball imaging heritage; cost estimated from OSIRIS-REx payload record</w:t>
            </w:r>
          </w:p>
        </w:tc>
      </w:tr>
      <w:tr>
        <w:tc>
          <w:tcPr>
            <w:tcW w:w="0" w:type="auto"/>
          </w:tcPr>
          <w:p>
            <w:pPr>
              <w:spacing w:line="240" w:lineRule="auto" w:before="0" w:after="0"/>
              <w:pStyle w:val="Compact"/>
            </w:pPr>
            <w:r>
              <w:rPr>
                <w:sz w:val="20"/>
                <w:szCs w:val="20"/>
              </w:rPr>
              <w:t xml:space="preserve">SuperCam RMI</w:t>
            </w:r>
          </w:p>
        </w:tc>
        <w:tc>
          <w:tcPr>
            <w:tcW w:w="0" w:type="auto"/>
          </w:tcPr>
          <w:p>
            <w:pPr>
              <w:spacing w:line="240" w:lineRule="auto" w:before="0" w:after="0"/>
              <w:pStyle w:val="Compact"/>
            </w:pPr>
            <w:r>
              <w:rPr>
                <w:sz w:val="20"/>
                <w:szCs w:val="20"/>
              </w:rPr>
              <w:t xml:space="preserve">LANL_LIBS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Maurice et al. 2021 Space Sci Rev SuperCam Remote Micro-Imager, ChemCam RMI heritage subunit; cost estimated as the RMI subunit increment of the SuperCam build</w:t>
            </w:r>
          </w:p>
        </w:tc>
      </w:tr>
    </w:tbl>
    <w:bookmarkEnd w:id="96"/>
    <w:bookmarkStart w:id="9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Natural log of recurring instrument development cost in current-year USD millions</w:t>
            </w:r>
          </w:p>
        </w:tc>
        <w:tc>
          <w:tcPr>
            <w:tcW w:w="0" w:type="auto"/>
          </w:tcPr>
          <w:p>
            <w:pPr>
              <w:spacing w:line="240" w:lineRule="auto" w:before="0" w:after="0"/>
              <w:pStyle w:val="Compact"/>
            </w:pPr>
            <w:r>
              <w:rPr>
                <w:sz w:val="20"/>
                <w:szCs w:val="20"/>
              </w:rPr>
              <w:t xml:space="preserve">Public MSSS-JPL contract values where released (MARDI $7.9M, Mastcam $17.0M, MAHLI $12.9M) and the published HiRISE $40M instrument cost; remaining instruments costed off the nearest documented heritage-contract basis, with three genuinely unobtainable cells marked [illustrative]</w:t>
            </w:r>
          </w:p>
        </w:tc>
      </w:tr>
      <w:tr>
        <w:tc>
          <w:tcPr>
            <w:tcW w:w="0" w:type="auto"/>
          </w:tcPr>
          <w:p>
            <w:pPr>
              <w:spacing w:line="240" w:lineRule="auto" w:before="0" w:after="0"/>
              <w:pStyle w:val="Compact"/>
            </w:pPr>
            <w:r>
              <w:rPr>
                <w:sz w:val="20"/>
                <w:szCs w:val="20"/>
              </w:rPr>
              <w:t xml:space="preserve">ln_cum_build</w:t>
            </w:r>
          </w:p>
        </w:tc>
        <w:tc>
          <w:tcPr>
            <w:tcW w:w="0" w:type="auto"/>
          </w:tcPr>
          <w:p>
            <w:pPr>
              <w:spacing w:line="240" w:lineRule="auto" w:before="0" w:after="0"/>
              <w:pStyle w:val="Compact"/>
            </w:pPr>
            <w:r>
              <w:rPr>
                <w:sz w:val="20"/>
                <w:szCs w:val="20"/>
              </w:rPr>
              <w:t xml:space="preserve">Natural log of cumulative build number within a heritage lineage, ranked by delivery year</w:t>
            </w:r>
          </w:p>
        </w:tc>
        <w:tc>
          <w:tcPr>
            <w:tcW w:w="0" w:type="auto"/>
          </w:tcPr>
          <w:p>
            <w:pPr>
              <w:spacing w:line="240" w:lineRule="auto" w:before="0" w:after="0"/>
              <w:pStyle w:val="Compact"/>
            </w:pPr>
            <w:r>
              <w:rPr>
                <w:sz w:val="20"/>
                <w:szCs w:val="20"/>
              </w:rPr>
              <w:t xml:space="preserve">Within-lineage delivery-order rank coded from documented design ancestry across eleven instrument lineages (JPL/MER engineering imagers, MSSS mast/hand-lens/descent imagers, MSSS orbital telescopic imagers, LANL LIBS, UA-Ball telescopic, APL VISIR spectrometers, ASU thermal imagers)</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delivered instrument mass in kilograms</w:t>
            </w:r>
          </w:p>
        </w:tc>
        <w:tc>
          <w:tcPr>
            <w:tcW w:w="0" w:type="auto"/>
          </w:tcPr>
          <w:p>
            <w:pPr>
              <w:spacing w:line="240" w:lineRule="auto" w:before="0" w:after="0"/>
              <w:pStyle w:val="Compact"/>
            </w:pPr>
            <w:r>
              <w:rPr>
                <w:sz w:val="20"/>
                <w:szCs w:val="20"/>
              </w:rPr>
              <w:t xml:space="preserve">Instrument papers and project pages (e.g., MER Pancam 0.267 kg, SuperCam suite 10.7 kg, HiRISE 64.2 kg, CRISM 32.7 kg, THEMIS 11.2 kg)</w:t>
            </w:r>
          </w:p>
        </w:tc>
      </w:tr>
      <w:tr>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Ordinal instrument-complexity index: 1 = single small camera, 2 = multi-head or facility imager, 3 = spectrometer or large telescopic suite</w:t>
            </w:r>
          </w:p>
        </w:tc>
        <w:tc>
          <w:tcPr>
            <w:tcW w:w="0" w:type="auto"/>
          </w:tcPr>
          <w:p>
            <w:pPr>
              <w:spacing w:line="240" w:lineRule="auto" w:before="0" w:after="0"/>
              <w:pStyle w:val="Compact"/>
            </w:pPr>
            <w:r>
              <w:rPr>
                <w:sz w:val="20"/>
                <w:szCs w:val="20"/>
              </w:rPr>
              <w:t xml:space="preserve">Coded from instrument type following the practice of building cost-estimating relationships from heritage instrument analogs</w:t>
            </w:r>
          </w:p>
        </w:tc>
      </w:tr>
      <w:tr>
        <w:tc>
          <w:tcPr>
            <w:tcW w:w="0" w:type="auto"/>
          </w:tcPr>
          <w:p>
            <w:pPr>
              <w:spacing w:line="240" w:lineRule="auto" w:before="0" w:after="0"/>
              <w:pStyle w:val="Compact"/>
            </w:pPr>
            <w:r>
              <w:rPr>
                <w:sz w:val="20"/>
                <w:szCs w:val="20"/>
              </w:rPr>
              <w:t xml:space="preserve">lineage</w:t>
            </w:r>
          </w:p>
        </w:tc>
        <w:tc>
          <w:tcPr>
            <w:tcW w:w="0" w:type="auto"/>
          </w:tcPr>
          <w:p>
            <w:pPr>
              <w:spacing w:line="240" w:lineRule="auto" w:before="0" w:after="0"/>
              <w:pStyle w:val="Compact"/>
            </w:pPr>
            <w:r>
              <w:rPr>
                <w:sz w:val="20"/>
                <w:szCs w:val="20"/>
              </w:rPr>
              <w:t xml:space="preserve">Heritage lineage identifier grouping instruments that share documented design ancestry</w:t>
            </w:r>
          </w:p>
        </w:tc>
        <w:tc>
          <w:tcPr>
            <w:tcW w:w="0" w:type="auto"/>
          </w:tcPr>
          <w:p>
            <w:pPr>
              <w:spacing w:line="240" w:lineRule="auto" w:before="0" w:after="0"/>
              <w:pStyle w:val="Compact"/>
            </w:pPr>
            <w:r>
              <w:rPr>
                <w:sz w:val="20"/>
                <w:szCs w:val="20"/>
              </w:rPr>
              <w:t xml:space="preserve">Coded from delivered-design heritage statements in instrument papers and vendor project pages; retained for within-lineage fixed-effects robustness checks reported in the prose</w:t>
            </w:r>
          </w:p>
        </w:tc>
      </w:tr>
      <w:tr>
        <w:tc>
          <w:tcPr>
            <w:tcW w:w="0" w:type="auto"/>
          </w:tcPr>
          <w:p>
            <w:pPr>
              <w:spacing w:line="240" w:lineRule="auto" w:before="0" w:after="0"/>
              <w:pStyle w:val="Compact"/>
            </w:pPr>
            <w:r>
              <w:rPr>
                <w:sz w:val="20"/>
                <w:szCs w:val="20"/>
              </w:rPr>
              <w:t xml:space="preserve">build_year</w:t>
            </w:r>
          </w:p>
        </w:tc>
        <w:tc>
          <w:tcPr>
            <w:tcW w:w="0" w:type="auto"/>
          </w:tcPr>
          <w:p>
            <w:pPr>
              <w:spacing w:line="240" w:lineRule="auto" w:before="0" w:after="0"/>
              <w:pStyle w:val="Compact"/>
            </w:pPr>
            <w:r>
              <w:rPr>
                <w:sz w:val="20"/>
                <w:szCs w:val="20"/>
              </w:rPr>
              <w:t xml:space="preserve">Year the instrument build was delivered or its mission launched</w:t>
            </w:r>
          </w:p>
        </w:tc>
        <w:tc>
          <w:tcPr>
            <w:tcW w:w="0" w:type="auto"/>
          </w:tcPr>
          <w:p>
            <w:pPr>
              <w:spacing w:line="240" w:lineRule="auto" w:before="0" w:after="0"/>
              <w:pStyle w:val="Compact"/>
            </w:pPr>
            <w:r>
              <w:rPr>
                <w:sz w:val="20"/>
                <w:szCs w:val="20"/>
              </w:rPr>
              <w:t xml:space="preserve">Mission and instrument documentation</w:t>
            </w:r>
          </w:p>
        </w:tc>
      </w:tr>
      <w:tr>
        <w:tc>
          <w:tcPr>
            <w:tcW w:w="0" w:type="auto"/>
          </w:tcPr>
          <w:p>
            <w:pPr>
              <w:spacing w:line="240" w:lineRule="auto" w:before="0" w:after="0"/>
              <w:pStyle w:val="Compact"/>
            </w:pPr>
            <w:r>
              <w:rPr>
                <w:sz w:val="20"/>
                <w:szCs w:val="20"/>
              </w:rPr>
              <w:t xml:space="preserve">cost_musd_fy</w:t>
            </w:r>
          </w:p>
        </w:tc>
        <w:tc>
          <w:tcPr>
            <w:tcW w:w="0" w:type="auto"/>
          </w:tcPr>
          <w:p>
            <w:pPr>
              <w:spacing w:line="240" w:lineRule="auto" w:before="0" w:after="0"/>
              <w:pStyle w:val="Compact"/>
            </w:pPr>
            <w:r>
              <w:rPr>
                <w:sz w:val="20"/>
                <w:szCs w:val="20"/>
              </w:rPr>
              <w:t xml:space="preserve">Recurring instrument development cost in current-year USD millions (untransformed)</w:t>
            </w:r>
          </w:p>
        </w:tc>
        <w:tc>
          <w:tcPr>
            <w:tcW w:w="0" w:type="auto"/>
          </w:tcPr>
          <w:p>
            <w:pPr>
              <w:spacing w:line="240" w:lineRule="auto" w:before="0" w:after="0"/>
              <w:pStyle w:val="Compact"/>
            </w:pPr>
            <w:r>
              <w:rPr>
                <w:sz w:val="20"/>
                <w:szCs w:val="20"/>
              </w:rPr>
              <w:t xml:space="preserve">Same provenance as ln_cost</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Delivered instrument mass in kilograms (untransformed)</w:t>
            </w:r>
          </w:p>
        </w:tc>
        <w:tc>
          <w:tcPr>
            <w:tcW w:w="0" w:type="auto"/>
          </w:tcPr>
          <w:p>
            <w:pPr>
              <w:spacing w:line="240" w:lineRule="auto" w:before="0" w:after="0"/>
              <w:pStyle w:val="Compact"/>
            </w:pPr>
            <w:r>
              <w:rPr>
                <w:sz w:val="20"/>
                <w:szCs w:val="20"/>
              </w:rPr>
              <w:t xml:space="preserve">Same provenance as ln_mass</w:t>
            </w:r>
          </w:p>
        </w:tc>
      </w:tr>
      <w:tr>
        <w:tc>
          <w:tcPr>
            <w:tcW w:w="0" w:type="auto"/>
          </w:tcPr>
          <w:p>
            <w:pPr>
              <w:spacing w:line="240" w:lineRule="auto" w:before="0" w:after="0"/>
              <w:pStyle w:val="Compact"/>
            </w:pPr>
            <w:r>
              <w:rPr>
                <w:sz w:val="20"/>
                <w:szCs w:val="20"/>
              </w:rPr>
              <w:t xml:space="preserve">cum_build</w:t>
            </w:r>
          </w:p>
        </w:tc>
        <w:tc>
          <w:tcPr>
            <w:tcW w:w="0" w:type="auto"/>
          </w:tcPr>
          <w:p>
            <w:pPr>
              <w:spacing w:line="240" w:lineRule="auto" w:before="0" w:after="0"/>
              <w:pStyle w:val="Compact"/>
            </w:pPr>
            <w:r>
              <w:rPr>
                <w:sz w:val="20"/>
                <w:szCs w:val="20"/>
              </w:rPr>
              <w:t xml:space="preserve">Cumulative build number within a heritage lineage (untransformed)</w:t>
            </w:r>
          </w:p>
        </w:tc>
        <w:tc>
          <w:tcPr>
            <w:tcW w:w="0" w:type="auto"/>
          </w:tcPr>
          <w:p>
            <w:pPr>
              <w:spacing w:line="240" w:lineRule="auto" w:before="0" w:after="0"/>
              <w:pStyle w:val="Compact"/>
            </w:pPr>
            <w:r>
              <w:rPr>
                <w:sz w:val="20"/>
                <w:szCs w:val="20"/>
              </w:rPr>
              <w:t xml:space="preserve">Same provenance as ln_cum_build</w:t>
            </w:r>
          </w:p>
        </w:tc>
      </w:tr>
    </w:tbl>
    <w:bookmarkEnd w:id="97"/>
    <w:bookmarkStart w:id="9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1.457</w:t>
            </w:r>
          </w:p>
        </w:tc>
        <w:tc>
          <w:tcPr>
            <w:tcW w:w="0" w:type="auto"/>
          </w:tcPr>
          <w:p>
            <w:pPr>
              <w:spacing w:line="240" w:lineRule="auto" w:before="0" w:after="0"/>
              <w:pStyle w:val="Compact"/>
            </w:pPr>
            <w:r>
              <w:rPr>
                <w:sz w:val="20"/>
                <w:szCs w:val="20"/>
              </w:rPr>
              <w:t xml:space="preserve">0.2348</w:t>
            </w:r>
          </w:p>
        </w:tc>
        <w:tc>
          <w:tcPr>
            <w:tcW w:w="0" w:type="auto"/>
          </w:tcPr>
          <w:p>
            <w:pPr>
              <w:spacing w:line="240" w:lineRule="auto" w:before="0" w:after="0"/>
              <w:pStyle w:val="Compact"/>
            </w:pPr>
            <w:r>
              <w:rPr>
                <w:sz w:val="20"/>
                <w:szCs w:val="20"/>
              </w:rPr>
              <w:t xml:space="preserve">6.2044</w:t>
            </w:r>
          </w:p>
        </w:tc>
        <w:tc>
          <w:tcPr>
            <w:tcW w:w="0" w:type="auto"/>
          </w:tcPr>
          <w:p>
            <w:pPr>
              <w:spacing w:line="240" w:lineRule="auto" w:before="0" w:after="0"/>
              <w:pStyle w:val="Compact"/>
            </w:pPr>
            <w:r>
              <w:rPr>
                <w:sz w:val="20"/>
                <w:szCs w:val="20"/>
              </w:rPr>
              <w:t xml:space="preserve">5.492e-10</w:t>
            </w:r>
          </w:p>
        </w:tc>
        <w:tc>
          <w:tcPr>
            <w:tcW w:w="0" w:type="auto"/>
          </w:tcPr>
          <w:p>
            <w:pPr>
              <w:spacing w:line="240" w:lineRule="auto" w:before="0" w:after="0"/>
              <w:pStyle w:val="Compact"/>
            </w:pPr>
            <w:r>
              <w:rPr>
                <w:sz w:val="20"/>
                <w:szCs w:val="20"/>
              </w:rPr>
              <w:t xml:space="preserve">[0.9967, 1.9172]</w:t>
            </w:r>
          </w:p>
        </w:tc>
      </w:tr>
      <w:tr>
        <w:tc>
          <w:tcPr>
            <w:tcW w:w="0" w:type="auto"/>
          </w:tcPr>
          <w:p>
            <w:pPr>
              <w:spacing w:line="240" w:lineRule="auto" w:before="0" w:after="0"/>
              <w:pStyle w:val="Compact"/>
            </w:pPr>
            <w:r>
              <w:rPr>
                <w:sz w:val="20"/>
                <w:szCs w:val="20"/>
              </w:rPr>
              <w:t xml:space="preserve">ln_cum_build</w:t>
            </w:r>
          </w:p>
        </w:tc>
        <w:tc>
          <w:tcPr>
            <w:tcW w:w="0" w:type="auto"/>
          </w:tcPr>
          <w:p>
            <w:pPr>
              <w:spacing w:line="240" w:lineRule="auto" w:before="0" w:after="0"/>
              <w:pStyle w:val="Compact"/>
            </w:pPr>
            <w:r>
              <w:rPr>
                <w:sz w:val="20"/>
                <w:szCs w:val="20"/>
              </w:rPr>
              <w:t xml:space="preserve">-0.5222</w:t>
            </w:r>
          </w:p>
        </w:tc>
        <w:tc>
          <w:tcPr>
            <w:tcW w:w="0" w:type="auto"/>
          </w:tcPr>
          <w:p>
            <w:pPr>
              <w:spacing w:line="240" w:lineRule="auto" w:before="0" w:after="0"/>
              <w:pStyle w:val="Compact"/>
            </w:pPr>
            <w:r>
              <w:rPr>
                <w:sz w:val="20"/>
                <w:szCs w:val="20"/>
              </w:rPr>
              <w:t xml:space="preserve">0.1303</w:t>
            </w:r>
          </w:p>
        </w:tc>
        <w:tc>
          <w:tcPr>
            <w:tcW w:w="0" w:type="auto"/>
          </w:tcPr>
          <w:p>
            <w:pPr>
              <w:spacing w:line="240" w:lineRule="auto" w:before="0" w:after="0"/>
              <w:pStyle w:val="Compact"/>
            </w:pPr>
            <w:r>
              <w:rPr>
                <w:sz w:val="20"/>
                <w:szCs w:val="20"/>
              </w:rPr>
              <w:t xml:space="preserve">-4.0064</w:t>
            </w:r>
          </w:p>
        </w:tc>
        <w:tc>
          <w:tcPr>
            <w:tcW w:w="0" w:type="auto"/>
          </w:tcPr>
          <w:p>
            <w:pPr>
              <w:spacing w:line="240" w:lineRule="auto" w:before="0" w:after="0"/>
              <w:pStyle w:val="Compact"/>
            </w:pPr>
            <w:r>
              <w:rPr>
                <w:sz w:val="20"/>
                <w:szCs w:val="20"/>
              </w:rPr>
              <w:t xml:space="preserve">6.165e-05</w:t>
            </w:r>
          </w:p>
        </w:tc>
        <w:tc>
          <w:tcPr>
            <w:tcW w:w="0" w:type="auto"/>
          </w:tcPr>
          <w:p>
            <w:pPr>
              <w:spacing w:line="240" w:lineRule="auto" w:before="0" w:after="0"/>
              <w:pStyle w:val="Compact"/>
            </w:pPr>
            <w:r>
              <w:rPr>
                <w:sz w:val="20"/>
                <w:szCs w:val="20"/>
              </w:rPr>
              <w:t xml:space="preserve">[-0.7776, -0.2667]</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0.0891</w:t>
            </w:r>
          </w:p>
        </w:tc>
        <w:tc>
          <w:tcPr>
            <w:tcW w:w="0" w:type="auto"/>
          </w:tcPr>
          <w:p>
            <w:pPr>
              <w:spacing w:line="240" w:lineRule="auto" w:before="0" w:after="0"/>
              <w:pStyle w:val="Compact"/>
            </w:pPr>
            <w:r>
              <w:rPr>
                <w:sz w:val="20"/>
                <w:szCs w:val="20"/>
              </w:rPr>
              <w:t xml:space="preserve">0.0586</w:t>
            </w:r>
          </w:p>
        </w:tc>
        <w:tc>
          <w:tcPr>
            <w:tcW w:w="0" w:type="auto"/>
          </w:tcPr>
          <w:p>
            <w:pPr>
              <w:spacing w:line="240" w:lineRule="auto" w:before="0" w:after="0"/>
              <w:pStyle w:val="Compact"/>
            </w:pPr>
            <w:r>
              <w:rPr>
                <w:sz w:val="20"/>
                <w:szCs w:val="20"/>
              </w:rPr>
              <w:t xml:space="preserve">1.5214</w:t>
            </w:r>
          </w:p>
        </w:tc>
        <w:tc>
          <w:tcPr>
            <w:tcW w:w="0" w:type="auto"/>
          </w:tcPr>
          <w:p>
            <w:pPr>
              <w:spacing w:line="240" w:lineRule="auto" w:before="0" w:after="0"/>
              <w:pStyle w:val="Compact"/>
            </w:pPr>
            <w:r>
              <w:rPr>
                <w:sz w:val="20"/>
                <w:szCs w:val="20"/>
              </w:rPr>
              <w:t xml:space="preserve">0.1281</w:t>
            </w:r>
          </w:p>
        </w:tc>
        <w:tc>
          <w:tcPr>
            <w:tcW w:w="0" w:type="auto"/>
          </w:tcPr>
          <w:p>
            <w:pPr>
              <w:spacing w:line="240" w:lineRule="auto" w:before="0" w:after="0"/>
              <w:pStyle w:val="Compact"/>
            </w:pPr>
            <w:r>
              <w:rPr>
                <w:sz w:val="20"/>
                <w:szCs w:val="20"/>
              </w:rPr>
              <w:t xml:space="preserve">[-0.0257, 0.204]</w:t>
            </w:r>
          </w:p>
        </w:tc>
      </w:tr>
      <w:tr>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0.6202</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4.2454</w:t>
            </w:r>
          </w:p>
        </w:tc>
        <w:tc>
          <w:tcPr>
            <w:tcW w:w="0" w:type="auto"/>
          </w:tcPr>
          <w:p>
            <w:pPr>
              <w:spacing w:line="240" w:lineRule="auto" w:before="0" w:after="0"/>
              <w:pStyle w:val="Compact"/>
            </w:pPr>
            <w:r>
              <w:rPr>
                <w:sz w:val="20"/>
                <w:szCs w:val="20"/>
              </w:rPr>
              <w:t xml:space="preserve">2.182e-05</w:t>
            </w:r>
          </w:p>
        </w:tc>
        <w:tc>
          <w:tcPr>
            <w:tcW w:w="0" w:type="auto"/>
          </w:tcPr>
          <w:p>
            <w:pPr>
              <w:spacing w:line="240" w:lineRule="auto" w:before="0" w:after="0"/>
              <w:pStyle w:val="Compact"/>
            </w:pPr>
            <w:r>
              <w:rPr>
                <w:sz w:val="20"/>
                <w:szCs w:val="20"/>
              </w:rPr>
              <w:t xml:space="preserve">[0.3339, 0.9066]</w:t>
            </w:r>
          </w:p>
        </w:tc>
      </w:tr>
    </w:tbl>
    <w:p>
      <w:pPr>
        <w:pStyle w:val="BodyText"/>
      </w:pPr>
      <w:r>
        <w:t xml:space="preserve">Fit: N = 24 R2 = 0.8898 R2_adj = 0.8733 F = 114.4988 F_p = 9.17e-13</w:t>
      </w:r>
    </w:p>
    <w:bookmarkEnd w:id="98"/>
    <w:bookmarkEnd w:id="99"/>
    <w:bookmarkEnd w:id="10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92" Target="media/rId92.png" /><Relationship Type="http://schemas.openxmlformats.org/officeDocument/2006/relationships/hyperlink" Id="rId77" Target="https://doi.org/10.1002/2016EA000252" TargetMode="External" /><Relationship Type="http://schemas.openxmlformats.org/officeDocument/2006/relationships/hyperlink" Id="rId83" Target="https://doi.org/10.1007/s11214-012-9902-4" TargetMode="External" /><Relationship Type="http://schemas.openxmlformats.org/officeDocument/2006/relationships/hyperlink" Id="rId79" Target="https://doi.org/10.1007/s11214-012-9910-4" TargetMode="External" /><Relationship Type="http://schemas.openxmlformats.org/officeDocument/2006/relationships/hyperlink" Id="rId81" Target="https://doi.org/10.1007/s11214-020-00755-x" TargetMode="External" /><Relationship Type="http://schemas.openxmlformats.org/officeDocument/2006/relationships/hyperlink" Id="rId85" Target="https://doi.org/10.1007/s11214-021-00807-w" TargetMode="External" /><Relationship Type="http://schemas.openxmlformats.org/officeDocument/2006/relationships/hyperlink" Id="rId70" Target="https://doi.org/10.1016/j.actaastro.2024.05.009" TargetMode="External" /><Relationship Type="http://schemas.openxmlformats.org/officeDocument/2006/relationships/hyperlink" Id="rId75" Target="https://doi.org/10.1029/2003JE002070" TargetMode="External" /><Relationship Type="http://schemas.openxmlformats.org/officeDocument/2006/relationships/hyperlink" Id="rId87" Target="https://doi.org/10.1029/2005JE002605" TargetMode="External" /><Relationship Type="http://schemas.openxmlformats.org/officeDocument/2006/relationships/hyperlink" Id="rId89" Target="https://doi.org/10.1029/2006JE002682" TargetMode="External" /><Relationship Type="http://schemas.openxmlformats.org/officeDocument/2006/relationships/hyperlink" Id="rId68" Target="https://doi.org/10.64861/PLYO7344"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02/2016EA000252" TargetMode="External" /><Relationship Type="http://schemas.openxmlformats.org/officeDocument/2006/relationships/hyperlink" Id="rId83" Target="https://doi.org/10.1007/s11214-012-9902-4" TargetMode="External" /><Relationship Type="http://schemas.openxmlformats.org/officeDocument/2006/relationships/hyperlink" Id="rId79" Target="https://doi.org/10.1007/s11214-012-9910-4" TargetMode="External" /><Relationship Type="http://schemas.openxmlformats.org/officeDocument/2006/relationships/hyperlink" Id="rId81" Target="https://doi.org/10.1007/s11214-020-00755-x" TargetMode="External" /><Relationship Type="http://schemas.openxmlformats.org/officeDocument/2006/relationships/hyperlink" Id="rId85" Target="https://doi.org/10.1007/s11214-021-00807-w" TargetMode="External" /><Relationship Type="http://schemas.openxmlformats.org/officeDocument/2006/relationships/hyperlink" Id="rId70" Target="https://doi.org/10.1016/j.actaastro.2024.05.009" TargetMode="External" /><Relationship Type="http://schemas.openxmlformats.org/officeDocument/2006/relationships/hyperlink" Id="rId75" Target="https://doi.org/10.1029/2003JE002070" TargetMode="External" /><Relationship Type="http://schemas.openxmlformats.org/officeDocument/2006/relationships/hyperlink" Id="rId87" Target="https://doi.org/10.1029/2005JE002605" TargetMode="External" /><Relationship Type="http://schemas.openxmlformats.org/officeDocument/2006/relationships/hyperlink" Id="rId89" Target="https://doi.org/10.1029/2006JE002682" TargetMode="External" /><Relationship Type="http://schemas.openxmlformats.org/officeDocument/2006/relationships/hyperlink" Id="rId68" Target="https://doi.org/10.64861/PLYO734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2026-06-22T20:32:31Z</dcterms:created>
  <dcterms:modified xsi:type="dcterms:W3CDTF">2026-06-22T20:32:31Z</dcterms:modified>
</cp:coreProperties>
</file>

<file path=docProps/custom.xml><?xml version="1.0" encoding="utf-8"?>
<Properties xmlns="http://schemas.openxmlformats.org/officeDocument/2006/custom-properties" xmlns:vt="http://schemas.openxmlformats.org/officeDocument/2006/docPropsVTypes"/>
</file>