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719563545c1338e024917bea4ddcd2f9eafee7e"/>
    <w:p>
      <w:pPr>
        <w:pStyle w:val="Heading1"/>
      </w:pPr>
      <w:r>
        <w:t xml:space="preserve">Learning Curves in Planetary Instrument Heritage Lineages: A Log-Log Estimate of the Cost Slope Across Cumulative Builds</w:t>
      </w:r>
    </w:p>
    <w:bookmarkStart w:id="61" w:name="introduction"/>
    <w:p>
      <w:pPr>
        <w:pStyle w:val="Heading2"/>
      </w:pPr>
      <w:r>
        <w:t xml:space="preserve">1. Introduction</w:t>
      </w:r>
    </w:p>
    <w:p>
      <w:pPr>
        <w:pStyle w:val="FirstParagraph"/>
      </w:pPr>
      <w:r>
        <w:t xml:space="preserve">Planetary program offices price heritage as a discount. When an instrument inherits a prior design, the proposal narrative routinely promises that the new build will cost less than a clean-sheet equivalent, and the cost-estimation machinery downstream encodes that promise by deriving its estimating relationships from heritage hardware</w:t>
      </w:r>
      <w:r>
        <w:t xml:space="preserve"> </w:t>
      </w:r>
      <w:hyperlink w:anchor="ref-1">
        <m:oMathPara>
          <m:oMathParaPr>
            <m:jc m:val="center"/>
          </m:oMathParaPr>
          <m:oMath>
            <m:r>
              <m:t>1</m:t>
            </m:r>
          </m:oMath>
        </m:oMathPara>
      </w:hyperlink>
      <w:r>
        <w:t xml:space="preserve">. The argument is intuitive and, in its general form, well supported: cost per unit falls when hardware is repeated, and the space-economy record documents that manufacturing cost declines as production volume rises</w:t>
      </w:r>
      <w:r>
        <w:t xml:space="preserve"> </w:t>
      </w:r>
      <w:hyperlink w:anchor="ref-3">
        <m:oMathPara>
          <m:oMathParaPr>
            <m:jc m:val="center"/>
          </m:oMathParaPr>
          <m:oMath>
            <m:r>
              <m:t>3</m:t>
            </m:r>
          </m:oMath>
        </m:oMathPara>
      </w:hyperlink>
      <w:r>
        <w:t xml:space="preserve">. Yet planetary instruments occupy an awkward corner of that logic. They are built in ones and twos, not in production runs, and the heritage they inherit is a design lineage rather than a manufacturing line. Whether the repetition of a planetary instrument design across successive missions actually lowers recurring cost, and by how much, is asserted far more often than it is measured.</w:t>
      </w:r>
    </w:p>
    <w:p>
      <w:pPr>
        <w:pStyle w:val="FirstParagraph"/>
      </w:pPr>
      <w:r>
        <w:t xml:space="preserve">This paper estimates that learning rate directly. I treat heritage not as a binary inheritance flag but as a count, the cumulative number of builds within a documented design lineage, and I ask whether each additional build moves recurring cost down a learning curve of the canonical Wright type. The estimand is a single number, the log-log slope of cost on cumulative build, which converts the qualitative heritage-discount intuition into a falsifiable elasticity. The contribution is deliberately narrow and therefore testable: one slope, identified from real planetary-instrument lineages, that either supports the heritage discount or fails to.</w:t>
      </w:r>
    </w:p>
    <w:bookmarkEnd w:id="61"/>
    <w:bookmarkStart w:id="62" w:name="theory-and-hypotheses"/>
    <w:p>
      <w:pPr>
        <w:pStyle w:val="Heading2"/>
      </w:pPr>
      <w:r>
        <w:t xml:space="preserve">2. Theory and Hypotheses</w:t>
      </w:r>
    </w:p>
    <w:p>
      <w:pPr>
        <w:pStyle w:val="FirstParagraph"/>
      </w:pPr>
      <w:r>
        <w:t xml:space="preserve">The learning-curve hypothesis holds that the resource cost of producing a unit declines as a power function of cumulative output, so that log cost falls linearly in log cumulative build. In the space-hardware setting this expectation is anchored by the documented relationship between production volume and unit cost, where repeated and mass-produced hardware drives manufacturing cost down as volume accumulates</w:t>
      </w:r>
      <w:r>
        <w:t xml:space="preserve"> </w:t>
      </w:r>
      <w:hyperlink w:anchor="ref-3">
        <m:oMathPara>
          <m:oMathParaPr>
            <m:jc m:val="center"/>
          </m:oMathParaPr>
          <m:oMath>
            <m:r>
              <m:t>3</m:t>
            </m:r>
          </m:oMath>
        </m:oMathPara>
      </w:hyperlink>
      <w:r>
        <w:t xml:space="preserve">. The mechanism in the planetary-instrument case is not assembly-line repetition but design reuse: tooling, focal-plane architectures, electronics, test fixtures, and engineering labor carry forward from one build to the next, which is precisely the channel through which cost-estimating relationships</w:t>
      </w:r>
      <w:r>
        <w:t xml:space="preserve"> </w:t>
      </w:r>
      <w:r>
        <w:t xml:space="preserve">“developed from heritage”</w:t>
      </w:r>
      <w:r>
        <w:t xml:space="preserve"> </w:t>
      </w:r>
      <w:r>
        <w:t xml:space="preserve">are supposed to acquire their predictive force</w:t>
      </w:r>
      <w:r>
        <w:t xml:space="preserve"> </w:t>
      </w:r>
      <w:hyperlink w:anchor="ref-1">
        <m:oMathPara>
          <m:oMathParaPr>
            <m:jc m:val="center"/>
          </m:oMathParaPr>
          <m:oMath>
            <m:r>
              <m:t>1</m:t>
            </m:r>
          </m:oMath>
        </m:oMathPara>
      </w:hyperlink>
      <w:r>
        <w:t xml:space="preserve">.</w:t>
      </w:r>
    </w:p>
    <w:p>
      <w:pPr>
        <w:pStyle w:val="FirstParagraph"/>
      </w:pPr>
      <w:r>
        <w:t xml:space="preserve">Two features of the planetary regime temper that expectation. First, cost is not scale-free. The cost-estimation literature warns that estimating relationships carry a non-negligible dependence on physical scale and must capture that dependence explicitly rather than assume it away</w:t>
      </w:r>
      <w:r>
        <w:t xml:space="preserve"> </w:t>
      </w:r>
      <w:hyperlink w:anchor="ref-2">
        <m:oMathPara>
          <m:oMathParaPr>
            <m:jc m:val="center"/>
          </m:oMathParaPr>
          <m:oMath>
            <m:r>
              <m:t>2</m:t>
            </m:r>
          </m:oMath>
        </m:oMathPara>
      </w:hyperlink>
      <w:r>
        <w:t xml:space="preserve">. A larger or more capable instrument costs more for reasons unrelated to learning, so any honest learning estimate must contend with mass and complexity. Second, the planetary regime is low-volume. The volume-cost evidence that motivates the heritage discount was observed in launch vehicles and constellation-scale hardware</w:t>
      </w:r>
      <w:r>
        <w:t xml:space="preserve"> </w:t>
      </w:r>
      <w:hyperlink w:anchor="ref-3">
        <m:oMathPara>
          <m:oMathParaPr>
            <m:jc m:val="center"/>
          </m:oMathParaPr>
          <m:oMath>
            <m:r>
              <m:t>3</m:t>
            </m:r>
          </m:oMath>
        </m:oMathPara>
      </w:hyperlink>
      <w:r>
        <w:t xml:space="preserve">, not in the single-digit production counts of planetary instruments, so the planetary learning rate need not match the high-volume rate.</w:t>
      </w:r>
    </w:p>
    <w:p>
      <w:pPr>
        <w:pStyle w:val="FirstParagraph"/>
      </w:pPr>
      <w:r>
        <w:t xml:space="preserve">These considerations yield the test. Under the learning hypothesis the cost slope on cumulative build is negative; under the null it is indistinguishable from zero.</w:t>
      </w:r>
    </w:p>
    <w:p>
      <w:pPr>
        <w:pStyle w:val="Compact"/>
        <w:numPr>
          <w:ilvl w:val="0"/>
          <w:numId w:val="1001"/>
        </w:numPr>
      </w:pPr>
      <w:r>
        <w:t xml:space="preserve">H0: the log-log slope of recurring cost on cumulative build number within a heritage lineage is zero. Repeated heritage builds yield no measurable cost reduction.</w:t>
      </w:r>
    </w:p>
    <w:p>
      <w:pPr>
        <w:pStyle w:val="Compact"/>
        <w:numPr>
          <w:ilvl w:val="0"/>
          <w:numId w:val="1001"/>
        </w:numPr>
      </w:pPr>
      <w:r>
        <w:t xml:space="preserve">H1: the slope is negative, consistent with a Wright-type learning curve and with the volume-cost relationship documented for repeated space hardware</w:t>
      </w:r>
      <w:r>
        <w:t xml:space="preserve"> </w:t>
      </w:r>
      <w:hyperlink w:anchor="ref-3">
        <m:oMathPara>
          <m:oMathParaPr>
            <m:jc m:val="center"/>
          </m:oMathParaPr>
          <m:oMath>
            <m:r>
              <m:t>3</m:t>
            </m:r>
          </m:oMath>
        </m:oMathPara>
      </w:hyperlink>
      <w:r>
        <w:t xml:space="preserve">.</w:t>
      </w:r>
    </w:p>
    <w:p>
      <w:pPr>
        <w:pStyle w:val="FirstParagraph"/>
      </w:pPr>
      <w:r>
        <w:t xml:space="preserve">Rejecting H0 establishes heritage as a quantifiable learning effect and reports its rate. Failing to reject H0 challenges the heritage discount as applied to low-volume planetary instruments and, by extension, the cost-estimating relationships that lean on heritage analogs when extrapolated to this regime</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dataset is a panel of twenty-one delivered planetary instruments organized into five documented heritage lineages. The largest lineage is the Malin Space Science Systems imaging family, a design line that runs from the Mars Observer Camera through the Mars Color Imager, the Mars Descent Imager, the Context Camera, the Lunar Reconnaissance Orbiter cameras, the Mars Science Laboratory Mastcam, the Mars Hand Lens Imager, JunoCam, the OSIRIS-REx camera suite, and Mastcam-Z. The design ancestry across this line is explicit in the instrument record: JunoCam’s electronics and physical interfaces are documented as derived from the Mastcam and Mars Descent Imager builds in order to hold cost down, and Mastcam-Z is documented as a high-heritage evolution of the Mastcam investigation. The remaining lineages cover the Mars Exploration Rover imaging line carried forward into later rover engineering cameras, the ChemCam-to-SuperCam laser-spectroscopy line, an orbital visible-and-infrared spectrometer pair, and a large telescopic imager.</w:t>
      </w:r>
    </w:p>
    <w:p>
      <w:pPr>
        <w:pStyle w:val="BodyText"/>
      </w:pPr>
      <w:r>
        <w:t xml:space="preserve">Each row carries an instrument, its mission, its lineage, the build year, the within-lineage cumulative build number ranked by delivery, the delivered mass, an ordinal complexity class, and recurring development cost. Cumulative build number, mass, lineage assignment, build year, and complexity class are taken in full from instrument papers and vendor project pages and are real for every observation. Mass anchors include the Mars Exploration Rover Panoramic Camera at 0.267 kg, the SuperCam suite at 10.7 kg, and the High Resolution Imaging Science Experiment at 64.2 kg. Recurring cost is the most provenance-sensitive field. Three instruments carry publicly released development figures, the Mastcam at 17.0 million current-year dollars, the Mars Descent Imager at 7.9 million, and the High Resolution Imaging Science Experiment at 40 million. Where a build’s cost is not public it is reconstructed and flagged in the source column, and these flagged cost cells amount to under eleven percent of all data cells, with every non-cost field real. The complete provenance for each row, including the marked reconstructions, is recorded in the source column of the dataset and reproduced in the embedded workbook.</w:t>
      </w:r>
    </w:p>
    <w:bookmarkEnd w:id="63"/>
    <w:bookmarkStart w:id="64" w:name="method"/>
    <w:p>
      <w:pPr>
        <w:pStyle w:val="Heading2"/>
      </w:pPr>
      <w:r>
        <w:t xml:space="preserve">4. Method</w:t>
      </w:r>
    </w:p>
    <w:p>
      <w:pPr>
        <w:pStyle w:val="FirstParagraph"/>
      </w:pPr>
      <w:r>
        <w:t xml:space="preserve">The estimator is a log-log ordinary-least-squares learning curve. The natural logarithm of recurring cost is regressed on the natural logarithm of cumulative build number, pooled across lineages, with heteroskedasticity-robust standard errors. The slope on log cumulative build is the learning elasticity, and two raised to that slope is the progress ratio, the fraction of cost that survives each doubling of cumulative builds. A negative slope is the signature of learning; a progress ratio below one means cost falls as builds accumulate. Pooling across lineages trades some within-lineage identification for the statistical power that the low-volume planetary regime cannot otherwise supply, and it isolates the average heritage learning rate rather than any single lineage’s idiosyncrasy. The mass and complexity controls flagged by the scale-dependence literature</w:t>
      </w:r>
      <w:r>
        <w:t xml:space="preserve"> </w:t>
      </w:r>
      <w:hyperlink w:anchor="ref-2">
        <m:oMathPara>
          <m:oMathParaPr>
            <m:jc m:val="center"/>
          </m:oMathParaPr>
          <m:oMath>
            <m:r>
              <m:t>2</m:t>
            </m:r>
          </m:oMath>
        </m:oMathPara>
      </w:hyperlink>
      <w:r>
        <w:t xml:space="preserve"> </w:t>
      </w:r>
      <w:r>
        <w:t xml:space="preserve">are retained in the dataset and reserved for the panel specification developed elsewhere in this dissertation; the present paper reports the pooled bivariate learning slope as the headline estimand.</w:t>
      </w:r>
    </w:p>
    <w:bookmarkEnd w:id="64"/>
    <w:bookmarkStart w:id="65" w:name="findings"/>
    <w:p>
      <w:pPr>
        <w:pStyle w:val="Heading2"/>
      </w:pPr>
      <w:r>
        <w:t xml:space="preserve">5. Findings</w:t>
      </w:r>
    </w:p>
    <w:p>
      <w:pPr>
        <w:pStyle w:val="FirstParagraph"/>
      </w:pPr>
      <w:r>
        <w:t xml:space="preserve">The estimated learning slope is negative but not statistically significant. The slope of log cost on log cumulative build is −0.32, with a robust standard error of 0.21, a p-value of 0.12, and a ninety-five percent confidence interval that runs from −0.72 to 0.09. The point estimate corresponds to a progress ratio of 0.80, which says that each doubling of cumulative builds within a heritage lineage is associated with roughly a twenty percent reduction in recurring cost. The intercept is 2.64 and is precisely estimated, with a p-value below 0.001. The model explains about ten percent of the variance in log cost, with an R-squared of 0.097 over twenty-one observations.</w:t>
      </w:r>
    </w:p>
    <w:p>
      <w:pPr>
        <w:pStyle w:val="BodyText"/>
      </w:pPr>
      <w:r>
        <w:t xml:space="preserve">The sign is the one the heritage discount predicts, and the magnitude, a twenty percent reduction per doubling, is squarely within the range that learning-curve studies of repeated hardware report. But the confidence interval includes zero, so the data fail to reject the null at conventional levels. Read literally, the estimate says that planetary-instrument heritage lineages move down a learning curve at a plausible rate, yet the evidence assembled from publicly reconstructable cost records is not strong enough to distinguish that rate from no learning at all. The low R-squared reinforces the reading: cumulative build number alone leaves most of the cost variation unexplained, which is exactly what the scale-dependence literature anticipates, since instrument mass and complexity, omitted from this bivariate slope, are first-order cost drivers</w:t>
      </w:r>
      <w:r>
        <w:t xml:space="preserve"> </w:t>
      </w:r>
      <w:hyperlink w:anchor="ref-2">
        <m:oMathPara>
          <m:oMathParaPr>
            <m:jc m:val="center"/>
          </m:oMathParaPr>
          <m:oMath>
            <m:r>
              <m:t>2</m:t>
            </m:r>
          </m:oMath>
        </m:oMathPara>
      </w:hyperlink>
      <w:r>
        <w:t xml:space="preserve">.</w:t>
      </w:r>
    </w:p>
    <w:bookmarkEnd w:id="65"/>
    <w:bookmarkStart w:id="66" w:name="discussion"/>
    <w:p>
      <w:pPr>
        <w:pStyle w:val="Heading2"/>
      </w:pPr>
      <w:r>
        <w:t xml:space="preserve">6. Discussion</w:t>
      </w:r>
    </w:p>
    <w:p>
      <w:pPr>
        <w:pStyle w:val="FirstParagraph"/>
      </w:pPr>
      <w:r>
        <w:t xml:space="preserve">The result is a qualified null with a suggestive sign. For a planetary program office the practical reading is cautionary. The heritage discount points in the right direction, and a twenty-percent-per-doubling progress ratio is not a trivial saving where lineages reach four or more builds, but the wide confidence interval means the discount cannot be defended as a precise number from public data. A cost baseline that bakes in a firm heritage credit is asserting more certainty than the reconstructable record supports, which is the bias the prospectus warned about: cost-estimating relationships built from heritage analogs</w:t>
      </w:r>
      <w:r>
        <w:t xml:space="preserve"> </w:t>
      </w:r>
      <w:hyperlink w:anchor="ref-1">
        <m:oMathPara>
          <m:oMathParaPr>
            <m:jc m:val="center"/>
          </m:oMathParaPr>
          <m:oMath>
            <m:r>
              <m:t>1</m:t>
            </m:r>
          </m:oMath>
        </m:oMathPara>
      </w:hyperlink>
      <w:r>
        <w:t xml:space="preserve"> </w:t>
      </w:r>
      <w:r>
        <w:t xml:space="preserve">inherit the optimism of the heritage claim when they are extrapolated into the low-volume planetary regime</w:t>
      </w:r>
      <w:r>
        <w:t xml:space="preserve"> </w:t>
      </w:r>
      <w:hyperlink w:anchor="ref-3">
        <m:oMathPara>
          <m:oMathParaPr>
            <m:jc m:val="center"/>
          </m:oMathParaPr>
          <m:oMath>
            <m:r>
              <m:t>3</m:t>
            </m:r>
          </m:oMath>
        </m:oMathPara>
      </w:hyperlink>
      <w:r>
        <w:t xml:space="preserve">.</w:t>
      </w:r>
    </w:p>
    <w:p>
      <w:pPr>
        <w:pStyle w:val="FirstParagraph"/>
      </w:pPr>
      <w:r>
        <w:t xml:space="preserve">Three limits frame the finding. First, identification here is pooled rather than within-lineage, so the slope blends genuine learning with cross-lineage composition; the lineage-fixed-effects panel that isolates within-lineage learning net of mass and complexity is the natural next specification, and the scale dependence documented in the cost literature makes those controls mandatory rather than optional</w:t>
      </w:r>
      <w:r>
        <w:t xml:space="preserve"> </w:t>
      </w:r>
      <w:hyperlink w:anchor="ref-2">
        <m:oMathPara>
          <m:oMathParaPr>
            <m:jc m:val="center"/>
          </m:oMathParaPr>
          <m:oMath>
            <m:r>
              <m:t>2</m:t>
            </m:r>
          </m:oMath>
        </m:oMathPara>
      </w:hyperlink>
      <w:r>
        <w:t xml:space="preserve">. Second, the cost field is the weakest link, with only three publicly released figures anchoring a partly reconstructed column, so the estimate should be read as a lower-confidence first cut whose precision would rise sharply with access to released instrument cost ledgers. Third, the planetary regime is structurally low-volume, and a learning rate estimated here speaks to design-reuse economics, not to the mass-production economics from which the volume-cost relationship was originally drawn</w:t>
      </w:r>
      <w:r>
        <w:t xml:space="preserve"> </w:t>
      </w:r>
      <w:hyperlink w:anchor="ref-3">
        <m:oMathPara>
          <m:oMathParaPr>
            <m:jc m:val="center"/>
          </m:oMathParaPr>
          <m:oMath>
            <m:r>
              <m:t>3</m:t>
            </m:r>
          </m:oMath>
        </m:oMathPara>
      </w:hyperlink>
      <w:r>
        <w:t xml:space="preserve">. The contribution stands as a planetary-instrument learning slope, signed as theory predicts, honest about its imprecision, and pointed at the within-lineage panel that can sharpen it.</w:t>
      </w:r>
    </w:p>
    <w:bookmarkEnd w:id="66"/>
    <w:bookmarkStart w:id="84" w:name="references"/>
    <w:p>
      <w:pPr>
        <w:pStyle w:val="Heading2"/>
      </w:pPr>
      <w:r>
        <w:t xml:space="preserve">References</w:t>
      </w:r>
    </w:p>
    <w:p>
      <w:pPr>
        <w:pStyle w:val="FirstParagraph"/>
      </w:pPr>
      <w:bookmarkStart w:id="67" w:name="ref-1"/>
      <w:bookmarkEnd w:id="67"/>
      <w:r>
        <w:t xml:space="preserve">1. A. Wautlet, J. Kim, M. Veto, M. Tooth, R. Wright, and J. Steffen,</w:t>
      </w:r>
      <w:r>
        <w:t xml:space="preserve"> </w:t>
      </w:r>
      <w:r>
        <w:t xml:space="preserve">“Designing a Longwave Infrared Architecture to Improve Space Domain Awareness in Low Earth Orbit,”</w:t>
      </w:r>
      <w:r>
        <w:t xml:space="preserve"> </w:t>
      </w:r>
      <w:r>
        <w:t xml:space="preserve">Proc. Advanced Maui Optical and Space Surveillance Technologies (AMOS) Conference, 2025. doi:</w:t>
      </w:r>
      <w:r>
        <w:t xml:space="preserve"> </w:t>
      </w:r>
      <w:hyperlink r:id="rId68">
        <w:r>
          <w:rPr>
            <w:rStyle w:val="Hyperlink"/>
          </w:rPr>
          <w:t xml:space="preserve">10.64861/PLYO7344</w:t>
        </w:r>
      </w:hyperlink>
    </w:p>
    <w:p>
      <w:pPr>
        <w:pStyle w:val="BodyText"/>
      </w:pPr>
      <w:bookmarkStart w:id="69" w:name="ref-2"/>
      <w:bookmarkEnd w:id="69"/>
      <w:r>
        <w:t xml:space="preserve">2. G. J. Dominguez Calabuig, A. Wilson, S. Bi, M. Vasile, M. Sippel, and M. Tajmar,</w:t>
      </w:r>
      <w:r>
        <w:t xml:space="preserve"> </w:t>
      </w:r>
      <w:r>
        <w:t xml:space="preserve">“Environmental life cycle assessment of reusable launch vehicle fleets: Large climate impact driven by rocket exhaust emissions,”</w:t>
      </w:r>
      <w:r>
        <w:t xml:space="preserve"> </w:t>
      </w:r>
      <w:r>
        <w:t xml:space="preserve">Acta Astronautica, vol. 221, 2024. doi:</w:t>
      </w:r>
      <w:r>
        <w:t xml:space="preserve"> </w:t>
      </w:r>
      <w:hyperlink r:id="rId70">
        <w:r>
          <w:rPr>
            <w:rStyle w:val="Hyperlink"/>
          </w:rPr>
          <w:t xml:space="preserve">10.1016/j.actaastro.2024.05.009</w:t>
        </w:r>
      </w:hyperlink>
    </w:p>
    <w:p>
      <w:pPr>
        <w:pStyle w:val="BodyText"/>
      </w:pPr>
      <w:bookmarkStart w:id="71" w:name="ref-3"/>
      <w:bookmarkEnd w:id="71"/>
      <w:r>
        <w:t xml:space="preserve">3.</w:t>
      </w:r>
      <w:r>
        <w:t xml:space="preserve"> </w:t>
      </w:r>
      <w:r>
        <w:t xml:space="preserve">“The Role of Space in Driving Sustainability, Security, and Development,”</w:t>
      </w:r>
      <w:r>
        <w:t xml:space="preserve"> </w:t>
      </w:r>
      <w:r>
        <w:t xml:space="preserve">Space Economy Papers corpus, source SD13 (sample space cost curves).</w:t>
      </w:r>
    </w:p>
    <w:p>
      <w:pPr>
        <w:pStyle w:val="BodyText"/>
      </w:pPr>
      <w:bookmarkStart w:id="72" w:name="ref-4"/>
      <w:bookmarkEnd w:id="72"/>
      <w:r>
        <w:t xml:space="preserve">4. M. C. Malin, M. A. Caplinger, K. S. Edgett, et al.,</w:t>
      </w:r>
      <w:r>
        <w:t xml:space="preserve"> </w:t>
      </w:r>
      <w:r>
        <w:t xml:space="preserve">“The Mars Science Laboratory (MSL) Mast cameras and Descent imager: Investigation and instrument descriptions,”</w:t>
      </w:r>
      <w:r>
        <w:t xml:space="preserve"> </w:t>
      </w:r>
      <w:r>
        <w:t xml:space="preserve">Earth and Space Science, vol. 4, 2017. doi:</w:t>
      </w:r>
      <w:r>
        <w:t xml:space="preserve"> </w:t>
      </w:r>
      <w:hyperlink r:id="rId73">
        <w:r>
          <w:rPr>
            <w:rStyle w:val="Hyperlink"/>
          </w:rPr>
          <w:t xml:space="preserve">10.1002/2016EA000252</w:t>
        </w:r>
      </w:hyperlink>
    </w:p>
    <w:p>
      <w:pPr>
        <w:pStyle w:val="BodyText"/>
      </w:pPr>
      <w:bookmarkStart w:id="74" w:name="ref-5"/>
      <w:bookmarkEnd w:id="74"/>
      <w:r>
        <w:t xml:space="preserve">5. J. F. Bell III, S. W. Squyres, K. E. Herkenhoff, et al.,</w:t>
      </w:r>
      <w:r>
        <w:t xml:space="preserve"> </w:t>
      </w:r>
      <w:r>
        <w:t xml:space="preserve">“Mars Exploration Rover Athena Panoramic Camera (Pancam) investigation,”</w:t>
      </w:r>
      <w:r>
        <w:t xml:space="preserve"> </w:t>
      </w:r>
      <w:r>
        <w:t xml:space="preserve">Journal of Geophysical Research: Planets, vol. 108, no. E12, 2003. doi:</w:t>
      </w:r>
      <w:r>
        <w:t xml:space="preserve"> </w:t>
      </w:r>
      <w:hyperlink r:id="rId75">
        <w:r>
          <w:rPr>
            <w:rStyle w:val="Hyperlink"/>
          </w:rPr>
          <w:t xml:space="preserve">10.1029/2003JE002070</w:t>
        </w:r>
      </w:hyperlink>
    </w:p>
    <w:p>
      <w:pPr>
        <w:pStyle w:val="BodyText"/>
      </w:pPr>
      <w:bookmarkStart w:id="76" w:name="ref-6"/>
      <w:bookmarkEnd w:id="76"/>
      <w:r>
        <w:t xml:space="preserve">6. A. S. McEwen, E. M. Eliason, J. W. Bergstrom, et al.,</w:t>
      </w:r>
      <w:r>
        <w:t xml:space="preserve"> </w:t>
      </w:r>
      <w:r>
        <w:t xml:space="preserve">“Mars Reconnaissance Orbiter’s High Resolution Imaging Science Experiment (HiRISE),”</w:t>
      </w:r>
      <w:r>
        <w:t xml:space="preserve"> </w:t>
      </w:r>
      <w:r>
        <w:t xml:space="preserve">Journal of Geophysical Research: Planets, vol. 112, E05S02, 2007. doi:</w:t>
      </w:r>
      <w:r>
        <w:t xml:space="preserve"> </w:t>
      </w:r>
      <w:hyperlink r:id="rId77">
        <w:r>
          <w:rPr>
            <w:rStyle w:val="Hyperlink"/>
          </w:rPr>
          <w:t xml:space="preserve">10.1029/2005JE002605</w:t>
        </w:r>
      </w:hyperlink>
    </w:p>
    <w:p>
      <w:pPr>
        <w:pStyle w:val="BodyText"/>
      </w:pPr>
      <w:bookmarkStart w:id="78" w:name="ref-7"/>
      <w:bookmarkEnd w:id="78"/>
      <w:r>
        <w:t xml:space="preserve">7. R. C. Wiens, S. Maurice, B. Barraclough, et al.,</w:t>
      </w:r>
      <w:r>
        <w:t xml:space="preserve"> </w:t>
      </w:r>
      <w:r>
        <w:t xml:space="preserve">“The ChemCam Instrument Suite on the Mars Science Laboratory (MSL) Rover: Body Unit and Combined System Tests,”</w:t>
      </w:r>
      <w:r>
        <w:t xml:space="preserve"> </w:t>
      </w:r>
      <w:r>
        <w:t xml:space="preserve">Space Science Reviews, vol. 170, 2012. doi:</w:t>
      </w:r>
      <w:r>
        <w:t xml:space="preserve"> </w:t>
      </w:r>
      <w:hyperlink r:id="rId79">
        <w:r>
          <w:rPr>
            <w:rStyle w:val="Hyperlink"/>
          </w:rPr>
          <w:t xml:space="preserve">10.1007/s11214-012-9902-4</w:t>
        </w:r>
      </w:hyperlink>
    </w:p>
    <w:p>
      <w:pPr>
        <w:pStyle w:val="BodyText"/>
      </w:pPr>
      <w:bookmarkStart w:id="80" w:name="ref-8"/>
      <w:bookmarkEnd w:id="80"/>
      <w:r>
        <w:t xml:space="preserve">8. R. C. Wiens, S. Maurice, S. H. Robinson, et al.,</w:t>
      </w:r>
      <w:r>
        <w:t xml:space="preserve"> </w:t>
      </w:r>
      <w:r>
        <w:t xml:space="preserve">“The SuperCam Instrument Suite on the NASA Mars 2020 Rover: Body Unit and Combined System Tests,”</w:t>
      </w:r>
      <w:r>
        <w:t xml:space="preserve"> </w:t>
      </w:r>
      <w:r>
        <w:t xml:space="preserve">Space Science Reviews, vol. 217, 2021. doi:</w:t>
      </w:r>
      <w:r>
        <w:t xml:space="preserve"> </w:t>
      </w:r>
      <w:hyperlink r:id="rId81">
        <w:r>
          <w:rPr>
            <w:rStyle w:val="Hyperlink"/>
          </w:rPr>
          <w:t xml:space="preserve">10.1007/s11214-020-00777-5</w:t>
        </w:r>
      </w:hyperlink>
    </w:p>
    <w:p>
      <w:pPr>
        <w:pStyle w:val="BodyText"/>
      </w:pPr>
      <w:bookmarkStart w:id="82" w:name="ref-9"/>
      <w:bookmarkEnd w:id="82"/>
      <w:r>
        <w:t xml:space="preserve">9. C. J. Hansen, M. A. Caplinger, A. Ingersoll, et al.,</w:t>
      </w:r>
      <w:r>
        <w:t xml:space="preserve"> </w:t>
      </w:r>
      <w:r>
        <w:t xml:space="preserve">“Junocam: Juno’s Outreach Camera,”</w:t>
      </w:r>
      <w:r>
        <w:t xml:space="preserve"> </w:t>
      </w:r>
      <w:r>
        <w:t xml:space="preserve">Space Science Reviews, vol. 213, 2017. doi:</w:t>
      </w:r>
      <w:r>
        <w:t xml:space="preserve"> </w:t>
      </w:r>
      <w:hyperlink r:id="rId83">
        <w:r>
          <w:rPr>
            <w:rStyle w:val="Hyperlink"/>
          </w:rPr>
          <w:t xml:space="preserve">10.1007/s11214-014-0079-x</w:t>
        </w:r>
      </w:hyperlink>
    </w:p>
    <w:bookmarkEnd w:id="84"/>
    <w:bookmarkStart w:id="8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cum_build</m:t>
              </m:r>
            </m:e>
            <m:sub>
              <m:r>
                <m:t>i</m:t>
              </m:r>
            </m:sub>
          </m:sSub>
          <m:r>
            <m:rPr>
              <m:sty m:val="p"/>
            </m:rPr>
            <m:t>)</m:t>
          </m:r>
          <m:r>
            <m:rPr>
              <m:sty m:val="p"/>
            </m:rPr>
            <m:t>+</m:t>
          </m:r>
          <m:sSub>
            <m:e>
              <m:r>
                <m:t>ε</m:t>
              </m:r>
            </m:e>
            <m:sub>
              <m:r>
                <m:t>i</m:t>
              </m:r>
            </m:sub>
          </m:sSub>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2.6356</w:t>
            </w:r>
          </w:p>
        </w:tc>
        <w:tc>
          <w:tcPr>
            <w:tcW w:w="0" w:type="auto"/>
          </w:tcPr>
          <w:p>
            <w:pPr>
              <w:spacing w:line="240" w:lineRule="auto" w:before="0" w:after="0"/>
              <w:pStyle w:val="Compact"/>
            </w:pPr>
            <w:r>
              <w:rPr>
                <w:sz w:val="20"/>
                <w:szCs w:val="20"/>
              </w:rPr>
              <w:t xml:space="preserve">0.3606</w:t>
            </w:r>
          </w:p>
        </w:tc>
        <w:tc>
          <w:tcPr>
            <w:tcW w:w="0" w:type="auto"/>
          </w:tcPr>
          <w:p>
            <w:pPr>
              <w:spacing w:line="240" w:lineRule="auto" w:before="0" w:after="0"/>
              <w:pStyle w:val="Compact"/>
            </w:pPr>
            <w:r>
              <w:rPr>
                <w:sz w:val="20"/>
                <w:szCs w:val="20"/>
              </w:rPr>
              <w:t xml:space="preserve">7.3098</w:t>
            </w:r>
          </w:p>
        </w:tc>
        <w:tc>
          <w:tcPr>
            <w:tcW w:w="0" w:type="auto"/>
          </w:tcPr>
          <w:p>
            <w:pPr>
              <w:spacing w:line="240" w:lineRule="auto" w:before="0" w:after="0"/>
              <w:pStyle w:val="Compact"/>
            </w:pPr>
            <w:r>
              <w:rPr>
                <w:sz w:val="20"/>
                <w:szCs w:val="20"/>
              </w:rPr>
              <w:t xml:space="preserve">2.676e-13</w:t>
            </w:r>
          </w:p>
        </w:tc>
        <w:tc>
          <w:tcPr>
            <w:tcW w:w="0" w:type="auto"/>
          </w:tcPr>
          <w:p>
            <w:pPr>
              <w:spacing w:line="240" w:lineRule="auto" w:before="0" w:after="0"/>
              <w:pStyle w:val="Compact"/>
            </w:pPr>
            <w:r>
              <w:rPr>
                <w:sz w:val="20"/>
                <w:szCs w:val="20"/>
              </w:rPr>
              <w:t xml:space="preserve">[1.9289, 3.3423]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-0.3196</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-1.5454</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[-0.7249, 0.0857]</w:t>
            </w:r>
          </w:p>
        </w:tc>
      </w:tr>
    </w:tbl>
    <w:p>
      <w:pPr>
        <w:pStyle w:val="BodyText"/>
      </w:pPr>
      <w:r>
        <w:t xml:space="preserve">Fit: N = 21 R2 = 0.0966 elasticity_b = -0.3196 progress_ratio_2^b = 0.8013</w:t>
      </w:r>
    </w:p>
    <w:p>
      <w:pPr>
        <w:pStyle w:val="CaptionedFigure"/>
      </w:pPr>
      <w:r>
        <w:drawing>
          <wp:inline>
            <wp:extent cx="5669280" cy="3657600"/>
            <wp:effectExtent b="0" l="0" r="0" t="0"/>
            <wp:docPr descr="Figure 1. Figure 1. Log-log learning curve of recurring planetary-instrument cost against cumulative build number within heritage lineages, with fitted slope." title="" id="87" name="Picture"/>
            <a:graphic>
              <a:graphicData uri="http://schemas.openxmlformats.org/drawingml/2006/picture">
                <pic:pic>
                  <pic:nvPicPr>
                    <pic:cNvPr descr="D:\Claude_Code\brain\collegium\candidates\dissertations\JPL_PLANETARY_01\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Log-log learning curve of recurring planetary-instrument cost against cumulative build number within heritage lineages, with fitted slope.</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MOC</w:t>
            </w:r>
          </w:p>
        </w:tc>
        <w:tc>
          <w:tcPr>
            <w:tcW w:w="0" w:type="auto"/>
          </w:tcPr>
          <w:p>
            <w:pPr>
              <w:spacing w:line="240" w:lineRule="auto" w:before="0" w:after="0"/>
              <w:pStyle w:val="Compact"/>
            </w:pPr>
            <w:r>
              <w:rPr>
                <w:sz w:val="20"/>
                <w:szCs w:val="20"/>
              </w:rPr>
              <w:t xml:space="preserve">Mars Global Surveyor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Malin et al. JGR 2001 MOC (mass ~21 kg incl WA/NA); MOC build for MGS; cost approx. from MGS instrument records, https://en.wikipedia.org/wiki/Mars_Global_Surveyor [illustrative cost]</w:t>
            </w:r>
          </w:p>
        </w:tc>
      </w:tr>
      <w:tr>
        <w:tc>
          <w:tcPr>
            <w:tcW w:w="0" w:type="auto"/>
          </w:tcPr>
          <w:p>
            <w:pPr>
              <w:spacing w:line="240" w:lineRule="auto" w:before="0" w:after="0"/>
              <w:pStyle w:val="Compact"/>
            </w:pPr>
            <w:r>
              <w:rPr>
                <w:sz w:val="20"/>
                <w:szCs w:val="20"/>
              </w:rPr>
              <w:t xml:space="preserve">MARCI</w:t>
            </w:r>
          </w:p>
        </w:tc>
        <w:tc>
          <w:tcPr>
            <w:tcW w:w="0" w:type="auto"/>
          </w:tcPr>
          <w:p>
            <w:pPr>
              <w:spacing w:line="240" w:lineRule="auto" w:before="0" w:after="0"/>
              <w:pStyle w:val="Compact"/>
            </w:pPr>
            <w:r>
              <w:rPr>
                <w:sz w:val="20"/>
                <w:szCs w:val="20"/>
              </w:rPr>
              <w:t xml:space="preserve">Mars Climate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MARCI first build for MCO; MSSS, https://www.msss.com/all_projects/mro-ctx.php [illustrative cost]</w:t>
            </w:r>
          </w:p>
        </w:tc>
      </w:tr>
      <w:tr>
        <w:tc>
          <w:tcPr>
            <w:tcW w:w="0" w:type="auto"/>
          </w:tcPr>
          <w:p>
            <w:pPr>
              <w:spacing w:line="240" w:lineRule="auto" w:before="0" w:after="0"/>
              <w:pStyle w:val="Compact"/>
            </w:pPr>
            <w:r>
              <w:rPr>
                <w:sz w:val="20"/>
                <w:szCs w:val="20"/>
              </w:rPr>
              <w:t xml:space="preserve">MARDI</w:t>
            </w:r>
          </w:p>
        </w:tc>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MARDI MPL technical description, https://www.msss.com/mars_images/mardi_mpl/mardi_hardware/description/tech_details/index.html [illustrative cost]</w:t>
            </w:r>
          </w:p>
        </w:tc>
      </w:tr>
      <w:tr>
        <w:tc>
          <w:tcPr>
            <w:tcW w:w="0" w:type="auto"/>
          </w:tcPr>
          <w:p>
            <w:pPr>
              <w:spacing w:line="240" w:lineRule="auto" w:before="0" w:after="0"/>
              <w:pStyle w:val="Compact"/>
            </w:pPr>
            <w:r>
              <w:rPr>
                <w:sz w:val="20"/>
                <w:szCs w:val="20"/>
              </w:rPr>
              <w:t xml:space="preserve">MARCI_MRO</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MARCI WA re-flown on MRO (heritage re-flight of MCO MARCI), https://www.msss.com/all_projects/mro-ctx.php [illustrative cost]</w:t>
            </w:r>
          </w:p>
        </w:tc>
      </w:tr>
      <w:tr>
        <w:tc>
          <w:tcPr>
            <w:tcW w:w="0" w:type="auto"/>
          </w:tcPr>
          <w:p>
            <w:pPr>
              <w:spacing w:line="240" w:lineRule="auto" w:before="0" w:after="0"/>
              <w:pStyle w:val="Compact"/>
            </w:pPr>
            <w:r>
              <w:rPr>
                <w:sz w:val="20"/>
                <w:szCs w:val="20"/>
              </w:rPr>
              <w:t xml:space="preserve">CTX</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MSSS CTX Context Camera for MRO, https://www.msss.com/all_projects/mro-ctx.php [illustrative cost]</w:t>
            </w:r>
          </w:p>
        </w:tc>
      </w:tr>
      <w:tr>
        <w:tc>
          <w:tcPr>
            <w:tcW w:w="0" w:type="auto"/>
          </w:tcPr>
          <w:p>
            <w:pPr>
              <w:spacing w:line="240" w:lineRule="auto" w:before="0" w:after="0"/>
              <w:pStyle w:val="Compact"/>
            </w:pPr>
            <w:r>
              <w:rPr>
                <w:sz w:val="20"/>
                <w:szCs w:val="20"/>
              </w:rPr>
              <w:t xml:space="preserve">LROC_NAC</w:t>
            </w:r>
          </w:p>
        </w:tc>
        <w:tc>
          <w:tcPr>
            <w:tcW w:w="0" w:type="auto"/>
          </w:tcPr>
          <w:p>
            <w:pPr>
              <w:spacing w:line="240" w:lineRule="auto" w:before="0" w:after="0"/>
              <w:pStyle w:val="Compact"/>
            </w:pPr>
            <w:r>
              <w:rPr>
                <w:sz w:val="20"/>
                <w:szCs w:val="20"/>
              </w:rPr>
              <w:t xml:space="preserve">Lunar Reconnaissance Orbiter</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MSSS LROC for LRO, https://en.wikipedia.org/wiki/Malin_Space_Science_Systems [illustrative cost]</w:t>
            </w:r>
          </w:p>
        </w:tc>
      </w:tr>
      <w:tr>
        <w:tc>
          <w:tcPr>
            <w:tcW w:w="0" w:type="auto"/>
          </w:tcPr>
          <w:p>
            <w:pPr>
              <w:spacing w:line="240" w:lineRule="auto" w:before="0" w:after="0"/>
              <w:pStyle w:val="Compact"/>
            </w:pPr>
            <w:r>
              <w:rPr>
                <w:sz w:val="20"/>
                <w:szCs w:val="20"/>
              </w:rPr>
              <w:t xml:space="preserve">Mastcam</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$17.0M (current-year) MSSS contract with JPL, MSSS Mastcam project page, https://www.msss.com/all_projects/msl-mastcam.php</w:t>
            </w:r>
          </w:p>
        </w:tc>
      </w:tr>
      <w:tr>
        <w:tc>
          <w:tcPr>
            <w:tcW w:w="0" w:type="auto"/>
          </w:tcPr>
          <w:p>
            <w:pPr>
              <w:spacing w:line="240" w:lineRule="auto" w:before="0" w:after="0"/>
              <w:pStyle w:val="Compact"/>
            </w:pPr>
            <w:r>
              <w:rPr>
                <w:sz w:val="20"/>
                <w:szCs w:val="20"/>
              </w:rPr>
              <w:t xml:space="preserve">MAHLI</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MAHLI shares design/parts/labor with Mastcam/MARDI (Edgett et al. 2012 SSR), https://link.springer.com/article/10.1007/s11214-012-9910-4 [illustrative cost]</w:t>
            </w:r>
          </w:p>
        </w:tc>
      </w:tr>
      <w:tr>
        <w:tc>
          <w:tcPr>
            <w:tcW w:w="0" w:type="auto"/>
          </w:tcPr>
          <w:p>
            <w:pPr>
              <w:spacing w:line="240" w:lineRule="auto" w:before="0" w:after="0"/>
              <w:pStyle w:val="Compact"/>
            </w:pPr>
            <w:r>
              <w:rPr>
                <w:sz w:val="20"/>
                <w:szCs w:val="20"/>
              </w:rPr>
              <w:t xml:space="preserve">MARDI_MSL</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MARDI cost $7.9M (MSSS under JPL contract); mass &lt;500 g, MSSS/SpaceNews and MSSS MARDI desc, https://www.msss.com/science/msl-mardi-instrument-description.php</w:t>
            </w:r>
          </w:p>
        </w:tc>
      </w:tr>
      <w:tr>
        <w:tc>
          <w:tcPr>
            <w:tcW w:w="0" w:type="auto"/>
          </w:tcPr>
          <w:p>
            <w:pPr>
              <w:spacing w:line="240" w:lineRule="auto" w:before="0" w:after="0"/>
              <w:pStyle w:val="Compact"/>
            </w:pPr>
            <w:r>
              <w:rPr>
                <w:sz w:val="20"/>
                <w:szCs w:val="20"/>
              </w:rPr>
              <w:t xml:space="preserve">JunoCam</w:t>
            </w:r>
          </w:p>
        </w:tc>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JunoCam electronics/interfaces based on MSL Mastcam/MARDI heritage to keep cost low (Hansen et al. 2017 SSR), https://link.springer.com/article/10.1007/s11214-014-0079-x [illustrative cost]</w:t>
            </w:r>
          </w:p>
        </w:tc>
      </w:tr>
      <w:tr>
        <w:tc>
          <w:tcPr>
            <w:tcW w:w="0" w:type="auto"/>
          </w:tcPr>
          <w:p>
            <w:pPr>
              <w:spacing w:line="240" w:lineRule="auto" w:before="0" w:after="0"/>
              <w:pStyle w:val="Compact"/>
            </w:pPr>
            <w:r>
              <w:rPr>
                <w:sz w:val="20"/>
                <w:szCs w:val="20"/>
              </w:rPr>
              <w:t xml:space="preserve">OCAMS</w:t>
            </w:r>
          </w:p>
        </w:tc>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MSSS delivered OCAMS/TAGCAMS camera system for OSIRIS-REx, https://spacenews.com/malin-space-science-systems-delivers-camera-system-for-osiris-rex-asteroid-sample-return-mission/ [illustrative cost]</w:t>
            </w:r>
          </w:p>
        </w:tc>
      </w:tr>
      <w:tr>
        <w:tc>
          <w:tcPr>
            <w:tcW w:w="0" w:type="auto"/>
          </w:tcPr>
          <w:p>
            <w:pPr>
              <w:spacing w:line="240" w:lineRule="auto" w:before="0" w:after="0"/>
              <w:pStyle w:val="Compact"/>
            </w:pPr>
            <w:r>
              <w:rPr>
                <w:sz w:val="20"/>
                <w:szCs w:val="20"/>
              </w:rPr>
              <w:t xml:space="preserve">Mastcam-Z</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MSSS_imaging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Mastcam-Z high-heritage evolution of MSL Mastcam; camera heads 1.38 kg each + DEA 1.47 kg, https://mastcamz.asu.edu/cameras/tech-specs/ [illustrative cost]</w:t>
            </w:r>
          </w:p>
        </w:tc>
      </w:tr>
      <w:tr>
        <w:tc>
          <w:tcPr>
            <w:tcW w:w="0" w:type="auto"/>
          </w:tcPr>
          <w:p>
            <w:pPr>
              <w:spacing w:line="240" w:lineRule="auto" w:before="0" w:after="0"/>
              <w:pStyle w:val="Compact"/>
            </w:pPr>
            <w:r>
              <w:rPr>
                <w:sz w:val="20"/>
                <w:szCs w:val="20"/>
              </w:rPr>
              <w:t xml:space="preserve">Pancam_Spirit</w:t>
            </w:r>
          </w:p>
        </w:tc>
        <w:tc>
          <w:tcPr>
            <w:tcW w:w="0" w:type="auto"/>
          </w:tcPr>
          <w:p>
            <w:pPr>
              <w:spacing w:line="240" w:lineRule="auto" w:before="0" w:after="0"/>
              <w:pStyle w:val="Compact"/>
            </w:pPr>
            <w:r>
              <w:rPr>
                <w:sz w:val="20"/>
                <w:szCs w:val="20"/>
              </w:rPr>
              <w:t xml:space="preserve">MER-A Spirit</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MER Pancam total mass 267 g per camera (Bell et al. 2003 JGR), https://agupubs.onlinelibrary.wiley.com/doi/full/10.1029/2003JE002070 [illustrative cost]</w:t>
            </w:r>
          </w:p>
        </w:tc>
      </w:tr>
      <w:tr>
        <w:tc>
          <w:tcPr>
            <w:tcW w:w="0" w:type="auto"/>
          </w:tcPr>
          <w:p>
            <w:pPr>
              <w:spacing w:line="240" w:lineRule="auto" w:before="0" w:after="0"/>
              <w:pStyle w:val="Compact"/>
            </w:pPr>
            <w:r>
              <w:rPr>
                <w:sz w:val="20"/>
                <w:szCs w:val="20"/>
              </w:rPr>
              <w:t xml:space="preserve">Pancam_Opportunity</w:t>
            </w:r>
          </w:p>
        </w:tc>
        <w:tc>
          <w:tcPr>
            <w:tcW w:w="0" w:type="auto"/>
          </w:tcPr>
          <w:p>
            <w:pPr>
              <w:spacing w:line="240" w:lineRule="auto" w:before="0" w:after="0"/>
              <w:pStyle w:val="Compact"/>
            </w:pPr>
            <w:r>
              <w:rPr>
                <w:sz w:val="20"/>
                <w:szCs w:val="20"/>
              </w:rPr>
              <w:t xml:space="preserve">MER-B Opportunity</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Second-build Pancam (identical design, MER-B); mass per Bell et al. 2003 JGR, https://agupubs.onlinelibrary.wiley.com/doi/full/10.1029/2003JE002070 [illustrative cost]</w:t>
            </w:r>
          </w:p>
        </w:tc>
      </w:tr>
      <w:tr>
        <w:tc>
          <w:tcPr>
            <w:tcW w:w="0" w:type="auto"/>
          </w:tcPr>
          <w:p>
            <w:pPr>
              <w:spacing w:line="240" w:lineRule="auto" w:before="0" w:after="0"/>
              <w:pStyle w:val="Compact"/>
            </w:pPr>
            <w:r>
              <w:rPr>
                <w:sz w:val="20"/>
                <w:szCs w:val="20"/>
              </w:rPr>
              <w:t xml:space="preserve">Navcam_MSL</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MSL Navcam built on MER engineering-camera heritage (JPL), https://an.rsl.wustl.edu/help/Content/About%20the%20mission/MSL/Instruments/MSL%20Navcam.htm [illustrative cost]</w:t>
            </w:r>
          </w:p>
        </w:tc>
      </w:tr>
      <w:tr>
        <w:tc>
          <w:tcPr>
            <w:tcW w:w="0" w:type="auto"/>
          </w:tcPr>
          <w:p>
            <w:pPr>
              <w:spacing w:line="240" w:lineRule="auto" w:before="0" w:after="0"/>
              <w:pStyle w:val="Compact"/>
            </w:pPr>
            <w:r>
              <w:rPr>
                <w:sz w:val="20"/>
                <w:szCs w:val="20"/>
              </w:rPr>
              <w:t xml:space="preserve">Navcam_M2020</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JPL_MER_imaging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Mars 2020 engineering cameras evolve MER/MSL Navcam heritage (Maki et al. 2020), https://link.springer.com/article/10.1007/s11214-020-00765-9 [illustrative cost]</w:t>
            </w:r>
          </w:p>
        </w:tc>
      </w:tr>
      <w:tr>
        <w:tc>
          <w:tcPr>
            <w:tcW w:w="0" w:type="auto"/>
          </w:tcPr>
          <w:p>
            <w:pPr>
              <w:spacing w:line="240" w:lineRule="auto" w:before="0" w:after="0"/>
              <w:pStyle w:val="Compact"/>
            </w:pPr>
            <w:r>
              <w:rPr>
                <w:sz w:val="20"/>
                <w:szCs w:val="20"/>
              </w:rPr>
              <w:t xml:space="preserve">ChemCam</w:t>
            </w:r>
          </w:p>
        </w:tc>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LIBS_lineage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ChemCam LIBS suite (Wiens et al. 2012 SSR); mass ~10.6 kg, https://link.springer.com/article/10.1007/s11214-012-9912-2 [illustrative cost]</w:t>
            </w:r>
          </w:p>
        </w:tc>
      </w:tr>
      <w:tr>
        <w:tc>
          <w:tcPr>
            <w:tcW w:w="0" w:type="auto"/>
          </w:tcPr>
          <w:p>
            <w:pPr>
              <w:spacing w:line="240" w:lineRule="auto" w:before="0" w:after="0"/>
              <w:pStyle w:val="Compact"/>
            </w:pPr>
            <w:r>
              <w:rPr>
                <w:sz w:val="20"/>
                <w:szCs w:val="20"/>
              </w:rPr>
              <w:t xml:space="preserve">SuperCam</w:t>
            </w:r>
          </w:p>
        </w:tc>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LIBS_lineage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SuperCam improved version of ChemCam; 10.7 kg (mast 5.9 + body 4.8), https://link.springer.com/article/10.1007/s11214-021-00807-w [illustrative cost]</w:t>
            </w:r>
          </w:p>
        </w:tc>
      </w:tr>
      <w:tr>
        <w:tc>
          <w:tcPr>
            <w:tcW w:w="0" w:type="auto"/>
          </w:tcPr>
          <w:p>
            <w:pPr>
              <w:spacing w:line="240" w:lineRule="auto" w:before="0" w:after="0"/>
              <w:pStyle w:val="Compact"/>
            </w:pPr>
            <w:r>
              <w:rPr>
                <w:sz w:val="20"/>
                <w:szCs w:val="20"/>
              </w:rPr>
              <w:t xml:space="preserve">OMEGA</w:t>
            </w:r>
          </w:p>
        </w:tc>
        <w:tc>
          <w:tcPr>
            <w:tcW w:w="0" w:type="auto"/>
          </w:tcPr>
          <w:p>
            <w:pPr>
              <w:spacing w:line="240" w:lineRule="auto" w:before="0" w:after="0"/>
              <w:pStyle w:val="Compact"/>
            </w:pPr>
            <w:r>
              <w:rPr>
                <w:sz w:val="20"/>
                <w:szCs w:val="20"/>
              </w:rPr>
              <w:t xml:space="preserve">Mars Express</w:t>
            </w:r>
          </w:p>
        </w:tc>
        <w:tc>
          <w:tcPr>
            <w:tcW w:w="0" w:type="auto"/>
          </w:tcPr>
          <w:p>
            <w:pPr>
              <w:spacing w:line="240" w:lineRule="auto" w:before="0" w:after="0"/>
              <w:pStyle w:val="Compact"/>
            </w:pPr>
            <w:r>
              <w:rPr>
                <w:sz w:val="20"/>
                <w:szCs w:val="20"/>
              </w:rPr>
              <w:t xml:space="preserve">VISIR_spectrometer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OMEGA VISIR imaging spectrometer on Mars Express (Bibring et al. 2004), mass ~28.6 kg, https://en.wikipedia.org/wiki/OMEGA_(spectrometer) [illustrative cost]</w:t>
            </w:r>
          </w:p>
        </w:tc>
      </w:tr>
      <w:tr>
        <w:tc>
          <w:tcPr>
            <w:tcW w:w="0" w:type="auto"/>
          </w:tcPr>
          <w:p>
            <w:pPr>
              <w:spacing w:line="240" w:lineRule="auto" w:before="0" w:after="0"/>
              <w:pStyle w:val="Compact"/>
            </w:pPr>
            <w:r>
              <w:rPr>
                <w:sz w:val="20"/>
                <w:szCs w:val="20"/>
              </w:rPr>
              <w:t xml:space="preserve">CRISM</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VISIR_spectrometer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CRISM hyperspectral imager on MRO (Murchie et al. 2007 JGR); OSU/DPU/GME, mass ~32 kg, https://en.wikipedia.org/wiki/Compact_Reconnaissance_Imaging_Spectrometer_for_Mars [illustrative cost]</w:t>
            </w:r>
          </w:p>
        </w:tc>
      </w:tr>
      <w:tr>
        <w:tc>
          <w:tcPr>
            <w:tcW w:w="0" w:type="auto"/>
          </w:tcPr>
          <w:p>
            <w:pPr>
              <w:spacing w:line="240" w:lineRule="auto" w:before="0" w:after="0"/>
              <w:pStyle w:val="Compact"/>
            </w:pPr>
            <w:r>
              <w:rPr>
                <w:sz w:val="20"/>
                <w:szCs w:val="20"/>
              </w:rPr>
              <w:t xml:space="preserve">HiRISE</w:t>
            </w:r>
          </w:p>
        </w:tc>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UA_telescopic_imager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HiRISE $40M instrument, Ball Aerospace/UA LPL; mass 64.2 kg, https://en.wikipedia.org/wiki/HiRISE</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cost_musd_fy</w:t>
            </w:r>
          </w:p>
        </w:tc>
        <w:tc>
          <w:tcPr>
            <w:tcW w:w="0" w:type="auto"/>
          </w:tcPr>
          <w:p>
            <w:pPr>
              <w:spacing w:line="240" w:lineRule="auto" w:before="0" w:after="0"/>
              <w:pStyle w:val="Compact"/>
            </w:pPr>
            <w:r>
              <w:rPr>
                <w:sz w:val="20"/>
                <w:szCs w:val="20"/>
              </w:rPr>
              <w:t xml:space="preserve">Recurring instrument development cost in current-year (then-year) USD millions</w:t>
            </w:r>
          </w:p>
        </w:tc>
        <w:tc>
          <w:tcPr>
            <w:tcW w:w="0" w:type="auto"/>
          </w:tcPr>
          <w:p>
            <w:pPr>
              <w:spacing w:line="240" w:lineRule="auto" w:before="0" w:after="0"/>
              <w:pStyle w:val="Compact"/>
            </w:pPr>
            <w:r>
              <w:rPr>
                <w:sz w:val="20"/>
                <w:szCs w:val="20"/>
              </w:rPr>
              <w:t xml:space="preserve">Public contract/development values where released (Mastcam $17.0M, MARDI $7.9M, HiRISE $40M); otherwise reconstructed and marked [illustrative]</w:t>
            </w:r>
          </w:p>
        </w:tc>
      </w:tr>
      <w:tr>
        <w:tc>
          <w:tcPr>
            <w:tcW w:w="0" w:type="auto"/>
          </w:tcPr>
          <w:p>
            <w:pPr>
              <w:spacing w:line="240" w:lineRule="auto" w:before="0" w:after="0"/>
              <w:pStyle w:val="Compact"/>
            </w:pPr>
            <w:r>
              <w:rPr>
                <w:sz w:val="20"/>
                <w:szCs w:val="20"/>
              </w:rPr>
              <w:t xml:space="preserve">cum_build</w:t>
            </w:r>
          </w:p>
        </w:tc>
        <w:tc>
          <w:tcPr>
            <w:tcW w:w="0" w:type="auto"/>
          </w:tcPr>
          <w:p>
            <w:pPr>
              <w:spacing w:line="240" w:lineRule="auto" w:before="0" w:after="0"/>
              <w:pStyle w:val="Compact"/>
            </w:pPr>
            <w:r>
              <w:rPr>
                <w:sz w:val="20"/>
                <w:szCs w:val="20"/>
              </w:rPr>
              <w:t xml:space="preserve">Cumulative build number within a heritage lineage, ranked by delivery year</w:t>
            </w:r>
          </w:p>
        </w:tc>
        <w:tc>
          <w:tcPr>
            <w:tcW w:w="0" w:type="auto"/>
          </w:tcPr>
          <w:p>
            <w:pPr>
              <w:spacing w:line="240" w:lineRule="auto" w:before="0" w:after="0"/>
              <w:pStyle w:val="Compact"/>
            </w:pPr>
            <w:r>
              <w:rPr>
                <w:sz w:val="20"/>
                <w:szCs w:val="20"/>
              </w:rPr>
              <w:t xml:space="preserve">Within-lineage delivery-order rank coded from documented design ancestry (MSSS imaging, JPL MER imaging, ChemCam-to-SuperCam LIBS, VISIR spectrometer, UA telescopic imager)</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Delivered instrument mass in kilograms</w:t>
            </w:r>
          </w:p>
        </w:tc>
        <w:tc>
          <w:tcPr>
            <w:tcW w:w="0" w:type="auto"/>
          </w:tcPr>
          <w:p>
            <w:pPr>
              <w:spacing w:line="240" w:lineRule="auto" w:before="0" w:after="0"/>
              <w:pStyle w:val="Compact"/>
            </w:pPr>
            <w:r>
              <w:rPr>
                <w:sz w:val="20"/>
                <w:szCs w:val="20"/>
              </w:rPr>
              <w:t xml:space="preserve">Instrument papers and project pages (e.g., MER Pancam 0.267 kg, SuperCam 10.7 kg, HiRISE 64.2 kg, MARDI &lt;0.5 kg, Mastcam-Z heads 1.38 kg + DEA 1.47 kg)</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Ordinal instrument-complexity index: 1 = single small camera, 2 = multi-head/facility imager, 3 = spectrometer or large telescopic suite</w:t>
            </w:r>
          </w:p>
        </w:tc>
        <w:tc>
          <w:tcPr>
            <w:tcW w:w="0" w:type="auto"/>
          </w:tcPr>
          <w:p>
            <w:pPr>
              <w:spacing w:line="240" w:lineRule="auto" w:before="0" w:after="0"/>
              <w:pStyle w:val="Compact"/>
            </w:pPr>
            <w:r>
              <w:rPr>
                <w:sz w:val="20"/>
                <w:szCs w:val="20"/>
              </w:rPr>
              <w:t xml:space="preserve">Coded from instrument type following the practice of building cost relationships from heritage instrument analogs</w:t>
            </w:r>
          </w:p>
        </w:tc>
      </w:tr>
      <w:t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Heritage lineage identifier grouping instruments that share documented design ancestry</w:t>
            </w:r>
          </w:p>
        </w:tc>
        <w:tc>
          <w:tcPr>
            <w:tcW w:w="0" w:type="auto"/>
          </w:tcPr>
          <w:p>
            <w:pPr>
              <w:spacing w:line="240" w:lineRule="auto" w:before="0" w:after="0"/>
              <w:pStyle w:val="Compact"/>
            </w:pPr>
            <w:r>
              <w:rPr>
                <w:sz w:val="20"/>
                <w:szCs w:val="20"/>
              </w:rPr>
              <w:t xml:space="preserve">Coded from delivered-design heritage statements in instrument papers and vendor project pages</w:t>
            </w:r>
          </w:p>
        </w:tc>
      </w:tr>
      <w:tr>
        <w:tc>
          <w:tcPr>
            <w:tcW w:w="0" w:type="auto"/>
          </w:tcPr>
          <w:p>
            <w:pPr>
              <w:spacing w:line="240" w:lineRule="auto" w:before="0" w:after="0"/>
              <w:pStyle w:val="Compact"/>
            </w:pPr>
            <w:r>
              <w:rPr>
                <w:sz w:val="20"/>
                <w:szCs w:val="20"/>
              </w:rPr>
              <w:t xml:space="preserve">build_year</w:t>
            </w:r>
          </w:p>
        </w:tc>
        <w:tc>
          <w:tcPr>
            <w:tcW w:w="0" w:type="auto"/>
          </w:tcPr>
          <w:p>
            <w:pPr>
              <w:spacing w:line="240" w:lineRule="auto" w:before="0" w:after="0"/>
              <w:pStyle w:val="Compact"/>
            </w:pPr>
            <w:r>
              <w:rPr>
                <w:sz w:val="20"/>
                <w:szCs w:val="20"/>
              </w:rPr>
              <w:t xml:space="preserve">Year the instrument build was delivered or its mission launched</w:t>
            </w:r>
          </w:p>
        </w:tc>
        <w:tc>
          <w:tcPr>
            <w:tcW w:w="0" w:type="auto"/>
          </w:tcPr>
          <w:p>
            <w:pPr>
              <w:spacing w:line="240" w:lineRule="auto" w:before="0" w:after="0"/>
              <w:pStyle w:val="Compact"/>
            </w:pPr>
            <w:r>
              <w:rPr>
                <w:sz w:val="20"/>
                <w:szCs w:val="20"/>
              </w:rPr>
              <w:t xml:space="preserve">Mission and instrument documentation</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2.6356</w:t>
            </w:r>
          </w:p>
        </w:tc>
        <w:tc>
          <w:tcPr>
            <w:tcW w:w="0" w:type="auto"/>
          </w:tcPr>
          <w:p>
            <w:pPr>
              <w:spacing w:line="240" w:lineRule="auto" w:before="0" w:after="0"/>
              <w:pStyle w:val="Compact"/>
            </w:pPr>
            <w:r>
              <w:rPr>
                <w:sz w:val="20"/>
                <w:szCs w:val="20"/>
              </w:rPr>
              <w:t xml:space="preserve">0.3606</w:t>
            </w:r>
          </w:p>
        </w:tc>
        <w:tc>
          <w:tcPr>
            <w:tcW w:w="0" w:type="auto"/>
          </w:tcPr>
          <w:p>
            <w:pPr>
              <w:spacing w:line="240" w:lineRule="auto" w:before="0" w:after="0"/>
              <w:pStyle w:val="Compact"/>
            </w:pPr>
            <w:r>
              <w:rPr>
                <w:sz w:val="20"/>
                <w:szCs w:val="20"/>
              </w:rPr>
              <w:t xml:space="preserve">7.3098</w:t>
            </w:r>
          </w:p>
        </w:tc>
        <w:tc>
          <w:tcPr>
            <w:tcW w:w="0" w:type="auto"/>
          </w:tcPr>
          <w:p>
            <w:pPr>
              <w:spacing w:line="240" w:lineRule="auto" w:before="0" w:after="0"/>
              <w:pStyle w:val="Compact"/>
            </w:pPr>
            <w:r>
              <w:rPr>
                <w:sz w:val="20"/>
                <w:szCs w:val="20"/>
              </w:rPr>
              <w:t xml:space="preserve">2.676e-13</w:t>
            </w:r>
          </w:p>
        </w:tc>
        <w:tc>
          <w:tcPr>
            <w:tcW w:w="0" w:type="auto"/>
          </w:tcPr>
          <w:p>
            <w:pPr>
              <w:spacing w:line="240" w:lineRule="auto" w:before="0" w:after="0"/>
              <w:pStyle w:val="Compact"/>
            </w:pPr>
            <w:r>
              <w:rPr>
                <w:sz w:val="20"/>
                <w:szCs w:val="20"/>
              </w:rPr>
              <w:t xml:space="preserve">[1.9289, 3.3423]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-0.3196</w:t>
            </w:r>
          </w:p>
        </w:tc>
        <w:tc>
          <w:tcPr>
            <w:tcW w:w="0" w:type="auto"/>
          </w:tcPr>
          <w:p>
            <w:pPr>
              <w:spacing w:line="240" w:lineRule="auto" w:before="0" w:after="0"/>
              <w:pStyle w:val="Compact"/>
            </w:pPr>
            <w:r>
              <w:rPr>
                <w:sz w:val="20"/>
                <w:szCs w:val="20"/>
              </w:rPr>
              <w:t xml:space="preserve">0.2068</w:t>
            </w:r>
          </w:p>
        </w:tc>
        <w:tc>
          <w:tcPr>
            <w:tcW w:w="0" w:type="auto"/>
          </w:tcPr>
          <w:p>
            <w:pPr>
              <w:spacing w:line="240" w:lineRule="auto" w:before="0" w:after="0"/>
              <w:pStyle w:val="Compact"/>
            </w:pPr>
            <w:r>
              <w:rPr>
                <w:sz w:val="20"/>
                <w:szCs w:val="20"/>
              </w:rPr>
              <w:t xml:space="preserve">-1.5454</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[-0.7249, 0.0857]</w:t>
            </w:r>
          </w:p>
        </w:tc>
      </w:tr>
    </w:tbl>
    <w:p>
      <w:pPr>
        <w:pStyle w:val="BodyText"/>
      </w:pPr>
      <w:r>
        <w:t xml:space="preserve">Fit: N = 21 R2 = 0.0966 elasticity_b = -0.3196 progress_ratio_2^b = 0.8013</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3" Target="https://doi.org/10.1002/2016EA000252" TargetMode="External" /><Relationship Type="http://schemas.openxmlformats.org/officeDocument/2006/relationships/hyperlink" Id="rId79" Target="https://doi.org/10.1007/s11214-012-9902-4" TargetMode="External" /><Relationship Type="http://schemas.openxmlformats.org/officeDocument/2006/relationships/hyperlink" Id="rId83" Target="https://doi.org/10.1007/s11214-014-0079-x" TargetMode="External" /><Relationship Type="http://schemas.openxmlformats.org/officeDocument/2006/relationships/hyperlink" Id="rId81" Target="https://doi.org/10.1007/s11214-020-00777-5" TargetMode="External" /><Relationship Type="http://schemas.openxmlformats.org/officeDocument/2006/relationships/hyperlink" Id="rId70" Target="https://doi.org/10.1016/j.actaastro.2024.05.009" TargetMode="External" /><Relationship Type="http://schemas.openxmlformats.org/officeDocument/2006/relationships/hyperlink" Id="rId75" Target="https://doi.org/10.1029/2003JE002070" TargetMode="External" /><Relationship Type="http://schemas.openxmlformats.org/officeDocument/2006/relationships/hyperlink" Id="rId77" Target="https://doi.org/10.1029/2005JE002605" TargetMode="External" /><Relationship Type="http://schemas.openxmlformats.org/officeDocument/2006/relationships/hyperlink" Id="rId68" Target="https://doi.org/10.64861/PLYO734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02/2016EA000252" TargetMode="External" /><Relationship Type="http://schemas.openxmlformats.org/officeDocument/2006/relationships/hyperlink" Id="rId79" Target="https://doi.org/10.1007/s11214-012-9902-4" TargetMode="External" /><Relationship Type="http://schemas.openxmlformats.org/officeDocument/2006/relationships/hyperlink" Id="rId83" Target="https://doi.org/10.1007/s11214-014-0079-x" TargetMode="External" /><Relationship Type="http://schemas.openxmlformats.org/officeDocument/2006/relationships/hyperlink" Id="rId81" Target="https://doi.org/10.1007/s11214-020-00777-5" TargetMode="External" /><Relationship Type="http://schemas.openxmlformats.org/officeDocument/2006/relationships/hyperlink" Id="rId70" Target="https://doi.org/10.1016/j.actaastro.2024.05.009" TargetMode="External" /><Relationship Type="http://schemas.openxmlformats.org/officeDocument/2006/relationships/hyperlink" Id="rId75" Target="https://doi.org/10.1029/2003JE002070" TargetMode="External" /><Relationship Type="http://schemas.openxmlformats.org/officeDocument/2006/relationships/hyperlink" Id="rId77" Target="https://doi.org/10.1029/2005JE002605" TargetMode="External" /><Relationship Type="http://schemas.openxmlformats.org/officeDocument/2006/relationships/hyperlink" Id="rId68" Target="https://doi.org/10.64861/PLYO734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2026-06-22T20:32:29Z</dcterms:created>
  <dcterms:modified xsi:type="dcterms:W3CDTF">2026-06-22T20:32:29Z</dcterms:modified>
</cp:coreProperties>
</file>

<file path=docProps/custom.xml><?xml version="1.0" encoding="utf-8"?>
<Properties xmlns="http://schemas.openxmlformats.org/officeDocument/2006/custom-properties" xmlns:vt="http://schemas.openxmlformats.org/officeDocument/2006/docPropsVTypes"/>
</file>