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LEARNING CURVES IN PLANETARY INSTRUMENT DEVELOPMENT: DO REPEATED INSTRUMENT HERITAGE LINEAGES LOWER COST AND SCHEDULE?</w:t>
      </w:r>
    </w:p>
    <w:p>
      <w:pPr>
        <w:jc w:val="center"/>
      </w:pPr>
    </w:p>
    <w:p>
      <w:pPr>
        <w:jc w:val="center"/>
      </w:pPr>
      <w:r>
        <w:rPr>
          <w:rFonts w:ascii="Times New Roman" w:hAnsi="Times New Roman"/>
          <w:sz w:val="24"/>
        </w:rPr>
        <w:t>by</w:t>
      </w:r>
    </w:p>
    <w:p>
      <w:pPr>
        <w:jc w:val="center"/>
      </w:pPr>
      <w:r>
        <w:rPr>
          <w:rFonts w:ascii="Times New Roman" w:hAnsi="Times New Roman"/>
          <w:b/>
          <w:sz w:val="28"/>
        </w:rPr>
        <w:t>Beatriz Abara</w:t>
      </w:r>
    </w:p>
    <w:p>
      <w:pPr>
        <w:jc w:val="center"/>
      </w:pPr>
      <w:r>
        <w:rPr>
          <w:rFonts w:ascii="Times New Roman" w:hAnsi="Times New Roman"/>
          <w:sz w:val="24"/>
        </w:rPr>
        <w:t>1B-PLA-037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Planetary science instruments are among the most expensive and schedule-bound hardware that the National Aeronautics and Space Administration procures, and almost every one of them is justified in part by an appeal to heritage. When a program office proposes a new camera, spectrometer, or particle detector that inherits a prior design, the proposal narrative routinely promises that the new build will cost less and arrive sooner than a clean-sheet equivalent would. The cost-estimation machinery that supports such proposals encodes that promise structurally, because the estimating relationships used to price new instruments are commonly developed from heritage hardware and then extrapolated to the next build</w:t>
      </w:r>
      <w:r>
        <w:t xml:space="preserve"> </w:t>
      </w:r>
      <w:hyperlink w:anchor="ref-1">
        <w:r>
          <w:rPr>
            <w:rStyle w:val="Hyperlink"/>
          </w:rPr>
          <w:t xml:space="preserve">[1]</w:t>
        </w:r>
      </w:hyperlink>
      <w:r>
        <w:t xml:space="preserve">. Heritage, in other words, is not a peripheral rhetorical flourish at proposal time. It is the load-bearing assumption beneath a large fraction of the cost and schedule baselines on which planetary missions are planned, defended, and descoped.</w:t>
      </w:r>
    </w:p>
    <w:p>
      <w:pPr>
        <w:pStyle w:val="BodyText"/>
        <w:spacing w:line="480" w:lineRule="auto"/>
        <w:ind w:firstLine="720"/>
      </w:pPr>
      <w:r>
        <w:t xml:space="preserve">The difficulty is that the field treats heritage as a binary inheritance flag rather than as a position on a learning curve. An instrument is recorded as having heritage or not having it, and the heritage label is then taken to license a discount whose magnitude is rarely specified and almost never estimated from data. This is a strange omission, because the surrounding evidence points unambiguously toward a quantitative effect. The space-economy record documents that the unit cost of space hardware falls as production volume rises, the canonical signature of a learning process in which repeated builds drive manufacturing and engineering cost downward</w:t>
      </w:r>
      <w:r>
        <w:t xml:space="preserve"> </w:t>
      </w:r>
      <w:hyperlink w:anchor="ref-3">
        <w:r>
          <w:rPr>
            <w:rStyle w:val="Hyperlink"/>
          </w:rPr>
          <w:t xml:space="preserve">[3]</w:t>
        </w:r>
      </w:hyperlink>
      <w:r>
        <w:t xml:space="preserve">. Cost-estimating practice also recognizes that cost is not scale-free, that estimating relationships carry a non-negligible dependence on physical scale that must be captured explicitly rather than assumed away</w:t>
      </w:r>
      <w:r>
        <w:t xml:space="preserve"> </w:t>
      </w:r>
      <w:hyperlink w:anchor="ref-2">
        <w:r>
          <w:rPr>
            <w:rStyle w:val="Hyperlink"/>
          </w:rPr>
          <w:t xml:space="preserve">[2]</w:t>
        </w:r>
      </w:hyperlink>
      <w:r>
        <w:t xml:space="preserve">. Repetition lowers cost, physical scale matters, and heritage is precisely the channel through which repetition is supposed to operate. Yet the three observations have never been assembled into a measured estimate of how much repetition actually buys in the planetary-instrument regime.</w:t>
      </w:r>
    </w:p>
    <w:p>
      <w:pPr>
        <w:pStyle w:val="BodyText"/>
        <w:spacing w:line="480" w:lineRule="auto"/>
        <w:ind w:firstLine="720"/>
      </w:pPr>
      <w:r>
        <w:t xml:space="preserve">This dissertation closes that gap. It reframes heritage as a count, the cumulative number of builds within a documented design lineage, and asks whether each additional build moves recurring cost and development schedule down a learning curve of the canonical Wright type. The reframing converts a qualitative inheritance flag into a falsifiable elasticity, a single number that either supports the heritage discount or fails to. The estimand is deliberately narrow, and that narrowness is the point. A field that prices heritage every day but has never cleanly estimated its price needs one disciplined slope before it needs anything more elaborate.</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are immediate and operational. Planetary instrument development consumes a meaningful share of mission budgets, and the heritage discount enters mission cost baselines at the earliest and most consequential stage, when a program office decides whether an inheriting design is affordable and what it can promise to deliver. If repeated builds within a lineage produce a real, estimable learning rate, then program planners can price heritage credibly, defend descope decisions on quantitative grounds, and distinguish an instrument lineage that genuinely earns its discount from one that merely claims the label. The number would give a proposal review board something firmer than intuition with which to interrogate a heritage assertion, and it would let cost analysts replace a vague qualitative credit with a defined elasticity tied to the count of prior builds.</w:t>
      </w:r>
    </w:p>
    <w:p>
      <w:pPr>
        <w:pStyle w:val="BodyText"/>
        <w:spacing w:line="480" w:lineRule="auto"/>
        <w:ind w:firstLine="720"/>
      </w:pPr>
      <w:r>
        <w:t xml:space="preserve">If, on the other hand, repeated builds produce no measurable reduction once instrument mass and complexity are held fixed, the consequences are equally consequential and considerably more uncomfortable. In that case the heritage discount is a rhetorical device rather than an engineering economy, and every cost-estimating relationship developed from heritage hardware inherits the optimism of the heritage claim when it is extrapolated into the low-volume planetary regime</w:t>
      </w:r>
      <w:r>
        <w:t xml:space="preserve"> </w:t>
      </w:r>
      <w:hyperlink w:anchor="ref-1">
        <w:r>
          <w:rPr>
            <w:rStyle w:val="Hyperlink"/>
          </w:rPr>
          <w:t xml:space="preserve">[1]</w:t>
        </w:r>
      </w:hyperlink>
      <w:r>
        <w:t xml:space="preserve">. A cost baseline that bakes in a firm heritage credit would then be asserting more certainty than the reconstructable record supports, systematically biasing cost and schedule baselines toward optimism in exactly the direction that has historically produced overruns. Either way, the field needs the number. A credible learning rate disciplines optimistic heritage rhetoric, and a credible null disciplines the cost models that lean on heritage analogs.</w:t>
      </w:r>
    </w:p>
    <w:p>
      <w:pPr>
        <w:pStyle w:val="BodyText"/>
        <w:spacing w:line="480" w:lineRule="auto"/>
        <w:ind w:firstLine="720"/>
      </w:pPr>
      <w:r>
        <w:t xml:space="preserve">The Jet Propulsion Laboratory occupies the center of this problem. JPL builds, integrates, and procures planetary instruments across the longest and most-repeated design lineages in the field, from the Mars Exploration Rover and Mars Science Laboratory imaging lines through the laser-spectroscopy line that runs from ChemCam to SuperCam</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These are precisely the lineages in which a learning effect, if it exists, should be visible, and they are the lineages whose heritage claims most directly shape JPL cost and schedule planning. A defensible planetary-instrument learning rate is therefore not an abstract econometric curiosity for JPL. It is an input to how the Laboratory prices its own most repeated hardware, justifies inheriting designs to sponsors, and decides when a heritage claim is worth believing.</w:t>
      </w:r>
    </w:p>
    <w:p>
      <w:pPr>
        <w:pStyle w:val="BodyText"/>
        <w:spacing w:line="480" w:lineRule="auto"/>
        <w:ind w:firstLine="720"/>
      </w:pPr>
      <w:r>
        <w:t xml:space="preserve">The planetary regime is also where the general volume-cost intuition is least obviously transferable, which sharpens the stakes further. The evidence that repeated hardware grows cheaper was drawn from launch vehicles and constellation-scale production, where units are built in the hundreds</w:t>
      </w:r>
      <w:r>
        <w:t xml:space="preserve"> </w:t>
      </w:r>
      <w:hyperlink w:anchor="ref-3">
        <w:r>
          <w:rPr>
            <w:rStyle w:val="Hyperlink"/>
          </w:rPr>
          <w:t xml:space="preserve">[3]</w:t>
        </w:r>
      </w:hyperlink>
      <w:r>
        <w:t xml:space="preserve">, and the broader forecasting and final-frontier economics literature reasons from the same at-scale logic</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Planetary instruments are built in ones and twos. The heritage they inherit is a design lineage rather than a manufacturing line, so the mechanism, if any, is design reuse, tooling, focal-plane architectures, electronics, test fixtures, and carried-forward engineering labor, rather than assembly-line repetition. Whether the volume-cost relationship survives the move into this low-volume, high-bespoke corner of space hardware is an open empirical question with direct budgetary consequences for the institution that builds most of these instruments.</w:t>
      </w:r>
    </w:p>
    <w:bookmarkEnd w:id="62"/>
    <w:bookmarkStart w:id="63" w:name="the-gap-between-domain-and-method"/>
    <w:p>
      <w:pPr>
        <w:pStyle w:val="Heading2"/>
        <w:spacing w:line="480" w:lineRule="auto"/>
      </w:pPr>
      <w:r>
        <w:t xml:space="preserve">1.3 The gap between domain and method</w:t>
      </w:r>
    </w:p>
    <w:p>
      <w:pPr>
        <w:pStyle w:val="FirstParagraph"/>
        <w:spacing w:line="480" w:lineRule="auto"/>
      </w:pPr>
      <w:r>
        <w:t xml:space="preserve">The intellectual gap this dissertation addresses sits between two literatures that have never been joined. On one side is the planetary-instrument domain literature, a rich and precise record of how individual instruments were designed, built, and flown. This literature documents design ancestry explicitly. The Mars Science Laboratory Mastcam and Mars Descent Imager are described together with their shared imaging heritage</w:t>
      </w:r>
      <w:r>
        <w:t xml:space="preserve"> </w:t>
      </w:r>
      <w:hyperlink w:anchor="ref-4">
        <w:r>
          <w:rPr>
            <w:rStyle w:val="Hyperlink"/>
          </w:rPr>
          <w:t xml:space="preserve">[4]</w:t>
        </w:r>
      </w:hyperlink>
      <w:r>
        <w:t xml:space="preserve">, JunoCam is documented as deriving its electronics and physical interfaces from earlier builds in order to hold cost down</w:t>
      </w:r>
      <w:r>
        <w:t xml:space="preserve"> </w:t>
      </w:r>
      <w:hyperlink w:anchor="ref-9">
        <w:r>
          <w:rPr>
            <w:rStyle w:val="Hyperlink"/>
          </w:rPr>
          <w:t xml:space="preserve">[9]</w:t>
        </w:r>
      </w:hyperlink>
      <w:r>
        <w:t xml:space="preserve">, and Mastcam-Z is documented as a high-heritage evolution of the Mastcam investigation</w:t>
      </w:r>
      <w:r>
        <w:t xml:space="preserve"> </w:t>
      </w:r>
      <w:hyperlink w:anchor="ref-15">
        <w:r>
          <w:rPr>
            <w:rStyle w:val="Hyperlink"/>
          </w:rPr>
          <w:t xml:space="preserve">[15]</w:t>
        </w:r>
      </w:hyperlink>
      <w:r>
        <w:t xml:space="preserve">. The laser-spectroscopy line from ChemCam to SuperCam is similarly traceable through the instrument record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as are the orbital imaging and spectrometer lines anchored by HiRISE and CRISM</w:t>
      </w:r>
      <w:r>
        <w:t xml:space="preserve"> </w:t>
      </w:r>
      <w:hyperlink w:anchor="ref-6">
        <w:r>
          <w:rPr>
            <w:rStyle w:val="Hyperlink"/>
          </w:rPr>
          <w:t xml:space="preserve">[6]</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The domain literature thus supplies everything needed to assign lineage membership from delivered-design documentation rather than from name similarity, and it reports the engineering parameters, mass above all, that any cost analysis must condition on</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 What this literature does not do is estimate anything. Heritage appears in it as narrative design history, not as a counted, repeatable experience whose marginal effect on cost can be measured.</w:t>
      </w:r>
    </w:p>
    <w:p>
      <w:pPr>
        <w:pStyle w:val="BodyText"/>
        <w:spacing w:line="480" w:lineRule="auto"/>
        <w:ind w:firstLine="720"/>
      </w:pPr>
      <w:r>
        <w:t xml:space="preserve">On the other side is the econometric method literature, the learning-curve and cost-modeling tradition that knows how to turn repetition into a number. The Wright learning curve gives the functional form, a constant proportional cost reduction per doubling of cumulative output that appears in logs as a linear slope on the log of cumulative build, with a progress ratio equal to two raised to that slope. The space-economy record supplies the prior on the expected sign, since unit cost falls as hardware moves toward volume production</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cost-modeling literature supplies the essential caution, that estimating relationships depend on physical scale and that an honest learning estimate must hold scale fixed rather than let a move down the size gradient masquerade as learning</w:t>
      </w:r>
      <w:r>
        <w:t xml:space="preserve"> </w:t>
      </w:r>
      <w:hyperlink w:anchor="ref-2">
        <w:r>
          <w:rPr>
            <w:rStyle w:val="Hyperlink"/>
          </w:rPr>
          <w:t xml:space="preserve">[2]</w:t>
        </w:r>
      </w:hyperlink>
      <w:r>
        <w:t xml:space="preserve">. This literature knows how to identify a slope, but it has applied that apparatus to high-volume hardware and to cost-estimating relationships built from heritage analogs</w:t>
      </w:r>
      <w:r>
        <w:t xml:space="preserve"> </w:t>
      </w:r>
      <w:hyperlink w:anchor="ref-1">
        <w:r>
          <w:rPr>
            <w:rStyle w:val="Hyperlink"/>
          </w:rPr>
          <w:t xml:space="preserve">[1]</w:t>
        </w:r>
      </w:hyperlink>
      <w:r>
        <w:t xml:space="preserve">, not to the low-volume planetary-instrument lineages where the domain knowledge lives.</w:t>
      </w:r>
    </w:p>
    <w:p>
      <w:pPr>
        <w:pStyle w:val="BodyText"/>
        <w:spacing w:line="480" w:lineRule="auto"/>
        <w:ind w:firstLine="720"/>
      </w:pPr>
      <w:r>
        <w:t xml:space="preserve">The gap is therefore precise and bridgeable. No prior work estimates a learning-curve slope for planetary-instrument lineages while controlling for instrument mass and complexity, and none separates genuine within-lineage learning from the cross-sectional fact that simpler instruments are cheaper. The heritage discount is asserted by cost-modeling practice</w:t>
      </w:r>
      <w:r>
        <w:t xml:space="preserve"> </w:t>
      </w:r>
      <w:hyperlink w:anchor="ref-1">
        <w:r>
          <w:rPr>
            <w:rStyle w:val="Hyperlink"/>
          </w:rPr>
          <w:t xml:space="preserve">[1]</w:t>
        </w:r>
      </w:hyperlink>
      <w:r>
        <w:t xml:space="preserve"> </w:t>
      </w:r>
      <w:r>
        <w:t xml:space="preserve">and made plausible by the production-economics evidence</w:t>
      </w:r>
      <w:r>
        <w:t xml:space="preserve"> </w:t>
      </w:r>
      <w:hyperlink w:anchor="ref-3">
        <w:r>
          <w:rPr>
            <w:rStyle w:val="Hyperlink"/>
          </w:rPr>
          <w:t xml:space="preserve">[3]</w:t>
        </w:r>
      </w:hyperlink>
      <w:r>
        <w:t xml:space="preserve">, but it is identified by neither. The domain literature has the lineages and the parameters; the method literature has the estimator and the warnings. This dissertation joins them, and in doing so it confronts the central identification problem that has kept the two apart. Later builds in a lineage are not random draws. If the second or third instrument in a lineage happens to be lighter or simpler than the first, a naive curve will credit learning for a reduction that is really a move down the scale gradient that the cost literature warns about</w:t>
      </w:r>
      <w:r>
        <w:t xml:space="preserve"> </w:t>
      </w:r>
      <w:hyperlink w:anchor="ref-2">
        <w:r>
          <w:rPr>
            <w:rStyle w:val="Hyperlink"/>
          </w:rPr>
          <w:t xml:space="preserve">[2]</w:t>
        </w:r>
      </w:hyperlink>
      <w:r>
        <w:t xml:space="preserve">. The contribution is defined by how cleanly it resolves that confound.</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single contribution of this dissertation is one number: the learning rate of planetary-instrument lineages, defined as the proportional change in recurring cost associated with each doubling of cumulative builds within a heritage lineage, holding instrument mass and complexity fixed, with a parallel estimate for development schedule. The contribution is stated as a falsifiable hypothesis pair.</w:t>
      </w:r>
    </w:p>
    <w:p>
      <w:pPr>
        <w:pStyle w:val="BodyText"/>
        <w:spacing w:line="480" w:lineRule="auto"/>
        <w:ind w:firstLine="720"/>
      </w:pPr>
      <w:r>
        <w:t xml:space="preserve">The null hypothesis, H0, is that within a planetary-instrument heritage lineage the elasticity of recurring cost with respect to cumulative build number is statistically indistinguishable from zero once instrument mass and complexity class are controlled. Under H0 repeated heritage builds yield no measurable cost or schedule reduction, and any apparent learning in the raw data is a scale artifact. The alternative hypothesis, H1, is that recurring cost declines at a positive, decaying learning rate with each additional build, holding mass and complexity fixed, consistent with a Wright-type learning curve and with the volume-cost relationship documented for repeated space hardware</w:t>
      </w:r>
      <w:r>
        <w:t xml:space="preserve"> </w:t>
      </w:r>
      <w:hyperlink w:anchor="ref-3">
        <w:r>
          <w:rPr>
            <w:rStyle w:val="Hyperlink"/>
          </w:rPr>
          <w:t xml:space="preserve">[3]</w:t>
        </w:r>
      </w:hyperlink>
      <w:r>
        <w:t xml:space="preserve">.</w:t>
      </w:r>
    </w:p>
    <w:p>
      <w:pPr>
        <w:pStyle w:val="BodyText"/>
        <w:spacing w:line="480" w:lineRule="auto"/>
        <w:ind w:firstLine="720"/>
      </w:pPr>
      <w:r>
        <w:t xml:space="preserve">The hypotheses are sharp because the estimand is sharp. Identification rests on within-lineage variation, the slope of log recurring cost on log cumulative build number within a lineage, rather than on cross-sectional comparison of unrelated instruments. Using within-lineage variation removes the confound that lighter or simpler instruments are cheaper for reasons that have nothing to do with learning, and instrument mass and a complexity class enter the specification directly so that the learning slope is reported net of the scale dependence the cost literature already documents</w:t>
      </w:r>
      <w:r>
        <w:t xml:space="preserve"> </w:t>
      </w:r>
      <w:hyperlink w:anchor="ref-2">
        <w:r>
          <w:rPr>
            <w:rStyle w:val="Hyperlink"/>
          </w:rPr>
          <w:t xml:space="preserve">[2]</w:t>
        </w:r>
      </w:hyperlink>
      <w:r>
        <w:t xml:space="preserve">. Rejecting H0 establishes that heritage is a quantifiable learning effect and yields its rate. Failing to reject H0 falsifies the heritage discount as applied to planetary instruments and challenges the validity of cost-estimating relationships developed from heritage when those relationships are extrapolated to the low-volume planetary regime</w:t>
      </w:r>
      <w:r>
        <w:t xml:space="preserve"> </w:t>
      </w:r>
      <w:hyperlink w:anchor="ref-1">
        <w:r>
          <w:rPr>
            <w:rStyle w:val="Hyperlink"/>
          </w:rPr>
          <w:t xml:space="preserve">[1]</w:t>
        </w:r>
      </w:hyperlink>
      <w:r>
        <w:t xml:space="preserve">.</w:t>
      </w:r>
    </w:p>
    <w:p>
      <w:pPr>
        <w:pStyle w:val="BodyText"/>
        <w:spacing w:line="480" w:lineRule="auto"/>
        <w:ind w:firstLine="720"/>
      </w:pPr>
      <w:r>
        <w:t xml:space="preserve">The contribution is grounded in a specific, real, publicly reconstructable dataset, the delivered planetary-instrument record assembled from instrument and mission documentation and joined to engineering parameters reported in the instrument literature itself</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14">
        <w:r>
          <w:rPr>
            <w:rStyle w:val="Hyperlink"/>
          </w:rPr>
          <w:t xml:space="preserve">[14]</w:t>
        </w:r>
      </w:hyperlink>
      <w:r>
        <w:t xml:space="preserve">. Lineage assignment is coded from documented design ancestry rather than inferred from name similarity, cumulative build number is the within-lineage rank by delivery date, mass is taken from published engineering tables, and complexity class is coded from instrument type following the practice of building cost relationships from heritage analogs</w:t>
      </w:r>
      <w:r>
        <w:t xml:space="preserve"> </w:t>
      </w:r>
      <w:hyperlink w:anchor="ref-1">
        <w:r>
          <w:rPr>
            <w:rStyle w:val="Hyperlink"/>
          </w:rPr>
          <w:t xml:space="preserve">[1]</w:t>
        </w:r>
      </w:hyperlink>
      <w:r>
        <w:t xml:space="preserve">. Recurring cost, the most provenance-sensitive field, is drawn only from publicly released figures, with any instrument lacking a public or documented cost basis flagged or excluded rather than silently imputed, preserving an auditable provenance chain from raw record to coded variable. The analysis deliberately avoids reliance on proprietary cost ledgers so that the entire estimate can be reconstructed from the open record.</w:t>
      </w:r>
    </w:p>
    <w:p>
      <w:pPr>
        <w:pStyle w:val="BodyText"/>
        <w:spacing w:line="480" w:lineRule="auto"/>
        <w:ind w:firstLine="720"/>
      </w:pPr>
      <w:r>
        <w:t xml:space="preserve">The empirical work proceeds in two stages, and the contrast between them is itself part of the contribution. A first specification fits a bivariate learning curve, the pooled log-log slope of recurring cost on cumulative build number, and recovers a negative point estimate whose confidence interval nonetheless includes zero, a qualified null with a suggestive sign whose imprecision the scale-dependence literature anticipates because mass and complexity are omitted from the bivariate slope</w:t>
      </w:r>
      <w:r>
        <w:t xml:space="preserve"> </w:t>
      </w:r>
      <w:hyperlink w:anchor="ref-2">
        <w:r>
          <w:rPr>
            <w:rStyle w:val="Hyperlink"/>
          </w:rPr>
          <w:t xml:space="preserve">[2]</w:t>
        </w:r>
      </w:hyperlink>
      <w:r>
        <w:t xml:space="preserve">. That result motivates the central specification, a multivariate cost model that admits log mass as a continuous scale control and complexity as a categorical control. In the multivariate model the learning elasticity is negative and precisely estimated, H0 is rejected, and the partial slope on cumulative build survives the scale controls comfortably. The two stages together show that the heritage effect is not an artifact of later builds being lighter or simpler, and that in planetary instruments the signal the cost literature reads as a mass effect is largely a complexity effect</w:t>
      </w:r>
      <w:r>
        <w:t xml:space="preserve"> </w:t>
      </w:r>
      <w:hyperlink w:anchor="ref-2">
        <w:r>
          <w:rPr>
            <w:rStyle w:val="Hyperlink"/>
          </w:rPr>
          <w:t xml:space="preserve">[2]</w:t>
        </w:r>
      </w:hyperlink>
      <w:r>
        <w:t xml:space="preserve">. The dissertation thus delivers a planetary-instrument learning rate that is signed as theory predicts, identified by within-lineage repetition, and defensible at a proposal review.</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is organized to build the contribution carefully and then to stress it. The present chapter, Chapter 1, has stated the problem, established its stakes for NASA and for JPL in particular, located the gap between the planetary-instrument domain literature and the econometric method literature, and set out the single falsifiable contribution as an H0 and H1 pair tied to a real and reconstructable dataset.</w:t>
      </w:r>
    </w:p>
    <w:p>
      <w:pPr>
        <w:pStyle w:val="BodyText"/>
        <w:spacing w:line="480" w:lineRule="auto"/>
        <w:ind w:firstLine="720"/>
      </w:pPr>
      <w:r>
        <w:t xml:space="preserve">Chapter 2 reviews the two literatures in depth and develops the theoretical frame that joins them. It treats the Wright learning curve as the functional shape, the space-economy volume-cost record as the prior on the expected sign</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and the scale-dependence caution from cost modeling as the binding methodological constraint</w:t>
      </w:r>
      <w:r>
        <w:t xml:space="preserve"> </w:t>
      </w:r>
      <w:hyperlink w:anchor="ref-2">
        <w:r>
          <w:rPr>
            <w:rStyle w:val="Hyperlink"/>
          </w:rPr>
          <w:t xml:space="preserve">[2]</w:t>
        </w:r>
      </w:hyperlink>
      <w:r>
        <w:t xml:space="preserve">, while reading the planetary-instrument record for documented design ancestry across the lineages used in the analysis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w:t>
      </w:r>
      <w:r>
        <w:t xml:space="preserve"> </w:t>
      </w:r>
      <w:hyperlink w:anchor="ref-19">
        <w:r>
          <w:rPr>
            <w:rStyle w:val="Hyperlink"/>
          </w:rPr>
          <w:t xml:space="preserve">[19]</w:t>
        </w:r>
      </w:hyperlink>
      <w:r>
        <w:t xml:space="preserve">.</w:t>
      </w:r>
    </w:p>
    <w:p>
      <w:pPr>
        <w:pStyle w:val="BodyText"/>
        <w:spacing w:line="480" w:lineRule="auto"/>
        <w:ind w:firstLine="720"/>
      </w:pPr>
      <w:r>
        <w:t xml:space="preserve">Chapter 3 specifies the data and its provenance. It defines a heritage lineage operationally, details the coding of cumulative build number, mass, and complexity class, and lays out the conservative treatment of the cost field, including the constant-year normalization, the per-row source strings, and the rule that unreconcilable cost bases are dropped rather than imputed</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Chapter 4 presents the bivariate learning curve, the pooled log-log slope of cost on cumulative build, and reports its negative but imprecise estimate, explaining why a specification that omits scale controls cannot yet defend a heritage discount and why the low explained variance is exactly what the scale-dependence literature predicts</w:t>
      </w:r>
      <w:r>
        <w:t xml:space="preserve"> </w:t>
      </w:r>
      <w:hyperlink w:anchor="ref-2">
        <w:r>
          <w:rPr>
            <w:rStyle w:val="Hyperlink"/>
          </w:rPr>
          <w:t xml:space="preserve">[2]</w:t>
        </w:r>
      </w:hyperlink>
      <w:r>
        <w:t xml:space="preserve">.</w:t>
      </w:r>
    </w:p>
    <w:p>
      <w:pPr>
        <w:pStyle w:val="BodyText"/>
        <w:spacing w:line="480" w:lineRule="auto"/>
        <w:ind w:firstLine="720"/>
      </w:pPr>
      <w:r>
        <w:t xml:space="preserve">Chapter 5 presents the central multivariate specification, the partial cost elasticity of cumulative build net of mass and complexity, and reports the rejection of H0, the implied progress ratio, and the finding that complexity rather than raw mass carries the scale signal once both are admitted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p>
      <w:pPr>
        <w:pStyle w:val="BodyText"/>
        <w:spacing w:line="480" w:lineRule="auto"/>
        <w:ind w:firstLine="720"/>
      </w:pPr>
      <w:r>
        <w:t xml:space="preserve">Chapter 6 hardens the result. It reports the schedule specification that replaces cost with development duration, the within-lineage fixed-effects variant, the leave-one-lineage-out re-estimation that tests sensitivity to any single dominant lineage, and the placebo that substitutes calendar year for cumulative build and should not load if the effect is learning rather than secular technological drift. It also addresses the standing threats to validity, selection on survival, scale confounding, cost-provenance heterogeneity, lineage misclassification, and the external-validity limit that confines the estimate to the low-volume planetary regime rather than the high-volume regime from which the volume-cost relationship was first drawn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p>
    <w:p>
      <w:pPr>
        <w:pStyle w:val="BodyText"/>
        <w:spacing w:line="480" w:lineRule="auto"/>
        <w:ind w:firstLine="720"/>
      </w:pPr>
      <w:r>
        <w:t xml:space="preserve">Chapter 7 concludes by returning the number to the practitioners who need it. It states the planetary-instrument learning rate plainly, draws out what it means for pricing heritage at a proposal review and for the cost-estimating relationships that lean on heritage analogs</w:t>
      </w:r>
      <w:r>
        <w:t xml:space="preserve"> </w:t>
      </w:r>
      <w:hyperlink w:anchor="ref-1">
        <w:r>
          <w:rPr>
            <w:rStyle w:val="Hyperlink"/>
          </w:rPr>
          <w:t xml:space="preserve">[1]</w:t>
        </w:r>
      </w:hyperlink>
      <w:r>
        <w:t xml:space="preserve">, and marks the boundaries of the claim so that the discount is neither overstated by heritage rhetoric nor understated by the imprecision of a partly reconstructed public record. The throughline of the dissertation is a single disciplined elasticity, earned from the open instrument record, that lets the field price the heritage it has long assumed.</w:t>
      </w:r>
    </w:p>
    <w:bookmarkEnd w:id="65"/>
    <w:bookmarkEnd w:id="66"/>
    <w:bookmarkStart w:id="85" w:name="chapter-2.-literature-review"/>
    <w:p>
      <w:pPr>
        <w:pStyle w:val="Heading1"/>
        <w:spacing w:line="480" w:lineRule="auto"/>
      </w:pPr>
      <w:r>
        <w:t xml:space="preserve">Chapter 2. Literature Review</w:t>
      </w:r>
    </w:p>
    <w:bookmarkStart w:id="67" w:name="introduction-and-organizing-logic"/>
    <w:p>
      <w:pPr>
        <w:pStyle w:val="Heading2"/>
        <w:spacing w:line="480" w:lineRule="auto"/>
      </w:pPr>
      <w:r>
        <w:t xml:space="preserve">2.1 Introduction and Organizing Logic</w:t>
      </w:r>
    </w:p>
    <w:p>
      <w:pPr>
        <w:pStyle w:val="FirstParagraph"/>
        <w:spacing w:line="480" w:lineRule="auto"/>
      </w:pPr>
      <w:r>
        <w:t xml:space="preserve">This chapter establishes the intellectual terrain on which the dissertation’s single falsifiable contribution rests: a learning-rate estimate for planetary instrument heritage lineages, identified by within-lineage variation across successive builds. The contribution sits at the intersection of two scholarly bodies that have developed in near-total isolation from one another. The first is the domain technical literature of planetary instrument development, a deep and meticulous record of how individual cameras, spectrometers, and laser-spectroscopy suites are designed, qualified, and flown, with explicit attention to the heritage that each build carries forward from its predecessors. The second is the cliometric and econometric methodology literature of learning curves and cost-estimating relationships, a tradition that converts repetition into a measurable slope and that has been applied across manufacturing, aerospace production, and the broader space economy. Each literature is internally rigorous. Neither has been brought to bear on the other in the specific regime that this dissertation occupies, namely the low-volume, high-bespoke production of planetary science instruments.</w:t>
      </w:r>
    </w:p>
    <w:p>
      <w:pPr>
        <w:pStyle w:val="BodyText"/>
        <w:spacing w:line="480" w:lineRule="auto"/>
        <w:ind w:firstLine="720"/>
      </w:pPr>
      <w:r>
        <w:t xml:space="preserve">The argument of this chapter proceeds in four movements. Section 2.2 reviews the domain technical literature, reading the instrument record not as a sequence of self-contained engineering reports but as a documented genealogy of design inheritance whose heritage statements are the raw material from which lineage membership and complexity class can be coded. Section 2.3 reviews the cliometric and econometric methodology literature, tracing the Wright learning-curve form, the institutionalization of heritage-based cost-estimating relationships, the documented dependence of cost on physical scale, and the volume-cost evidence drawn from mass-produced space hardware. Section 2.4 synthesizes the two literatures and specifies, with precision, the gap that neither alone can fill. Section 2.5 situates the dissertation’s two companion analyses within that gap and closes by stating the contribution that the empirical chapters deliver. Throughout, the review insists on a distinction that the field has tended to blur: heritage as a binary inheritance flag invoked at proposal time, versus heritage as a counted, repeated experience whose marginal effect on cost and schedule can be estimated.</w:t>
      </w:r>
    </w:p>
    <w:bookmarkEnd w:id="67"/>
    <w:bookmarkStart w:id="71" w:name="X7159a1745841cec8f0a3b3187eabf4e65175f6b"/>
    <w:p>
      <w:pPr>
        <w:pStyle w:val="Heading2"/>
        <w:spacing w:line="480" w:lineRule="auto"/>
      </w:pPr>
      <w:r>
        <w:t xml:space="preserve">2.2 The Domain Technical Literature: Planetary Instruments as Documented Heritage Lineages</w:t>
      </w:r>
    </w:p>
    <w:bookmarkStart w:id="68" w:name="Xff7c1e4f94599af5c3cdeac787304ad597a3d88"/>
    <w:p>
      <w:pPr>
        <w:pStyle w:val="Heading3"/>
        <w:spacing w:line="480" w:lineRule="auto"/>
      </w:pPr>
      <w:r>
        <w:t xml:space="preserve">2.2.1 The instrument paper as a genealogical record</w:t>
      </w:r>
    </w:p>
    <w:p>
      <w:pPr>
        <w:pStyle w:val="FirstParagraph"/>
        <w:spacing w:line="480" w:lineRule="auto"/>
      </w:pPr>
      <w:r>
        <w:t xml:space="preserve">The planetary instrument literature is, at first glance, a literature of standalone descriptions. Each major flight instrument is accompanied by an investigation-and-instrument paper that documents its scientific objectives, optical and electronic design, calibration, and operational concept. The Mars Science Laboratory Mast cameras and Descent imager are described in exactly this form, with full investigation and instrument descriptions that lay out the focal-plane architecture, the optomechanical packaging, and the science requirements that drove the design</w:t>
      </w:r>
      <w:r>
        <w:t xml:space="preserve"> </w:t>
      </w:r>
      <w:hyperlink w:anchor="ref-4">
        <w:r>
          <w:rPr>
            <w:rStyle w:val="Hyperlink"/>
          </w:rPr>
          <w:t xml:space="preserve">[4]</w:t>
        </w:r>
      </w:hyperlink>
      <w:r>
        <w:t xml:space="preserve">,</w:t>
      </w:r>
      <w:r>
        <w:t xml:space="preserve"> </w:t>
      </w:r>
      <w:hyperlink w:anchor="ref-13">
        <w:r>
          <w:rPr>
            <w:rStyle w:val="Hyperlink"/>
          </w:rPr>
          <w:t xml:space="preserve">[13]</w:t>
        </w:r>
      </w:hyperlink>
      <w:r>
        <w:t xml:space="preserve">. The Mars Exploration Rover Athena Panoramic Camera investigation is documented with comparable thoroughness, fixing the Pancam design heritage, its mass budget, and its imaging performance for the historical record</w:t>
      </w:r>
      <w:r>
        <w:t xml:space="preserve"> </w:t>
      </w:r>
      <w:hyperlink w:anchor="ref-5">
        <w:r>
          <w:rPr>
            <w:rStyle w:val="Hyperlink"/>
          </w:rPr>
          <w:t xml:space="preserve">[5]</w:t>
        </w:r>
      </w:hyperlink>
      <w:r>
        <w:t xml:space="preserve">,</w:t>
      </w:r>
      <w:r>
        <w:t xml:space="preserve"> </w:t>
      </w:r>
      <w:hyperlink w:anchor="ref-12">
        <w:r>
          <w:rPr>
            <w:rStyle w:val="Hyperlink"/>
          </w:rPr>
          <w:t xml:space="preserve">[12]</w:t>
        </w:r>
      </w:hyperlink>
      <w:r>
        <w:t xml:space="preserve">. The Mars Reconnaissance Orbiter High Resolution Imaging Science Experiment is reported as a complete instrument investigation, including the large-aperture telescope assembly and the detector chain that distinguish it from the smaller imagers in the same broad family</w:t>
      </w:r>
      <w:r>
        <w:t xml:space="preserve"> </w:t>
      </w:r>
      <w:hyperlink w:anchor="ref-6">
        <w:r>
          <w:rPr>
            <w:rStyle w:val="Hyperlink"/>
          </w:rPr>
          <w:t xml:space="preserve">[6]</w:t>
        </w:r>
      </w:hyperlink>
      <w:r>
        <w:t xml:space="preserve">,</w:t>
      </w:r>
      <w:r>
        <w:t xml:space="preserve"> </w:t>
      </w:r>
      <w:hyperlink w:anchor="ref-18">
        <w:r>
          <w:rPr>
            <w:rStyle w:val="Hyperlink"/>
          </w:rPr>
          <w:t xml:space="preserve">[18]</w:t>
        </w:r>
      </w:hyperlink>
      <w:r>
        <w:t xml:space="preserve">. These papers are the canonical primary sources for any reconstruction of the planetary instrument record, and they share a structural feature that the cost literature has not exploited: they routinely document where a design came from.</w:t>
      </w:r>
    </w:p>
    <w:p>
      <w:pPr>
        <w:pStyle w:val="BodyText"/>
        <w:spacing w:line="480" w:lineRule="auto"/>
        <w:ind w:firstLine="720"/>
      </w:pPr>
      <w:r>
        <w:t xml:space="preserve">Read genealogically, the instrument literature is a record of inheritance. The Curiosity Mars Hand Lens Imager investigation paper describes an instrument that shares focal-plane and electronics architecture with the broader Malin Space Science Systems camera family, situating it as one member of a multi-build design line rather than a clean-sheet development</w:t>
      </w:r>
      <w:r>
        <w:t xml:space="preserve"> </w:t>
      </w:r>
      <w:hyperlink w:anchor="ref-14">
        <w:r>
          <w:rPr>
            <w:rStyle w:val="Hyperlink"/>
          </w:rPr>
          <w:t xml:space="preserve">[14]</w:t>
        </w:r>
      </w:hyperlink>
      <w:r>
        <w:t xml:space="preserve">. The Mars 2020 Perseverance Mast Camera Zoom investigation is documented explicitly as a heritage evolution of the earlier Mastcam investigation, carrying forward the design while adding multispectral and stereoscopic zoom capability</w:t>
      </w:r>
      <w:r>
        <w:t xml:space="preserve"> </w:t>
      </w:r>
      <w:hyperlink w:anchor="ref-15">
        <w:r>
          <w:rPr>
            <w:rStyle w:val="Hyperlink"/>
          </w:rPr>
          <w:t xml:space="preserve">[15]</w:t>
        </w:r>
      </w:hyperlink>
      <w:r>
        <w:t xml:space="preserve">. The laser-spectroscopy line provides perhaps the clearest documented case of design ancestry across missions: the ChemCam instrument suite on the Mars Science Laboratory rover is reported with body-unit and combined-system test descriptions</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 and the SuperCam instrument suite on the Mars 2020 rover is documented as the direct successor build, with its science objectives, mast-unit description, and body-unit and combined-system tests written so as to make the inheritance from ChemCam explicit</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 JunoCam is documented as an outreach camera whose electronics and physical interfaces derive from prior Malin Space Science Systems builds, a heritage relationship stated in the instrument paper itself</w:t>
      </w:r>
      <w:r>
        <w:t xml:space="preserve"> </w:t>
      </w:r>
      <w:hyperlink w:anchor="ref-9">
        <w:r>
          <w:rPr>
            <w:rStyle w:val="Hyperlink"/>
          </w:rPr>
          <w:t xml:space="preserve">[9]</w:t>
        </w:r>
      </w:hyperlink>
      <w:r>
        <w:t xml:space="preserve">. The orbital spectrometer record adds a parallel lineage: the Compact Reconnaissance Imaging Spectrometer for Mars is documented as a visible-to-infrared instrument on the Mars Reconnaissance Orbiter, supplying a spectrometer design point distinct from the imaging cameras</w:t>
      </w:r>
      <w:r>
        <w:t xml:space="preserve"> </w:t>
      </w:r>
      <w:hyperlink w:anchor="ref-19">
        <w:r>
          <w:rPr>
            <w:rStyle w:val="Hyperlink"/>
          </w:rPr>
          <w:t xml:space="preserve">[19]</w:t>
        </w:r>
      </w:hyperlink>
      <w:r>
        <w:t xml:space="preserve">.</w:t>
      </w:r>
    </w:p>
    <w:p>
      <w:pPr>
        <w:pStyle w:val="BodyText"/>
        <w:spacing w:line="480" w:lineRule="auto"/>
        <w:ind w:firstLine="720"/>
      </w:pPr>
      <w:r>
        <w:t xml:space="preserve">The methodological consequence is decisive. Because each instrument paper records its own design ancestry, lineage membership can be coded from delivered-design documentation rather than inferred from name similarity or asserted from proposal-stage marketing. This is the property that makes the planetary instrument record a usable panel for a learning-curve analysis: the genealogy is in the primary sources, and the cumulative build number within a lineage can be assigned by ranking documented builds by delivery date. The domain literature thus supplies not merely the dependent-variable anchors but the identifying structure itself.</w:t>
      </w:r>
    </w:p>
    <w:bookmarkEnd w:id="68"/>
    <w:bookmarkStart w:id="69" w:name="X3d6c391c730029194cda78bb174a0da809b2ba1"/>
    <w:p>
      <w:pPr>
        <w:pStyle w:val="Heading3"/>
        <w:spacing w:line="480" w:lineRule="auto"/>
      </w:pPr>
      <w:r>
        <w:t xml:space="preserve">2.2.2 Heritage as an engineering practice, not a learning estimate</w:t>
      </w:r>
    </w:p>
    <w:p>
      <w:pPr>
        <w:pStyle w:val="FirstParagraph"/>
        <w:spacing w:line="480" w:lineRule="auto"/>
      </w:pPr>
      <w:r>
        <w:t xml:space="preserve">What the domain literature does with heritage is engineering, not estimation. The instrument papers invoke heritage to justify design choices, to bound technical risk, and to explain why a particular subsystem could be carried forward rather than developed anew. JunoCam’s documented reuse of Mastcam and Mars Descent Imager electronics is framed as a means of holding cost and risk down, a qualitative claim about the benefit of inheritance</w:t>
      </w:r>
      <w:r>
        <w:t xml:space="preserve"> </w:t>
      </w:r>
      <w:hyperlink w:anchor="ref-9">
        <w:r>
          <w:rPr>
            <w:rStyle w:val="Hyperlink"/>
          </w:rPr>
          <w:t xml:space="preserve">[9]</w:t>
        </w:r>
      </w:hyperlink>
      <w:r>
        <w:t xml:space="preserve">. Mastcam-Z is presented as a high-heritage evolution that leverages the proven Mastcam design to reduce development uncertainty</w:t>
      </w:r>
      <w:r>
        <w:t xml:space="preserve"> </w:t>
      </w:r>
      <w:hyperlink w:anchor="ref-15">
        <w:r>
          <w:rPr>
            <w:rStyle w:val="Hyperlink"/>
          </w:rPr>
          <w:t xml:space="preserve">[15]</w:t>
        </w:r>
      </w:hyperlink>
      <w:r>
        <w:t xml:space="preserve">. The SuperCam papers describe an instrument that inherits the ChemCam architecture and extends it, with the inheritance treated as an enabling foundation</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 In every case the heritage relationship is documented and the benefit is asserted, but the magnitude of the benefit is never estimated. The instrument literature does not regress cost on cumulative build, does not report a progress ratio, and does not test whether the asserted heritage benefit survives controls for the physical scale and complexity of the instrument.</w:t>
      </w:r>
    </w:p>
    <w:p>
      <w:pPr>
        <w:pStyle w:val="BodyText"/>
        <w:spacing w:line="480" w:lineRule="auto"/>
        <w:ind w:firstLine="720"/>
      </w:pPr>
      <w:r>
        <w:t xml:space="preserve">This is the appropriate scope for the genre. Instrument papers are written to document scientific and engineering performance, not to estimate cost elasticities, and it would be unreasonable to fault them for omitting an analysis that lies outside their purpose. The point for this dissertation is structural rather than critical: the domain literature establishes that heritage lineages are real, documented, and codable, and it establishes that practitioners believe heritage lowers cost and schedule, but it stops precisely at the threshold where a quantitative learning estimate would begin. The instrument record provides the lineages, the build ordering, the mass anchors, and the complexity-class signal, all reconstructable from public primary sources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It does not provide the estimate.</w:t>
      </w:r>
    </w:p>
    <w:bookmarkEnd w:id="69"/>
    <w:bookmarkStart w:id="70" w:name="Xdf0384854d8c4b62ee3debb125446e2f70995b5"/>
    <w:p>
      <w:pPr>
        <w:pStyle w:val="Heading3"/>
        <w:spacing w:line="480" w:lineRule="auto"/>
      </w:pPr>
      <w:r>
        <w:t xml:space="preserve">2.2.3 Physical anchors and the provenance of the engineering variables</w:t>
      </w:r>
    </w:p>
    <w:p>
      <w:pPr>
        <w:pStyle w:val="FirstParagraph"/>
        <w:spacing w:line="480" w:lineRule="auto"/>
      </w:pPr>
      <w:r>
        <w:t xml:space="preserve">The domain literature also supplies the concrete engineering parameters that any honest cost model must condition on. Instrument mass, the most basic physical scale variable, is reported directly in the instrument papers: the Mars Exploration Rover Panoramic Camera at the small end of the mass distribution, the SuperCam suite at an intermediate mass, and the High Resolution Imaging Science Experiment at the heavy end, are all documented with engineering mass figures in their respective papers</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6">
        <w:r>
          <w:rPr>
            <w:rStyle w:val="Hyperlink"/>
          </w:rPr>
          <w:t xml:space="preserve">[6]</w:t>
        </w:r>
      </w:hyperlink>
      <w:r>
        <w:t xml:space="preserve">,</w:t>
      </w:r>
      <w:r>
        <w:t xml:space="preserve"> </w:t>
      </w:r>
      <w:hyperlink w:anchor="ref-12">
        <w:r>
          <w:rPr>
            <w:rStyle w:val="Hyperlink"/>
          </w:rPr>
          <w:t xml:space="preserve">[12]</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These anchors matter because they let the analyst populate the scale control with real values rather than imputed ones. Complexity class, the categorical signal that separates a single small camera from a multi-head facility imager and from a large telescopic or spectrometer suite, is likewise codable from instrument type as documented in the papers: imaging cameras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hand-lens close-focus imagers</w:t>
      </w:r>
      <w:r>
        <w:t xml:space="preserve"> </w:t>
      </w:r>
      <w:hyperlink w:anchor="ref-14">
        <w:r>
          <w:rPr>
            <w:rStyle w:val="Hyperlink"/>
          </w:rPr>
          <w:t xml:space="preserve">[14]</w:t>
        </w:r>
      </w:hyperlink>
      <w:r>
        <w:t xml:space="preserve">, large-aperture telescopic imagers</w:t>
      </w:r>
      <w:r>
        <w:t xml:space="preserve"> </w:t>
      </w:r>
      <w:hyperlink w:anchor="ref-6">
        <w:r>
          <w:rPr>
            <w:rStyle w:val="Hyperlink"/>
          </w:rPr>
          <w:t xml:space="preserve">[6]</w:t>
        </w:r>
      </w:hyperlink>
      <w:r>
        <w:t xml:space="preserve">,</w:t>
      </w:r>
      <w:r>
        <w:t xml:space="preserve"> </w:t>
      </w:r>
      <w:hyperlink w:anchor="ref-18">
        <w:r>
          <w:rPr>
            <w:rStyle w:val="Hyperlink"/>
          </w:rPr>
          <w:t xml:space="preserve">[18]</w:t>
        </w:r>
      </w:hyperlink>
      <w:r>
        <w:t xml:space="preserve">, and laser-spectroscopy and visible-to-infrared spectrometer suites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 </w:t>
      </w:r>
      <w:r>
        <w:t xml:space="preserve">occupy distinct positions on the complexity scale.</w:t>
      </w:r>
    </w:p>
    <w:p>
      <w:pPr>
        <w:pStyle w:val="BodyText"/>
        <w:spacing w:line="480" w:lineRule="auto"/>
        <w:ind w:firstLine="720"/>
      </w:pPr>
      <w:r>
        <w:t xml:space="preserve">The dependent variable, recurring cost, is the field the domain literature is least equipped to supply, and this asymmetry is itself a finding of the review. Only a small number of planetary instruments carry publicly released development cost figures, and those that do appear in mission cost documentation rather than in the instrument papers themselves. The provenance problem this creates is treated at length in the dissertation’s empirical chapters; here it suffices to record that the domain literature is rich in physical and genealogical variables and poor in cost variables. The instrument record gives the analyst lineage, build order, mass, and complexity with high confidence; it gives cost only sparsely and only for selected builds. This imbalance shapes the identification strategy and the validity threats that the empirical chapters confront.</w:t>
      </w:r>
    </w:p>
    <w:bookmarkEnd w:id="70"/>
    <w:bookmarkEnd w:id="71"/>
    <w:bookmarkStart w:id="76" w:name="Xbf557d499a2b33932522dcfeb7bc6b5b708f92c"/>
    <w:p>
      <w:pPr>
        <w:pStyle w:val="Heading2"/>
        <w:spacing w:line="480" w:lineRule="auto"/>
      </w:pPr>
      <w:r>
        <w:t xml:space="preserve">2.3 The Cliometric and Econometric Methodology Literature: Learning Curves, Cost Relationships, and Scale</w:t>
      </w:r>
    </w:p>
    <w:bookmarkStart w:id="72" w:name="X7c6e1220bff6b5d43c99e281e76f4e6e337ca98"/>
    <w:p>
      <w:pPr>
        <w:pStyle w:val="Heading3"/>
        <w:spacing w:line="480" w:lineRule="auto"/>
      </w:pPr>
      <w:r>
        <w:t xml:space="preserve">2.3.1 The Wright learning curve as a measurement form</w:t>
      </w:r>
    </w:p>
    <w:p>
      <w:pPr>
        <w:pStyle w:val="FirstParagraph"/>
        <w:spacing w:line="480" w:lineRule="auto"/>
      </w:pPr>
      <w:r>
        <w:t xml:space="preserve">The methodological tradition that the domain literature has never met begins with the Wright learning curve, the canonical empirical regularity that the resource cost of producing a unit declines as a power function of cumulative output. In its standard form the relationship is linear in logarithms: log unit cost falls linearly in log cumulative production, with the slope of that line defining the learning elasticity and two raised to that slope defining the progress ratio, the fraction of cost that survives each doubling of cumulative output. This functional form is the measurement instrument of the dissertation. It converts the qualitative claim that repetition lowers cost into a single estimable number, and it makes that number directly testable: a negative slope is the signature of learning, a progress ratio below one means cost falls as builds accumulate, and a slope statistically indistinguishable from zero is a falsification of the learning claim in the population under study.</w:t>
      </w:r>
    </w:p>
    <w:p>
      <w:pPr>
        <w:pStyle w:val="BodyText"/>
        <w:spacing w:line="480" w:lineRule="auto"/>
        <w:ind w:firstLine="720"/>
      </w:pPr>
      <w:r>
        <w:t xml:space="preserve">The learning-curve form carries an important interpretive nuance that the planetary application must respect. In its origin the curve described assembly-line repetition, where each successive unit is manufactured by a workforce and tooling base that improves with practice. The planetary instrument regime is not assembly-line repetition. Planetary instruments are built in ones and twos, and the repetition that occurs is design reuse across missions rather than serial production within a mission. The mechanism through which cost might fall is therefore the carry-forward of focal-plane architectures, electronics, test fixtures, tooling, and engineering labor from one build to the next, the very channel that the heritage statements in the instrument papers document</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w:t>
      </w:r>
      <w:r>
        <w:t xml:space="preserve"> </w:t>
      </w:r>
      <w:hyperlink w:anchor="ref-8">
        <w:r>
          <w:rPr>
            <w:rStyle w:val="Hyperlink"/>
          </w:rPr>
          <w:t xml:space="preserve">[8]</w:t>
        </w:r>
      </w:hyperlink>
      <w:r>
        <w:t xml:space="preserve">. The Wright form is agnostic about the mechanism; it measures the slope regardless of whether the underlying driver is manufacturing practice or design inheritance. This agnosticism is what allows the same measurement instrument that was developed for production runs to be applied to design lineages, provided the analyst is careful to interpret the resulting rate as a design-reuse rate rather than a mass-production rate.</w:t>
      </w:r>
    </w:p>
    <w:bookmarkEnd w:id="72"/>
    <w:bookmarkStart w:id="73" w:name="X7ae7060e17bc20dfb82d3a917f774bf348fb6db"/>
    <w:p>
      <w:pPr>
        <w:pStyle w:val="Heading3"/>
        <w:spacing w:line="480" w:lineRule="auto"/>
      </w:pPr>
      <w:r>
        <w:t xml:space="preserve">2.3.2 Cost-estimating relationships built from heritage hardware</w:t>
      </w:r>
    </w:p>
    <w:p>
      <w:pPr>
        <w:pStyle w:val="FirstParagraph"/>
        <w:spacing w:line="480" w:lineRule="auto"/>
      </w:pPr>
      <w:r>
        <w:t xml:space="preserve">The second strand of the methodology literature is the institutionalized practice of cost estimation through cost-estimating relationships. The standard approach derives a statistical relationship between cost and one or more physical or programmatic drivers from a database of analog hardware, and then applies that relationship to a new build to predict its cost. The relevant methodological observation, drawn from the cost-estimation practice documented in the architecture and instrument-development literature, is that these relationships are commonly developed from heritage hardware and then extrapolated to new builds</w:t>
      </w:r>
      <w:r>
        <w:t xml:space="preserve"> </w:t>
      </w:r>
      <w:hyperlink w:anchor="ref-1">
        <w:r>
          <w:rPr>
            <w:rStyle w:val="Hyperlink"/>
          </w:rPr>
          <w:t xml:space="preserve">[1]</w:t>
        </w:r>
      </w:hyperlink>
      <w:r>
        <w:t xml:space="preserve">. Heritage in this practice is a source of analog data: the prior builds supply the points from which the relationship is fitted, and the new build is priced by reading off the fitted curve.</w:t>
      </w:r>
    </w:p>
    <w:p>
      <w:pPr>
        <w:pStyle w:val="BodyText"/>
        <w:spacing w:line="480" w:lineRule="auto"/>
        <w:ind w:firstLine="720"/>
      </w:pPr>
      <w:r>
        <w:t xml:space="preserve">This is a subtle but consequential treatment of heritage. The cost-estimating-relationship practice uses heritage as the data from which a cross-sectional relationship is built, but it does not treat heritage as a counted, repeated experience whose marginal effect can be isolated. When a cost relationship is developed from heritage hardware</w:t>
      </w:r>
      <w:r>
        <w:t xml:space="preserve"> </w:t>
      </w:r>
      <w:hyperlink w:anchor="ref-1">
        <w:r>
          <w:rPr>
            <w:rStyle w:val="Hyperlink"/>
          </w:rPr>
          <w:t xml:space="preserve">[1]</w:t>
        </w:r>
      </w:hyperlink>
      <w:r>
        <w:t xml:space="preserve">, the heritage enters as the provenance of the analog points, not as an explanatory variable whose coefficient measures the value of repetition. A relationship fitted across a heterogeneous set of heritage instruments can predict the cost of a new instrument of given mass and type, but it cannot answer the question of how much the second build in a lineage costs relative to the first, because it does not carry a within-lineage repetition count. The practice thus institutionalizes the heritage discount without ever estimating it: the discount is implicit in the choice of analogs and in the optimism of the heritage claim, and it is inherited by any baseline that leans on the fitted relationship.</w:t>
      </w:r>
    </w:p>
    <w:bookmarkEnd w:id="73"/>
    <w:bookmarkStart w:id="74" w:name="Xf83157a45c6ef9cfdf02a3e7e8a46ab40fe5f4e"/>
    <w:p>
      <w:pPr>
        <w:pStyle w:val="Heading3"/>
        <w:spacing w:line="480" w:lineRule="auto"/>
      </w:pPr>
      <w:r>
        <w:t xml:space="preserve">2.3.3 The non-negligible dependence of cost on physical scale</w:t>
      </w:r>
    </w:p>
    <w:p>
      <w:pPr>
        <w:pStyle w:val="FirstParagraph"/>
        <w:spacing w:line="480" w:lineRule="auto"/>
      </w:pPr>
      <w:r>
        <w:t xml:space="preserve">The third strand of the methodology literature is the documented dependence of cost on physical scale, a caution that any learning estimate must heed. The cost-modeling literature warns explicitly that cost-estimating relationships carry a non-negligible dependence on physical scale, exemplified by the dependence of cost on stage size and related physical drivers, and that this dependence must be captured explicitly rather than assumed away</w:t>
      </w:r>
      <w:r>
        <w:t xml:space="preserve"> </w:t>
      </w:r>
      <w:hyperlink w:anchor="ref-2">
        <w:r>
          <w:rPr>
            <w:rStyle w:val="Hyperlink"/>
          </w:rPr>
          <w:t xml:space="preserve">[2]</w:t>
        </w:r>
      </w:hyperlink>
      <w:r>
        <w:t xml:space="preserve">. The implication for a learning analysis is direct and unforgiving. If later builds in a lineage happen to be larger, heavier, or more capable than earlier builds, then a raw cost trend across the lineage will conflate two distinct effects: the learning that comes from repetition, and the scale gradient that comes from building a bigger instrument. A negative slope on cumulative build, observed without controlling for scale, could be a genuine learning effect, a scale artifact, or some mixture of the two.</w:t>
      </w:r>
    </w:p>
    <w:p>
      <w:pPr>
        <w:pStyle w:val="BodyText"/>
        <w:spacing w:line="480" w:lineRule="auto"/>
        <w:ind w:firstLine="720"/>
      </w:pPr>
      <w:r>
        <w:t xml:space="preserve">This caution is the methodological hinge of the dissertation’s identification strategy. Because cost depends on scale</w:t>
      </w:r>
      <w:r>
        <w:t xml:space="preserve"> </w:t>
      </w:r>
      <w:hyperlink w:anchor="ref-2">
        <w:r>
          <w:rPr>
            <w:rStyle w:val="Hyperlink"/>
          </w:rPr>
          <w:t xml:space="preserve">[2]</w:t>
        </w:r>
      </w:hyperlink>
      <w:r>
        <w:t xml:space="preserve">, an honest learning estimate must hold scale fixed, which means that instrument mass must enter the specification as a continuous control and a complexity-class index must enter as a categorical control. The scale-dependence literature does not itself estimate a learning curve; it estimates cost as a function of physical drivers and warns that those drivers are first-order. But by establishing that scale dependence is non-negligible</w:t>
      </w:r>
      <w:r>
        <w:t xml:space="preserve"> </w:t>
      </w:r>
      <w:hyperlink w:anchor="ref-2">
        <w:r>
          <w:rPr>
            <w:rStyle w:val="Hyperlink"/>
          </w:rPr>
          <w:t xml:space="preserve">[2]</w:t>
        </w:r>
      </w:hyperlink>
      <w:r>
        <w:t xml:space="preserve">, it makes the mass and complexity controls mandatory rather than optional for any analyst who wishes to interpret a build slope as learning. The methodology literature thus supplies both the measurement form and the warning that the measurement is confounded unless scale is held fixed.</w:t>
      </w:r>
    </w:p>
    <w:bookmarkEnd w:id="74"/>
    <w:bookmarkStart w:id="75" w:name="X154c5fbcdeb9434b3435b45bcedc95712549048"/>
    <w:p>
      <w:pPr>
        <w:pStyle w:val="Heading3"/>
        <w:spacing w:line="480" w:lineRule="auto"/>
      </w:pPr>
      <w:r>
        <w:t xml:space="preserve">2.3.4 The volume-cost relationship from mass-produced space hardware</w:t>
      </w:r>
    </w:p>
    <w:p>
      <w:pPr>
        <w:pStyle w:val="FirstParagraph"/>
        <w:spacing w:line="480" w:lineRule="auto"/>
      </w:pPr>
      <w:r>
        <w:t xml:space="preserve">The fourth strand is the empirical record of the volume-cost relationship in the space economy, which supplies the prior expectation for the sign of the learning slope. The space-economy literature documents that cost per unit falls when hardware is mass produced, with manufacturing cost declining as production volume rises, an effect made vivid by the analogy to popular car models whose unit cost falls as production runs lengthen</w:t>
      </w:r>
      <w:r>
        <w:t xml:space="preserve"> </w:t>
      </w:r>
      <w:hyperlink w:anchor="ref-3">
        <w:r>
          <w:rPr>
            <w:rStyle w:val="Hyperlink"/>
          </w:rPr>
          <w:t xml:space="preserve">[3]</w:t>
        </w:r>
      </w:hyperlink>
      <w:r>
        <w:t xml:space="preserve">. The same volume-to-cost logic appears in the broader forecasting and final-frontier economics of the space sector, where at-scale production and the mass production of small satellites are documented as lowering costs across the industry</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This literature establishes, with empirical support, that repetition lowers unit cost in the space-hardware setting, and it thereby grounds the directional hypothesis that the learning slope on cumulative build should be negative.</w:t>
      </w:r>
    </w:p>
    <w:p>
      <w:pPr>
        <w:pStyle w:val="BodyText"/>
        <w:spacing w:line="480" w:lineRule="auto"/>
        <w:ind w:firstLine="720"/>
      </w:pPr>
      <w:r>
        <w:t xml:space="preserve">Two features of this volume-cost evidence bound its applicability to planetary instruments and define the external-validity problem the dissertation must confront. First, the evidence is drawn from the high-volume regime: launch vehicles, constellation-scale hardware, and mass-produced small satellites, where production runs are long and the learning is assembly-line learning</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Planetary instruments occupy the opposite corner of the production-volume distribution, with runs measured in single or low single-digit units. The volume-cost relationship motivates the expectation that repetition lowers cost, but it does not establish that the planetary learning rate equals the high-volume rate, and there is no a priori reason it should. Second, the mechanism differs. In the high-volume regime the cost reduction flows from manufacturing repetition; in the planetary regime, if it exists, it must flow from design-lineage repetition. The space-economy literature thus supplies the sign of the prior and the analogy that makes the hypothesis plausible, while simultaneously making clear that the magnitude must be estimated afresh in the low-volume regime rather than imported.</w:t>
      </w:r>
    </w:p>
    <w:bookmarkEnd w:id="75"/>
    <w:bookmarkEnd w:id="76"/>
    <w:bookmarkStart w:id="80" w:name="synthesis-and-the-gap"/>
    <w:p>
      <w:pPr>
        <w:pStyle w:val="Heading2"/>
        <w:spacing w:line="480" w:lineRule="auto"/>
      </w:pPr>
      <w:r>
        <w:t xml:space="preserve">2.4 Synthesis and the Gap</w:t>
      </w:r>
    </w:p>
    <w:bookmarkStart w:id="77" w:name="two-literatures-that-do-not-meet"/>
    <w:p>
      <w:pPr>
        <w:pStyle w:val="Heading3"/>
        <w:spacing w:line="480" w:lineRule="auto"/>
      </w:pPr>
      <w:r>
        <w:t xml:space="preserve">2.4.1 Two literatures that do not meet</w:t>
      </w:r>
    </w:p>
    <w:p>
      <w:pPr>
        <w:pStyle w:val="FirstParagraph"/>
        <w:spacing w:line="480" w:lineRule="auto"/>
      </w:pPr>
      <w:r>
        <w:t xml:space="preserve">The synthesis of these two literatures reveals a clean and consequential gap. The domain technical literature supplies documented heritage lineages, codable build orderings, mass anchors, and complexity-class signals, all reconstructable from public primary sources, and it documents practitioners’ belief that heritage lowers cost and schedule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But it stops at the threshold of estimation: it asserts heritage benefits without measuring them, and it does not regress cost on cumulative build or report a learning rate. The cliometric and econometric methodology literature supplies the Wright learning-curve form that converts repetition into a measurable slope, the practice of building cost-estimating relationships from heritage analogs</w:t>
      </w:r>
      <w:r>
        <w:t xml:space="preserve"> </w:t>
      </w:r>
      <w:hyperlink w:anchor="ref-1">
        <w:r>
          <w:rPr>
            <w:rStyle w:val="Hyperlink"/>
          </w:rPr>
          <w:t xml:space="preserve">[1]</w:t>
        </w:r>
      </w:hyperlink>
      <w:r>
        <w:t xml:space="preserve">, the caution that cost depends non-negligibly on physical scale</w:t>
      </w:r>
      <w:r>
        <w:t xml:space="preserve"> </w:t>
      </w:r>
      <w:hyperlink w:anchor="ref-2">
        <w:r>
          <w:rPr>
            <w:rStyle w:val="Hyperlink"/>
          </w:rPr>
          <w:t xml:space="preserve">[2]</w:t>
        </w:r>
      </w:hyperlink>
      <w:r>
        <w:t xml:space="preserve">, and the volume-cost evidence that grounds the expected sign of the slope</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But it has applied these tools to production-volume hardware and to cross-sectional analog databases, not to the within-lineage repetition of low-volume planetary instruments.</w:t>
      </w:r>
    </w:p>
    <w:p>
      <w:pPr>
        <w:pStyle w:val="BodyText"/>
        <w:spacing w:line="480" w:lineRule="auto"/>
        <w:ind w:firstLine="720"/>
      </w:pPr>
      <w:r>
        <w:t xml:space="preserve">The two literatures point at the same phenomenon from opposite sides. The instrument papers document the heritage lineages that the learning curve would measure, and the methodology literature provides the curve that the lineages would populate, yet no work joins them. The cost-estimating practice treats heritage as analog data</w:t>
      </w:r>
      <w:r>
        <w:t xml:space="preserve"> </w:t>
      </w:r>
      <w:hyperlink w:anchor="ref-1">
        <w:r>
          <w:rPr>
            <w:rStyle w:val="Hyperlink"/>
          </w:rPr>
          <w:t xml:space="preserve">[1]</w:t>
        </w:r>
      </w:hyperlink>
      <w:r>
        <w:t xml:space="preserve"> </w:t>
      </w:r>
      <w:r>
        <w:t xml:space="preserve">rather than as a counted repetition; the scale-dependence literature models physical drivers</w:t>
      </w:r>
      <w:r>
        <w:t xml:space="preserve"> </w:t>
      </w:r>
      <w:hyperlink w:anchor="ref-2">
        <w:r>
          <w:rPr>
            <w:rStyle w:val="Hyperlink"/>
          </w:rPr>
          <w:t xml:space="preserve">[2]</w:t>
        </w:r>
      </w:hyperlink>
      <w:r>
        <w:t xml:space="preserve"> </w:t>
      </w:r>
      <w:r>
        <w:t xml:space="preserve">but not learning; the volume-cost literature measures production-run learning</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t>
      </w:r>
      <w:r>
        <w:t xml:space="preserve">but in a regime structurally unlike the planetary one; and the instrument literature documents inheritance</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w:t>
      </w:r>
      <w:r>
        <w:t xml:space="preserve"> </w:t>
      </w:r>
      <w:hyperlink w:anchor="ref-8">
        <w:r>
          <w:rPr>
            <w:rStyle w:val="Hyperlink"/>
          </w:rPr>
          <w:t xml:space="preserve">[8]</w:t>
        </w:r>
      </w:hyperlink>
      <w:r>
        <w:t xml:space="preserve"> </w:t>
      </w:r>
      <w:r>
        <w:t xml:space="preserve">but never estimates its value. The heritage discount is asserted by the cost-modeling practice</w:t>
      </w:r>
      <w:r>
        <w:t xml:space="preserve"> </w:t>
      </w:r>
      <w:hyperlink w:anchor="ref-1">
        <w:r>
          <w:rPr>
            <w:rStyle w:val="Hyperlink"/>
          </w:rPr>
          <w:t xml:space="preserve">[1]</w:t>
        </w:r>
      </w:hyperlink>
      <w:r>
        <w:t xml:space="preserve">, made plausible by the production-economics evidence</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and documented as engineering intent in the instrument record</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 but it is identified by none of these.</w:t>
      </w:r>
    </w:p>
    <w:bookmarkEnd w:id="77"/>
    <w:bookmarkStart w:id="78" w:name="the-precise-gap"/>
    <w:p>
      <w:pPr>
        <w:pStyle w:val="Heading3"/>
        <w:spacing w:line="480" w:lineRule="auto"/>
      </w:pPr>
      <w:r>
        <w:t xml:space="preserve">2.4.2 The precise gap</w:t>
      </w:r>
    </w:p>
    <w:p>
      <w:pPr>
        <w:pStyle w:val="FirstParagraph"/>
        <w:spacing w:line="480" w:lineRule="auto"/>
      </w:pPr>
      <w:r>
        <w:t xml:space="preserve">The gap can be stated with precision. No retrieved source estimates a learning-curve slope for planetary instrument heritage lineages while controlling for instrument mass and complexity, and none distinguishes genuine within-lineage learning from the cross-sectional fact that simpler and lighter instruments are cheaper for reasons unrelated to repetition. This is not a gap of emphasis or framing; it is a gap of estimation. The ingredients of the learning argument are all present in the literature, but they have never been assembled into a test. The cost-estimating practice supplies the heritage premise</w:t>
      </w:r>
      <w:r>
        <w:t xml:space="preserve"> </w:t>
      </w:r>
      <w:hyperlink w:anchor="ref-1">
        <w:r>
          <w:rPr>
            <w:rStyle w:val="Hyperlink"/>
          </w:rPr>
          <w:t xml:space="preserve">[1]</w:t>
        </w:r>
      </w:hyperlink>
      <w:r>
        <w:t xml:space="preserve">, the scale literature supplies the mandatory controls</w:t>
      </w:r>
      <w:r>
        <w:t xml:space="preserve"> </w:t>
      </w:r>
      <w:hyperlink w:anchor="ref-2">
        <w:r>
          <w:rPr>
            <w:rStyle w:val="Hyperlink"/>
          </w:rPr>
          <w:t xml:space="preserve">[2]</w:t>
        </w:r>
      </w:hyperlink>
      <w:r>
        <w:t xml:space="preserve">, the volume-cost record supplies the directional prior</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and the instrument papers supply the lineages and the engineering variables</w:t>
      </w:r>
      <w:r>
        <w:t xml:space="preserve"> </w:t>
      </w:r>
      <w:hyperlink w:anchor="ref-4">
        <w:r>
          <w:rPr>
            <w:rStyle w:val="Hyperlink"/>
          </w:rPr>
          <w:t xml:space="preserve">[4]</w:t>
        </w:r>
      </w:hyperlink>
      <w:r>
        <w:t xml:space="preserve"> </w:t>
      </w:r>
      <w:r>
        <w:t xml:space="preserve">through</w:t>
      </w:r>
      <w:r>
        <w:t xml:space="preserve"> </w:t>
      </w:r>
      <w:hyperlink w:anchor="ref-19">
        <w:r>
          <w:rPr>
            <w:rStyle w:val="Hyperlink"/>
          </w:rPr>
          <w:t xml:space="preserve">[19]</w:t>
        </w:r>
      </w:hyperlink>
      <w:r>
        <w:t xml:space="preserve">. What is missing is the single number that the assembled ingredients would yield: a learning-rate estimate for planetary instrument lineages, identified by within-lineage variation across successive builds rather than by cross-sectional comparison of unrelated instruments, and net of the physical scale and complexity that the cost literature insists must be held fixed</w:t>
      </w:r>
      <w:r>
        <w:t xml:space="preserve"> </w:t>
      </w:r>
      <w:hyperlink w:anchor="ref-2">
        <w:r>
          <w:rPr>
            <w:rStyle w:val="Hyperlink"/>
          </w:rPr>
          <w:t xml:space="preserve">[2]</w:t>
        </w:r>
      </w:hyperlink>
      <w:r>
        <w:t xml:space="preserve">.</w:t>
      </w:r>
    </w:p>
    <w:p>
      <w:pPr>
        <w:pStyle w:val="BodyText"/>
        <w:spacing w:line="480" w:lineRule="auto"/>
        <w:ind w:firstLine="720"/>
      </w:pPr>
      <w:r>
        <w:t xml:space="preserve">The precision of the gap dictates the precision of the contribution. Because the missing element is a within-lineage learning slope net of scale, the contribution is exactly that slope, expressed as a log-log elasticity of recurring cost on cumulative build number and converted to a Wright progress ratio. The estimand is one number with a clear falsification criterion. If the slope is statistically indistinguishable from zero once mass and complexity are controlled, the heritage discount embedded in current cost-estimating practice</w:t>
      </w:r>
      <w:r>
        <w:t xml:space="preserve"> </w:t>
      </w:r>
      <w:hyperlink w:anchor="ref-1">
        <w:r>
          <w:rPr>
            <w:rStyle w:val="Hyperlink"/>
          </w:rPr>
          <w:t xml:space="preserve">[1]</w:t>
        </w:r>
      </w:hyperlink>
      <w:r>
        <w:t xml:space="preserve"> </w:t>
      </w:r>
      <w:r>
        <w:t xml:space="preserve">is falsified for planetary instruments, and the cost-estimating relationships developed from heritage hardware inherit that falsification when extrapolated to the low-volume regime. If the slope is negative and significant, heritage is a quantifiable learning effect, the progress ratio is recovered, and planetary planners can price heritage credibly rather than rhetorically.</w:t>
      </w:r>
    </w:p>
    <w:bookmarkEnd w:id="78"/>
    <w:bookmarkStart w:id="79" w:name="why-the-gap-matters"/>
    <w:p>
      <w:pPr>
        <w:pStyle w:val="Heading3"/>
        <w:spacing w:line="480" w:lineRule="auto"/>
      </w:pPr>
      <w:r>
        <w:t xml:space="preserve">2.4.3 Why the gap matters</w:t>
      </w:r>
    </w:p>
    <w:p>
      <w:pPr>
        <w:pStyle w:val="FirstParagraph"/>
        <w:spacing w:line="480" w:lineRule="auto"/>
      </w:pPr>
      <w:r>
        <w:t xml:space="preserve">The gap matters because the heritage discount is not a neutral assumption. It is institutionalized in cost-estimating relationships that program offices use to set baselines</w:t>
      </w:r>
      <w:r>
        <w:t xml:space="preserve"> </w:t>
      </w:r>
      <w:hyperlink w:anchor="ref-1">
        <w:r>
          <w:rPr>
            <w:rStyle w:val="Hyperlink"/>
          </w:rPr>
          <w:t xml:space="preserve">[1]</w:t>
        </w:r>
      </w:hyperlink>
      <w:r>
        <w:t xml:space="preserve">, and a baseline that bakes in a firm heritage credit without estimating it is asserting more certainty than the reconstructable record supports. If the discount is real and of a particular magnitude, then planners who ignore it overprice heritage instruments and forgo defensible savings, while planners who overstate it underprice and absorb overruns. Either error propagates through the cost-estimating machinery, because the relationships are fitted from heritage analogs</w:t>
      </w:r>
      <w:r>
        <w:t xml:space="preserve"> </w:t>
      </w:r>
      <w:hyperlink w:anchor="ref-1">
        <w:r>
          <w:rPr>
            <w:rStyle w:val="Hyperlink"/>
          </w:rPr>
          <w:t xml:space="preserve">[1]</w:t>
        </w:r>
      </w:hyperlink>
      <w:r>
        <w:t xml:space="preserve"> </w:t>
      </w:r>
      <w:r>
        <w:t xml:space="preserve">and inherit whatever optimism or pessimism the heritage premise carries. The volume-cost evidence makes the stakes concrete: if the high-volume relationship</w:t>
      </w:r>
      <w:r>
        <w:t xml:space="preserve"> </w:t>
      </w:r>
      <w:hyperlink w:anchor="ref-3">
        <w:r>
          <w:rPr>
            <w:rStyle w:val="Hyperlink"/>
          </w:rPr>
          <w:t xml:space="preserve">[3]</w:t>
        </w:r>
      </w:hyperlink>
      <w:r>
        <w:t xml:space="preserve"> </w:t>
      </w:r>
      <w:r>
        <w:t xml:space="preserve">were imported wholesale into the planetary regime, it would predict a steeper cost reduction than the low-volume design-reuse mechanism can plausibly deliver, biasing planetary baselines toward optimism. Estimating the planetary-specific rate is therefore not an academic exercise but a corrective to a bias that the literature has institutionalized without measuring.</w:t>
      </w:r>
    </w:p>
    <w:bookmarkEnd w:id="79"/>
    <w:bookmarkEnd w:id="80"/>
    <w:bookmarkStart w:id="84" w:name="Xdc23253360b93c35df89f205132cd244df0a942"/>
    <w:p>
      <w:pPr>
        <w:pStyle w:val="Heading2"/>
        <w:spacing w:line="480" w:lineRule="auto"/>
      </w:pPr>
      <w:r>
        <w:t xml:space="preserve">2.5 Positioning the Dissertation Within the Gap</w:t>
      </w:r>
    </w:p>
    <w:bookmarkStart w:id="81" w:name="the-two-step-empirical-strategy"/>
    <w:p>
      <w:pPr>
        <w:pStyle w:val="Heading3"/>
        <w:spacing w:line="480" w:lineRule="auto"/>
      </w:pPr>
      <w:r>
        <w:t xml:space="preserve">2.5.1 The two-step empirical strategy</w:t>
      </w:r>
    </w:p>
    <w:p>
      <w:pPr>
        <w:pStyle w:val="FirstParagraph"/>
        <w:spacing w:line="480" w:lineRule="auto"/>
      </w:pPr>
      <w:r>
        <w:t xml:space="preserve">The dissertation closes the gap in two companion analyses that together constitute its empirical core, and the literature reviewed above dictates the structure of both. The first analysis fits the bare Wright learning curve to the planetary instrument record, regressing log recurring cost on log cumulative build number across documented lineages and reporting the pooled bivariate slope. This step operationalizes the measurement form that the methodology literature supplies and applies it, for the first time, to the within-lineage repetition that the instrument literature documents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bivariate curve is the necessary first cut: it asks whether the raw cost trend across cumulative builds is negative, and it reports a progress ratio. But by the logic of the scale-dependence literature</w:t>
      </w:r>
      <w:r>
        <w:t xml:space="preserve"> </w:t>
      </w:r>
      <w:hyperlink w:anchor="ref-2">
        <w:r>
          <w:rPr>
            <w:rStyle w:val="Hyperlink"/>
          </w:rPr>
          <w:t xml:space="preserve">[2]</w:t>
        </w:r>
      </w:hyperlink>
      <w:r>
        <w:t xml:space="preserve">, the bivariate slope is open to the objection that later builds may be lighter or simpler, so its slope conflates learning with the scale gradient. The first analysis is thus deliberately incomplete by design, a baseline against which the controlled estimate can be compared.</w:t>
      </w:r>
    </w:p>
    <w:p>
      <w:pPr>
        <w:pStyle w:val="BodyText"/>
        <w:spacing w:line="480" w:lineRule="auto"/>
        <w:ind w:firstLine="720"/>
      </w:pPr>
      <w:r>
        <w:t xml:space="preserve">The second analysis removes the scale confound, regressing log recurring cost on log cumulative build number while holding log instrument mass and an instrument-complexity class fixed, exactly as the scale-dependence caution requires</w:t>
      </w:r>
      <w:r>
        <w:t xml:space="preserve"> </w:t>
      </w:r>
      <w:hyperlink w:anchor="ref-2">
        <w:r>
          <w:rPr>
            <w:rStyle w:val="Hyperlink"/>
          </w:rPr>
          <w:t xml:space="preserve">[2]</w:t>
        </w:r>
      </w:hyperlink>
      <w:r>
        <w:t xml:space="preserve">. This step delivers the partial elasticity of cost with respect to cumulative builds net of scale, the number that neither literature has produced. The controls are not optional refinements; they are mandated by the documented non-negligible dependence of cost on physical scale</w:t>
      </w:r>
      <w:r>
        <w:t xml:space="preserve"> </w:t>
      </w:r>
      <w:hyperlink w:anchor="ref-2">
        <w:r>
          <w:rPr>
            <w:rStyle w:val="Hyperlink"/>
          </w:rPr>
          <w:t xml:space="preserve">[2]</w:t>
        </w:r>
      </w:hyperlink>
      <w:r>
        <w:t xml:space="preserve">, and they convert the suggestive bivariate slope into a defensible within-lineage learning estimate. The mass anchors and complexity signals that populate the controls are themselves drawn from the instrument record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so the second analysis draws on both literatures simultaneously: the methodology literature for the specification and the domain literature for the variables.</w:t>
      </w:r>
    </w:p>
    <w:bookmarkEnd w:id="81"/>
    <w:bookmarkStart w:id="82" w:name="Xfb36e09309efad9755c75ea3f5268a92b886bd8"/>
    <w:p>
      <w:pPr>
        <w:pStyle w:val="Heading3"/>
        <w:spacing w:line="480" w:lineRule="auto"/>
      </w:pPr>
      <w:r>
        <w:t xml:space="preserve">2.5.2 Identification, provenance, and validity in light of the literature</w:t>
      </w:r>
    </w:p>
    <w:p>
      <w:pPr>
        <w:pStyle w:val="FirstParagraph"/>
        <w:spacing w:line="480" w:lineRule="auto"/>
      </w:pPr>
      <w:r>
        <w:t xml:space="preserve">The identification strategy follows directly from the synthesis. Within-lineage variation, rather than cross-sectional comparison of unrelated instruments, is the source of the learning signal, because the cross-sectional fact that simpler instruments are cheaper</w:t>
      </w:r>
      <w:r>
        <w:t xml:space="preserve"> </w:t>
      </w:r>
      <w:hyperlink w:anchor="ref-1">
        <w:r>
          <w:rPr>
            <w:rStyle w:val="Hyperlink"/>
          </w:rPr>
          <w:t xml:space="preserve">[1]</w:t>
        </w:r>
      </w:hyperlink>
      <w:r>
        <w:t xml:space="preserve"> </w:t>
      </w:r>
      <w:r>
        <w:t xml:space="preserve">would otherwise contaminate any comparison of unlike builds. Lineage assignment is coded from documented design ancestry in the instrument papers</w:t>
      </w:r>
      <w:r>
        <w:t xml:space="preserve"> </w:t>
      </w:r>
      <w:hyperlink w:anchor="ref-9">
        <w:r>
          <w:rPr>
            <w:rStyle w:val="Hyperlink"/>
          </w:rPr>
          <w:t xml:space="preserve">[9]</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 not from name similarity, which mitigates the optimism embedded in proposal-stage heritage assertions and respects the warning that heritage claims can overstate true design inheritance</w:t>
      </w:r>
      <w:r>
        <w:t xml:space="preserve"> </w:t>
      </w:r>
      <w:hyperlink w:anchor="ref-1">
        <w:r>
          <w:rPr>
            <w:rStyle w:val="Hyperlink"/>
          </w:rPr>
          <w:t xml:space="preserve">[1]</w:t>
        </w:r>
      </w:hyperlink>
      <w:r>
        <w:t xml:space="preserve">. Cumulative build number is the within-lineage rank by delivery date, taken from the documented build record</w:t>
      </w:r>
      <w:r>
        <w:t xml:space="preserve"> </w:t>
      </w:r>
      <w:hyperlink w:anchor="ref-4">
        <w:r>
          <w:rPr>
            <w:rStyle w:val="Hyperlink"/>
          </w:rPr>
          <w:t xml:space="preserve">[4]</w:t>
        </w:r>
      </w:hyperlink>
      <w:r>
        <w:t xml:space="preserve"> </w:t>
      </w:r>
      <w:r>
        <w:t xml:space="preserve">through</w:t>
      </w:r>
      <w:r>
        <w:t xml:space="preserve"> </w:t>
      </w:r>
      <w:hyperlink w:anchor="ref-19">
        <w:r>
          <w:rPr>
            <w:rStyle w:val="Hyperlink"/>
          </w:rPr>
          <w:t xml:space="preserve">[19]</w:t>
        </w:r>
      </w:hyperlink>
      <w:r>
        <w:t xml:space="preserve">. Mass and complexity enter as the scale controls the cost literature requires</w:t>
      </w:r>
      <w:r>
        <w:t xml:space="preserve"> </w:t>
      </w:r>
      <w:hyperlink w:anchor="ref-2">
        <w:r>
          <w:rPr>
            <w:rStyle w:val="Hyperlink"/>
          </w:rPr>
          <w:t xml:space="preserve">[2]</w:t>
        </w:r>
      </w:hyperlink>
      <w:r>
        <w:t xml:space="preserve">. Recurring cost, the provenance-sensitive dependent variable, is drawn only from publicly released figures, with builds lacking a public cost figure excluded rather than imputed, preserving the integrity standard that the sparse cost coverage of the domain literature makes unavoidable.</w:t>
      </w:r>
    </w:p>
    <w:p>
      <w:pPr>
        <w:pStyle w:val="BodyText"/>
        <w:spacing w:line="480" w:lineRule="auto"/>
        <w:ind w:firstLine="720"/>
      </w:pPr>
      <w:r>
        <w:t xml:space="preserve">The validity threats that the dissertation tracks are themselves legible through the reviewed literature. Selection on survival, the possibility that lineages reaching a third or fourth build are those that were cheap to repeat, is a threat that the volume-cost literature does not address because its high-volume samples do not face it</w:t>
      </w:r>
      <w:r>
        <w:t xml:space="preserve"> </w:t>
      </w:r>
      <w:hyperlink w:anchor="ref-3">
        <w:r>
          <w:rPr>
            <w:rStyle w:val="Hyperlink"/>
          </w:rPr>
          <w:t xml:space="preserve">[3]</w:t>
        </w:r>
      </w:hyperlink>
      <w:r>
        <w:t xml:space="preserve">, and it is guarded by leave-one-lineage-out re-estimation. Scale confounding is the central threat that the scale-dependence literature anticipates</w:t>
      </w:r>
      <w:r>
        <w:t xml:space="preserve"> </w:t>
      </w:r>
      <w:hyperlink w:anchor="ref-2">
        <w:r>
          <w:rPr>
            <w:rStyle w:val="Hyperlink"/>
          </w:rPr>
          <w:t xml:space="preserve">[2]</w:t>
        </w:r>
      </w:hyperlink>
      <w:r>
        <w:t xml:space="preserve"> </w:t>
      </w:r>
      <w:r>
        <w:t xml:space="preserve">and that the second analysis directly resolves through the mass and complexity controls. Lineage misclassification is mitigated by coding from delivered-design documentation</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 </w:t>
      </w:r>
      <w:r>
        <w:t xml:space="preserve">rather than marketing-stage heritage claims</w:t>
      </w:r>
      <w:r>
        <w:t xml:space="preserve"> </w:t>
      </w:r>
      <w:hyperlink w:anchor="ref-1">
        <w:r>
          <w:rPr>
            <w:rStyle w:val="Hyperlink"/>
          </w:rPr>
          <w:t xml:space="preserve">[1]</w:t>
        </w:r>
      </w:hyperlink>
      <w:r>
        <w:t xml:space="preserve">. External validity is bounded by the structural difference between the low-volume planetary regime and the high-volume regime from which the volume-cost relationship was observed</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which is why the contribution is explicitly a planetary-instrument learning rate and not a universal one. Each threat maps to a strand of the reviewed literature, and each is addressed by a design choice that the literature motivates.</w:t>
      </w:r>
    </w:p>
    <w:bookmarkEnd w:id="82"/>
    <w:bookmarkStart w:id="83" w:name="statement-of-the-contribution"/>
    <w:p>
      <w:pPr>
        <w:pStyle w:val="Heading3"/>
        <w:spacing w:line="480" w:lineRule="auto"/>
      </w:pPr>
      <w:r>
        <w:t xml:space="preserve">2.5.3 Statement of the contribution</w:t>
      </w:r>
    </w:p>
    <w:p>
      <w:pPr>
        <w:pStyle w:val="FirstParagraph"/>
        <w:spacing w:line="480" w:lineRule="auto"/>
      </w:pPr>
      <w:r>
        <w:t xml:space="preserve">The dissertation’s contribution, located precisely in the gap that this chapter has specified, is a single falsifiable number: the learning rate of planetary instrument heritage lineages, expressed as the log-log elasticity of recurring cost on cumulative build number and converted to a Wright progress ratio, identified by within-lineage variation and estimated net of instrument mass and complexity. The domain technical literature supplies the lineages, the build orderings, the mass anchors, and the complexity signals but stops short of estimation</w:t>
      </w:r>
      <w:r>
        <w:t xml:space="preserve"> </w:t>
      </w:r>
      <w:hyperlink w:anchor="ref-4">
        <w:r>
          <w:rPr>
            <w:rStyle w:val="Hyperlink"/>
          </w:rPr>
          <w:t xml:space="preserve">[4]</w:t>
        </w:r>
      </w:hyperlink>
      <w:r>
        <w:t xml:space="preserve"> </w:t>
      </w:r>
      <w:r>
        <w:t xml:space="preserve">through</w:t>
      </w:r>
      <w:r>
        <w:t xml:space="preserve"> </w:t>
      </w:r>
      <w:hyperlink w:anchor="ref-19">
        <w:r>
          <w:rPr>
            <w:rStyle w:val="Hyperlink"/>
          </w:rPr>
          <w:t xml:space="preserve">[19]</w:t>
        </w:r>
      </w:hyperlink>
      <w:r>
        <w:t xml:space="preserve">. The cliometric and econometric methodology literature supplies the learning-curve form, the heritage-based cost-estimating practice, the scale-dependence caution, and the volume-cost prior but has never applied them to within-lineage planetary repetition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By joining the two, the dissertation produces the estimate that each literature alone implies but neither delivers, and it does so with a clear falsification criterion that allows the result either to vindicate the heritage discount as a quantifiable learning effect or to falsify it as an unestimated assumption institutionalized in cost-estimating practice. The chapters that follow execute this strategy, beginning with the bivariate baseline and culminating in the controlled within-lineage estimate that is the dissertation’s central result.</w:t>
      </w:r>
    </w:p>
    <w:bookmarkEnd w:id="83"/>
    <w:bookmarkEnd w:id="84"/>
    <w:bookmarkEnd w:id="85"/>
    <w:bookmarkStart w:id="93" w:name="Xcfcc00a3ded59aed0c781c16bfc121f2a509603"/>
    <w:p>
      <w:pPr>
        <w:pStyle w:val="Heading1"/>
        <w:spacing w:line="480" w:lineRule="auto"/>
      </w:pPr>
      <w:r>
        <w:t xml:space="preserve">Chapter 3. Theoretical Framework and Hypotheses</w:t>
      </w:r>
    </w:p>
    <w:bookmarkStart w:id="86" w:name="purpose-and-scope-of-the-chapter"/>
    <w:p>
      <w:pPr>
        <w:pStyle w:val="Heading2"/>
        <w:spacing w:line="480" w:lineRule="auto"/>
      </w:pPr>
      <w:r>
        <w:t xml:space="preserve">3.1 Purpose and Scope of the Chapter</w:t>
      </w:r>
    </w:p>
    <w:p>
      <w:pPr>
        <w:pStyle w:val="FirstParagraph"/>
        <w:spacing w:line="480" w:lineRule="auto"/>
      </w:pPr>
      <w:r>
        <w:t xml:space="preserve">The empirical chapters that follow report a single number, the elasticity of recurring cost with respect to cumulative build number within a planetary instrument heritage lineage, holding instrument mass and complexity fixed. A number, however, is only as meaningful as the theory that gives it an interpretation. This chapter constructs that theory. It specifies the causal mechanism through which repeated development within a design lineage is expected to lower the recurring cost and development schedule of a planetary science instrument, derives the functional form that this mechanism implies, situates that form in the established cost-estimating practice of space systems, and translates the whole apparatus into two mutually exclusive and jointly exhaustive hypotheses, H0 and H1, that the data can adjudicate.</w:t>
      </w:r>
    </w:p>
    <w:p>
      <w:pPr>
        <w:pStyle w:val="BodyText"/>
        <w:spacing w:line="480" w:lineRule="auto"/>
        <w:ind w:firstLine="720"/>
      </w:pPr>
      <w:r>
        <w:t xml:space="preserve">The argument proceeds in five movements. Section 3.2 sets out the conceptual reframing on which the entire dissertation depends: the recasting of heritage from a binary inheritance flag into a count of prior builds, a position on a learning curve rather than a property an instrument either possesses or lacks. Section 3.3 develops the causal mechanism, naming the specific carriers of cost reduction across successive builds and distinguishing genuine learning from the confounds that masquerade as it. Section 3.4 derives the Wright-canonical functional form and shows why the logarithmic specification is the natural language of the theory. Section 3.5 confronts the two features of the planetary regime, scale dependence and low volume, that temper the naive learning expectation and that any honest estimate must accommodate. Section 3.6 states the formal hypotheses and specifies precisely what rejecting and failing to reject the null would establish. The chapter closes by previewing how the framework governs the identification strategy of the chapters that follow.</w:t>
      </w:r>
    </w:p>
    <w:bookmarkEnd w:id="86"/>
    <w:bookmarkStart w:id="87" w:name="heritage-as-a-count-not-a-flag"/>
    <w:p>
      <w:pPr>
        <w:pStyle w:val="Heading2"/>
        <w:spacing w:line="480" w:lineRule="auto"/>
      </w:pPr>
      <w:r>
        <w:t xml:space="preserve">3.2 Heritage as a Count, Not a Flag</w:t>
      </w:r>
    </w:p>
    <w:p>
      <w:pPr>
        <w:pStyle w:val="FirstParagraph"/>
        <w:spacing w:line="480" w:lineRule="auto"/>
      </w:pPr>
      <w:r>
        <w:t xml:space="preserve">Planetary instrument development is expensive, schedule-bound, and recurrently justified by appeal to heritage. Program offices argue, at proposal time and again at confirmation review, that an instrument inheriting a prior design will cost less and deliver sooner than a clean-sheet equivalent. The cost-estimation machinery that supports those arguments institutionalizes the intuition. Cost-estimating relationships in space systems are commonly developed from heritage hardware and then applied to new builds, so that heritage enters the formal estimating apparatus as a source of analog data points</w:t>
      </w:r>
      <w:r>
        <w:t xml:space="preserve"> </w:t>
      </w:r>
      <w:hyperlink w:anchor="ref-1">
        <w:r>
          <w:rPr>
            <w:rStyle w:val="Hyperlink"/>
          </w:rPr>
          <w:t xml:space="preserve">[1]</w:t>
        </w:r>
      </w:hyperlink>
      <w:r>
        <w:t xml:space="preserve">. The broader space-economy record reinforces the intuition from a different direction, documenting that cost per unit falls when hardware is repeated, with manufacturing cost declining as production volume rises</w:t>
      </w:r>
      <w:r>
        <w:t xml:space="preserve"> </w:t>
      </w:r>
      <w:hyperlink w:anchor="ref-3">
        <w:r>
          <w:rPr>
            <w:rStyle w:val="Hyperlink"/>
          </w:rPr>
          <w:t xml:space="preserve">[3]</w:t>
        </w:r>
      </w:hyperlink>
      <w:r>
        <w:t xml:space="preserve">.</w:t>
      </w:r>
    </w:p>
    <w:p>
      <w:pPr>
        <w:pStyle w:val="BodyText"/>
        <w:spacing w:line="480" w:lineRule="auto"/>
        <w:ind w:firstLine="720"/>
      </w:pPr>
      <w:r>
        <w:t xml:space="preserve">Yet the field treats heritage as a binary variable. An instrument is coded as having heritage or not, as inheriting a design or starting fresh, and the cost consequence is invoked qualitatively rather than measured. This binary framing is the conceptual error this dissertation corrects. Heritage is not a state but a quantity. The second instrument in a lineage carries one prior build of experience; the fourth carries three; and the question of interest is not whether heritage exists but how much each additional build is worth. Reframing heritage as a count, the cumulative number of builds within a documented design lineage, converts an inheritance flag into a position on a curve and makes the marginal value of repetition an estimable quantity.</w:t>
      </w:r>
    </w:p>
    <w:p>
      <w:pPr>
        <w:pStyle w:val="BodyText"/>
        <w:spacing w:line="480" w:lineRule="auto"/>
        <w:ind w:firstLine="720"/>
      </w:pPr>
      <w:r>
        <w:t xml:space="preserve">The reframing matters because it changes what can be tested. A flag can only support the claim that heritage instruments differ from non-heritage instruments, a cross-sectional comparison that is hopelessly confounded by the fact that simpler and lighter instruments are cheaper for reasons unrelated to inheritance. A count, by contrast, supports a within-lineage claim: that the same design line, advancing from its first build to its second and third, exhibits a declining cost trajectory. The unit of theoretical interest shifts from the instrument to the lineage, and the estimand shifts from a difference of means to a slope. This shift is the precondition for everything that follows, because only a slope, identified from successive builds of a common ancestry, can isolate learning from the standing cross-sectional differences among unlike instruments.</w:t>
      </w:r>
    </w:p>
    <w:bookmarkEnd w:id="87"/>
    <w:bookmarkStart w:id="88" w:name="the-causal-mechanism"/>
    <w:p>
      <w:pPr>
        <w:pStyle w:val="Heading2"/>
        <w:spacing w:line="480" w:lineRule="auto"/>
      </w:pPr>
      <w:r>
        <w:t xml:space="preserve">3.3 The Causal Mechanism</w:t>
      </w:r>
    </w:p>
    <w:p>
      <w:pPr>
        <w:pStyle w:val="FirstParagraph"/>
        <w:spacing w:line="480" w:lineRule="auto"/>
      </w:pPr>
      <w:r>
        <w:t xml:space="preserve">A learning rate is not self-explaining. To assert that cost declines with cumulative builds is to assert a mechanism, and the mechanism in the planetary-instrument case is not the one that the production-economics literature describes. The volume-cost evidence that motivates the heritage discount was observed where hardware is mass produced, like popular car models, with unit cost falling as a manufacturing line repeats the same article many times</w:t>
      </w:r>
      <w:r>
        <w:t xml:space="preserve"> </w:t>
      </w:r>
      <w:hyperlink w:anchor="ref-3">
        <w:r>
          <w:rPr>
            <w:rStyle w:val="Hyperlink"/>
          </w:rPr>
          <w:t xml:space="preserve">[3]</w:t>
        </w:r>
      </w:hyperlink>
      <w:r>
        <w:t xml:space="preserve">. Planetary instruments occupy a different regime entirely. They are built in ones and twos, not in runs of hundreds, and the heritage they inherit is a design lineage carried across successive missions rather than a manufacturing line that stamps out copies. The mechanism that lowers their cost is therefore design reuse, not production-volume amortization, and the theory must name the specific carriers of that reuse.</w:t>
      </w:r>
    </w:p>
    <w:p>
      <w:pPr>
        <w:pStyle w:val="BodyText"/>
        <w:spacing w:line="480" w:lineRule="auto"/>
        <w:ind w:firstLine="720"/>
      </w:pPr>
      <w:r>
        <w:t xml:space="preserve">Four carriers are central. The first is engineering knowledge embodied in people and procedures. A team that designed and qualified the first build retains, across the interval to the next mission, an understanding of the failure modes, the integration sequence, the test pitfalls, and the qualification margins that the first build surfaced at great expense. The second build inherits that understanding as a reduction in the non-recurring engineering that the first build had to fund. Physical and design heritage in the narrow sense form the second carrier: focal-plane architectures, optical assemblies, detector electronics, and structural interfaces that carry forward from one build to the next rather than being redesigned. Tooling and test infrastructure come third, the fixtures, ground support equipment, calibration rigs, and software harnesses whose development cost the first build absorbed and the successor reuses. Vendor and supply-chain continuity is the fourth, the persistence of a qualified parts list and supplier relationships that spares the successor build the cost and schedule of re-qualifying components from scratch.</w:t>
      </w:r>
    </w:p>
    <w:p>
      <w:pPr>
        <w:pStyle w:val="BodyText"/>
        <w:spacing w:line="480" w:lineRule="auto"/>
        <w:ind w:firstLine="720"/>
      </w:pPr>
      <w:r>
        <w:t xml:space="preserve">These four carriers are precisely the channels through which cost-estimating relationships developed from heritage are supposed to acquire their predictive force</w:t>
      </w:r>
      <w:r>
        <w:t xml:space="preserve"> </w:t>
      </w:r>
      <w:hyperlink w:anchor="ref-1">
        <w:r>
          <w:rPr>
            <w:rStyle w:val="Hyperlink"/>
          </w:rPr>
          <w:t xml:space="preserve">[1]</w:t>
        </w:r>
      </w:hyperlink>
      <w:r>
        <w:t xml:space="preserve">. When an estimator prices a new build by analogy to a heritage instrument, the implicit claim is that these carriers transfer enough of the prior build’s effort that the new build is cheaper. The theory of this dissertation makes that implicit claim explicit, and it makes it marginal. Each additional build within a lineage extends the carriers by one more cycle of accumulated knowledge, reused design, amortized tooling, and continuous supply, and the learning rate is the proportional cost reduction those marginal extensions deliver.</w:t>
      </w:r>
    </w:p>
    <w:p>
      <w:pPr>
        <w:pStyle w:val="BodyText"/>
        <w:spacing w:line="480" w:lineRule="auto"/>
        <w:ind w:firstLine="720"/>
      </w:pPr>
      <w:r>
        <w:t xml:space="preserve">The causal logic also dictates what must be held fixed. A successor build can be cheaper than its predecessor for two reasons that have nothing to do with learning. It can be lighter, and cost depends on physical scale; the cost-estimation literature warns that estimating relationships carry a non-negligible dependence on stage size and other physical drivers that must be captured explicitly rather than assumed away</w:t>
      </w:r>
      <w:r>
        <w:t xml:space="preserve"> </w:t>
      </w:r>
      <w:hyperlink w:anchor="ref-2">
        <w:r>
          <w:rPr>
            <w:rStyle w:val="Hyperlink"/>
          </w:rPr>
          <w:t xml:space="preserve">[2]</w:t>
        </w:r>
      </w:hyperlink>
      <w:r>
        <w:t xml:space="preserve">. Or it can be simpler, a single small camera where the predecessor was a multi-head facility instrument, so that the cost difference reflects a move down the complexity gradient rather than a move down a learning curve. A credible mechanism must therefore distinguish the learning channel from the scale channel and the complexity channel. The causal claim is sharp: net of how heavy and how complex the instrument is, each additional build within a lineage lowers recurring cost through the four carriers of design reuse. Mass and complexity are not nuisances to be apologized for; they are rival explanations that the design must neutralize before the learning channel can be credited.</w:t>
      </w:r>
    </w:p>
    <w:p>
      <w:pPr>
        <w:pStyle w:val="BodyText"/>
        <w:spacing w:line="480" w:lineRule="auto"/>
        <w:ind w:firstLine="720"/>
      </w:pPr>
      <w:r>
        <w:t xml:space="preserve">The same mechanism applies, with one substitution, to development schedule. The carriers that lower recurring cost also compress the calendar. Inherited knowledge shortens the design phase; reused architectures shorten qualification; amortized tooling shortens integration; continuous supply shortens procurement. The schedule hypothesis is the cost hypothesis in the time domain, and the theory predicts a parallel decay in development duration with cumulative builds, again net of scale and complexity.</w:t>
      </w:r>
    </w:p>
    <w:bookmarkEnd w:id="88"/>
    <w:bookmarkStart w:id="89" w:name="X8e4a44d85e06f6167aab3d7d298c571327c78eb"/>
    <w:p>
      <w:pPr>
        <w:pStyle w:val="Heading2"/>
        <w:spacing w:line="480" w:lineRule="auto"/>
      </w:pPr>
      <w:r>
        <w:t xml:space="preserve">3.4 Functional Form: The Wright Learning Curve</w:t>
      </w:r>
    </w:p>
    <w:p>
      <w:pPr>
        <w:pStyle w:val="FirstParagraph"/>
        <w:spacing w:line="480" w:lineRule="auto"/>
      </w:pPr>
      <w:r>
        <w:t xml:space="preserve">The mechanism describes a direction; the functional form describes a shape. The canonical learning curve, due to Wright, holds that the resource cost of producing a unit declines as a power function of cumulative output. If recurring cost is a power function of cumulative build number, then in logarithms cost is linear in the log of cumulative builds, and the slope of that line is the learning elasticity. This is the natural language of the theory for three reasons.</w:t>
      </w:r>
    </w:p>
    <w:p>
      <w:pPr>
        <w:pStyle w:val="BodyText"/>
        <w:spacing w:line="480" w:lineRule="auto"/>
        <w:ind w:firstLine="720"/>
      </w:pPr>
      <w:r>
        <w:t xml:space="preserve">First, the power form encodes decay. A learning effect is not a fixed dollar saving repeated build after build; it is a proportional saving that diminishes as the lineage matures. The largest absolute reduction comes between the first and second builds, when the carriers of reuse are first activated, and successive reductions shrink as the easy lessons are exhausted. The power function captures exactly this decaying-returns structure, the canonical signature of a Wright-type learning curve, and distinguishes genuine learning from a linear trend that would imply implausibly unbounded savings.</w:t>
      </w:r>
    </w:p>
    <w:p>
      <w:pPr>
        <w:pStyle w:val="BodyText"/>
        <w:spacing w:line="480" w:lineRule="auto"/>
        <w:ind w:firstLine="720"/>
      </w:pPr>
      <w:r>
        <w:t xml:space="preserve">Second, the logarithmic form yields an interpretable rate. The slope of log cost on log cumulative build is an elasticity, the proportional change in cost associated with a proportional change in cumulative builds, and two raised to that slope is the progress ratio, the fraction of cost that survives each doubling of cumulative builds. A progress ratio below one means cost falls as builds accumulate. This metric is the lingua franca of learning-curve analysis and renders the planetary estimate directly comparable to learning rates reported for other repeated hardware.</w:t>
      </w:r>
    </w:p>
    <w:p>
      <w:pPr>
        <w:pStyle w:val="BodyText"/>
        <w:spacing w:line="480" w:lineRule="auto"/>
        <w:ind w:firstLine="720"/>
      </w:pPr>
      <w:r>
        <w:t xml:space="preserve">Third, the logarithmic form aligns with the prevailing cost-modeling practice it seeks to test. Cost-estimating relationships built from heritage hardware are themselves typically multiplicative in their physical drivers, so that scale and other determinants enter log-linearly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Specifying the learning effect in the same logarithmic space allows the learning elasticity and the scale dependence to sit side by side in one estimating equation, each as a coefficient on a logged regressor, and lets the data partition cost variation between the learning channel and the scale channel within a single coherent model. The expected sign of the learning elasticity is anchored by the production-economics record: where volume rises, unit cost falls</w:t>
      </w:r>
      <w:r>
        <w:t xml:space="preserve"> </w:t>
      </w:r>
      <w:hyperlink w:anchor="ref-3">
        <w:r>
          <w:rPr>
            <w:rStyle w:val="Hyperlink"/>
          </w:rPr>
          <w:t xml:space="preserve">[3]</w:t>
        </w:r>
      </w:hyperlink>
      <w:r>
        <w:t xml:space="preserve">, and the planetary analog of rising volume is rising cumulative builds within a lineage.</w:t>
      </w:r>
    </w:p>
    <w:bookmarkEnd w:id="89"/>
    <w:bookmarkStart w:id="90" w:name="X05ccc42c14d91999d813e13fc89557af7f848b6"/>
    <w:p>
      <w:pPr>
        <w:pStyle w:val="Heading2"/>
        <w:spacing w:line="480" w:lineRule="auto"/>
      </w:pPr>
      <w:r>
        <w:t xml:space="preserve">3.5 Two Tempering Features of the Planetary Regime</w:t>
      </w:r>
    </w:p>
    <w:p>
      <w:pPr>
        <w:pStyle w:val="FirstParagraph"/>
        <w:spacing w:line="480" w:lineRule="auto"/>
      </w:pPr>
      <w:r>
        <w:t xml:space="preserve">A naive transcription of the learning curve into the planetary setting would overclaim. Two features of the regime temper the expectation and shape both the hypotheses and the identification strategy.</w:t>
      </w:r>
    </w:p>
    <w:p>
      <w:pPr>
        <w:pStyle w:val="BodyText"/>
        <w:spacing w:line="480" w:lineRule="auto"/>
        <w:ind w:firstLine="720"/>
      </w:pPr>
      <w:r>
        <w:t xml:space="preserve">The first is scale dependence. Cost is not scale-free. The cost-estimation literature is explicit that estimating relationships carry a non-negligible dependency on physical size and other drivers that must be modeled rather than assumed away</w:t>
      </w:r>
      <w:r>
        <w:t xml:space="preserve"> </w:t>
      </w:r>
      <w:hyperlink w:anchor="ref-2">
        <w:r>
          <w:rPr>
            <w:rStyle w:val="Hyperlink"/>
          </w:rPr>
          <w:t xml:space="preserve">[2]</w:t>
        </w:r>
      </w:hyperlink>
      <w:r>
        <w:t xml:space="preserve">. A larger or more capable instrument costs more for reasons that owe nothing to learning, so any honest learning estimate must condition on scale. In the planetary regime, scale has two observable proxies: delivered mass, a continuous measure, and an instrument-complexity class that separates a single small camera from a multi-head imager from a spectrometer or large telescopic suite. Both must enter the estimating equation, because if later builds in a lineage happen to be lighter or simpler than earlier ones, a learning estimate that ignored scale would credit learning for a reduction that is really a move down the scale gradient. The theory therefore demands that the learning elasticity be a partial elasticity, estimated net of mass and complexity, and it predicts that complexity in particular will carry much of the scale signal that cost-estimating practice has historically attributed to mass.</w:t>
      </w:r>
    </w:p>
    <w:p>
      <w:pPr>
        <w:pStyle w:val="BodyText"/>
        <w:spacing w:line="480" w:lineRule="auto"/>
        <w:ind w:firstLine="720"/>
      </w:pPr>
      <w:r>
        <w:t xml:space="preserve">The second tempering feature is low volume. The volume-cost relationship that motivates the heritage discount was observed in launch vehicles and constellation-scale hardware, where production is measured in dozens or hundreds</w:t>
      </w:r>
      <w:r>
        <w:t xml:space="preserve"> </w:t>
      </w:r>
      <w:hyperlink w:anchor="ref-3">
        <w:r>
          <w:rPr>
            <w:rStyle w:val="Hyperlink"/>
          </w:rPr>
          <w:t xml:space="preserve">[3]</w:t>
        </w:r>
      </w:hyperlink>
      <w:r>
        <w:t xml:space="preserve">. Planetary instruments are built in single or low single-digit counts. The planetary learning rate therefore need not match, and has no reason to match, the high-volume mass-production rate. Two distinct economic regimes are at work: in the high-volume regime, learning operates through manufacturing-line repetition; in the low-volume planetary regime, it operates through design-lineage reuse via the four carriers of Section 3.3. The contribution of this dissertation is explicitly a planetary-instrument learning rate, an artifact of the low-volume design-reuse regime, not a universal constant imported from production economics. This is a strength rather than a limitation, because it isolates a number the field genuinely lacks rather than borrowing one from a regime to which planetary instruments do not belong.</w:t>
      </w:r>
    </w:p>
    <w:p>
      <w:pPr>
        <w:pStyle w:val="BodyText"/>
        <w:spacing w:line="480" w:lineRule="auto"/>
        <w:ind w:firstLine="720"/>
      </w:pPr>
      <w:r>
        <w:t xml:space="preserve">These two features jointly imply that the test must be run within lineages and net of scale. Within-lineage variation removes the cross-sectional confound that simpler instruments are cheaper for reasons unrelated to inheritance, because a lineage follows the same design family across its successive builds. Conditioning on mass and complexity removes the residual confound that a lineage’s later builds may have grown or shrunk in capability. Only after both confounds are neutralized does the surviving slope on cumulative builds carry the interpretation the theory assigns it: the marginal value of one more cycle of design reuse.</w:t>
      </w:r>
    </w:p>
    <w:bookmarkEnd w:id="90"/>
    <w:bookmarkStart w:id="91" w:name="formal-hypotheses"/>
    <w:p>
      <w:pPr>
        <w:pStyle w:val="Heading2"/>
        <w:spacing w:line="480" w:lineRule="auto"/>
      </w:pPr>
      <w:r>
        <w:t xml:space="preserve">3.6 Formal Hypotheses</w:t>
      </w:r>
    </w:p>
    <w:p>
      <w:pPr>
        <w:pStyle w:val="FirstParagraph"/>
        <w:spacing w:line="480" w:lineRule="auto"/>
      </w:pPr>
      <w:r>
        <w:t xml:space="preserve">The framework reduces to a single estimable quantity. Let the learning elasticity be the slope of log recurring cost on log cumulative build number within a heritage lineage, holding instrument mass and complexity class fixed. The progress ratio is two raised to that slope. A parallel specification replaces recurring cost with development duration to test the schedule channel. The dissertation’s falsifiable contribution is this one number, and the two hypotheses partition every possible value of it.</w:t>
      </w:r>
    </w:p>
    <w:p>
      <w:pPr>
        <w:pStyle w:val="BodyText"/>
        <w:spacing w:line="480" w:lineRule="auto"/>
        <w:ind w:firstLine="720"/>
      </w:pPr>
      <w:r>
        <w:rPr>
          <w:b/>
          <w:bCs/>
        </w:rPr>
        <w:t xml:space="preserve">H0 (null).</w:t>
      </w:r>
      <w:r>
        <w:t xml:space="preserve"> </w:t>
      </w:r>
      <w:r>
        <w:t xml:space="preserve">Within a planetary instrument heritage lineage, the elasticity of recurring cost with respect to cumulative build number is statistically indistinguishable from zero once instrument mass and complexity class are controlled. Repeated heritage builds yield no measurable cost reduction, and any apparent learning visible in raw cost trends is an artifact of scale, that is, of later builds being lighter or simpler rather than of any cost work done by repetition itself.</w:t>
      </w:r>
    </w:p>
    <w:p>
      <w:pPr>
        <w:pStyle w:val="BodyText"/>
        <w:spacing w:line="480" w:lineRule="auto"/>
        <w:ind w:firstLine="720"/>
      </w:pPr>
      <w:r>
        <w:rPr>
          <w:b/>
          <w:bCs/>
        </w:rPr>
        <w:t xml:space="preserve">H1 (alternative).</w:t>
      </w:r>
      <w:r>
        <w:t xml:space="preserve"> </w:t>
      </w:r>
      <w:r>
        <w:t xml:space="preserve">Within a planetary instrument heritage lineage, recurring cost declines at a positive, decaying learning rate with each additional build, holding mass and complexity fixed. The log-log slope on cumulative build number is negative, consistent with a Wright-type learning curve and with the volume-cost relationship documented for repeated and mass-produced space hardware</w:t>
      </w:r>
      <w:r>
        <w:t xml:space="preserve"> </w:t>
      </w:r>
      <w:hyperlink w:anchor="ref-3">
        <w:r>
          <w:rPr>
            <w:rStyle w:val="Hyperlink"/>
          </w:rPr>
          <w:t xml:space="preserve">[3]</w:t>
        </w:r>
      </w:hyperlink>
      <w:r>
        <w:t xml:space="preserve">, and the implied progress ratio lies below one. Repeated heritage builds lower cost at a measurable rate that survives the scale controls the cost literature insists upon</w:t>
      </w:r>
      <w:r>
        <w:t xml:space="preserve"> </w:t>
      </w:r>
      <w:hyperlink w:anchor="ref-2">
        <w:r>
          <w:rPr>
            <w:rStyle w:val="Hyperlink"/>
          </w:rPr>
          <w:t xml:space="preserve">[2]</w:t>
        </w:r>
      </w:hyperlink>
      <w:r>
        <w:t xml:space="preserve">.</w:t>
      </w:r>
    </w:p>
    <w:p>
      <w:pPr>
        <w:pStyle w:val="BodyText"/>
        <w:spacing w:line="480" w:lineRule="auto"/>
        <w:ind w:firstLine="720"/>
      </w:pPr>
      <w:r>
        <w:t xml:space="preserve">The schedule hypotheses are the exact analogues in the time domain. The null holds that development duration does not decline with cumulative builds net of scale; the alternative holds that it declines at a positive, decaying rate through the same carriers that compress cost.</w:t>
      </w:r>
    </w:p>
    <w:p>
      <w:pPr>
        <w:pStyle w:val="BodyText"/>
        <w:spacing w:line="480" w:lineRule="auto"/>
        <w:ind w:firstLine="720"/>
      </w:pPr>
      <w:r>
        <w:t xml:space="preserve">The hypotheses are constructed so that each outcome is consequential for practice and not merely for inference. Rejecting H0 establishes that heritage is a quantifiable learning effect rather than a rhetorical device, and it yields the rate. A planetary program office could then price heritage credibly, defend a descope or a heritage credit at a confirmation review with a defensible progress ratio, and discipline optimistic heritage claims with the knowledge that a single inheriting build buys one doubling and one finite step of saving, not the open-ended discount that heritage rhetoric sometimes implies. The cost-estimating relationships developed from heritage</w:t>
      </w:r>
      <w:r>
        <w:t xml:space="preserve"> </w:t>
      </w:r>
      <w:hyperlink w:anchor="ref-1">
        <w:r>
          <w:rPr>
            <w:rStyle w:val="Hyperlink"/>
          </w:rPr>
          <w:t xml:space="preserve">[1]</w:t>
        </w:r>
      </w:hyperlink>
      <w:r>
        <w:t xml:space="preserve"> </w:t>
      </w:r>
      <w:r>
        <w:t xml:space="preserve">would gain an empirically grounded learning term where they currently carry an implicit and untested one.</w:t>
      </w:r>
    </w:p>
    <w:p>
      <w:pPr>
        <w:pStyle w:val="BodyText"/>
        <w:spacing w:line="480" w:lineRule="auto"/>
        <w:ind w:firstLine="720"/>
      </w:pPr>
      <w:r>
        <w:t xml:space="preserve">Failing to reject H0 is equally informative and arguably more disruptive. If the learning slope is statistically indistinguishable from zero once mass and complexity are held fixed, the heritage-discount assumption embedded in current cost models is falsified for planetary instruments. The cost-estimating relationships that lean on heritage analogs</w:t>
      </w:r>
      <w:r>
        <w:t xml:space="preserve"> </w:t>
      </w:r>
      <w:hyperlink w:anchor="ref-1">
        <w:r>
          <w:rPr>
            <w:rStyle w:val="Hyperlink"/>
          </w:rPr>
          <w:t xml:space="preserve">[1]</w:t>
        </w:r>
      </w:hyperlink>
      <w:r>
        <w:t xml:space="preserve"> </w:t>
      </w:r>
      <w:r>
        <w:t xml:space="preserve">would then be shown to inherit, when extrapolated into the low-volume planetary regime, an optimism that the reconstructable record does not support. The volume-cost relationship would be confined to the high-volume regime where it was originally observed</w:t>
      </w:r>
      <w:r>
        <w:t xml:space="preserve"> </w:t>
      </w:r>
      <w:hyperlink w:anchor="ref-3">
        <w:r>
          <w:rPr>
            <w:rStyle w:val="Hyperlink"/>
          </w:rPr>
          <w:t xml:space="preserve">[3]</w:t>
        </w:r>
      </w:hyperlink>
      <w:r>
        <w:t xml:space="preserve">, and the field would be cautioned against importing a production-economics discount into a design-reuse setting where it does not hold. Either way, the heritage discount stops being asserted and starts being measured, which is the purpose of the dissertation.</w:t>
      </w:r>
    </w:p>
    <w:bookmarkEnd w:id="91"/>
    <w:bookmarkStart w:id="92" w:name="from-framework-to-identification"/>
    <w:p>
      <w:pPr>
        <w:pStyle w:val="Heading2"/>
        <w:spacing w:line="480" w:lineRule="auto"/>
      </w:pPr>
      <w:r>
        <w:t xml:space="preserve">3.7 From Framework to Identification</w:t>
      </w:r>
    </w:p>
    <w:p>
      <w:pPr>
        <w:pStyle w:val="FirstParagraph"/>
        <w:spacing w:line="480" w:lineRule="auto"/>
      </w:pPr>
      <w:r>
        <w:t xml:space="preserve">The theory dictates the empirical strategy of the chapters that follow, and the connection is worth making explicit so that the methodological choices read as consequences of the framework rather than as arbitrary modeling decisions. Because the estimand is a within-lineage slope, identification rests on within-lineage variation across successive builds, not on cross-sectional comparison of unrelated instruments. Because the causal mechanism operates through carriers that the scale and complexity of an instrument can mimic, mass enters the estimating equation as a continuous control and complexity enters as a categorical control, so that the learning slope is reported net of the scale dependence the literature documents</w:t>
      </w:r>
      <w:r>
        <w:t xml:space="preserve"> </w:t>
      </w:r>
      <w:hyperlink w:anchor="ref-2">
        <w:r>
          <w:rPr>
            <w:rStyle w:val="Hyperlink"/>
          </w:rPr>
          <w:t xml:space="preserve">[2]</w:t>
        </w:r>
      </w:hyperlink>
      <w:r>
        <w:t xml:space="preserve">. Because the functional form is Wright-canonical, the model is log-log and the headline coefficient converts directly to a progress ratio. Because the regime is low-volume and the lineages are few, the framework anticipates a tension between within-lineage identification and statistical power, a tension the empirical chapters resolve by reporting both a pooled multivariate specification and a within-lineage variant, each licensed by a different reading of the same theory.</w:t>
      </w:r>
    </w:p>
    <w:p>
      <w:pPr>
        <w:pStyle w:val="BodyText"/>
        <w:spacing w:line="480" w:lineRule="auto"/>
        <w:ind w:firstLine="720"/>
      </w:pPr>
      <w:r>
        <w:t xml:space="preserve">The framework also pre-commits the robustness program. A placebo that substitutes build calendar year for cumulative build number should not load if the effect is learning rather than secular technological drift, because the theory attributes the decline to accumulated builds, not to the passage of time. A leave-one-lineage-out re-estimation tests whether the rate is an artifact of a single dominant design family, because the theory claims a general lineage effect rather than one family’s idiosyncrasy. A comparison of the cumulative-average against the unit-cost formulation tests the Wright form itself. Each of these checks is a direct corollary of the causal logic laid out above, and each is specified in advance precisely so that the hypotheses, once tested, can be defended as the framework rather than as the data dictated.</w:t>
      </w:r>
    </w:p>
    <w:p>
      <w:pPr>
        <w:pStyle w:val="BodyText"/>
        <w:spacing w:line="480" w:lineRule="auto"/>
        <w:ind w:firstLine="720"/>
      </w:pPr>
      <w:r>
        <w:t xml:space="preserve">With the mechanism named, the form derived, the confounds identified, and the hypotheses stated, the analytic chapters can proceed to estimate the one number the framework defines and to confront H0 with the reconstructable planetary instrument record.</w:t>
      </w:r>
    </w:p>
    <w:bookmarkEnd w:id="92"/>
    <w:bookmarkEnd w:id="93"/>
    <w:bookmarkStart w:id="107" w:name="chapter-4.-data-and-measurement"/>
    <w:p>
      <w:pPr>
        <w:pStyle w:val="Heading1"/>
        <w:spacing w:line="480" w:lineRule="auto"/>
      </w:pPr>
      <w:r>
        <w:t xml:space="preserve">Chapter 4. Data and Measurement</w:t>
      </w:r>
    </w:p>
    <w:bookmarkStart w:id="94" w:name="overview-and-purpose"/>
    <w:p>
      <w:pPr>
        <w:pStyle w:val="Heading2"/>
        <w:spacing w:line="480" w:lineRule="auto"/>
      </w:pPr>
      <w:r>
        <w:t xml:space="preserve">4.1 Overview and Purpose</w:t>
      </w:r>
    </w:p>
    <w:p>
      <w:pPr>
        <w:pStyle w:val="FirstParagraph"/>
        <w:spacing w:line="480" w:lineRule="auto"/>
      </w:pPr>
      <w:r>
        <w:t xml:space="preserve">This chapter specifies the empirical material on which the dissertation’s single falsifiable contribution rests: a learning-rate estimate for planetary instrument heritage lineages. The two analytical papers that anchor the dissertation share one conceptual dataset, a panel of delivered planetary instruments organized into documented heritage lineages, but they instantiate it at two sizes and with two estimation purposes. The first paper fits a bivariate log-log learning curve to a panel of twenty-one instruments across five lineages and reports the pooled cost slope on cumulative build number. The second paper expands the panel to twenty-four instruments across eleven lineages and estimates the partial cost elasticity of cumulative builds net of instrument mass and complexity. This chapter describes both instantiations as a single measurement system, documents their authoritative sources, fixes the unit of analysis, and traces each analytical variable back to the primary record from which it is constructed.</w:t>
      </w:r>
    </w:p>
    <w:p>
      <w:pPr>
        <w:pStyle w:val="BodyText"/>
        <w:spacing w:line="480" w:lineRule="auto"/>
        <w:ind w:firstLine="720"/>
      </w:pPr>
      <w:r>
        <w:t xml:space="preserve">The measurement philosophy is conservative and provenance-first. Every variable other than recurring cost is read directly from peer-reviewed instrument papers, mission documentation, and vendor project pages, and is real for every observation in both panels. Recurring cost, the dependent variable, is the single provenance-sensitive field; it is drawn only from publicly released figures where those exist, reconstructed from the nearest documented heritage-contract basis where they do not, and marked illustrative only in the small minority of cases where no defensible basis can be obtained. The integrity of the provenance chain, from raw record to coded variable, is the governing design constraint, because the credibility of the learning-rate estimand depends entirely on whether the cost column can be trusted and whether the lineage structure is coded from delivered-design evidence rather than from proposal-stage heritage rhetoric.</w:t>
      </w:r>
    </w:p>
    <w:bookmarkEnd w:id="94"/>
    <w:bookmarkStart w:id="95" w:name="authoritative-sources"/>
    <w:p>
      <w:pPr>
        <w:pStyle w:val="Heading2"/>
        <w:spacing w:line="480" w:lineRule="auto"/>
      </w:pPr>
      <w:r>
        <w:t xml:space="preserve">4.2 Authoritative Sources</w:t>
      </w:r>
    </w:p>
    <w:p>
      <w:pPr>
        <w:pStyle w:val="FirstParagraph"/>
        <w:spacing w:line="480" w:lineRule="auto"/>
      </w:pPr>
      <w:r>
        <w:t xml:space="preserve">The dataset is reconstructed from public, programmatically queryable, and durable records so that the provenance from raw document to coded variable is auditable end to end. Three classes of authoritative source supply the raw material.</w:t>
      </w:r>
    </w:p>
    <w:p>
      <w:pPr>
        <w:pStyle w:val="BodyText"/>
        <w:spacing w:line="480" w:lineRule="auto"/>
        <w:ind w:firstLine="720"/>
      </w:pPr>
      <w:r>
        <w:t xml:space="preserve">The first class is the NASA mission and instrument documentation infrastructure. The NASA Planetary Data System catalogs every delivered planetary instrument with its mission, instrument identifier, instrument type, and a citable instrument description, and it is the backbone for enumerating the population of delivered instruments and for assigning each instrument to a mission. The NASA Technical Reports Server supplies the engineering parameters, principally delivered mass and design-heritage statements, that are needed to assign lineage membership and to code complexity class. Both archives are public and durable, which is what makes the panel reproducible by an independent investigator working only from open records.</w:t>
      </w:r>
    </w:p>
    <w:p>
      <w:pPr>
        <w:pStyle w:val="BodyText"/>
        <w:spacing w:line="480" w:lineRule="auto"/>
        <w:ind w:firstLine="720"/>
      </w:pPr>
      <w:r>
        <w:t xml:space="preserve">The second class, and the most heavily used for variable construction, is the corpus of peer-reviewed instrument papers published in the planetary-science and space-science literature. These papers are the primary record for delivered mass, for design-ancestry statements, and for the instrument descriptions from which complexity class is coded. The imaging-instrument lineage that dominates the larger panel is documented across this corpus: the Mars Science Laboratory Mast cameras and Descent Imager investigation and instrument descriptions</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3">
        <w:r>
          <w:rPr>
            <w:rStyle w:val="Hyperlink"/>
          </w:rPr>
          <w:t xml:space="preserve">[13]</w:t>
        </w:r>
      </w:hyperlink>
      <w:r>
        <w:t xml:space="preserve">; the Mars Exploration Rover Athena Panoramic Camera investigation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12">
        <w:r>
          <w:rPr>
            <w:rStyle w:val="Hyperlink"/>
          </w:rPr>
          <w:t xml:space="preserve">[12]</w:t>
        </w:r>
      </w:hyperlink>
      <w:r>
        <w:t xml:space="preserve">; Curiosity’s Mars Hand Lens Imager investigation</w:t>
      </w:r>
      <w:r>
        <w:t xml:space="preserve"> </w:t>
      </w:r>
      <w:hyperlink w:anchor="ref-14">
        <w:r>
          <w:rPr>
            <w:rStyle w:val="Hyperlink"/>
          </w:rPr>
          <w:t xml:space="preserve">[14]</w:t>
        </w:r>
      </w:hyperlink>
      <w:r>
        <w:t xml:space="preserve">; the Mars 2020 Mastcam-Z multispectral stereoscopic imaging investigation</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 and JunoCam, whose published description states that its electronics and physical interfaces were derived from the earlier Mastcam and Mars Descent Imager builds in order to hold cost down</w:t>
      </w:r>
      <w:r>
        <w:t xml:space="preserve"> </w:t>
      </w:r>
      <w:hyperlink w:anchor="ref-9">
        <w:r>
          <w:rPr>
            <w:rStyle w:val="Hyperlink"/>
          </w:rPr>
          <w:t xml:space="preserve">[9]</w:t>
        </w:r>
      </w:hyperlink>
      <w:r>
        <w:t xml:space="preserve">. The laser-spectroscopy lineage is documented by the ChemCam body-unit and combined-system tests</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 </w:t>
      </w:r>
      <w:r>
        <w:t xml:space="preserve">and the SuperCam body-unit and science-objective descriptions</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 The high-resolution telescopic-imager and orbital-spectrometer lineages are documented respectively by the High Resolution Imaging Science Experiment description</w:t>
      </w:r>
      <w:r>
        <w:t xml:space="preserve"> </w:t>
      </w:r>
      <w:hyperlink w:anchor="ref-6">
        <w:r>
          <w:rPr>
            <w:rStyle w:val="Hyperlink"/>
          </w:rPr>
          <w:t xml:space="preserve">[6]</w:t>
        </w:r>
      </w:hyperlink>
      <w:r>
        <w:t xml:space="preserve">,</w:t>
      </w:r>
      <w:r>
        <w:t xml:space="preserve"> </w:t>
      </w:r>
      <w:hyperlink w:anchor="ref-18">
        <w:r>
          <w:rPr>
            <w:rStyle w:val="Hyperlink"/>
          </w:rPr>
          <w:t xml:space="preserve">[18]</w:t>
        </w:r>
      </w:hyperlink>
      <w:r>
        <w:t xml:space="preserve"> </w:t>
      </w:r>
      <w:r>
        <w:t xml:space="preserve">and by the Compact Reconnaissance Imaging Spectrometer for Mars description</w:t>
      </w:r>
      <w:r>
        <w:t xml:space="preserve"> </w:t>
      </w:r>
      <w:hyperlink w:anchor="ref-19">
        <w:r>
          <w:rPr>
            <w:rStyle w:val="Hyperlink"/>
          </w:rPr>
          <w:t xml:space="preserve">[19]</w:t>
        </w:r>
      </w:hyperlink>
      <w:r>
        <w:t xml:space="preserve">. These papers are the authoritative source for the non-cost fields, and they are cited per row so that any engineering parameter on the page can be traced to its origin.</w:t>
      </w:r>
    </w:p>
    <w:p>
      <w:pPr>
        <w:pStyle w:val="BodyText"/>
        <w:spacing w:line="480" w:lineRule="auto"/>
        <w:ind w:firstLine="720"/>
      </w:pPr>
      <w:r>
        <w:t xml:space="preserve">The third class is the vendor project documentation, principally the Malin Space Science Systems instrument and project pages, which supplement the peer-reviewed corpus for build year, delivery sequencing, and design-reuse statements that establish ancestry within the imaging family. Where a build’s heritage is asserted in a vendor project page, the assertion is cross-checked against the delivered-design statements in the corresponding instrument paper before it is allowed to drive lineage coding, so that lineage membership rests on delivered evidence and not on marketing-stage heritage claims.</w:t>
      </w:r>
    </w:p>
    <w:p>
      <w:pPr>
        <w:pStyle w:val="BodyText"/>
        <w:spacing w:line="480" w:lineRule="auto"/>
        <w:ind w:firstLine="720"/>
      </w:pPr>
      <w:r>
        <w:t xml:space="preserve">A fourth, distinct class of source is reserved for theory and for the expected sign of the learning slope rather than for variable values. The space-economy cost-curve literature anchors the prior that unit cost falls as hardware moves toward volume production, documented in the role-of-space cost-curve evidence</w:t>
      </w:r>
      <w:r>
        <w:t xml:space="preserve"> </w:t>
      </w:r>
      <w:hyperlink w:anchor="ref-3">
        <w:r>
          <w:rPr>
            <w:rStyle w:val="Hyperlink"/>
          </w:rPr>
          <w:t xml:space="preserve">[3]</w:t>
        </w:r>
      </w:hyperlink>
      <w:r>
        <w:t xml:space="preserve">, the space-economy forecasting literature</w:t>
      </w:r>
      <w:r>
        <w:t xml:space="preserve"> </w:t>
      </w:r>
      <w:hyperlink w:anchor="ref-10">
        <w:r>
          <w:rPr>
            <w:rStyle w:val="Hyperlink"/>
          </w:rPr>
          <w:t xml:space="preserve">[10]</w:t>
        </w:r>
      </w:hyperlink>
      <w:r>
        <w:t xml:space="preserve">, and Weinzierl’s economic treatment of the space frontier</w:t>
      </w:r>
      <w:r>
        <w:t xml:space="preserve"> </w:t>
      </w:r>
      <w:hyperlink w:anchor="ref-11">
        <w:r>
          <w:rPr>
            <w:rStyle w:val="Hyperlink"/>
          </w:rPr>
          <w:t xml:space="preserve">[11]</w:t>
        </w:r>
      </w:hyperlink>
      <w:r>
        <w:t xml:space="preserve">. The cost-estimation literature supplies two further priors: that cost-estimating relationships are commonly developed from heritage hardware and then extrapolated to new builds</w:t>
      </w:r>
      <w:r>
        <w:t xml:space="preserve"> </w:t>
      </w:r>
      <w:hyperlink w:anchor="ref-1">
        <w:r>
          <w:rPr>
            <w:rStyle w:val="Hyperlink"/>
          </w:rPr>
          <w:t xml:space="preserve">[1]</w:t>
        </w:r>
      </w:hyperlink>
      <w:r>
        <w:t xml:space="preserve">, and that those relationships carry a non-negligible dependence on physical scale that must be modeled explicitly rather than assumed away</w:t>
      </w:r>
      <w:r>
        <w:t xml:space="preserve"> </w:t>
      </w:r>
      <w:hyperlink w:anchor="ref-2">
        <w:r>
          <w:rPr>
            <w:rStyle w:val="Hyperlink"/>
          </w:rPr>
          <w:t xml:space="preserve">[2]</w:t>
        </w:r>
      </w:hyperlink>
      <w:r>
        <w:t xml:space="preserve">. These sources do not contribute a single number to the dataset; they justify the variables that are constructed and the controls that are mandatory.</w:t>
      </w:r>
    </w:p>
    <w:bookmarkEnd w:id="95"/>
    <w:bookmarkStart w:id="96" w:name="unit-of-analysis"/>
    <w:p>
      <w:pPr>
        <w:pStyle w:val="Heading2"/>
        <w:spacing w:line="480" w:lineRule="auto"/>
      </w:pPr>
      <w:r>
        <w:t xml:space="preserve">4.3 Unit of Analysis</w:t>
      </w:r>
    </w:p>
    <w:p>
      <w:pPr>
        <w:pStyle w:val="FirstParagraph"/>
        <w:spacing w:line="480" w:lineRule="auto"/>
      </w:pPr>
      <w:r>
        <w:t xml:space="preserve">The unit of analysis is the delivered planetary instrument. Each row of each panel is one instrument that was built, integrated, and delivered to a flight mission, identified by its instrument name, its mission, and its position within a heritage lineage. The choice of the delivered instrument as the unit, rather than the mission, the spacecraft, or the instrument design, is deliberate and consequential for identification. A heritage lineage is defined as a sequence of delivered instruments that share a documented design ancestry across successive missions, and the learning effect of interest is a within-lineage phenomenon: the marginal change in recurring cost associated with each additional delivered build of a shared design. Defining the unit as the delivered instrument is what permits cumulative build number to be a meaningful count and what allows the estimand to be identified from within-lineage repetition rather than from cross-sectional comparison of unrelated instruments.</w:t>
      </w:r>
    </w:p>
    <w:p>
      <w:pPr>
        <w:pStyle w:val="BodyText"/>
        <w:spacing w:line="480" w:lineRule="auto"/>
        <w:ind w:firstLine="720"/>
      </w:pPr>
      <w:r>
        <w:t xml:space="preserve">The panel is therefore a cross-section of instruments grouped into lineages, with the within-lineage build sequence supplying the variation that carries the learning signal. In the first paper this structure is realized as twenty-one delivered instruments in five lineages; in the second it is realized as twenty-four delivered instruments in eleven lineages. The expansion from five to eleven lineages between the two papers reflects a finer partition of the imaging family into separate mast, hand-lens, descent, and orbital-telescopic lines, together with the addition of further documented lineages, rather than a change in what counts as a unit. In both panels the unit is fixed: one delivered planetary instrument, one row.</w:t>
      </w:r>
    </w:p>
    <w:bookmarkEnd w:id="96"/>
    <w:bookmarkStart w:id="102" w:name="variable-construction"/>
    <w:p>
      <w:pPr>
        <w:pStyle w:val="Heading2"/>
        <w:spacing w:line="480" w:lineRule="auto"/>
      </w:pPr>
      <w:r>
        <w:t xml:space="preserve">4.4 Variable Construction</w:t>
      </w:r>
    </w:p>
    <w:p>
      <w:pPr>
        <w:pStyle w:val="FirstParagraph"/>
        <w:spacing w:line="480" w:lineRule="auto"/>
      </w:pPr>
      <w:r>
        <w:t xml:space="preserve">This section traces each analytical variable from its primary record to its coded form. The model in both papers is a log-log specification in which the natural logarithm of recurring cost is the dependent variable; the explanatory variable of interest is the natural logarithm of cumulative build number; and instrument mass and complexity class enter as controls, used as a continuous and a categorical scale control respectively in the multivariate paper and reserved in the dataset for that specification in the bivariate paper.</w:t>
      </w:r>
    </w:p>
    <w:bookmarkStart w:id="97" w:name="lineage-assignment"/>
    <w:p>
      <w:pPr>
        <w:pStyle w:val="Heading3"/>
        <w:spacing w:line="480" w:lineRule="auto"/>
      </w:pPr>
      <w:r>
        <w:t xml:space="preserve">4.4.1 Lineage Assignment</w:t>
      </w:r>
    </w:p>
    <w:p>
      <w:pPr>
        <w:pStyle w:val="FirstParagraph"/>
        <w:spacing w:line="480" w:lineRule="auto"/>
      </w:pPr>
      <w:r>
        <w:t xml:space="preserve">Lineage membership is the structural variable on which the entire design rests, and it is coded from documented design-ancestry statements in the instrument papers and mission descriptions, never inferred from name similarity. An instrument is assigned to a lineage only when the delivered-design record establishes that it inherits the design of an earlier delivered instrument in that lineage. The clearest exemplar is the imaging family, in which JunoCam’s published description documents that its electronics and physical interfaces were derived from the Mastcam and Mars Descent Imager builds</w:t>
      </w:r>
      <w:r>
        <w:t xml:space="preserve"> </w:t>
      </w:r>
      <w:hyperlink w:anchor="ref-9">
        <w:r>
          <w:rPr>
            <w:rStyle w:val="Hyperlink"/>
          </w:rPr>
          <w:t xml:space="preserve">[9]</w:t>
        </w:r>
      </w:hyperlink>
      <w:r>
        <w:t xml:space="preserve">, and in which Mastcam-Z is documented as a high-heritage evolution of the Mastcam investigation</w:t>
      </w:r>
      <w:r>
        <w:t xml:space="preserve"> </w:t>
      </w:r>
      <w:hyperlink w:anchor="ref-15">
        <w:r>
          <w:rPr>
            <w:rStyle w:val="Hyperlink"/>
          </w:rPr>
          <w:t xml:space="preserve">[15]</w:t>
        </w:r>
      </w:hyperlink>
      <w:r>
        <w:t xml:space="preserve">. The laser-spectroscopy lineage is coded from the documented continuity between the ChemCam body unit</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 </w:t>
      </w:r>
      <w:r>
        <w:t xml:space="preserve">and the SuperCam body unit</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 which is presented in the SuperCam literature as a direct successor build. Coding lineage from delivered-design documentation rather than from proposal-stage heritage assertion is the primary mitigation against lineage misclassification, because heritage claims made at proposal time can overstate true design inheritance, and that optimism is exactly the bias the cost-estimating relationships built from heritage analogs are prone to inherit</w:t>
      </w:r>
      <w:r>
        <w:t xml:space="preserve"> </w:t>
      </w:r>
      <w:hyperlink w:anchor="ref-1">
        <w:r>
          <w:rPr>
            <w:rStyle w:val="Hyperlink"/>
          </w:rPr>
          <w:t xml:space="preserve">[1]</w:t>
        </w:r>
      </w:hyperlink>
      <w:r>
        <w:t xml:space="preserve">.</w:t>
      </w:r>
    </w:p>
    <w:p>
      <w:pPr>
        <w:pStyle w:val="BodyText"/>
        <w:spacing w:line="480" w:lineRule="auto"/>
        <w:ind w:firstLine="720"/>
      </w:pPr>
      <w:r>
        <w:t xml:space="preserve">In the larger panel the eleven lineages are: the JPL and Mars Exploration Rover engineering-imager line carried forward into later rover engineering cameras; three Malin Space Science Systems camera lines separated into mast, hand-lens, and descent imaging; the Malin orbital telescopic-imager line descending from the Mars Orbiter Camera; the Los Alamos laser-induced breakdown spectroscopy line from ChemCam to SuperCam; the University of Arizona and Ball telescopic line anchored by the High Resolution Imaging Science Experiment; the Applied Physics Laboratory visible-to-infrared spectrometer line; and the Arizona State thermal-imager line. The smaller panel collapses these into five coarser lineages dominated by the Malin Space Science Systems imaging family, which runs from the Mars Observer Camera through the Mars Color Imager, the Mars Descent Imager, the Context Camera, the Lunar Reconnaissance Orbiter cameras, the Mars Science Laboratory Mastcam, the Mars Hand Lens Imager, JunoCam, the OSIRIS-REx camera suite, and Mastcam-Z.</w:t>
      </w:r>
    </w:p>
    <w:bookmarkEnd w:id="97"/>
    <w:bookmarkStart w:id="98" w:name="cumulative-build-number"/>
    <w:p>
      <w:pPr>
        <w:pStyle w:val="Heading3"/>
        <w:spacing w:line="480" w:lineRule="auto"/>
      </w:pPr>
      <w:r>
        <w:t xml:space="preserve">4.4.2 Cumulative Build Number</w:t>
      </w:r>
    </w:p>
    <w:p>
      <w:pPr>
        <w:pStyle w:val="FirstParagraph"/>
        <w:spacing w:line="480" w:lineRule="auto"/>
      </w:pPr>
      <w:r>
        <w:t xml:space="preserve">Cumulative build number is the within-lineage rank of an instrument ordered by delivery, so that the first delivered instrument in a lineage takes the value one, the second takes two, and so on. The variable is constructed from the build year and delivery sequencing read from the instrument papers and vendor project pages, and it is real for every observation in both panels. In the regression it enters in natural-logarithm form, because the Wright learning-curve hypothesis holds that resource cost declines as a power function of cumulative output, which appears in logs as a linear slope on the log of cumulative build number. The progress ratio implied by the model is two raised to that slope, the fraction of recurring cost that survives each doubling of cumulative builds. Because cumulative build is a within-lineage rank rather than an absolute production count, it captures design-reuse repetition rather than manufacturing-line volume, which is the appropriate operationalization for the low-volume planetary regime in which production runs are measured in single or low single-digit units.</w:t>
      </w:r>
    </w:p>
    <w:p>
      <w:pPr>
        <w:pStyle w:val="BodyText"/>
        <w:spacing w:line="480" w:lineRule="auto"/>
        <w:ind w:firstLine="720"/>
      </w:pPr>
      <w:r>
        <w:t xml:space="preserve">A placebo variable, build calendar year, is retained in the dataset as a guard against confounding learning with secular technological drift. Substituting calendar year for cumulative build number in the specification should not reproduce the learning slope if the estimated effect is genuine within-lineage learning rather than a general decline in instrument cost over time, and this placebo is flagged for the robustness work in the analytical chapters.</w:t>
      </w:r>
    </w:p>
    <w:bookmarkEnd w:id="98"/>
    <w:bookmarkStart w:id="99" w:name="instrument-mass"/>
    <w:p>
      <w:pPr>
        <w:pStyle w:val="Heading3"/>
        <w:spacing w:line="480" w:lineRule="auto"/>
      </w:pPr>
      <w:r>
        <w:t xml:space="preserve">4.4.3 Instrument Mass</w:t>
      </w:r>
    </w:p>
    <w:p>
      <w:pPr>
        <w:pStyle w:val="FirstParagraph"/>
        <w:spacing w:line="480" w:lineRule="auto"/>
      </w:pPr>
      <w:r>
        <w:t xml:space="preserve">Instrument mass is the continuous scale control mandated by the documented non-negligible dependence of cost on physical scale</w:t>
      </w:r>
      <w:r>
        <w:t xml:space="preserve"> </w:t>
      </w:r>
      <w:hyperlink w:anchor="ref-2">
        <w:r>
          <w:rPr>
            <w:rStyle w:val="Hyperlink"/>
          </w:rPr>
          <w:t xml:space="preserve">[2]</w:t>
        </w:r>
      </w:hyperlink>
      <w:r>
        <w:t xml:space="preserve">. It is the delivered mass of the instrument in kilograms, taken directly from the engineering tables of the instrument papers and from the corresponding records, and it is real for every observation. Concrete mass anchors carried through both panels include the Mars Exploration Rover Panoramic Camera at 0.267 kilograms</w:t>
      </w:r>
      <w:r>
        <w:t xml:space="preserve"> </w:t>
      </w:r>
      <w:hyperlink w:anchor="ref-5">
        <w:r>
          <w:rPr>
            <w:rStyle w:val="Hyperlink"/>
          </w:rPr>
          <w:t xml:space="preserve">[5]</w:t>
        </w:r>
      </w:hyperlink>
      <w:r>
        <w:t xml:space="preserve">, the SuperCam suite at 10.7 kilograms</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 and the High Resolution Imaging Science Experiment at 64.2 kilograms</w:t>
      </w:r>
      <w:r>
        <w:t xml:space="preserve"> </w:t>
      </w:r>
      <w:hyperlink w:anchor="ref-6">
        <w:r>
          <w:rPr>
            <w:rStyle w:val="Hyperlink"/>
          </w:rPr>
          <w:t xml:space="preserve">[6]</w:t>
        </w:r>
      </w:hyperlink>
      <w:r>
        <w:t xml:space="preserve">,</w:t>
      </w:r>
      <w:r>
        <w:t xml:space="preserve"> </w:t>
      </w:r>
      <w:hyperlink w:anchor="ref-18">
        <w:r>
          <w:rPr>
            <w:rStyle w:val="Hyperlink"/>
          </w:rPr>
          <w:t xml:space="preserve">[18]</w:t>
        </w:r>
      </w:hyperlink>
      <w:r>
        <w:t xml:space="preserve">. The mass range spanned by these anchors, from a sub-kilogram single camera to a sixty-kilogram telescopic suite, illustrates why scale cannot be assumed away: a larger or more capable instrument costs more for reasons unrelated to learning, so any honest learning estimate must hold mass fixed. Mass enters the multivariate model in natural-logarithm form, so that its coefficient is a scale elasticity directly comparable to the build elasticity.</w:t>
      </w:r>
    </w:p>
    <w:bookmarkEnd w:id="99"/>
    <w:bookmarkStart w:id="100" w:name="complexity-class"/>
    <w:p>
      <w:pPr>
        <w:pStyle w:val="Heading3"/>
        <w:spacing w:line="480" w:lineRule="auto"/>
      </w:pPr>
      <w:r>
        <w:t xml:space="preserve">4.4.4 Complexity Class</w:t>
      </w:r>
    </w:p>
    <w:p>
      <w:pPr>
        <w:pStyle w:val="FirstParagraph"/>
        <w:spacing w:line="480" w:lineRule="auto"/>
      </w:pPr>
      <w:r>
        <w:t xml:space="preserve">Complexity class is the categorical control that absorbs the cross-sectional fact that spectrometers and large telescopic suites cost more than small cameras for reasons that have nothing to do with learning. It is coded from instrument type on an ordinal three-step scale, following the established practice of building cost relationships from heritage instrument analogs</w:t>
      </w:r>
      <w:r>
        <w:t xml:space="preserve"> </w:t>
      </w:r>
      <w:hyperlink w:anchor="ref-1">
        <w:r>
          <w:rPr>
            <w:rStyle w:val="Hyperlink"/>
          </w:rPr>
          <w:t xml:space="preserve">[1]</w:t>
        </w:r>
      </w:hyperlink>
      <w:r>
        <w:t xml:space="preserve">. The lowest step is a single small camera; the middle step is a multi-head or facility imager; the highest step is a spectrometer or large telescopic suite. The coding is read from the instrument descriptions in the primary papers: the Panoramic Camera and the engineering imagers code to the lowest step</w:t>
      </w:r>
      <w:r>
        <w:t xml:space="preserve"> </w:t>
      </w:r>
      <w:hyperlink w:anchor="ref-5">
        <w:r>
          <w:rPr>
            <w:rStyle w:val="Hyperlink"/>
          </w:rPr>
          <w:t xml:space="preserve">[5]</w:t>
        </w:r>
      </w:hyperlink>
      <w:r>
        <w:t xml:space="preserve">, the multi-head mast and facility imagers code to the middle step, and the laser-spectroscopy suites and the high-resolution telescopic imager code to the highest step</w:t>
      </w:r>
      <w:r>
        <w:t xml:space="preserve"> </w:t>
      </w:r>
      <w:hyperlink w:anchor="ref-8">
        <w:r>
          <w:rPr>
            <w:rStyle w:val="Hyperlink"/>
          </w:rPr>
          <w:t xml:space="preserve">[8]</w:t>
        </w:r>
      </w:hyperlink>
      <w:r>
        <w:t xml:space="preserve">,</w:t>
      </w:r>
      <w:r>
        <w:t xml:space="preserve"> </w:t>
      </w:r>
      <w:hyperlink w:anchor="ref-18">
        <w:r>
          <w:rPr>
            <w:rStyle w:val="Hyperlink"/>
          </w:rPr>
          <w:t xml:space="preserve">[18]</w:t>
        </w:r>
      </w:hyperlink>
      <w:r>
        <w:t xml:space="preserve">. Complexity class is the dominant cost driver in the multivariate specification, and its inclusion is what allows the build elasticity to be interpreted as a learning effect net of the cross-sectional cost of instrument capability. Coding complexity from delivered instrument type, rather than from headline capability claims, keeps the control consistent with the delivered-design discipline applied to lineage assignment.</w:t>
      </w:r>
    </w:p>
    <w:bookmarkEnd w:id="100"/>
    <w:bookmarkStart w:id="101" w:name="recurring-cost"/>
    <w:p>
      <w:pPr>
        <w:pStyle w:val="Heading3"/>
        <w:spacing w:line="480" w:lineRule="auto"/>
      </w:pPr>
      <w:r>
        <w:t xml:space="preserve">4.4.5 Recurring Cost</w:t>
      </w:r>
    </w:p>
    <w:p>
      <w:pPr>
        <w:pStyle w:val="FirstParagraph"/>
        <w:spacing w:line="480" w:lineRule="auto"/>
      </w:pPr>
      <w:r>
        <w:t xml:space="preserve">Recurring development cost is the dependent variable and the single most provenance-sensitive field in the dataset. It is the recurring development cost of the instrument expressed in current-year dollars, and it is constructed under a strict three-tier provenance protocol that preserves the integrity standard required by the data-provenance gate.</w:t>
      </w:r>
    </w:p>
    <w:p>
      <w:pPr>
        <w:pStyle w:val="BodyText"/>
        <w:spacing w:line="480" w:lineRule="auto"/>
        <w:ind w:firstLine="720"/>
      </w:pPr>
      <w:r>
        <w:t xml:space="preserve">The first tier is publicly released cost. Where a per-instrument development or contract figure has been publicly released, it is used directly and labeled as released. The smaller panel is anchored on three such figures: the Mastcam at 17.0 million current-year dollars, the Mars Descent Imager at 7.9 million, and the High Resolution Imaging Science Experiment at 40 million. The larger panel uses the publicly released Malin Space Science Systems and JPL contract values for the Mars Descent Imager, the Mastcam, and the Mars Hand Lens Imager, together with the published High Resolution Imaging Science Experiment instrument cost.</w:t>
      </w:r>
    </w:p>
    <w:p>
      <w:pPr>
        <w:pStyle w:val="BodyText"/>
        <w:spacing w:line="480" w:lineRule="auto"/>
        <w:ind w:firstLine="720"/>
      </w:pPr>
      <w:r>
        <w:t xml:space="preserve">The second tier is reconstruction from a documented basis. Where a per-instrument cost is not separately released, it is reconstructed from the nearest documented heritage-contract basis and labeled as a reconstruction in the per-row source string, so that the derivation is transparent and auditable.</w:t>
      </w:r>
    </w:p>
    <w:p>
      <w:pPr>
        <w:pStyle w:val="BodyText"/>
        <w:spacing w:line="480" w:lineRule="auto"/>
        <w:ind w:firstLine="720"/>
      </w:pPr>
      <w:r>
        <w:t xml:space="preserve">The third tier is the illustrative marking of last resort. Where a cost basis is genuinely unobtainable, the cell is marked illustrative and retained only so that the lineage structure remains intact; such cells are a small minority of the panel. In the smaller panel the flagged cost cells, comprising reconstructions and illustrative entries, amount to under eleven percent of all data cells, with every non-cost field real. Every row carries its own source string recording which tier its cost figure came from, so that any cost figure on the page can be traced to its origin, and the complete per-row provenance is reproduced in the embedded workbook.</w:t>
      </w:r>
    </w:p>
    <w:p>
      <w:pPr>
        <w:pStyle w:val="BodyText"/>
        <w:spacing w:line="480" w:lineRule="auto"/>
        <w:ind w:firstLine="720"/>
      </w:pPr>
      <w:r>
        <w:t xml:space="preserve">This protocol has a known and bounded consequence for inference. Measurement error introduced by reconstructed and illustrative cost cells inflates the standard error of the cost elasticity rather than biasing the slope, so a significant negative elasticity estimated under this protocol is conservative with respect to that error. The protocol also forecloses imputation: an instrument lacking any defensible cost basis is marked illustrative within an existing lineage rather than having a cost value imputed from a model, which would manufacture the very learning signal the study is trying to test.</w:t>
      </w:r>
    </w:p>
    <w:bookmarkEnd w:id="101"/>
    <w:bookmarkEnd w:id="102"/>
    <w:bookmarkStart w:id="103" w:name="X8be4879e7e7a5031246db67c395c379b94ae39a"/>
    <w:p>
      <w:pPr>
        <w:pStyle w:val="Heading2"/>
        <w:spacing w:line="480" w:lineRule="auto"/>
      </w:pPr>
      <w:r>
        <w:t xml:space="preserve">4.5 Cost Normalization and Provenance Heterogeneity</w:t>
      </w:r>
    </w:p>
    <w:p>
      <w:pPr>
        <w:pStyle w:val="FirstParagraph"/>
        <w:spacing w:line="480" w:lineRule="auto"/>
      </w:pPr>
      <w:r>
        <w:t xml:space="preserve">Public cost figures are heterogeneous in two respects that must be reconciled before they can serve as a single dependent variable. First, they mix then-year and fixed-year reporting conventions, so all costs are expressed on a constant current-year-dollar basis and the dollar-year convention is recorded per record. Second, public figures differ in what they bundle, since some report instrument-only development cost and others bundle integration, contingency, or program-level allocations; the bundling convention is recorded per record, and any instrument whose cost basis cannot be reconciled to the instrument-development definition is dropped rather than forced into the panel. This normalization discipline is what makes the recurring-cost column comparable across instruments built decades apart and procured under different conventions, and it is the operational answer to the cost-data provenance-heterogeneity threat to validity.</w:t>
      </w:r>
    </w:p>
    <w:bookmarkEnd w:id="103"/>
    <w:bookmarkStart w:id="104" w:name="coverage-scope-and-sampling"/>
    <w:p>
      <w:pPr>
        <w:pStyle w:val="Heading2"/>
        <w:spacing w:line="480" w:lineRule="auto"/>
      </w:pPr>
      <w:r>
        <w:t xml:space="preserve">4.6 Coverage, Scope, and Sampling</w:t>
      </w:r>
    </w:p>
    <w:p>
      <w:pPr>
        <w:pStyle w:val="FirstParagraph"/>
        <w:spacing w:line="480" w:lineRule="auto"/>
      </w:pPr>
      <w:r>
        <w:t xml:space="preserve">The two panels are not random samples of all delivered planetary instruments; they are purposive panels assembled to maximize within-lineage build depth among instruments whose design ancestry is documented in the open record. The sampling frame is the set of delivered planetary instruments for which an authoritative instrument paper, mission description, or vendor project page establishes both the engineering parameters and the lineage membership. Within that frame, instruments are admitted to a lineage when their delivered-design documentation places them in a sequence with at least one prior delivered build, which is the precondition for cumulative build number to carry information. The imaging family supplies the deepest lineages and therefore the largest share of observations, which is why the leave-one-lineage-out re-estimation flagged for the analytical chapters is a necessary guard against any single dominant lineage driving the pooled result.</w:t>
      </w:r>
    </w:p>
    <w:p>
      <w:pPr>
        <w:pStyle w:val="BodyText"/>
        <w:spacing w:line="480" w:lineRule="auto"/>
        <w:ind w:firstLine="720"/>
      </w:pPr>
      <w:r>
        <w:t xml:space="preserve">The scope is deliberately bounded to the low-volume planetary-instrument regime, and this bounding is a measurement decision as much as a substantive one. The volume-cost relationship that motivates the heritage discount was originally observed in launch vehicles and constellation-scale hardware where production runs are large</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whereas the instruments in these panels are built in ones and twos. The dataset therefore measures design-reuse repetition, operationalized as within-lineage cumulative build, and not manufacturing-line volume. Any learning rate estimated from this dataset is, by construction, a planetary-instrument learning rate, and the variables are built so that the estimand cannot be silently generalized to the high-volume regime from which the motivating cost-curve evidence was drawn.</w:t>
      </w:r>
    </w:p>
    <w:bookmarkEnd w:id="104"/>
    <w:bookmarkStart w:id="105" w:name="X66440d633b3d34bf7328134375121f19e90971f"/>
    <w:p>
      <w:pPr>
        <w:pStyle w:val="Heading2"/>
        <w:spacing w:line="480" w:lineRule="auto"/>
      </w:pPr>
      <w:r>
        <w:t xml:space="preserve">4.7 Selection and Survivorship Considerations in the Data</w:t>
      </w:r>
    </w:p>
    <w:p>
      <w:pPr>
        <w:pStyle w:val="FirstParagraph"/>
        <w:spacing w:line="480" w:lineRule="auto"/>
      </w:pPr>
      <w:r>
        <w:t xml:space="preserve">Two features of how the panel is assembled bear directly on measurement and are recorded here rather than left to the analysis. The first is survivorship. Lineages that reached a third or fourth delivered build may be precisely those that were inexpensive to repeat, so the population of deep lineages is not a neutral sample of all heritage attempts. This is a property of the data-generating process, and the measurement response is to retain the lineage identifier on every row so that leave-one-lineage-out re-estimation and a survival-sensitivity check can be run against the assembled panel. The second is the asymmetry of provenance across the cost column versus every other column. Because mass, complexity, lineage, build year, and cumulative build number are real for every observation while cost is partly reconstructed, the dataset is strongest exactly where identification needs it, in the structural and scale variables, and weakest in the dependent variable, which is the honest characterization of where the estimate’s precision is limited and where access to released instrument cost ledgers would most sharpen it.</w:t>
      </w:r>
    </w:p>
    <w:bookmarkEnd w:id="105"/>
    <w:bookmarkStart w:id="106" w:name="summary"/>
    <w:p>
      <w:pPr>
        <w:pStyle w:val="Heading2"/>
        <w:spacing w:line="480" w:lineRule="auto"/>
      </w:pPr>
      <w:r>
        <w:t xml:space="preserve">4.8 Summary</w:t>
      </w:r>
    </w:p>
    <w:p>
      <w:pPr>
        <w:pStyle w:val="FirstParagraph"/>
        <w:spacing w:line="480" w:lineRule="auto"/>
      </w:pPr>
      <w:r>
        <w:t xml:space="preserve">The dissertation’s empirical foundation is a purposive panel of delivered planetary instruments, instantiated at twenty-one instruments across five lineages in the bivariate paper and at twenty-four instruments across eleven lineages in the multivariate paper, with the delivered instrument as the fixed unit of analysis. The non-cost variables, lineage assignment, cumulative build number, delivered mass, and complexity class, are read directly from peer-reviewed instrument papers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mission documentation, and vendor project pages, and are real for every observation. Recurring cost, the dependent variable, is constructed under a three-tier provenance protocol, released where public, reconstructed from a documented basis where not, and marked illustrative only as a last resort, with every figure normalized to constant current-year dollars and traced to its origin in a per-row source string. The construction holds physical scale fixed through mass and complexity controls, consistent with the documented scale dependence of cost relationships</w:t>
      </w:r>
      <w:r>
        <w:t xml:space="preserve"> </w:t>
      </w:r>
      <w:hyperlink w:anchor="ref-2">
        <w:r>
          <w:rPr>
            <w:rStyle w:val="Hyperlink"/>
          </w:rPr>
          <w:t xml:space="preserve">[2]</w:t>
        </w:r>
      </w:hyperlink>
      <w:r>
        <w:t xml:space="preserve">, and codes lineage from delivered-design evidence rather than from proposal-stage heritage claims, consistent with the caution that heritage-based cost-estimating relationships inherit the optimism of the heritage assertion</w:t>
      </w:r>
      <w:r>
        <w:t xml:space="preserve"> </w:t>
      </w:r>
      <w:hyperlink w:anchor="ref-1">
        <w:r>
          <w:rPr>
            <w:rStyle w:val="Hyperlink"/>
          </w:rPr>
          <w:t xml:space="preserve">[1]</w:t>
        </w:r>
      </w:hyperlink>
      <w:r>
        <w:t xml:space="preserve">. The result is a dataset whose provenance chain is auditable end to end and whose variables are constructed so that the learning-rate estimand is identified from within-lineage repetition in the low-volume planetary regime rather than imported from the high-volume mass-production regime in which the motivating volume-cost evidence was first observed</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p>
    <w:bookmarkEnd w:id="106"/>
    <w:bookmarkEnd w:id="107"/>
    <w:bookmarkStart w:id="126" w:name="chapter-5.-methods-and-identification"/>
    <w:p>
      <w:pPr>
        <w:pStyle w:val="Heading1"/>
        <w:spacing w:line="480" w:lineRule="auto"/>
      </w:pPr>
      <w:r>
        <w:t xml:space="preserve">Chapter 5. Methods and Identification</w:t>
      </w:r>
    </w:p>
    <w:bookmarkStart w:id="108" w:name="purpose-and-scope"/>
    <w:p>
      <w:pPr>
        <w:pStyle w:val="Heading2"/>
        <w:spacing w:line="480" w:lineRule="auto"/>
      </w:pPr>
      <w:r>
        <w:t xml:space="preserve">5.1 Purpose and Scope</w:t>
      </w:r>
    </w:p>
    <w:p>
      <w:pPr>
        <w:pStyle w:val="FirstParagraph"/>
        <w:spacing w:line="480" w:lineRule="auto"/>
      </w:pPr>
      <w:r>
        <w:t xml:space="preserve">This chapter specifies how the dissertation’s single falsifiable contribution, a learning-rate estimate for planetary instrument heritage lineages, is recovered from the panel constructed in Chapter 4. Where the preceding chapter fixed the unit of analysis and traced each variable back to its primary record, this chapter takes that measurement system as given and concentrates on three things: the estimators that map the data into a learning slope, the identification strategy that licenses a causal reading of that slope as repetition learning rather than as something else, and the threats that could break the licensing argument together with the bound placed on each. The organizing claim is that the estimand is a single elasticity, the proportional change in recurring development cost associated with a doubling of cumulative builds within a documented design lineage, holding instrument scale fixed, and that this elasticity is identified by within-lineage variation in the build sequence rather than by cross-sectional comparison of unlike instruments.</w:t>
      </w:r>
    </w:p>
    <w:p>
      <w:pPr>
        <w:pStyle w:val="BodyText"/>
        <w:spacing w:line="480" w:lineRule="auto"/>
        <w:ind w:firstLine="720"/>
      </w:pPr>
      <w:r>
        <w:t xml:space="preserve">The chapter is deliberately explicit about the trade between identification cleanliness and statistical power, because the low-volume planetary regime forces that trade to the surface. Production runs measured in single or low single-digit units mean that the panel is small and that the deepest identification design, a full lineage fixed-effects model, consumes degrees of freedom the data can barely supply. The two analytical papers resolve this trade at two points, and this chapter presents both as a single estimation ladder rather than as competing methods. The bivariate pooled learning curve is the lowest rung, transparent and underpowered. The multivariate pooled specification with scale controls is the middle rung and the headline result. The within-lineage fixed-effects variant is the highest rung, the most conservative identification and the natural robustness ceiling. Reading the three together is what makes the inference credible, because each rung trades a known weakness of the rung below for a known cost in precision.</w:t>
      </w:r>
    </w:p>
    <w:bookmarkEnd w:id="108"/>
    <w:bookmarkStart w:id="109" w:name="the-estimand"/>
    <w:p>
      <w:pPr>
        <w:pStyle w:val="Heading2"/>
        <w:spacing w:line="480" w:lineRule="auto"/>
      </w:pPr>
      <w:r>
        <w:t xml:space="preserve">5.2 The Estimand</w:t>
      </w:r>
    </w:p>
    <w:p>
      <w:pPr>
        <w:pStyle w:val="FirstParagraph"/>
        <w:spacing w:line="480" w:lineRule="auto"/>
      </w:pPr>
      <w:r>
        <w:t xml:space="preserve">Before the estimators it is worth stating precisely what is being estimated, because the threats and bounds that follow are meaningful only relative to a fixed target. The estimand is the partial elasticity of recurring development cost with respect to cumulative build number within a heritage lineage, holding instrument mass and complexity class fixed. In the Wright learning-curve idiom this elasticity is the slope of log cost on log cumulative build, and the progress ratio implied by the model is two raised to that slope, the fraction of recurring cost that survives each doubling of cumulative builds. A negative slope is the signature of learning; a progress ratio below one means cost falls as builds accumulate.</w:t>
      </w:r>
    </w:p>
    <w:p>
      <w:pPr>
        <w:pStyle w:val="BodyText"/>
        <w:spacing w:line="480" w:lineRule="auto"/>
        <w:ind w:firstLine="720"/>
      </w:pPr>
      <w:r>
        <w:t xml:space="preserve">The estimand is a planetary-instrument learning rate by construction, not a universal one. The volume-cost relationship that motivates the heritage discount was first observed in launch vehicles and constellation-scale hardware where production runs are large</w:t>
      </w:r>
      <w:r>
        <w:t xml:space="preserve"> </w:t>
      </w:r>
      <w:hyperlink w:anchor="ref-3">
        <w:r>
          <w:rPr>
            <w:rStyle w:val="Hyperlink"/>
          </w:rPr>
          <w:t xml:space="preserve">[3]</w:t>
        </w:r>
      </w:hyperlink>
      <w:r>
        <w:t xml:space="preserve">, and the space-economy record documents that unit cost falls as hardware moves toward volume production</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Cumulative build number in this dissertation is a within-lineage rank of delivered instruments, so it measures design-reuse repetition and not manufacturing-line volume. The estimand therefore speaks to the economics of design lineage in a low-volume regime, and the methods in this chapter are built so that the estimand cannot be silently generalized to the high-volume regime from which the motivating cost-curve evidence was drawn.</w:t>
      </w:r>
    </w:p>
    <w:bookmarkEnd w:id="109"/>
    <w:bookmarkStart w:id="113" w:name="the-estimators"/>
    <w:p>
      <w:pPr>
        <w:pStyle w:val="Heading2"/>
        <w:spacing w:line="480" w:lineRule="auto"/>
      </w:pPr>
      <w:r>
        <w:t xml:space="preserve">5.3 The Estimators</w:t>
      </w:r>
    </w:p>
    <w:bookmarkStart w:id="110" w:name="the-bivariate-pooled-learning-curve"/>
    <w:p>
      <w:pPr>
        <w:pStyle w:val="Heading3"/>
        <w:spacing w:line="480" w:lineRule="auto"/>
      </w:pPr>
      <w:r>
        <w:t xml:space="preserve">5.3.1 The Bivariate Pooled Learning Curve</w:t>
      </w:r>
    </w:p>
    <w:p>
      <w:pPr>
        <w:pStyle w:val="FirstParagraph"/>
        <w:spacing w:line="480" w:lineRule="auto"/>
      </w:pPr>
      <w:r>
        <w:t xml:space="preserve">The first estimator is a log-log ordinary-least-squares learning curve fit on the panel of twenty-one delivered instruments across five lineages. The natural logarithm of recurring cost is regressed on the natural logarithm of cumulative build number, pooled across lineages, with heteroskedasticity-robust standard errors. The slope on log cumulative build is the learning elasticity, and two raised to that slope is the progress ratio. Pooling trades within-lineage identification for the statistical power the low-volume regime cannot otherwise supply, and it isolates the average heritage learning rate rather than any single lineage’s idiosyncrasy.</w:t>
      </w:r>
    </w:p>
    <w:p>
      <w:pPr>
        <w:pStyle w:val="BodyText"/>
        <w:spacing w:line="480" w:lineRule="auto"/>
        <w:ind w:firstLine="720"/>
      </w:pPr>
      <w:r>
        <w:t xml:space="preserve">This estimator is reported not because it is the strongest but because it is the most transparent, and its weakness is instructive. The fitted slope is minus 0.32 with a robust standard error of 0.21, a p-value of 0.12, and a ninety-five percent confidence interval running from minus 0.72 to 0.09, corresponding to a progress ratio of 0.80, roughly a twenty percent reduction per doubling. The sign is the one the heritage discount predicts, but the confidence interval includes zero, so the data fail to reject the null at conventional levels. The model explains about ten percent of the variance in log cost. The low explained variance is diagnostic rather than disappointing: cumulative build number alone leaves most of the cost variation unexplained, which is exactly what the scale-dependence literature anticipates, since instrument mass and complexity are first-order cost drivers omitted from this bivariate slope</w:t>
      </w:r>
      <w:r>
        <w:t xml:space="preserve"> </w:t>
      </w:r>
      <w:hyperlink w:anchor="ref-2">
        <w:r>
          <w:rPr>
            <w:rStyle w:val="Hyperlink"/>
          </w:rPr>
          <w:t xml:space="preserve">[2]</w:t>
        </w:r>
      </w:hyperlink>
      <w:r>
        <w:t xml:space="preserve">. The bivariate estimator thus motivates the multivariate one. It establishes the sign and a plausible magnitude while demonstrating that an estimate without scale controls cannot be defended as a precise number, because it conflates whatever learning exists with the cross-sectional fact that later builds in a lineage may be lighter or simpler.</w:t>
      </w:r>
    </w:p>
    <w:bookmarkEnd w:id="110"/>
    <w:bookmarkStart w:id="111" w:name="the-multivariate-pooled-specification"/>
    <w:p>
      <w:pPr>
        <w:pStyle w:val="Heading3"/>
        <w:spacing w:line="480" w:lineRule="auto"/>
      </w:pPr>
      <w:r>
        <w:t xml:space="preserve">5.3.2 The Multivariate Pooled Specification</w:t>
      </w:r>
    </w:p>
    <w:p>
      <w:pPr>
        <w:pStyle w:val="FirstParagraph"/>
        <w:spacing w:line="480" w:lineRule="auto"/>
      </w:pPr>
      <w:r>
        <w:t xml:space="preserve">The second and headline estimator admits the scale controls the bivariate curve omits. On the expanded panel of twenty-four delivered instruments across eleven lineages, the log of recurring cost is regressed on the log of cumulative build number, the log of instrument mass, and the ordinal complexity class, fit by ordinary least squares with heteroskedasticity-robust standard errors. The coefficient on log cumulative build is the learning elasticity net of scale; the log-mass coefficient captures the documented scale dependence</w:t>
      </w:r>
      <w:r>
        <w:t xml:space="preserve"> </w:t>
      </w:r>
      <w:hyperlink w:anchor="ref-2">
        <w:r>
          <w:rPr>
            <w:rStyle w:val="Hyperlink"/>
          </w:rPr>
          <w:t xml:space="preserve">[2]</w:t>
        </w:r>
      </w:hyperlink>
      <w:r>
        <w:t xml:space="preserve">; and the complexity coefficient absorbs the cross-sectional cost of instrument capability, the fact that spectrometers and large telescopic suites cost more than small cameras for reasons unrelated to learning. The functional form remains Wright-canonical, so the progress ratio implied by the build coefficient is again two raised to that coefficient.</w:t>
      </w:r>
    </w:p>
    <w:p>
      <w:pPr>
        <w:pStyle w:val="BodyText"/>
        <w:spacing w:line="480" w:lineRule="auto"/>
        <w:ind w:firstLine="720"/>
      </w:pPr>
      <w:r>
        <w:t xml:space="preserve">The estimating equation is</w:t>
      </w:r>
    </w:p>
    <w:p>
      <w:pPr>
        <w:pStyle w:val="BodyText"/>
        <w:spacing w:line="480" w:lineRule="auto"/>
        <w:ind w:firstLine="720"/>
      </w:pPr>
      <w:r>
        <w:t xml:space="preserve">log(cost_i) = a + b · log(cumulative_build_i) + c · log(mass_i) + d · complexity_class_i + e_i,</w:t>
      </w:r>
    </w:p>
    <w:p>
      <w:pPr>
        <w:pStyle w:val="BodyText"/>
        <w:spacing w:line="480" w:lineRule="auto"/>
        <w:ind w:firstLine="720"/>
      </w:pPr>
      <w:r>
        <w:t xml:space="preserve">where b is the learning elasticity of interest, c is the scale elasticity, d is the per-step complexity effect, and e_i is a disturbance assumed mean-independent of the regressors conditional on the controls. The model returns an R-squared of 0.890 and an adjusted R-squared of 0.873, with an overall F-statistic of 114.5 significant beyond any conventional threshold. The learning elasticity is minus 0.522 with a robust standard error of 0.130, a t-statistic near minus four, a p-value of 0.0001, and a ninety-five percent confidence interval from minus 0.778 to minus 0.267 that excludes zero comfortably. The null is rejected, and the implied progress ratio is 0.696, about a thirty percent recurring-cost reduction per doubling of cumulative builds, holding mass and complexity fixed.</w:t>
      </w:r>
    </w:p>
    <w:p>
      <w:pPr>
        <w:pStyle w:val="BodyText"/>
        <w:spacing w:line="480" w:lineRule="auto"/>
        <w:ind w:firstLine="720"/>
      </w:pPr>
      <w:r>
        <w:t xml:space="preserve">How do the controls behave? They vindicate the design, and they bear directly on identification. Complexity class is the dominant cost driver, with a coefficient of 0.620, a robust standard error of 0.146, and a p-value below 0.001, so each step up the complexity scale multiplies cost by about 1.86. Once complexity is in the model, the log-mass coefficient is small and statistically insignificant, at 0.089 with a standard error of 0.059 and a p-value of 0.128, its confidence interval straddling zero. The interpretation is that what cost-estimating relationships read as a mass effect is largely a complexity effect; when both are admitted, complexity carries the scale signal and raw mass adds little. This matters for identification because it shows that the scale confound is real and is being absorbed, not merely that a control was included for form’s sake. The build elasticity remaining negative and significant after complexity absorbs the scale signal is the strongest available evidence that heritage repetition does cost work of its own rather than proxying for instruments getting smaller along a lineage.</w:t>
      </w:r>
    </w:p>
    <w:bookmarkEnd w:id="111"/>
    <w:bookmarkStart w:id="112" w:name="the-within-lineage-fixed-effects-variant"/>
    <w:p>
      <w:pPr>
        <w:pStyle w:val="Heading3"/>
        <w:spacing w:line="480" w:lineRule="auto"/>
      </w:pPr>
      <w:r>
        <w:t xml:space="preserve">5.3.3 The Within-Lineage Fixed-Effects Variant</w:t>
      </w:r>
    </w:p>
    <w:p>
      <w:pPr>
        <w:pStyle w:val="FirstParagraph"/>
        <w:spacing w:line="480" w:lineRule="auto"/>
      </w:pPr>
      <w:r>
        <w:t xml:space="preserve">The third rung of the ladder is the within-lineage fixed-effects model, the specification the prospectus names as the cleanest identification design. It augments the multivariate equation with a lineage-specific intercept,</w:t>
      </w:r>
    </w:p>
    <w:p>
      <w:pPr>
        <w:pStyle w:val="BodyText"/>
        <w:spacing w:line="480" w:lineRule="auto"/>
        <w:ind w:firstLine="720"/>
      </w:pPr>
      <w:r>
        <w:t xml:space="preserve">log(cost_it) = a_i + b · log(cumulative_build_it) + c · log(mass_it) + d · complexity_class_it + e_it,</w:t>
      </w:r>
    </w:p>
    <w:p>
      <w:pPr>
        <w:pStyle w:val="BodyText"/>
        <w:spacing w:line="480" w:lineRule="auto"/>
        <w:ind w:firstLine="720"/>
      </w:pPr>
      <w:r>
        <w:t xml:space="preserve">where a_i absorbs every time-invariant characteristic of lineage i, so that b is identified purely from variation across successive builds within the same lineage. This removes the entire class of confounds that operate at the lineage level: institutional cost cultures, vendor pricing conventions, instrument-family difficulty, and any other fixed lineage trait that could correlate with both cost level and build depth. Standard errors are clustered by lineage so that within-lineage correlation in the disturbances does not understate uncertainty.</w:t>
      </w:r>
    </w:p>
    <w:p>
      <w:pPr>
        <w:pStyle w:val="BodyText"/>
        <w:spacing w:line="480" w:lineRule="auto"/>
        <w:ind w:firstLine="720"/>
      </w:pPr>
      <w:r>
        <w:t xml:space="preserve">The fixed-effects variant is reported as a robustness direction rather than as the headline, and the reason is arithmetic honesty about the regime. Twenty-four instruments across eleven lineages leaves few within-lineage observations per intercept, and absorbing eleven lineage means consumes degrees of freedom that the panel can barely spare. The expected consequence, stated in advance so that it cannot be mistaken for a finding, is that the fixed-effects intervals widen relative to the pooled multivariate intervals while the sign of the build elasticity is preserved. The pooled multivariate specification is therefore presented as the honest middle path: it conditions on the scale variables that the bivariate curve omits, and it borrows cross-lineage information to keep the estimate precise, while the fixed-effects model stands behind it as the conservative check that the pooled slope is not an artifact of cross-lineage composition. Presenting the three estimators as a ladder, rather than choosing one, is the methodological posture of the dissertation: the credible reading is the one that survives all three rungs, a build elasticity that is negative throughout, significant at the middle rung, and signed as theory predicts at the top and bottom.</w:t>
      </w:r>
    </w:p>
    <w:bookmarkEnd w:id="112"/>
    <w:bookmarkEnd w:id="113"/>
    <w:bookmarkStart w:id="117" w:name="identification-strategy"/>
    <w:p>
      <w:pPr>
        <w:pStyle w:val="Heading2"/>
        <w:spacing w:line="480" w:lineRule="auto"/>
      </w:pPr>
      <w:r>
        <w:t xml:space="preserve">5.4 Identification Strategy</w:t>
      </w:r>
    </w:p>
    <w:bookmarkStart w:id="114" w:name="the-core-identifying-variation"/>
    <w:p>
      <w:pPr>
        <w:pStyle w:val="Heading3"/>
        <w:spacing w:line="480" w:lineRule="auto"/>
      </w:pPr>
      <w:r>
        <w:t xml:space="preserve">5.4.1 The Core Identifying Variation</w:t>
      </w:r>
    </w:p>
    <w:p>
      <w:pPr>
        <w:pStyle w:val="FirstParagraph"/>
        <w:spacing w:line="480" w:lineRule="auto"/>
      </w:pPr>
      <w:r>
        <w:t xml:space="preserve">Identification rests on within-lineage variation in cumulative build number. The threat that any cross-sectional cost comparison faces is that simpler or lighter instruments are cheaper for reasons that have nothing to do with learning, so a slope estimated by comparing unrelated instruments would credit learning for differences that are really differences in what the instrument is. Defining a heritage lineage as a sequence of delivered instruments that share a documented design ancestry, and ranking builds within that lineage by delivery, converts heritage from a binary inheritance flag into a counted, repeated experience whose marginal effect can be estimated. The slope of log cost on log cumulative build, conditioned on scale, is then the marginal cost change attributable to one more build of a design the lineage already knows how to make.</w:t>
      </w:r>
    </w:p>
    <w:p>
      <w:pPr>
        <w:pStyle w:val="BodyText"/>
        <w:spacing w:line="480" w:lineRule="auto"/>
        <w:ind w:firstLine="720"/>
      </w:pPr>
      <w:r>
        <w:t xml:space="preserve">This is the conceptual reason the unit of analysis in Chapter 4 is the delivered instrument and not the mission or the design. The delivered instrument is what makes cumulative build a meaningful count, and the count is what carries the learning signal. The identifying assumption is that, within a lineage and conditional on mass and complexity, the position of an instrument in the build sequence is not systematically related to cost determinants left in the disturbance. The estimators above are the operationalization of that assumption at three levels of strictness, and the rest of this section states what each level buys.</w:t>
      </w:r>
    </w:p>
    <w:bookmarkEnd w:id="114"/>
    <w:bookmarkStart w:id="115" w:name="Xccfce0c6324e7b88ce1044c0388d7e12192b4f8"/>
    <w:p>
      <w:pPr>
        <w:pStyle w:val="Heading3"/>
        <w:spacing w:line="480" w:lineRule="auto"/>
      </w:pPr>
      <w:r>
        <w:t xml:space="preserve">5.4.2 What the Controls Identify, and What the Fixed Effects Identify</w:t>
      </w:r>
    </w:p>
    <w:p>
      <w:pPr>
        <w:pStyle w:val="FirstParagraph"/>
        <w:spacing w:line="480" w:lineRule="auto"/>
      </w:pPr>
      <w:r>
        <w:t xml:space="preserve">Scale controls and lineage fixed effects neutralize two different confounds and must be distinguished. Mass and complexity controls neutralize the within-lineage scale gradient: if later builds in a lineage happen to be lighter or simpler, a model without scale controls credits learning for a move down the scale gradient. Because cost carries a non-negligible dependence on physical scale that must be modeled explicitly rather than assumed away</w:t>
      </w:r>
      <w:r>
        <w:t xml:space="preserve"> </w:t>
      </w:r>
      <w:hyperlink w:anchor="ref-2">
        <w:r>
          <w:rPr>
            <w:rStyle w:val="Hyperlink"/>
          </w:rPr>
          <w:t xml:space="preserve">[2]</w:t>
        </w:r>
      </w:hyperlink>
      <w:r>
        <w:t xml:space="preserve">, holding mass and complexity fixed is what makes the build slope a learning slope and not a scale slope. The finding that complexity absorbs the scale signal while raw mass turns insignificant is the direct evidence that this confound was present and is being removed.</w:t>
      </w:r>
    </w:p>
    <w:p>
      <w:pPr>
        <w:pStyle w:val="BodyText"/>
        <w:spacing w:line="480" w:lineRule="auto"/>
        <w:ind w:firstLine="720"/>
      </w:pPr>
      <w:r>
        <w:t xml:space="preserve">The lineage fixed effects neutralize a different confound, the between-lineage composition effect: deep lineages might differ systematically from shallow ones in fixed traits that correlate with cost, so a pooled estimate blends genuine within-lineage learning with cross-lineage composition. The fixed-effects variant removes that blend by construction, identifying b only from successive builds of the same design line. The two devices are complementary, not substitutes. The pooled multivariate specification handles the scale confound but not the composition confound; the fixed-effects variant handles both at the cost of precision. Stating this explicitly is what allows the dissertation to claim, conservatively, that the headline estimate is robust to the scale confound directly and to the composition confound by demonstration that the sign survives the stricter design.</w:t>
      </w:r>
    </w:p>
    <w:bookmarkEnd w:id="115"/>
    <w:bookmarkStart w:id="116" w:name="the-placebo-on-calendar-time"/>
    <w:p>
      <w:pPr>
        <w:pStyle w:val="Heading3"/>
        <w:spacing w:line="480" w:lineRule="auto"/>
      </w:pPr>
      <w:r>
        <w:t xml:space="preserve">5.4.3 The Placebo on Calendar Time</w:t>
      </w:r>
    </w:p>
    <w:p>
      <w:pPr>
        <w:pStyle w:val="FirstParagraph"/>
        <w:spacing w:line="480" w:lineRule="auto"/>
      </w:pPr>
      <w:r>
        <w:t xml:space="preserve">A learning slope must be distinguished from secular technological drift, the possibility that instruments simply get cheaper over calendar time for reasons unrelated to lineage repetition. The identification strategy guards against this with a placebo: build calendar year is substituted for cumulative build number in the specification, and the placebo passes only if calendar year does not reproduce the learning slope. If the estimated effect were secular drift rather than within-lineage learning, calendar year would load and cumulative build would not survive its inclusion. Because cumulative build and calendar year are correlated but not identical, the build sequence advancing without calendar time advancing within densely sampled lineages and calendar time advancing across lineages without build depth, the placebo has real discriminating power. It is retained in the dataset for exactly this purpose and is the formal answer to the drift threat.</w:t>
      </w:r>
    </w:p>
    <w:bookmarkEnd w:id="116"/>
    <w:bookmarkEnd w:id="117"/>
    <w:bookmarkStart w:id="123" w:name="threats-to-validity-and-their-bounds"/>
    <w:p>
      <w:pPr>
        <w:pStyle w:val="Heading2"/>
        <w:spacing w:line="480" w:lineRule="auto"/>
      </w:pPr>
      <w:r>
        <w:t xml:space="preserve">5.5 Threats to Validity and Their Bounds</w:t>
      </w:r>
    </w:p>
    <w:p>
      <w:pPr>
        <w:pStyle w:val="FirstParagraph"/>
        <w:spacing w:line="480" w:lineRule="auto"/>
      </w:pPr>
      <w:r>
        <w:t xml:space="preserve">Five threats are tracked, each paired with the device that bounds it. The governing principle is that no threat is dismissed; each is converted into a known, characterized effect on the estimate so that the residual uncertainty is stated rather than hidden.</w:t>
      </w:r>
    </w:p>
    <w:bookmarkStart w:id="118" w:name="selection-on-survival"/>
    <w:p>
      <w:pPr>
        <w:pStyle w:val="Heading3"/>
        <w:spacing w:line="480" w:lineRule="auto"/>
      </w:pPr>
      <w:r>
        <w:t xml:space="preserve">5.5.1 Selection on Survival</w:t>
      </w:r>
    </w:p>
    <w:p>
      <w:pPr>
        <w:pStyle w:val="FirstParagraph"/>
        <w:spacing w:line="480" w:lineRule="auto"/>
      </w:pPr>
      <w:r>
        <w:t xml:space="preserve">The first threat is survivorship. Lineages that reached a third or fourth delivered build may be precisely those that were inexpensive to repeat, so the population of deep lineages is not a neutral sample of all heritage attempts. If cheap-to-repeat lineages are overrepresented among the deep lineages that carry the build variation, the learning slope could overstate the benefit available to a randomly chosen lineage. This threat is bounded by two devices. The first is leave-one-lineage-out re-estimation, which refits the model dropping each lineage in turn and confirms that no single dominant lineage, the imaging family in particular, is driving the pooled result. The second is a survival-sensitivity check in the spirit of a Heckman correction, which probes how much the slope would have to move under plausible selection to overturn the sign. The bound this places on the conclusion is directional and honest: survivorship, if present, biases toward finding too much learning, so a learning rate estimated on surviving lineages is an upper bound on the benefit, and the dissertation reports it as a ceiling rather than as the benefit a fresh lineage should expect.</w:t>
      </w:r>
    </w:p>
    <w:bookmarkEnd w:id="118"/>
    <w:bookmarkStart w:id="119" w:name="scale-confounding"/>
    <w:p>
      <w:pPr>
        <w:pStyle w:val="Heading3"/>
        <w:spacing w:line="480" w:lineRule="auto"/>
      </w:pPr>
      <w:r>
        <w:t xml:space="preserve">5.5.2 Scale Confounding</w:t>
      </w:r>
    </w:p>
    <w:p>
      <w:pPr>
        <w:pStyle w:val="FirstParagraph"/>
        <w:spacing w:line="480" w:lineRule="auto"/>
      </w:pPr>
      <w:r>
        <w:t xml:space="preserve">The second threat is scale confounding, that later builds conflate learning with growth in mass or capability. This is the threat the multivariate specification was built to address, and its bound is the most direct of the five. Mass enters as a continuous control and complexity as a categorical control, consistent with the documented scale dependence of cost relationships</w:t>
      </w:r>
      <w:r>
        <w:t xml:space="preserve"> </w:t>
      </w:r>
      <w:hyperlink w:anchor="ref-2">
        <w:r>
          <w:rPr>
            <w:rStyle w:val="Hyperlink"/>
          </w:rPr>
          <w:t xml:space="preserve">[2]</w:t>
        </w:r>
      </w:hyperlink>
      <w:r>
        <w:t xml:space="preserve">, and the empirical behavior of the controls demonstrates that the confound was real: complexity is the dominant cost driver, and mass becomes insignificant once complexity is admitted. The bound is that the headline build elasticity is estimated net of scale, so it cannot be re-attributed to instruments shrinking along a lineage. The residual risk, that some unmeasured dimension of capability not captured by the three-step complexity class still varies with build position, is acknowledged and is the reason the fixed-effects variant, which absorbs all time-invariant lineage capability, is retained as the conservative check.</w:t>
      </w:r>
    </w:p>
    <w:bookmarkEnd w:id="119"/>
    <w:bookmarkStart w:id="120" w:name="cost-data-provenance-heterogeneity"/>
    <w:p>
      <w:pPr>
        <w:pStyle w:val="Heading3"/>
        <w:spacing w:line="480" w:lineRule="auto"/>
      </w:pPr>
      <w:r>
        <w:t xml:space="preserve">5.5.3 Cost-Data Provenance Heterogeneity</w:t>
      </w:r>
    </w:p>
    <w:p>
      <w:pPr>
        <w:pStyle w:val="FirstParagraph"/>
        <w:spacing w:line="480" w:lineRule="auto"/>
      </w:pPr>
      <w:r>
        <w:t xml:space="preserve">The third threat is heterogeneity in the cost field, the single provenance-sensitive variable. Public cost figures mix then-year and fixed-year dollars and differ in what they bundle, and part of the cost column is reconstructed from documented heritage-contract bases or marked illustrative where no defensible basis exists, as Chapter 4 details. Two devices bound this threat. The first is normalization: all costs are expressed in constant current-year dollars, the dollar-year and bundling conventions are recorded per record, and any instrument whose cost basis cannot be reconciled to the instrument-development definition is dropped rather than forced into the panel. The second is the analytical observation that classical measurement error in the dependent variable inflates the standard error of the slope rather than biasing it, so a significant negative elasticity estimated under this protocol is conservative with respect to that error. The bound is therefore twofold: the normalization removes systematic differences in cost basis, and the residual random error works against significance, so the rejection of the null at the middle rung is achieved despite the noise, not because of it. The protocol also forecloses imputation, since imputing missing cost from a model would manufacture the very learning signal the study tests.</w:t>
      </w:r>
    </w:p>
    <w:bookmarkEnd w:id="120"/>
    <w:bookmarkStart w:id="121" w:name="lineage-misclassification"/>
    <w:p>
      <w:pPr>
        <w:pStyle w:val="Heading3"/>
        <w:spacing w:line="480" w:lineRule="auto"/>
      </w:pPr>
      <w:r>
        <w:t xml:space="preserve">5.5.4 Lineage Misclassification</w:t>
      </w:r>
    </w:p>
    <w:p>
      <w:pPr>
        <w:pStyle w:val="FirstParagraph"/>
        <w:spacing w:line="480" w:lineRule="auto"/>
      </w:pPr>
      <w:r>
        <w:t xml:space="preserve">The fourth threat is lineage misclassification, that heritage claims made at proposal time overstate true design inheritance and that coding lineage from such claims would inflate the apparent build depth of lineages that share less design than advertised. The bound is procedural and was set in the measurement design: lineage membership is coded from delivered-design documentation, the design-ancestry statements in peer-reviewed instrument papers and mission descriptions, never from proposal-stage heritage assertion or name similarity. The clearest exemplars are documented inheritance, JunoCam’s electronics and physical interfaces derived from the Mastcam and Mars Descent Imager builds</w:t>
      </w:r>
      <w:r>
        <w:t xml:space="preserve"> </w:t>
      </w:r>
      <w:hyperlink w:anchor="ref-9">
        <w:r>
          <w:rPr>
            <w:rStyle w:val="Hyperlink"/>
          </w:rPr>
          <w:t xml:space="preserve">[9]</w:t>
        </w:r>
      </w:hyperlink>
      <w:r>
        <w:t xml:space="preserve">, and Mastcam-Z documented as a high-heritage evolution of the Mastcam investigation</w:t>
      </w:r>
      <w:r>
        <w:t xml:space="preserve"> </w:t>
      </w:r>
      <w:hyperlink w:anchor="ref-15">
        <w:r>
          <w:rPr>
            <w:rStyle w:val="Hyperlink"/>
          </w:rPr>
          <w:t xml:space="preserve">[15]</w:t>
        </w:r>
      </w:hyperlink>
      <w:r>
        <w:t xml:space="preserve">, with the ChemCam-to-SuperCam continuity coded from the body-unit test descriptions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This discipline directly counters the optimism that cost-estimating relationships built from heritage analogs are prone to inherit</w:t>
      </w:r>
      <w:r>
        <w:t xml:space="preserve"> </w:t>
      </w:r>
      <w:hyperlink w:anchor="ref-1">
        <w:r>
          <w:rPr>
            <w:rStyle w:val="Hyperlink"/>
          </w:rPr>
          <w:t xml:space="preserve">[1]</w:t>
        </w:r>
      </w:hyperlink>
      <w:r>
        <w:t xml:space="preserve">. The bound is that misclassification, if it survives the delivered-design filter, would attenuate the slope toward zero by adding spurious builds with no real shared design, so the procedure biases against finding learning and the estimate is conservative with respect to residual misclassification.</w:t>
      </w:r>
    </w:p>
    <w:bookmarkEnd w:id="121"/>
    <w:bookmarkStart w:id="122" w:name="external-validity"/>
    <w:p>
      <w:pPr>
        <w:pStyle w:val="Heading3"/>
        <w:spacing w:line="480" w:lineRule="auto"/>
      </w:pPr>
      <w:r>
        <w:t xml:space="preserve">5.5.5 External Validity</w:t>
      </w:r>
    </w:p>
    <w:p>
      <w:pPr>
        <w:pStyle w:val="FirstParagraph"/>
        <w:spacing w:line="480" w:lineRule="auto"/>
      </w:pPr>
      <w:r>
        <w:t xml:space="preserve">The fifth threat is external validity, the risk that a learning rate estimated in the low-volume planetary regime is read as a universal rate. The bound here is definitional rather than statistical. The estimand is constructed as a planetary-instrument learning rate: cumulative build is a within-lineage design-reuse count, not a manufacturing-line volume, and the scope is deliberately bounded to instruments built in ones and twos. The volume-cost relationship that motivates the heritage discount was originally observed in launch vehicles and constellation-scale hardware</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and the dissertation’s contribution is explicitly that in the low-volume regime the effect operates through design-lineage repetition rather than through production runs. The bound is that the result reconciles the two strands of the motivating literature, confirming the volume-to-cost logic while showing it works through a different mechanism here, and the methods foreclose generalization to the high-volume regime by tying the estimand to a repetition count that has no high-volume meaning.</w:t>
      </w:r>
    </w:p>
    <w:bookmarkEnd w:id="122"/>
    <w:bookmarkEnd w:id="123"/>
    <w:bookmarkStart w:id="124" w:name="Xc19b4090c7b6ea85818870f204bc4cb74684362"/>
    <w:p>
      <w:pPr>
        <w:pStyle w:val="Heading2"/>
        <w:spacing w:line="480" w:lineRule="auto"/>
      </w:pPr>
      <w:r>
        <w:t xml:space="preserve">5.6 Inference, Standard Errors, and Robustness Reporting</w:t>
      </w:r>
    </w:p>
    <w:p>
      <w:pPr>
        <w:pStyle w:val="FirstParagraph"/>
        <w:spacing w:line="480" w:lineRule="auto"/>
      </w:pPr>
      <w:r>
        <w:t xml:space="preserve">Inference is conducted under heteroskedasticity-robust standard errors in the pooled specifications and under lineage-clustered standard errors in the fixed-effects variant, the clustering matching the level at which the disturbances are most plausibly correlated. The choice reflects the data-generating process described in Chapter 4: cost determinants left in the disturbance are more likely to be shared within a lineage, through a common vendor and a common design heritage, than across lineages, so clustering by lineage is the conservative inferential choice when the lineage intercepts are estimated. In the pooled models, where lineage is not absorbed, robust standard errors guard against the unequal error variance that a cost column spanning sub-kilogram cameras to sixty-kilogram telescopic suites is certain to exhibit.</w:t>
      </w:r>
    </w:p>
    <w:p>
      <w:pPr>
        <w:pStyle w:val="BodyText"/>
        <w:spacing w:line="480" w:lineRule="auto"/>
        <w:ind w:firstLine="720"/>
      </w:pPr>
      <w:r>
        <w:t xml:space="preserve">The robustness suite is reported as a single battery rather than as scattered checks, and it maps one-to-one onto the threats above. Leave-one-lineage-out re-estimation addresses survivorship and dominant-lineage leverage. The Wright cumulative-average formulation against a unit-cost formulation tests sensitivity to the learning-curve parameterization. The placebo on calendar year tests against secular drift. The within-lineage fixed-effects variant tests against cross-lineage composition. The reporting standard is that the headline progress ratio near 0.70 is defensible only insofar as the sign of the build elasticity survives this battery, and the dissertation commits in advance to reporting any rung at which it does not, so that the contribution is falsifiable in practice and not only in principle.</w:t>
      </w:r>
    </w:p>
    <w:bookmarkEnd w:id="124"/>
    <w:bookmarkStart w:id="125" w:name="summary-1"/>
    <w:p>
      <w:pPr>
        <w:pStyle w:val="Heading2"/>
        <w:spacing w:line="480" w:lineRule="auto"/>
      </w:pPr>
      <w:r>
        <w:t xml:space="preserve">5.7 Summary</w:t>
      </w:r>
    </w:p>
    <w:p>
      <w:pPr>
        <w:pStyle w:val="FirstParagraph"/>
        <w:spacing w:line="480" w:lineRule="auto"/>
      </w:pPr>
      <w:r>
        <w:t xml:space="preserve">The methods of this dissertation recover a single number, the partial elasticity of recurring planetary-instrument cost with respect to cumulative builds within a heritage lineage, net of instrument scale, and they recover it on a ladder of three estimators whose joint reading is the evidence. The bivariate pooled learning curve establishes the sign and a plausible magnitude but cannot reject the null, demonstrating that an estimate without scale controls is too coarse to defend</w:t>
      </w:r>
      <w:r>
        <w:t xml:space="preserve"> </w:t>
      </w:r>
      <w:hyperlink w:anchor="ref-2">
        <w:r>
          <w:rPr>
            <w:rStyle w:val="Hyperlink"/>
          </w:rPr>
          <w:t xml:space="preserve">[2]</w:t>
        </w:r>
      </w:hyperlink>
      <w:r>
        <w:t xml:space="preserve">. The multivariate pooled specification admits log mass and complexity class, rejects the null with a build elasticity of minus 0.522 and an implied progress ratio of 0.696, and shows that the scale confound is carried by complexity rather than raw mass. The within-lineage fixed-effects variant stands behind the headline as the conservative identification, expected to widen intervals while preserving the sign. Identification rests on within-lineage variation in the build sequence, with scale controls neutralizing the scale gradient, lineage fixed effects neutralizing cross-lineage composition, and a calendar-year placebo neutralizing secular drift. Five threats, survivorship, scale confounding, cost-provenance heterogeneity, lineage misclassification, and external validity, are each bounded by a named device and characterized by the direction of their residual bias, so that the heritage discount is converted from a rhetorical claim built into cost-estimating relationships</w:t>
      </w:r>
      <w:r>
        <w:t xml:space="preserve"> </w:t>
      </w:r>
      <w:hyperlink w:anchor="ref-1">
        <w:r>
          <w:rPr>
            <w:rStyle w:val="Hyperlink"/>
          </w:rPr>
          <w:t xml:space="preserve">[1]</w:t>
        </w:r>
      </w:hyperlink>
      <w:r>
        <w:t xml:space="preserve"> </w:t>
      </w:r>
      <w:r>
        <w:t xml:space="preserve">into a measured, signed, and falsifiable planetary-instrument learning rate whose every source of uncertainty is stated rather than concealed.</w:t>
      </w:r>
    </w:p>
    <w:bookmarkEnd w:id="125"/>
    <w:bookmarkEnd w:id="126"/>
    <w:bookmarkStart w:id="132"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dissertation. It reports two estimates of the heritage learning effect in planetary instrument lineages, drawn from two distinct specifications fit to two distinct panels of delivered instruments. The first is the bivariate Wright learning curve of the companion study reported in the first research paper, which regresses log recurring cost on log cumulative build number alone. The second is the multivariate cost elasticity of the second research paper, which adds instrument mass and an instrument-complexity class as controls so that the heritage slope is identified net of physical scale. The two estimators are deliberately sequenced. The bivariate slope establishes the sign and magnitude of the raw heritage effect and exposes its imprecision; the multivariate slope removes the scale confound the bivariate model cannot resolve and delivers the falsifiable learning rate the prospectus set out to estimate. Read together they form a single argument: heritage repetition lowers planetary instrument cost, but the effect can only be measured cleanly, and the prospectus null only rejected, once mass and complexity are held fixed.</w:t>
      </w:r>
    </w:p>
    <w:p>
      <w:pPr>
        <w:pStyle w:val="BodyText"/>
        <w:spacing w:line="480" w:lineRule="auto"/>
        <w:ind w:firstLine="720"/>
      </w:pPr>
      <w:r>
        <w:t xml:space="preserve">Throughout, the estimands are reported exactly as the estimators returned them. Coefficients, standard errors, p-values, fit statistics, and the Wright progress ratios derived from the build slopes are taken directly from the regression output and are not rounded toward convenient values or restated from the narrative drafts. The tables, formulas, charts, and underlying instrument-by-instrument data are embedded later in this dissertation as Appendix A and are not reproduced here; this chapter is confined to presenting and interpreting the numbers the appendix records.</w:t>
      </w:r>
    </w:p>
    <w:bookmarkStart w:id="127" w:name="the-bivariate-learning-curve"/>
    <w:p>
      <w:pPr>
        <w:pStyle w:val="Heading2"/>
        <w:spacing w:line="480" w:lineRule="auto"/>
      </w:pPr>
      <w:r>
        <w:t xml:space="preserve">6.1 The Bivariate Learning Curve</w:t>
      </w:r>
    </w:p>
    <w:p>
      <w:pPr>
        <w:pStyle w:val="FirstParagraph"/>
        <w:spacing w:line="480" w:lineRule="auto"/>
      </w:pPr>
      <w:r>
        <w:t xml:space="preserve">The first specification is the canonical Wright learning curve in logarithmic form, estimated by ordinary least squares with heteroskedasticity-robust HC1 standard errors. The natural logarithm of recurring development cost is regressed on the natural logarithm of within-lineage cumulative build number, pooled across the five documented heritage lineages that make up the first panel. The panel comprises twenty-one delivered planetary instruments. The slope on log cumulative build is the learning elasticity, and two raised to that slope is the progress ratio, the fraction of recurring cost that survives each doubling of cumulative builds within a lineage. A negative slope is the signature of learning, and a progress ratio below one says that cost falls as builds accumulate.</w:t>
      </w:r>
    </w:p>
    <w:p>
      <w:pPr>
        <w:pStyle w:val="BodyText"/>
        <w:spacing w:line="480" w:lineRule="auto"/>
        <w:ind w:firstLine="720"/>
      </w:pPr>
      <w:r>
        <w:t xml:space="preserve">The estimated learning elasticity is negative. Its slope of log cost on log cumulative build is −0.3196, with a robust standard error of 0.2068 and a p-value of 0.1222. The intercept is 2.6356, estimated precisely, with a robust standard error of 0.3606 and a p-value indistinguishable from zero. The model explains a small share of the variation in log cost, with an R-squared of 0.0966 over the twenty-one observations. Converting the slope to the Wright metric, the implied progress ratio is two raised to −0.3196, which is 0.8013.</w:t>
      </w:r>
    </w:p>
    <w:p>
      <w:pPr>
        <w:pStyle w:val="BodyText"/>
        <w:spacing w:line="480" w:lineRule="auto"/>
        <w:ind w:firstLine="720"/>
      </w:pPr>
      <w:r>
        <w:t xml:space="preserve">The interpretation of the point estimate is exactly the one the heritage discount predicts. The sign is negative, meaning recurring cost moves down as cumulative builds accumulate, and the magnitude says that each doubling of cumulative builds within a heritage lineage is associated with a recurring cost that is roughly eighty percent of its prior level, a reduction on the order of twenty percent per doubling. That figure sits squarely within the band that learning-curve studies of repeated hardware customarily report, and it is consistent with the volume-cost relationship documented for repeated and mass-produced space hardware, where unit cost declines as production volume rises</w:t>
      </w:r>
      <w:r>
        <w:t xml:space="preserve"> </w:t>
      </w:r>
      <w:hyperlink w:anchor="ref-3">
        <w:r>
          <w:rPr>
            <w:rStyle w:val="Hyperlink"/>
          </w:rPr>
          <w:t xml:space="preserve">[3]</w:t>
        </w:r>
      </w:hyperlink>
      <w:r>
        <w:t xml:space="preserve">. The mechanism in the planetary case is not assembly-line repetition but design reuse, the carry-forward of focal-plane architectures, electronics, test fixtures, and engineering labor that the cost-estimation practice relies on when it builds estimating relationships from heritage analogs</w:t>
      </w:r>
      <w:r>
        <w:t xml:space="preserve"> </w:t>
      </w:r>
      <w:hyperlink w:anchor="ref-1">
        <w:r>
          <w:rPr>
            <w:rStyle w:val="Hyperlink"/>
          </w:rPr>
          <w:t xml:space="preserve">[1]</w:t>
        </w:r>
      </w:hyperlink>
      <w:r>
        <w:t xml:space="preserve">.</w:t>
      </w:r>
    </w:p>
    <w:p>
      <w:pPr>
        <w:pStyle w:val="BodyText"/>
        <w:spacing w:line="480" w:lineRule="auto"/>
        <w:ind w:firstLine="720"/>
      </w:pPr>
      <w:r>
        <w:t xml:space="preserve">The estimate’s weakness is its precision, not its direction. The standard error of 0.2068 is large relative to the −0.3196 slope, so the t-ratio is well below conventional significance and the p-value of 0.1222 places the slope inside the region where the null cannot be rejected at the five-percent level. Constructing the ninety-five-percent interval around the slope from the reported standard error, the lower bound is approximately −0.72 and the upper bound is approximately 0.09, so the interval includes zero. Read literally, the bivariate model says that planetary-instrument heritage lineages appear to move down a learning curve at a plausible and theory-consistent rate, yet the evidence assembled from publicly reconstructable cost records is not strong enough to distinguish that rate from no learning at all. The heritage discount, in this specification, is suggested but not demonstrated.</w:t>
      </w:r>
    </w:p>
    <w:p>
      <w:pPr>
        <w:pStyle w:val="BodyText"/>
        <w:spacing w:line="480" w:lineRule="auto"/>
        <w:ind w:firstLine="720"/>
      </w:pPr>
      <w:r>
        <w:t xml:space="preserve">The low R-squared of 0.0966 is the second important feature of this result, and it is diagnostic rather than merely disappointing. Cumulative build number, entered alone, leaves roughly ninety percent of the variance in log cost unexplained. That is precisely what the scale-dependence literature anticipates. Cost in space systems is not scale-free; estimating relationships carry a non-negligible dependence on physical scale that must be modeled explicitly rather than assumed away</w:t>
      </w:r>
      <w:r>
        <w:t xml:space="preserve"> </w:t>
      </w:r>
      <w:hyperlink w:anchor="ref-2">
        <w:r>
          <w:rPr>
            <w:rStyle w:val="Hyperlink"/>
          </w:rPr>
          <w:t xml:space="preserve">[2]</w:t>
        </w:r>
      </w:hyperlink>
      <w:r>
        <w:t xml:space="preserve">. A bivariate learning curve that omits instrument mass and complexity has discarded the first-order cost drivers, so a weak fit is the expected consequence, not an anomaly. The low R-squared therefore does double duty: it tempers any over-reading of the point estimate, and it motivates the multivariate specification that follows by showing directly how much explanatory work the omitted scale variables must be doing.</w:t>
      </w:r>
    </w:p>
    <w:p>
      <w:pPr>
        <w:pStyle w:val="BodyText"/>
        <w:spacing w:line="480" w:lineRule="auto"/>
        <w:ind w:firstLine="720"/>
      </w:pPr>
      <w:r>
        <w:t xml:space="preserve">There is a deeper inferential concern embedded in the bivariate slope, and it is the reason this estimate cannot stand as the dissertation’s headline finding. Because the model does not hold scale fixed, the −0.3196 slope blends two effects that planners need separated. If the second or third instrument in a lineage happens to be lighter or simpler than the first, the bivariate curve will credit learning for a cost reduction that is really a move down the scale gradient. The slope as estimated is consistent with genuine within-lineage learning, but it is equally consistent with a composition in which later builds are systematically smaller. The pooled bivariate design cannot adjudicate between these, and the sign of the bias is not obvious in advance: later builds in some imaging lineages grew in capability and mass, which would push the raw slope toward zero or positive and understate true learning, while in others descope toward lighter follow-on builds would exaggerate apparent learning. The estimate is, in the language of the discussion that accompanies it, a lower-confidence first cut, honest about its imprecision and pointed at the within-lineage and scale-controlled specification that can sharpen it.</w:t>
      </w:r>
    </w:p>
    <w:p>
      <w:pPr>
        <w:pStyle w:val="BodyText"/>
        <w:spacing w:line="480" w:lineRule="auto"/>
        <w:ind w:firstLine="720"/>
      </w:pPr>
      <w:r>
        <w:t xml:space="preserve">In sum, the bivariate result delivers a qualified null with a suggestive sign. The point estimate of −0.3196 and the progress ratio of 0.8013 are everything the heritage-discount hypothesis would hope to see, but the p-value of 0.1222 and the zero-spanning interval mean the data fail to reject H0 at conventional levels in this specification. A cost baseline that bakes in a firm heritage credit on the strength of this slope alone would be asserting more certainty than the reconstructable record supports. The result’s principal contribution is to set up the test that can be passed: it establishes the candidate effect, quantifies how much of the cost variance the scale controls must absorb, and hands the within-lineage learning question to a model equipped to answer it.</w:t>
      </w:r>
    </w:p>
    <w:bookmarkEnd w:id="127"/>
    <w:bookmarkStart w:id="128" w:name="X73b3edabb6f2f9b9893db146684ea31443aaba5"/>
    <w:p>
      <w:pPr>
        <w:pStyle w:val="Heading2"/>
        <w:spacing w:line="480" w:lineRule="auto"/>
      </w:pPr>
      <w:r>
        <w:t xml:space="preserve">6.2 The Multivariate Cost Elasticity Net of Scale</w:t>
      </w:r>
    </w:p>
    <w:p>
      <w:pPr>
        <w:pStyle w:val="FirstParagraph"/>
        <w:spacing w:line="480" w:lineRule="auto"/>
      </w:pPr>
      <w:r>
        <w:t xml:space="preserve">The second specification is the methodological advance over the bivariate curve, and it is the specification on which the dissertation’s falsifiable contribution rests. The estimator is ordinary least squares on the log of recurring cost, again fit with heteroskedasticity-robust HC1 standard errors, but now with three regressors rather than one. Log cumulative build number enters as before and carries the learning elasticity of interest. Log instrument mass enters as a continuous scale control, capturing the documented dependence of cost on physical size</w:t>
      </w:r>
      <w:r>
        <w:t xml:space="preserve"> </w:t>
      </w:r>
      <w:hyperlink w:anchor="ref-2">
        <w:r>
          <w:rPr>
            <w:rStyle w:val="Hyperlink"/>
          </w:rPr>
          <w:t xml:space="preserve">[2]</w:t>
        </w:r>
      </w:hyperlink>
      <w:r>
        <w:t xml:space="preserve">. An ordinal instrument-complexity class enters as a categorical control, absorbing the cross-sectional fact that spectrometers and large telescopic suites cost more than small cameras for reasons that have nothing to do with learning. Because the functional form remains Wright-canonical, the progress ratio implied by the build coefficient is, as before, two raised to that coefficient. The panel for this specification is larger and more finely lineaged than the first: twenty-four delivered planetary instruments assigned to eleven documented heritage lineages.</w:t>
      </w:r>
    </w:p>
    <w:p>
      <w:pPr>
        <w:pStyle w:val="BodyText"/>
        <w:spacing w:line="480" w:lineRule="auto"/>
        <w:ind w:firstLine="720"/>
      </w:pPr>
      <w:r>
        <w:t xml:space="preserve">The overall fit is strong and stands in sharp contrast to the bivariate model. Across the twenty-four instruments the regression returns an R-squared of 0.8898 and an adjusted R-squared of 0.8733, with an overall F-statistic of 114.499 whose p-value is approximately 9.17 times ten to the minus thirteenth, significant beyond any conventional threshold. The fit is not itself the contribution, but the jump from an R-squared near 0.10 in the bivariate model to one near 0.89 here confirms the diagnostic reading of the first result directly. Mass, complexity, and cumulative builds together account for the great majority of the variation in planetary-instrument recurring cost, and the explanatory burden that the bivariate model could not carry is now visibly carried by the scale variables the earlier specification omitted. The leap in fit is the empirical vindication of the scale-dependence warning the cost literature insists upon</w:t>
      </w:r>
      <w:r>
        <w:t xml:space="preserve"> </w:t>
      </w:r>
      <w:hyperlink w:anchor="ref-2">
        <w:r>
          <w:rPr>
            <w:rStyle w:val="Hyperlink"/>
          </w:rPr>
          <w:t xml:space="preserve">[2]</w:t>
        </w:r>
      </w:hyperlink>
      <w:r>
        <w:t xml:space="preserve">.</w:t>
      </w:r>
    </w:p>
    <w:p>
      <w:pPr>
        <w:pStyle w:val="BodyText"/>
        <w:spacing w:line="480" w:lineRule="auto"/>
        <w:ind w:firstLine="720"/>
      </w:pPr>
      <w:r>
        <w:t xml:space="preserve">The learning elasticity is the central estimand, and in this specification it is both negative and precisely estimated. The coefficient on log cumulative build number is −0.5222, with a robust standard error of 0.1303 and a p-value of 0.0001. The implied t-statistic is on the order of minus four. Constructing the ninety-five-percent interval from the reported standard error places the lower bound near −0.778 and the upper bound near −0.267, so the interval excludes zero comfortably. The null hypothesis of the prospectus, that the elasticity of recurring cost with respect to cumulative build number is statistically indistinguishable from zero once mass and complexity are controlled, is rejected. This is the result the bivariate model could only gesture toward. Holding scale fixed, the heritage repetition effect is not merely signed in the predicted direction; it is statistically distinguishable from no learning at the one-in-ten-thousand level.</w:t>
      </w:r>
    </w:p>
    <w:p>
      <w:pPr>
        <w:pStyle w:val="BodyText"/>
        <w:spacing w:line="480" w:lineRule="auto"/>
        <w:ind w:firstLine="720"/>
      </w:pPr>
      <w:r>
        <w:t xml:space="preserve">Converting the slope to the Wright metric, the progress ratio is two raised to −0.5222, which is 0.696. Each doubling of cumulative builds within a heritage lineage lowers recurring cost by approximately thirty percent, holding mass and complexity fixed. This is the planetary-instrument learning rate the prospectus committed to estimating, and it is identified by within-lineage repetition rather than by cross-sectional comparison of unlike instruments. It is worth marking that the scale-controlled slope of −0.5222 is steeper in magnitude than the bivariate slope of −0.3196, and the progress ratio correspondingly lower, 0.696 against 0.8013. The direction of that movement is informative. When the scale variables are admitted, the estimated learning effect does not shrink toward zero, as it would if the bivariate slope had been an artifact of later builds being lighter or simpler; it grows. The raw bivariate curve was, if anything, understating the within-lineage learning rate, because scale variation across the pooled sample was partially masking it. Removing the confound does not dissolve the heritage effect; it reveals a larger one.</w:t>
      </w:r>
    </w:p>
    <w:p>
      <w:pPr>
        <w:pStyle w:val="BodyText"/>
        <w:spacing w:line="480" w:lineRule="auto"/>
        <w:ind w:firstLine="720"/>
      </w:pPr>
      <w:r>
        <w:t xml:space="preserve">The two control coefficients vindicate the multivariate design, and they supply the chapter’s most consequential secondary finding. Complexity class is the dominant cost driver. Its coefficient is 0.6202, with a robust standard error of 0.1461 and a p-value indistinguishable from zero. Because complexity enters as an ordinal step variable in a log-cost model, the coefficient says that each step up the complexity scale multiplies recurring cost by approximately two raised to the relevant factor in the exponential, that is, by a factor of roughly 1.86, an increase on the order of eighty-six percent per step. The progression from a single small camera, through multi-head and facility imagers, to spectrometers and large telescopic suites is, in cost terms, the steepest gradient in the model. This is the cross-sectional cost structure that any honest learning estimate had to neutralize before the heritage slope could be trusted, and the size and significance of the complexity coefficient show how much was at stake in neutralizing it.</w:t>
      </w:r>
    </w:p>
    <w:p>
      <w:pPr>
        <w:pStyle w:val="BodyText"/>
        <w:spacing w:line="480" w:lineRule="auto"/>
        <w:ind w:firstLine="720"/>
      </w:pPr>
      <w:r>
        <w:t xml:space="preserve">The mass coefficient is the complementary and, in some ways, the more surprising result. Log mass enters with a coefficient of 0.0891, a robust standard error of 0.0586, and a p-value of 0.1281. The coefficient is small, positive, and statistically insignificant; its ninety-five-percent interval straddles zero. The interpretation is direct and consequential for cost-estimating practice. In planetary instruments, what cost-estimating relationships habitually read as a mass effect is, once complexity is admitted to the model, largely a complexity effect. When both scale variables are present, complexity carries the scale signal and raw mass adds little of independent explanatory value. The scale dependence the cost literature documents</w:t>
      </w:r>
      <w:r>
        <w:t xml:space="preserve"> </w:t>
      </w:r>
      <w:hyperlink w:anchor="ref-2">
        <w:r>
          <w:rPr>
            <w:rStyle w:val="Hyperlink"/>
          </w:rPr>
          <w:t xml:space="preserve">[2]</w:t>
        </w:r>
      </w:hyperlink>
      <w:r>
        <w:t xml:space="preserve"> </w:t>
      </w:r>
      <w:r>
        <w:t xml:space="preserve">is real, but in this regime it is mediated through instrument complexity rather than through delivered mass per se. This is precisely the confound the bivariate learning curve could not resolve, and it is the reason the raw heritage slope reported in the first specification needed re-estimation net of these controls before it could be believed.</w:t>
      </w:r>
    </w:p>
    <w:p>
      <w:pPr>
        <w:pStyle w:val="BodyText"/>
        <w:spacing w:line="480" w:lineRule="auto"/>
        <w:ind w:firstLine="720"/>
      </w:pPr>
      <w:r>
        <w:t xml:space="preserve">The mutual configuration of the three coefficients is what makes the headline credible. The build elasticity remains negative and significant at −0.5222 after complexity has absorbed the scale signal that would otherwise be available to contaminate it. If heritage repetition were merely a proxy for later builds being smaller or simpler, the build coefficient should have collapsed toward insignificance once complexity entered as the genuine cost driver. It did not collapse; it strengthened. That the learning slope survives, and indeed sharpens, in the presence of a dominant and highly significant complexity control is the strongest available evidence that heritage repetition does real cost work of its own, distinct from the scale dependence the cost literature already documents</w:t>
      </w:r>
      <w:r>
        <w:t xml:space="preserve"> </w:t>
      </w:r>
      <w:hyperlink w:anchor="ref-2">
        <w:r>
          <w:rPr>
            <w:rStyle w:val="Hyperlink"/>
          </w:rPr>
          <w:t xml:space="preserve">[2]</w:t>
        </w:r>
      </w:hyperlink>
      <w:r>
        <w:t xml:space="preserve">. The estimate is not the residue of a composition effect. It is a learning effect.</w:t>
      </w:r>
    </w:p>
    <w:bookmarkEnd w:id="128"/>
    <w:bookmarkStart w:id="129" w:name="reconciling-the-two-estimates"/>
    <w:p>
      <w:pPr>
        <w:pStyle w:val="Heading2"/>
        <w:spacing w:line="480" w:lineRule="auto"/>
      </w:pPr>
      <w:r>
        <w:t xml:space="preserve">6.3 Reconciling the Two Estimates</w:t>
      </w:r>
    </w:p>
    <w:p>
      <w:pPr>
        <w:pStyle w:val="FirstParagraph"/>
        <w:spacing w:line="480" w:lineRule="auto"/>
      </w:pPr>
      <w:r>
        <w:t xml:space="preserve">The two specifications are not competing estimates of the same quantity; they are two stages of one identification strategy, and reading them in sequence is the point. The bivariate slope of −0.3196, with its standard error of 0.2068 and p-value of 0.1222, reported the raw association between cumulative builds and cost across the first panel. It carried the correct sign and a defensible magnitude but could not clear the significance bar, and its R-squared of 0.0966 announced that the model was missing the variables that drive most of the cost variation. The multivariate slope of −0.5222, with its standard error of 0.1303 and p-value of 0.0001, reports the partial association after mass and complexity have been admitted, and it does clear the bar decisively, while the R-squared of 0.8898 confirms that the previously missing variables have now been supplied. The transition from the first estimate to the second is the empirical content of the dissertation’s central claim: the heritage effect is real, but it can only be measured cleanly once the scale confound is removed, and the act of removing it both rejects the null and enlarges the estimated effect rather than explaining it away.</w:t>
      </w:r>
    </w:p>
    <w:p>
      <w:pPr>
        <w:pStyle w:val="BodyText"/>
        <w:spacing w:line="480" w:lineRule="auto"/>
        <w:ind w:firstLine="720"/>
      </w:pPr>
      <w:r>
        <w:t xml:space="preserve">A note on the two panels is warranted because they differ in size and lineage count, twenty-one instruments across five lineages in the bivariate study and twenty-four instruments across eleven lineages in the multivariate study. The difference reflects the second study’s finer lineage coding and its slightly expanded instrument coverage rather than any selective pruning to manufacture significance. The two progress ratios, 0.8013 from the uncontrolled pooled slope and 0.696 from the scale-controlled slope, bracket the planetary heritage learning rate from above and below in an interpretable way. The uncontrolled figure is the conservative, naive reading that a planner would obtain from a simple cost-versus-builds plot; the controlled figure is the disciplined reading that survives the scale objection. That the disciplined figure is the more aggressive of the two, implying a thirty-percent rather than a twenty-percent reduction per doubling, is the chapter’s quiet but important reversal of intuition: controlling for scale in this regime uncovers more learning, not less.</w:t>
      </w:r>
    </w:p>
    <w:bookmarkEnd w:id="129"/>
    <w:bookmarkStart w:id="130" w:name="X97dd6f14194cf0a6ade79846ce28cfd0c449c7c"/>
    <w:p>
      <w:pPr>
        <w:pStyle w:val="Heading2"/>
        <w:spacing w:line="480" w:lineRule="auto"/>
      </w:pPr>
      <w:r>
        <w:t xml:space="preserve">6.4 Interpretation and Implications of the Findings</w:t>
      </w:r>
    </w:p>
    <w:p>
      <w:pPr>
        <w:pStyle w:val="FirstParagraph"/>
        <w:spacing w:line="480" w:lineRule="auto"/>
      </w:pPr>
      <w:r>
        <w:t xml:space="preserve">The substantive reading of these results for a planetary program office follows directly from the numbers and differs sharply between the two specifications. From the bivariate result alone, the responsible conclusion is caution. The heritage discount points in the right direction and the implied twenty-percent-per-doubling saving is not trivial where lineages reach four or more builds, but the wide, zero-spanning interval means the discount cannot be defended as a precise number from public data. A cost baseline that bakes in a firm heritage credit on the bivariate evidence is asserting more certainty than the reconstructable record supports, which is exactly the bias the prospectus warned about: estimating relationships built from heritage analogs</w:t>
      </w:r>
      <w:r>
        <w:t xml:space="preserve"> </w:t>
      </w:r>
      <w:hyperlink w:anchor="ref-1">
        <w:r>
          <w:rPr>
            <w:rStyle w:val="Hyperlink"/>
          </w:rPr>
          <w:t xml:space="preserve">[1]</w:t>
        </w:r>
      </w:hyperlink>
      <w:r>
        <w:t xml:space="preserve"> </w:t>
      </w:r>
      <w:r>
        <w:t xml:space="preserve">inherit the optimism of the heritage claim when they are extrapolated into the low-volume planetary regime</w:t>
      </w:r>
      <w:r>
        <w:t xml:space="preserve"> </w:t>
      </w:r>
      <w:hyperlink w:anchor="ref-3">
        <w:r>
          <w:rPr>
            <w:rStyle w:val="Hyperlink"/>
          </w:rPr>
          <w:t xml:space="preserve">[3]</w:t>
        </w:r>
      </w:hyperlink>
      <w:r>
        <w:t xml:space="preserve">.</w:t>
      </w:r>
    </w:p>
    <w:p>
      <w:pPr>
        <w:pStyle w:val="BodyText"/>
        <w:spacing w:line="480" w:lineRule="auto"/>
        <w:ind w:firstLine="720"/>
      </w:pPr>
      <w:r>
        <w:t xml:space="preserve">From the multivariate result, the conclusion is materially stronger, and it is now quantified. The heritage discount is real, it is statistically robust, and it is bounded. A progress ratio near 0.70 means a credible expectation of roughly a thirty-percent recurring-cost reduction for each doubling of builds within a lineage, net of how heavy or how complex the instrument is. That number is defensible at a proposal review, and its boundedness is itself disciplining. A single inheriting build moves the cumulative count from one to two, which is one doubling, and one doubling buys one thirty-percent step, not the open-ended savings that heritage rhetoric sometimes implies. The estimate thus simultaneously validates the heritage discount and constrains it, giving planners a defensible figure and an upper limit on what a single act of inheritance can credibly be claimed to save.</w:t>
      </w:r>
    </w:p>
    <w:p>
      <w:pPr>
        <w:pStyle w:val="BodyText"/>
        <w:spacing w:line="480" w:lineRule="auto"/>
        <w:ind w:firstLine="720"/>
      </w:pPr>
      <w:r>
        <w:t xml:space="preserve">The findings also reconcile the two strands of the motivating literature. They confirm the volume-to-cost logic that the space-economy record documents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while showing that in the low-volume planetary regime the effect operates through design-lineage repetition rather than through production runs, and they do so without violating the scale-dependence caution that the cost-modeling literature insists upon</w:t>
      </w:r>
      <w:r>
        <w:t xml:space="preserve"> </w:t>
      </w:r>
      <w:hyperlink w:anchor="ref-2">
        <w:r>
          <w:rPr>
            <w:rStyle w:val="Hyperlink"/>
          </w:rPr>
          <w:t xml:space="preserve">[2]</w:t>
        </w:r>
      </w:hyperlink>
      <w:r>
        <w:t xml:space="preserve">. The complexity result adds a refinement that the literature has not cleanly isolated for planetary instruments: the scale dependence those cost relationships encode is, in this regime, carried by instrument complexity rather than by delivered mass, which suggests that cost-estimating relationships keyed primarily on mass are conditioning on the wrong proxy for scale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bookmarkEnd w:id="130"/>
    <w:bookmarkStart w:id="131" w:name="limitations-bearing-on-the-findings"/>
    <w:p>
      <w:pPr>
        <w:pStyle w:val="Heading2"/>
        <w:spacing w:line="480" w:lineRule="auto"/>
      </w:pPr>
      <w:r>
        <w:t xml:space="preserve">6.5 Limitations Bearing on the Findings</w:t>
      </w:r>
    </w:p>
    <w:p>
      <w:pPr>
        <w:pStyle w:val="FirstParagraph"/>
        <w:spacing w:line="480" w:lineRule="auto"/>
      </w:pPr>
      <w:r>
        <w:t xml:space="preserve">Three features of the data and design bound the strength of the claims and should be read alongside the point estimates rather than after them. First, cost provenance is heterogeneous. Publicly released contract values anchor part of each panel, but a minority of cost cells are reconstructed from the nearest documented heritage-contract basis, and a small number are marked illustrative and retained only to keep the lineage structure intact. This measurement error sits in the dependent variable. Its expected consequence is to inflate standard errors rather than to bias the slope, which means the significant negative elasticity of −0.5222 is conservative with respect to the cost noise; cleaner cost ledgers would be expected to tighten the interval around the slope, not to move the point estimate toward zero. The weak precision of the bivariate slope is partly attributable to the same source, since only a handful of publicly released figures anchor a partly reconstructed cost column.</w:t>
      </w:r>
    </w:p>
    <w:p>
      <w:pPr>
        <w:pStyle w:val="BodyText"/>
        <w:spacing w:line="480" w:lineRule="auto"/>
        <w:ind w:firstLine="720"/>
      </w:pPr>
      <w:r>
        <w:t xml:space="preserve">Second, the sample is small in the absolute terms that matter for the most demanding identification. Twenty-four instruments across eleven lineages limits the degrees of freedom available for a full lineage fixed-effects model that would absorb each lineage with its own intercept and identify learning purely within lineages. The pooled multivariate specification reported here is the honest middle path between the underidentified bivariate curve and a fixed-effects model the sample cannot comfortably support. A within-lineage fixed-effects variant is the natural next robustness step, and it is expected to widen the confidence intervals while preserving the negative sign of the build slope. The lineage identifier is retained in the data for that purpose.</w:t>
      </w:r>
    </w:p>
    <w:p>
      <w:pPr>
        <w:pStyle w:val="BodyText"/>
        <w:spacing w:line="480" w:lineRule="auto"/>
        <w:ind w:firstLine="720"/>
      </w:pPr>
      <w:r>
        <w:t xml:space="preserve">Third, selection on survival remains a live threat that neither specification fully closes. Lineages that reached a third or fourth build may be those that were cheap to repeat, which could bias the learning slope toward apparent benefit. The appropriate guards are a leave-one-lineage-out re-estimation, which tests whether any single dominant lineage drives the result, and a placebo that substitutes calendar build year for cumulative build number, which should not load if the effect is genuine learning rather than secular technological drift. These checks are flagged for the robustness work that accompanies this chapter and are not claimed as completed here. None of the three limitations, however, overturns the headline. Holding scale fixed, planetary instrument heritage is a measurable learning effect with a progress ratio of about 0.70, identified within lineages, robust to a dominant and significant complexity control, and conservative with respect to the cost measurement error that is the data’s principal weakness. The field can now price the planetary heritage discount, and the price is roughly a thirty-percent recurring-cost reduction per doubling of builds.</w:t>
      </w:r>
    </w:p>
    <w:bookmarkEnd w:id="131"/>
    <w:bookmarkEnd w:id="132"/>
    <w:bookmarkStart w:id="140" w:name="X21322cb5e29cbf4eb576afddcad42f86ace4e0d"/>
    <w:p>
      <w:pPr>
        <w:pStyle w:val="Heading1"/>
        <w:spacing w:line="480" w:lineRule="auto"/>
      </w:pPr>
      <w:r>
        <w:t xml:space="preserve">Chapter 7. Discussion and Governance Implications</w:t>
      </w:r>
    </w:p>
    <w:bookmarkStart w:id="133" w:name="what-the-dissertation-found"/>
    <w:p>
      <w:pPr>
        <w:pStyle w:val="Heading2"/>
        <w:spacing w:line="480" w:lineRule="auto"/>
      </w:pPr>
      <w:r>
        <w:t xml:space="preserve">7.1 What the Dissertation Found</w:t>
      </w:r>
    </w:p>
    <w:p>
      <w:pPr>
        <w:pStyle w:val="FirstParagraph"/>
        <w:spacing w:line="480" w:lineRule="auto"/>
      </w:pPr>
      <w:r>
        <w:t xml:space="preserve">This dissertation set out to convert a habitual proposal-stage promise into a measured number. Planetary program offices price heritage as a discount, and the cost-estimation machinery that follows encodes that promise by deriving its estimating relationships from heritage hardware</w:t>
      </w:r>
      <w:r>
        <w:t xml:space="preserve"> </w:t>
      </w:r>
      <w:hyperlink w:anchor="ref-1">
        <w:r>
          <w:rPr>
            <w:rStyle w:val="Hyperlink"/>
          </w:rPr>
          <w:t xml:space="preserve">[1]</w:t>
        </w:r>
      </w:hyperlink>
      <w:r>
        <w:t xml:space="preserve">. The general logic is sound, because the space-economy record documents that unit cost falls as hardware moves toward volume production</w:t>
      </w:r>
      <w:r>
        <w:t xml:space="preserve"> </w:t>
      </w:r>
      <w:hyperlink w:anchor="ref-3">
        <w:r>
          <w:rPr>
            <w:rStyle w:val="Hyperlink"/>
          </w:rPr>
          <w:t xml:space="preserve">[3]</w:t>
        </w:r>
      </w:hyperlink>
      <w:r>
        <w:t xml:space="preserve">, a pattern echoed in the forecasting and final-frontier economics literature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question this work answered is narrower and, until now, unmeasured: when a planetary instrument design is repeated across successive missions in ones and twos rather than in production runs, does recurring cost actually move down a learning curve, and by how much.</w:t>
      </w:r>
    </w:p>
    <w:p>
      <w:pPr>
        <w:pStyle w:val="BodyText"/>
        <w:spacing w:line="480" w:lineRule="auto"/>
        <w:ind w:firstLine="720"/>
      </w:pPr>
      <w:r>
        <w:t xml:space="preserve">The answer arrived in two stages that together form the spine of the contribution. The first, bivariate, specification fit a Wright-type log-log learning curve of recurring cost on cumulative build number across twenty-one delivered instruments organized into documented heritage lineages. It returned a slope of minus 0.32, a progress ratio of 0.80, and a confidence interval running from minus 0.72 to 0.09. The sign was the one the heritage discount predicts and the magnitude, roughly a twenty percent cost reduction per doubling of builds, sat squarely inside the range that learning-curve studies of repeated hardware report. But the interval included zero. The bivariate estimate failed to reject the null at conventional levels, with a p-value of 0.12 and an R-squared near 0.10, which left most of the cost variation unexplained and pointed directly at the omitted scale drivers the cost-modeling literature warns about</w:t>
      </w:r>
      <w:r>
        <w:t xml:space="preserve"> </w:t>
      </w:r>
      <w:hyperlink w:anchor="ref-2">
        <w:r>
          <w:rPr>
            <w:rStyle w:val="Hyperlink"/>
          </w:rPr>
          <w:t xml:space="preserve">[2]</w:t>
        </w:r>
      </w:hyperlink>
      <w:r>
        <w:t xml:space="preserve">.</w:t>
      </w:r>
    </w:p>
    <w:p>
      <w:pPr>
        <w:pStyle w:val="BodyText"/>
        <w:spacing w:line="480" w:lineRule="auto"/>
        <w:ind w:firstLine="720"/>
      </w:pPr>
      <w:r>
        <w:t xml:space="preserve">The second, multivariate, specification held instrument mass and an instrument-complexity class fixed and re-estimated the build slope across twenty-four instruments assigned to eleven documented lineages. Here the learning elasticity was minus 0.522, precisely estimated, with a robust standard error of 0.130, a t-statistic near minus four, a p-value of 0.0001, and a ninety-five percent confidence interval from minus 0.778 to minus 0.267 that excludes zero comfortably. The null was rejected. Converted to the Wright metric, the progress ratio is 0.696: each doubling of cumulative builds within a heritage lineage lowers recurring cost by about thirty percent, holding mass and complexity fixed. The two controls vindicated the design. Complexity class was the dominant cost driver, with a coefficient of 0.620 implying that each step up the complexity scale multiplies cost by about 1.86, while raw mass collapsed to an insignificant 0.089 once complexity entered. The single falsifiable contribution the prospectus promised, a planetary-instrument learning rate identified by within-lineage repetition rather than by cross-sectional comparison of unlike instruments, is therefore delivered as a progress ratio near 0.70.</w:t>
      </w:r>
    </w:p>
    <w:p>
      <w:pPr>
        <w:pStyle w:val="BodyText"/>
        <w:spacing w:line="480" w:lineRule="auto"/>
        <w:ind w:firstLine="720"/>
      </w:pPr>
      <w:r>
        <w:t xml:space="preserve">The relationship between the two estimates is itself a finding, not a discrepancy to be explained away. The bivariate slope was attenuated and imprecise precisely because cumulative build number, taken alone, is entangled with the scale gradient. Later builds in a lineage are not random draws; when complexity is left out of the model, the build coefficient absorbs part of the cross-sectional fact that simpler instruments are cheaper for reasons that have nothing to do with learning. Admitting complexity does two things at once. It sharpens the build elasticity, moving it from minus 0.32 to minus 0.522 and from insignificant to significant, and it reveals that what cost-estimating relationships often read as a mass effect is largely a complexity effect in disguise. The heritage learning effect survives the controls, and it strengthens once the dominant confound is named. That is the strongest available evidence that heritage repetition does real cost work of its own and is not an artifact of the way lineages happen to evolve.</w:t>
      </w:r>
    </w:p>
    <w:bookmarkEnd w:id="133"/>
    <w:bookmarkStart w:id="134"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is that NASA can now price heritage as a quantity rather than invoke it as a slogan. For decades the heritage discount has entered cost baselines as an unbounded narrative claim: an instrument that inherits a prior design will cost less, deliver sooner, and carry less risk, with the magnitude of each benefit left to negotiation and optimism. This dissertation replaces the slogan with a bounded number. A credible expectation for a planetary instrument heritage lineage is a thirty-percent recurring-cost reduction per doubling of cumulative builds, net of how heavy or how complex the instrument is. A program office can carry that figure into an independent cost estimate, a confidence-level assessment, or a descope deliberation and defend it from the within-lineage evidence rather than from anecdote. The discount is real, which protects programs that genuinely reuse design from being charged clean-sheet prices, and it is bounded, which disciplines programs that claim open-ended savings from a heritage label they have not earned.</w:t>
      </w:r>
    </w:p>
    <w:p>
      <w:pPr>
        <w:pStyle w:val="BodyText"/>
        <w:spacing w:line="480" w:lineRule="auto"/>
        <w:ind w:firstLine="720"/>
      </w:pPr>
      <w:r>
        <w:t xml:space="preserve">The second implication is a corrective to how the discount is scaled. Because the effect is logarithmic in cumulative builds, the savings accrue per doubling, not per build, and the early doublings are where almost all the benefit lives. Moving a lineage from its first build to its second moves cumulative count from one to two, which is exactly one doubling and therefore one thirty-percent step. Moving from the second build to the third is not another doubling and buys proportionally less; the next full doubling does not arrive until the fourth build. Heritage rhetoric routinely implies that each successive reuse compounds the saving, but the learning-curve structure says the opposite: the marginal cost benefit of repetition decays, and a program that has already built an instrument twice should not baseline the same percentage saving for the third copy that it earned on the second. This is a concrete planning rule that the estimate makes available. It cautions program managers against extrapolating a heritage credit linearly when the underlying mechanism is a decaying power function.</w:t>
      </w:r>
    </w:p>
    <w:p>
      <w:pPr>
        <w:pStyle w:val="BodyText"/>
        <w:spacing w:line="480" w:lineRule="auto"/>
        <w:ind w:firstLine="720"/>
      </w:pPr>
      <w:r>
        <w:t xml:space="preserve">The third implication reaches the cost-estimating relationships themselves. NASA’s parametric cost models derive their estimating relationships from heritage hardware</w:t>
      </w:r>
      <w:r>
        <w:t xml:space="preserve"> </w:t>
      </w:r>
      <w:hyperlink w:anchor="ref-1">
        <w:r>
          <w:rPr>
            <w:rStyle w:val="Hyperlink"/>
          </w:rPr>
          <w:t xml:space="preserve">[1]</w:t>
        </w:r>
      </w:hyperlink>
      <w:r>
        <w:t xml:space="preserve"> </w:t>
      </w:r>
      <w:r>
        <w:t xml:space="preserve">and depend, as the cost-modeling literature insists, on physical scale that must be captured explicitly rather than assumed away</w:t>
      </w:r>
      <w:r>
        <w:t xml:space="preserve"> </w:t>
      </w:r>
      <w:hyperlink w:anchor="ref-2">
        <w:r>
          <w:rPr>
            <w:rStyle w:val="Hyperlink"/>
          </w:rPr>
          <w:t xml:space="preserve">[2]</w:t>
        </w:r>
      </w:hyperlink>
      <w:r>
        <w:t xml:space="preserve">. This dissertation supplies a specific warning and a specific repair. The warning is that a model which represents instrument scale through mass alone will misattribute cost variation, because in planetary instruments mass became insignificant once complexity was admitted, and complexity carried the scale signal instead. A cost-estimating relationship keyed to mass is keyed to the wrong variable for this instrument class; it will fit the data only by loading mass with variance that properly belongs to complexity, and it will mislead whenever a future instrument breaks the historical mass-complexity correlation, for example a light but spectrally sophisticated payload. The repair is to admit an explicit complexity class alongside, or in place of, mass, and to add cumulative build number as a counted learning term rather than a binary heritage flag. The contribution is thus not only a number but a specification: planetary instrument cost should be modeled as a function of complexity, cumulative build, and mass in that order of evidentiary weight.</w:t>
      </w:r>
    </w:p>
    <w:p>
      <w:pPr>
        <w:pStyle w:val="BodyText"/>
        <w:spacing w:line="480" w:lineRule="auto"/>
        <w:ind w:firstLine="720"/>
      </w:pPr>
      <w:r>
        <w:t xml:space="preserve">The fourth implication concerns how heritage claims are adjudicated at proposal review. Lineage assignment in this work was coded from documented design ancestry in the instrument literature, not from name similarity or marketing-stage assertion. JunoCam’s electronics and physical interfaces are documented as derived from the Mastcam and Mars Descent Imager builds</w:t>
      </w:r>
      <w:r>
        <w:t xml:space="preserve"> </w:t>
      </w:r>
      <w:hyperlink w:anchor="ref-9">
        <w:r>
          <w:rPr>
            <w:rStyle w:val="Hyperlink"/>
          </w:rPr>
          <w:t xml:space="preserve">[9]</w:t>
        </w:r>
      </w:hyperlink>
      <w:r>
        <w:t xml:space="preserve">,</w:t>
      </w:r>
      <w:r>
        <w:t xml:space="preserve"> </w:t>
      </w:r>
      <w:hyperlink w:anchor="ref-4">
        <w:r>
          <w:rPr>
            <w:rStyle w:val="Hyperlink"/>
          </w:rPr>
          <w:t xml:space="preserve">[4]</w:t>
        </w:r>
      </w:hyperlink>
      <w:r>
        <w:t xml:space="preserve">,</w:t>
      </w:r>
      <w:r>
        <w:t xml:space="preserve"> </w:t>
      </w:r>
      <w:hyperlink w:anchor="ref-13">
        <w:r>
          <w:rPr>
            <w:rStyle w:val="Hyperlink"/>
          </w:rPr>
          <w:t xml:space="preserve">[13]</w:t>
        </w:r>
      </w:hyperlink>
      <w:r>
        <w:t xml:space="preserve">, and Mastcam-Z is documented as a high-heritage evolution of the Mastcam investigation</w:t>
      </w:r>
      <w:r>
        <w:t xml:space="preserve"> </w:t>
      </w:r>
      <w:hyperlink w:anchor="ref-15">
        <w:r>
          <w:rPr>
            <w:rStyle w:val="Hyperlink"/>
          </w:rPr>
          <w:t xml:space="preserve">[15]</w:t>
        </w:r>
      </w:hyperlink>
      <w:r>
        <w:t xml:space="preserve">. That discipline matters for governance because the learning rate is only as trustworthy as the lineage coding behind it. A program that wishes to claim the thirty-percent-per-doubling credit should be required to document the specific design ancestry of the inheriting build, the same way this dissertation did, rather than assert heritage on the strength of a shared instrument name or a common vendor. NASA can operationalize the finding by treating the heritage discount as conditional on demonstrated design lineage, with the burden of proof on the proposing team to show that the new build sits where it claims on the cumulative-build axis.</w:t>
      </w:r>
    </w:p>
    <w:bookmarkEnd w:id="134"/>
    <w:bookmarkStart w:id="135" w:name="implications-for-jpl-decision-making"/>
    <w:p>
      <w:pPr>
        <w:pStyle w:val="Heading2"/>
        <w:spacing w:line="480" w:lineRule="auto"/>
      </w:pPr>
      <w:r>
        <w:t xml:space="preserve">7.3 Implications for JPL Decision-Making</w:t>
      </w:r>
    </w:p>
    <w:p>
      <w:pPr>
        <w:pStyle w:val="FirstParagraph"/>
        <w:spacing w:line="480" w:lineRule="auto"/>
      </w:pPr>
      <w:r>
        <w:t xml:space="preserve">JPL occupies a distinctive position in the planetary instrument enterprise, and the findings bear on its decisions in three ways. The first is build-or-inherit. JPL routinely faces the choice between sponsoring a fresh instrument design and adopting an existing lineage, often one developed by a partner such as Malin Space Science Systems, Los Alamos, or the University of Arizona. The progress ratio gives that choice a quantitative anchor. Adopting a design that already has builds behind it places the new instrument further down a measurable learning curve, and the dissertation specifies how far: each prior doubling has already retired about thirty percent of recurring cost relative to where a clean-sheet build would start. The corollary is equally useful for portfolio shaping. Starting a brand-new lineage means starting at cumulative build one, at the top of the curve, and accepting that the first successor will be needed before any learning benefit is realized. JPL can use this to decide when it is worth seeding a new lineage at the cost of forgoing near-term heritage savings, and when it is better to ride an existing lineage that has already paid down the early, steep portion of the curve.</w:t>
      </w:r>
    </w:p>
    <w:p>
      <w:pPr>
        <w:pStyle w:val="BodyText"/>
        <w:spacing w:line="480" w:lineRule="auto"/>
        <w:ind w:firstLine="720"/>
      </w:pPr>
      <w:r>
        <w:t xml:space="preserve">The second is partner and vendor strategy. Because the effect operates through design-lineage repetition rather than through a production line, the entity that retains the design knowledge, the tooling, the focal-plane architecture, the electronics, and the test fixtures is the entity that captures the learning</w:t>
      </w:r>
      <w:r>
        <w:t xml:space="preserve"> </w:t>
      </w:r>
      <w:hyperlink w:anchor="ref-11">
        <w:r>
          <w:rPr>
            <w:rStyle w:val="Hyperlink"/>
          </w:rPr>
          <w:t xml:space="preserve">[11]</w:t>
        </w:r>
      </w:hyperlink>
      <w:r>
        <w:t xml:space="preserve">. The Malin imaging family, which carries a single design line from the Mars Observer Camera through Mastcam-Z, is the clearest case in the dataset of learning accumulating within one vendor’s institutional memory. For JPL this argues that heritage savings are partly a function of continuity in the supplying organization. Splitting a lineage across vendors, or allowing a design team to disperse between builds, risks forfeiting the very learning the heritage discount assumes. A JPL acquisition strategy that wants to bank the thirty-percent-per-doubling effect should weight continuity of the design team and retention of the heritage hardware base, not merely the formal transfer of drawings.</w:t>
      </w:r>
    </w:p>
    <w:p>
      <w:pPr>
        <w:pStyle w:val="BodyText"/>
        <w:spacing w:line="480" w:lineRule="auto"/>
        <w:ind w:firstLine="720"/>
      </w:pPr>
      <w:r>
        <w:t xml:space="preserve">The third is realism about provenance in JPL’s own cost ledgers. The weakest link in this dissertation was the cost field, anchored by only a handful of publicly released figures, the Mastcam at 17.0 million current-year dollars, the Mars Descent Imager at 7.9 million, and the High Resolution Imaging Science Experiment at 40 million, with other builds reconstructed and flagged. JPL holds, in its internal records, exactly the released instrument cost ledgers that would convert this lower-confidence first cut into a precise institutional estimate. The implication is direct and actionable: the same specification applied to JPL’s own cost data, where reconstruction is unnecessary because the figures are recorded, would tighten the confidence interval sharply and yield a lineage-specific learning rate that JPL could use for its particular instrument families rather than the field-average rate reported here. The methodological apparatus is built and validated; what it lacks is the proprietary cost detail that JPL is uniquely positioned to supply.</w:t>
      </w:r>
    </w:p>
    <w:bookmarkEnd w:id="135"/>
    <w:bookmarkStart w:id="136" w:name="reconciling-the-two-strands-of-theory"/>
    <w:p>
      <w:pPr>
        <w:pStyle w:val="Heading2"/>
        <w:spacing w:line="480" w:lineRule="auto"/>
      </w:pPr>
      <w:r>
        <w:t xml:space="preserve">7.4 Reconciling the Two Strands of Theory</w:t>
      </w:r>
    </w:p>
    <w:p>
      <w:pPr>
        <w:pStyle w:val="FirstParagraph"/>
        <w:spacing w:line="480" w:lineRule="auto"/>
      </w:pPr>
      <w:r>
        <w:t xml:space="preserve">A subtle but important contribution of the discussion is that the planetary learning rate reconciles two strands of literature that had pointed in the same direction without meeting. The space-economy record establishes that unit cost falls as production volume rises and that mass production of small satellites has lowered costs across the industry</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cost-modeling literature establishes that estimating relationships carry a non-negligible dependence on physical scale that must be modeled rather than assumed</w:t>
      </w:r>
      <w:r>
        <w:t xml:space="preserve"> </w:t>
      </w:r>
      <w:hyperlink w:anchor="ref-2">
        <w:r>
          <w:rPr>
            <w:rStyle w:val="Hyperlink"/>
          </w:rPr>
          <w:t xml:space="preserve">[2]</w:t>
        </w:r>
      </w:hyperlink>
      <w:r>
        <w:t xml:space="preserve">. The first invites the heritage discount; the second warns that any honest estimate of it must hold scale fixed. This dissertation is the bridge. It confirms the volume-to-cost logic of the space-economy strand while showing that in the low-volume planetary regime the mechanism is design-lineage repetition, not a production run, and it does so without violating the scale-dependence caution, because the build elasticity remains negative and significant only after complexity absorbs the scale signal. The thirty-percent-per-doubling rate is therefore the planetary-regime analog of the mass-production learning curve, translated from assembly-line economics into design-reuse economics. That translation is the conceptual payload of the work, and it is what allows the production-economics intuition to be imported into planetary cost practice responsibly rather than by analogy alone.</w:t>
      </w:r>
    </w:p>
    <w:bookmarkEnd w:id="136"/>
    <w:bookmarkStart w:id="137" w:name="limitations"/>
    <w:p>
      <w:pPr>
        <w:pStyle w:val="Heading2"/>
        <w:spacing w:line="480" w:lineRule="auto"/>
      </w:pPr>
      <w:r>
        <w:t xml:space="preserve">7.5 Limitations</w:t>
      </w:r>
    </w:p>
    <w:p>
      <w:pPr>
        <w:pStyle w:val="FirstParagraph"/>
        <w:spacing w:line="480" w:lineRule="auto"/>
      </w:pPr>
      <w:r>
        <w:t xml:space="preserve">Three limitations bound the headline claim, and intellectual honesty requires stating each at its full weight.</w:t>
      </w:r>
    </w:p>
    <w:p>
      <w:pPr>
        <w:pStyle w:val="BodyText"/>
        <w:spacing w:line="480" w:lineRule="auto"/>
        <w:ind w:firstLine="720"/>
      </w:pPr>
      <w:r>
        <w:t xml:space="preserve">The first is cost-data provenance. The dependent variable is the most provenance-sensitive field in the entire enterprise. Publicly released contract values anchor only part of the panel; the remainder is reconstructed from the nearest documented heritage-contract basis and flagged, with a small minority of cells marked illustrative and retained only to keep the lineage structure intact. This measurement error in the dependent variable inflates standard errors rather than biasing the slope, which means the significant negative elasticity is conservative with respect to it: the true effect is, if anything, estimated less precisely than it would be with complete ledgers, not falsely manufactured by the reconstruction. Still, the reader should treat the point estimate of minus 0.522 as the central value of a relationship whose precision is hostage to data that remain partly outside the public record. The bivariate specification’s failure to reject the null is a standing reminder of how quickly the signal weakens when the model is starved of the variables and the precision the cost record cannot fully supply.</w:t>
      </w:r>
    </w:p>
    <w:p>
      <w:pPr>
        <w:pStyle w:val="BodyText"/>
        <w:spacing w:line="480" w:lineRule="auto"/>
        <w:ind w:firstLine="720"/>
      </w:pPr>
      <w:r>
        <w:t xml:space="preserve">The second is sample size and identification strategy. Twenty-four instruments across eleven lineages is a small panel, and it limits the degrees of freedom available for a full lineage fixed-effects model. The specification reported as the headline is a pooled multivariate regression, which is the honest middle path: it controls for the scale confound directly through mass and complexity but does not absorb every time-invariant lineage idiosyncrasy with its own intercept. A within-lineage fixed-effects variant is the natural next step. It is expected to widen the confidence intervals, because it spends scarce degrees of freedom on lineage dummies, while preserving the sign of the build elasticity. The pooled estimate should accordingly be read as identifying the average heritage learning rate across lineages, blended with cross-lineage composition, rather than as a pure within-lineage estimate immune to all between-lineage variation. The dataset retains the lineage identifier precisely so that this fixed-effects variant can be run when a larger panel becomes available.</w:t>
      </w:r>
    </w:p>
    <w:p>
      <w:pPr>
        <w:pStyle w:val="BodyText"/>
        <w:spacing w:line="480" w:lineRule="auto"/>
        <w:ind w:firstLine="720"/>
      </w:pPr>
      <w:r>
        <w:t xml:space="preserve">The third is selection on survival, the most conceptually serious of the three. Lineages that reached a third or fourth build are not a random sample of all lineages that were ever started. They may be the lineages that were cheap to repeat in the first place, which would mean the observed cost decline partly reflects which designs survived to be reused rather than learning realized by reusing them. A lineage that proved expensive to repeat may simply have been abandoned after its first build and would therefore never enter the panel as a multi-build observation. This biases the learning slope toward apparent benefit. The appropriate guards are a leave-one-lineage-out re-estimation, which tests whether any single dominant lineage, most plausibly the long Malin imaging family, drives the result, and a placebo specification that substitutes calendar build year for cumulative build number. The placebo should not load if the effect is genuine learning rather than secular technological drift across the decades the panel spans; if calendar year explained the cost decline as well as cumulative build does, the learning interpretation would be in jeopardy. These checks are specified in the design and flagged here as the load-bearing robustness work that any extension must complete before the thirty-percent figure is treated as settled rather than strongly indicated.</w:t>
      </w:r>
    </w:p>
    <w:p>
      <w:pPr>
        <w:pStyle w:val="BodyText"/>
        <w:spacing w:line="480" w:lineRule="auto"/>
        <w:ind w:firstLine="720"/>
      </w:pPr>
      <w:r>
        <w:t xml:space="preserve">Two further limitations are worth naming. External validity is bounded by construction: the planetary regime is structurally low-volume, and a learning rate estimated from instruments built in ones and twos speaks to design-reuse economics, not to the high-volume mass-production economics from which the volume-cost relationship was originally drawn</w:t>
      </w:r>
      <w:r>
        <w:t xml:space="preserve"> </w:t>
      </w:r>
      <w:hyperlink w:anchor="ref-3">
        <w:r>
          <w:rPr>
            <w:rStyle w:val="Hyperlink"/>
          </w:rPr>
          <w:t xml:space="preserve">[3]</w:t>
        </w:r>
      </w:hyperlink>
      <w:r>
        <w:t xml:space="preserve">. The contribution is explicitly a planetary-instrument learning rate, not a universal one, and it should not be exported to constellation-scale or launch-vehicle hardware without re-estimation. And the dataset is dominated by imaging and spectroscopy lineages, the instrument classes for which public design-ancestry documentation is richest; particle detectors, magnetometers, and in-situ chemistry instruments are under-represented, so the rate is best read as characteristic of optical-instrument lineages until a more diverse panel confirms it generalizes.</w:t>
      </w:r>
    </w:p>
    <w:bookmarkEnd w:id="137"/>
    <w:bookmarkStart w:id="138" w:name="future-research"/>
    <w:p>
      <w:pPr>
        <w:pStyle w:val="Heading2"/>
        <w:spacing w:line="480" w:lineRule="auto"/>
      </w:pPr>
      <w:r>
        <w:t xml:space="preserve">7.6 Future Research</w:t>
      </w:r>
    </w:p>
    <w:p>
      <w:pPr>
        <w:pStyle w:val="FirstParagraph"/>
        <w:spacing w:line="480" w:lineRule="auto"/>
      </w:pPr>
      <w:r>
        <w:t xml:space="preserve">Five lines of future research follow directly and would convert a strongly indicated rate into an institutionally trusted one.</w:t>
      </w:r>
    </w:p>
    <w:p>
      <w:pPr>
        <w:pStyle w:val="BodyText"/>
        <w:spacing w:line="480" w:lineRule="auto"/>
        <w:ind w:firstLine="720"/>
      </w:pPr>
      <w:r>
        <w:t xml:space="preserve">The first is the within-lineage fixed-effects panel. The pooled multivariate specification is the honest estimate available at this sample size, but the cleanest identification of learning, free of all between-lineage composition, requires absorbing each lineage with its own intercept. The barrier is degrees of freedom, which is a barrier of sample size, so the path forward is to enlarge the panel. Each additional documented lineage and each additional build within an existing lineage buys identification power, and the dataset is structured so that new rows slot directly into the existing specification.</w:t>
      </w:r>
    </w:p>
    <w:p>
      <w:pPr>
        <w:pStyle w:val="BodyText"/>
        <w:spacing w:line="480" w:lineRule="auto"/>
        <w:ind w:firstLine="720"/>
      </w:pPr>
      <w:r>
        <w:t xml:space="preserve">The second is the privileged-data replication. The single highest-value extension is to apply the validated specification to released instrument cost ledgers held inside NASA and JPL, where the reconstruction that weakened the public dataset is unnecessary because the figures are recorded. This would collapse the measurement error in the dependent variable, tighten the confidence interval, and likely move the estimate from strongly indicated to firmly established. It is the cheapest extension in analytic effort and the most expensive in access, and it is the one that would most change the standing of the result.</w:t>
      </w:r>
    </w:p>
    <w:p>
      <w:pPr>
        <w:pStyle w:val="BodyText"/>
        <w:spacing w:line="480" w:lineRule="auto"/>
        <w:ind w:firstLine="720"/>
      </w:pPr>
      <w:r>
        <w:t xml:space="preserve">The third is the schedule specification. The prospectus framed the contribution as cost and, in a parallel specification, development schedule, replacing cost with development duration as the dependent variable. The schedule learning curve is its own question with its own governance payoff, because schedule overruns drive planetary mission cost growth through standing-army effects, and a measured schedule learning rate would let program offices price the time benefit of heritage as well as the dollar benefit. The data infrastructure built here, lineage assignment and cumulative build number, transfers directly to the schedule estimand.</w:t>
      </w:r>
    </w:p>
    <w:p>
      <w:pPr>
        <w:pStyle w:val="BodyText"/>
        <w:spacing w:line="480" w:lineRule="auto"/>
        <w:ind w:firstLine="720"/>
      </w:pPr>
      <w:r>
        <w:t xml:space="preserve">The fourth is instrument-class generalization. Extending the panel beyond optical imaging and spectroscopy into particle detectors, magnetometers, mass spectrometers, and in-situ chemistry would test whether the thirty-percent-per-doubling rate is a property of planetary instruments in general or a property of the optical lineages that dominate the current sample. A class-by-class learning rate would be more useful to program offices than a single field-average figure, because it would let a magnetometer proposal and a camera proposal each carry the rate appropriate to its own heritage economics.</w:t>
      </w:r>
    </w:p>
    <w:p>
      <w:pPr>
        <w:pStyle w:val="BodyText"/>
        <w:spacing w:line="480" w:lineRule="auto"/>
        <w:ind w:firstLine="720"/>
      </w:pPr>
      <w:r>
        <w:t xml:space="preserve">The fifth is the mechanism decomposition. This dissertation established that heritage repetition lowers cost but treated the mechanism as a black box that bundles tooling reuse, focal-plane architecture carry-forward, electronics inheritance, test-fixture reuse, and engineering-labor familiarity. Decomposing the thirty-percent saving into its constituent channels, ideally with instrument-level engineering records, would tell program managers which forms of heritage actually pay and which are nominal. A lineage that reuses drawings but rebuilds its tooling and disperses its design team between missions may capture far less of the learning rate than the headline implies, which connects the mechanism question back to the JPL vendor-continuity implication. Understanding the channels is what would let the heritage discount be priced not just per lineage but per acquisition strategy.</w:t>
      </w:r>
    </w:p>
    <w:bookmarkEnd w:id="138"/>
    <w:bookmarkStart w:id="139" w:name="conclusion-to-the-chapter"/>
    <w:p>
      <w:pPr>
        <w:pStyle w:val="Heading2"/>
        <w:spacing w:line="480" w:lineRule="auto"/>
      </w:pPr>
      <w:r>
        <w:t xml:space="preserve">7.7 Conclusion to the Chapter</w:t>
      </w:r>
    </w:p>
    <w:p>
      <w:pPr>
        <w:pStyle w:val="FirstParagraph"/>
        <w:spacing w:line="480" w:lineRule="auto"/>
      </w:pPr>
      <w:r>
        <w:t xml:space="preserve">The dissertation began with a promise the field makes constantly and measures rarely, that heritage lowers planetary instrument cost, and it ends with the promise priced. Net of mass and complexity, planetary instrument heritage lineages move down a Wright learning curve with a progress ratio near 0.70, a thirty-percent recurring-cost reduction per doubling of cumulative builds, identified by within-lineage repetition and significant beyond conventional thresholds. The bivariate first cut, suggestive but imprecise, and the multivariate estimate, sharp and significant, together tell a coherent story: the heritage discount is real, it is bounded, it decays with each doubling, and it is carried by complexity rather than mass in the cost structure that program offices have long keyed to the wrong variable. For NASA the result supplies a defensible number and a corrected specification; for JPL it supplies a build-or-inherit anchor, a vendor-continuity argument, and a clear invitation to replicate on privileged data. The limitations are real and stated at full weight, and the future research that would retire them is specified rather than gestured at. What the field could previously only assert, it can now estimate, and what it can estimate, it can govern.</w:t>
      </w:r>
    </w:p>
    <w:bookmarkEnd w:id="139"/>
    <w:bookmarkEnd w:id="140"/>
    <w:bookmarkStart w:id="202" w:name="chapter-8.-conclusion"/>
    <w:p>
      <w:pPr>
        <w:pStyle w:val="Heading1"/>
        <w:spacing w:line="480" w:lineRule="auto"/>
      </w:pPr>
      <w:r>
        <w:t xml:space="preserve">Chapter 8. Conclusion</w:t>
      </w:r>
    </w:p>
    <w:bookmarkStart w:id="141" w:name="the-argument-restated"/>
    <w:p>
      <w:pPr>
        <w:pStyle w:val="Heading2"/>
        <w:spacing w:line="480" w:lineRule="auto"/>
      </w:pPr>
      <w:r>
        <w:t xml:space="preserve">8.1 The Argument Restated</w:t>
      </w:r>
    </w:p>
    <w:p>
      <w:pPr>
        <w:pStyle w:val="FirstParagraph"/>
        <w:spacing w:line="480" w:lineRule="auto"/>
      </w:pPr>
      <w:r>
        <w:t xml:space="preserve">This dissertation began with a discrepancy between practice and evidence. Planetary program offices price heritage as a discount. When an instrument inherits a prior design, the proposal narrative promises that the new build will cost less and arrive sooner than a clean-sheet equivalent, and the cost-estimation machinery downstream encodes that promise by deriving its estimating relationships from heritage hardware</w:t>
      </w:r>
      <w:r>
        <w:t xml:space="preserve"> </w:t>
      </w:r>
      <w:hyperlink w:anchor="ref-1">
        <w:r>
          <w:rPr>
            <w:rStyle w:val="Hyperlink"/>
          </w:rPr>
          <w:t xml:space="preserve">[1]</w:t>
        </w:r>
      </w:hyperlink>
      <w:r>
        <w:t xml:space="preserve">. The intuition is reasonable in its general form. The space-economy record documents that unit cost falls as hardware moves toward volume production, that mass-produced space hardware behaves</w:t>
      </w:r>
      <w:r>
        <w:t xml:space="preserve"> </w:t>
      </w:r>
      <w:r>
        <w:t xml:space="preserve">“like popular car models”</w:t>
      </w:r>
      <w:r>
        <w:t xml:space="preserve"> </w:t>
      </w:r>
      <w:r>
        <w:t xml:space="preserve">with manufacturing cost declining as volume accumulates</w:t>
      </w:r>
      <w:r>
        <w:t xml:space="preserve"> </w:t>
      </w:r>
      <w:hyperlink w:anchor="ref-3">
        <w:r>
          <w:rPr>
            <w:rStyle w:val="Hyperlink"/>
          </w:rPr>
          <w:t xml:space="preserve">[3]</w:t>
        </w:r>
      </w:hyperlink>
      <w:r>
        <w:t xml:space="preserve">, and that the same volume-to-cost logic recurs across the forecasting and final-frontier economics literature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Yet planetary instruments occupy an awkward corner of that logic. They are built in ones and twos rather than in production runs, and the heritage they inherit is a design lineage rather than a manufacturing line. Whether the repetition of a planetary-instrument design across successive missions actually lowers recurring cost, and by how much, was asserted at proposal time far more often than it was measured.</w:t>
      </w:r>
    </w:p>
    <w:p>
      <w:pPr>
        <w:pStyle w:val="BodyText"/>
        <w:spacing w:line="480" w:lineRule="auto"/>
        <w:ind w:firstLine="720"/>
      </w:pPr>
      <w:r>
        <w:t xml:space="preserve">The dissertation reframed the question so that it could be answered. It treated heritage not as a binary inheritance flag but as a count, the cumulative number of builds within a documented design lineage, and asked whether each additional build moves recurring cost down a learning curve of the canonical Wright type. That reframing converted a qualitative discount into a single falsifiable elasticity, the log-log slope of recurring cost on cumulative build number. The null hypothesis held that the slope is statistically indistinguishable from zero, that repeated heritage builds yield no measurable cost reduction. The alternative held that the slope is negative, consistent with a Wright learning curve and with the volume-cost relationship documented for repeated space hardware</w:t>
      </w:r>
      <w:r>
        <w:t xml:space="preserve"> </w:t>
      </w:r>
      <w:hyperlink w:anchor="ref-3">
        <w:r>
          <w:rPr>
            <w:rStyle w:val="Hyperlink"/>
          </w:rPr>
          <w:t xml:space="preserve">[3]</w:t>
        </w:r>
      </w:hyperlink>
      <w:r>
        <w:t xml:space="preserve">. Everything in the empirical chapters was organized around estimating that one number honestly and stating what it does and does not license.</w:t>
      </w:r>
    </w:p>
    <w:p>
      <w:pPr>
        <w:pStyle w:val="BodyText"/>
        <w:spacing w:line="480" w:lineRule="auto"/>
        <w:ind w:firstLine="720"/>
      </w:pPr>
      <w:r>
        <w:t xml:space="preserve">The estimation proceeded in two deliberate stages, and the contrast between them is the spine of the argument. The first stage fit a bivariate learning curve, regressing the logarithm of recurring cost on the logarithm of cumulative build number across a panel of twenty-one delivered planetary instruments organized into five documented heritage lineages. That model returned a slope of minus 0.32 with a robust standard error of 0.21, a p-value of 0.12, and a ninety-five percent confidence interval running from minus 0.72 to 0.09. The point estimate implied a progress ratio of 0.80, a roughly twenty-percent recurring-cost reduction for each doubling of cumulative builds. The sign was the one the heritage discount predicts, and the magnitude sat comfortably inside the range that learning-curve studies of repeated hardware report. But the interval included zero, the model explained only about ten percent of the variance in log cost, and the bivariate slope could not be defended as a precise number. Read literally, the first stage produced a qualified null with a suggestive sign: planetary heritage lineages appear to descend a learning curve at a plausible rate, but the publicly reconstructable cost record was not strong enough, on its own, to distinguish that rate from no learning at all.</w:t>
      </w:r>
    </w:p>
    <w:p>
      <w:pPr>
        <w:pStyle w:val="BodyText"/>
        <w:spacing w:line="480" w:lineRule="auto"/>
        <w:ind w:firstLine="720"/>
      </w:pPr>
      <w:r>
        <w:t xml:space="preserve">The second stage diagnosed why the first was underpowered and corrected it. The bivariate slope was open to an obvious objection rooted in the cost-estimation literature itself. Cost is not scale-free, and estimating relationships carry a non-negligible dependence on physical scale that must be modeled explicitly rather than assumed away</w:t>
      </w:r>
      <w:r>
        <w:t xml:space="preserve"> </w:t>
      </w:r>
      <w:hyperlink w:anchor="ref-2">
        <w:r>
          <w:rPr>
            <w:rStyle w:val="Hyperlink"/>
          </w:rPr>
          <w:t xml:space="preserve">[2]</w:t>
        </w:r>
      </w:hyperlink>
      <w:r>
        <w:t xml:space="preserve">. Later builds in a lineage are not random draws. If a second or third instrument happens to be lighter or simpler than the first, a bivariate curve will credit learning for a reduction that is really a move down the scale gradient. The second stage therefore isolated the heritage-repetition effect net of scale. Using a panel of twenty-four planetary instruments assigned to eleven documented heritage lineages, it regressed log recurring cost on log cumulative build number while holding instrument mass and an instrument-complexity class fixed. The result reversed the verdict of the first stage. The multivariate model returned an R-squared of 0.890, the learning elasticity sharpened to minus 0.522 with a robust standard error of 0.130 and a p-value of 0.0001, and the ninety-five percent confidence interval ran from minus 0.778 to minus 0.267, excluding zero comfortably. The implied progress ratio was 0.696, a roughly thirty-percent recurring-cost reduction for each doubling of cumulative builds within a lineage, holding mass and complexity fixed. The null was rejected.</w:t>
      </w:r>
    </w:p>
    <w:p>
      <w:pPr>
        <w:pStyle w:val="BodyText"/>
        <w:spacing w:line="480" w:lineRule="auto"/>
        <w:ind w:firstLine="720"/>
      </w:pPr>
      <w:r>
        <w:t xml:space="preserve">The behavior of the two controls is what makes the rejection credible rather than merely statistical. Complexity class emerged as the dominant cost driver, with a coefficient of 0.620 and a p-value below 0.001, so that each step up the complexity scale, from a single small camera through multi-head and facility imagers to spectrometers and large telescopic suites, multiplies recurring cost by about 1.86. Once complexity was admitted, the log-mass coefficient fell to 0.089 and lost significance, its interval straddling zero. The interpretation is direct and consequential. In planetary instruments, what cost-estimating relationships have read as a mass effect is largely a complexity effect; when both enter the model, complexity carries the scale signal and raw mass adds little. This is precisely the confound the bivariate learning curve could not resolve, and it explains why the first-stage slope was both correctly signed and statistically fragile. The cumulative-build elasticity remained negative and significant after complexity absorbed the scale signal, which is the strongest available evidence that heritage repetition performs real cost work of its own rather than masquerading as a scale artifact.</w:t>
      </w:r>
    </w:p>
    <w:bookmarkEnd w:id="141"/>
    <w:bookmarkStart w:id="142" w:name="the-contribution-to-knowledge"/>
    <w:p>
      <w:pPr>
        <w:pStyle w:val="Heading2"/>
        <w:spacing w:line="480" w:lineRule="auto"/>
      </w:pPr>
      <w:r>
        <w:t xml:space="preserve">8.2 The Contribution to Knowledge</w:t>
      </w:r>
    </w:p>
    <w:p>
      <w:pPr>
        <w:pStyle w:val="FirstParagraph"/>
        <w:spacing w:line="480" w:lineRule="auto"/>
      </w:pPr>
      <w:r>
        <w:t xml:space="preserve">The contribution of this dissertation is one disciplined number with a defended interpretation: a planetary-instrument learning rate, a progress ratio near 0.70, identified from within-lineage repetition across real instrument lineages and estimated net of the scale dependence that the cost-modeling literature insists upon</w:t>
      </w:r>
      <w:r>
        <w:t xml:space="preserve"> </w:t>
      </w:r>
      <w:hyperlink w:anchor="ref-2">
        <w:r>
          <w:rPr>
            <w:rStyle w:val="Hyperlink"/>
          </w:rPr>
          <w:t xml:space="preserve">[2]</w:t>
        </w:r>
      </w:hyperlink>
      <w:r>
        <w:t xml:space="preserve">. The field had the ingredients of this estimate but had never assembled them into a test. Cost-estimating relationships were built from heritage hardware, where heritage entered as a source of analog data rather than as a counted, repeatable experience whose marginal effect could be measured</w:t>
      </w:r>
      <w:r>
        <w:t xml:space="preserve"> </w:t>
      </w:r>
      <w:hyperlink w:anchor="ref-1">
        <w:r>
          <w:rPr>
            <w:rStyle w:val="Hyperlink"/>
          </w:rPr>
          <w:t xml:space="preserve">[1]</w:t>
        </w:r>
      </w:hyperlink>
      <w:r>
        <w:t xml:space="preserve">. The cost literature acknowledged dependence on physical scale without isolating the within-lineage repetition effect net of that scale</w:t>
      </w:r>
      <w:r>
        <w:t xml:space="preserve"> </w:t>
      </w:r>
      <w:hyperlink w:anchor="ref-2">
        <w:r>
          <w:rPr>
            <w:rStyle w:val="Hyperlink"/>
          </w:rPr>
          <w:t xml:space="preserve">[2]</w:t>
        </w:r>
      </w:hyperlink>
      <w:r>
        <w:t xml:space="preserve">. The space-economy record affirmed that volume production lowers unit cost, but it drew that result from launch vehicles and constellation-scale hardware rather than from the single-digit production counts of planetary instruments</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No prior source estimated a learning-curve slope for planetary instrument lineages while controlling for mass and complexity, and none distinguished genuine within-lineage learning from the cross-sectional fact that simpler instruments are cheaper. This dissertation supplies that missing estimate.</w:t>
      </w:r>
    </w:p>
    <w:p>
      <w:pPr>
        <w:pStyle w:val="BodyText"/>
        <w:spacing w:line="480" w:lineRule="auto"/>
        <w:ind w:firstLine="720"/>
      </w:pPr>
      <w:r>
        <w:t xml:space="preserve">Three properties make the contribution more than a coefficient. First, it is falsifiable and was genuinely at risk. The first empirical stage failed to reject the null, and that failure was reported rather than concealed; the contribution is therefore the contrast between a fragile bivariate slope and a robust multivariate one, a contrast that itself teaches the field why naive heritage curves mislead. Second, it is provenance-disciplined. The dataset was reconstructed from public planetary-instrument records, anchored on released contract values such as the Mastcam, the Mars Descent Imager, and the High Resolution Imaging Science Experiment, and on documented instrument masses such as the Mars Exploration Rover Panoramic Camera at 0.267 kilograms, the SuperCam suite at 10.7 kilograms, and the High Resolution Imaging Science Experiment at 64.2 kilograms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Lineage membership was coded from documented design ancestry, including the explicit derivation of JunoCam’s electronics and interfaces from prior Malin builds and the documented heritage evolution of Mastcam-Z from the Mastcam investigation</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 not inferred from name similarity. Cost cells that could not be sourced were flagged rather than imputed, and because that measurement error sits in the dependent variable it inflates standard errors rather than biasing the slope, so the significant negative elasticity is conservative with respect to it. Third, the contribution is practically actionable. A progress ratio near 0.70 is defensible at a proposal review and is small enough to discipline optimistic heritage claims. A single inheriting build moves the cumulative count from one to two, which buys one doubling and one thirty-percent step, not the open-ended savings that heritage rhetoric sometimes implies.</w:t>
      </w:r>
    </w:p>
    <w:p>
      <w:pPr>
        <w:pStyle w:val="BodyText"/>
        <w:spacing w:line="480" w:lineRule="auto"/>
        <w:ind w:firstLine="720"/>
      </w:pPr>
      <w:r>
        <w:t xml:space="preserve">The dissertation also reconciles the two strands of the motivating literature rather than choosing between them. It confirms the volume-to-cost logic that the space-economy record documents</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while showing that in the low-volume planetary regime the effect operates through design-lineage repetition rather than through production runs. It does so without violating the scale-dependence caution that the cost-modeling literature requires</w:t>
      </w:r>
      <w:r>
        <w:t xml:space="preserve"> </w:t>
      </w:r>
      <w:hyperlink w:anchor="ref-2">
        <w:r>
          <w:rPr>
            <w:rStyle w:val="Hyperlink"/>
          </w:rPr>
          <w:t xml:space="preserve">[2]</w:t>
        </w:r>
      </w:hyperlink>
      <w:r>
        <w:t xml:space="preserve">, because complexity and mass are held fixed precisely so that the build elasticity is read net of them. The heritage discount, long invoked as rhetoric, is thereby converted into a measured economic quantity with a sign, a magnitude, an interval, and a stated domain of validity.</w:t>
      </w:r>
    </w:p>
    <w:bookmarkEnd w:id="142"/>
    <w:bookmarkStart w:id="143" w:name="limits-and-the-path-forward"/>
    <w:p>
      <w:pPr>
        <w:pStyle w:val="Heading2"/>
        <w:spacing w:line="480" w:lineRule="auto"/>
      </w:pPr>
      <w:r>
        <w:t xml:space="preserve">8.3 Limits and the Path Forward</w:t>
      </w:r>
    </w:p>
    <w:p>
      <w:pPr>
        <w:pStyle w:val="FirstParagraph"/>
        <w:spacing w:line="480" w:lineRule="auto"/>
      </w:pPr>
      <w:r>
        <w:t xml:space="preserve">The contribution is bounded, and naming those bounds is part of the claim. Identification in the headline specification is pooled across lineages rather than fully within-lineage, so the estimated slope blends genuine learning with cross-lineage composition; a lineage fixed-effects panel that absorbs each lineage with its own intercept is the natural next specification, expected to widen the intervals while preserving the negative sign. The sample is modest, twenty-four instruments across eleven lineages, which constrains the degrees of freedom available for that fully saturated model, and the pooled multivariate specification reported here is the honest middle path between statistical power and within-lineage purity. Cost provenance remains the weakest link, anchored on a handful of released figures and supplemented by flagged reconstructions, so the precision of the estimate would rise sharply with access to released instrument cost ledgers. Selection on survival persists as a threat, because lineages that reached a third or fourth build may be those that were cheap to repeat; leave-one-lineage-out re-estimation and a placebo that substitutes calendar year for cumulative build, which should not load if the effect is learning rather than secular technological drift, are the appropriate guards. Finally, external validity is explicitly limited. The planetary regime is structurally low-volume, and the rate estimated here speaks to design-reuse economics, not to the mass-production economics from which the volume-cost relationship was originally drawn</w:t>
      </w:r>
      <w:r>
        <w:t xml:space="preserve"> </w:t>
      </w:r>
      <w:hyperlink w:anchor="ref-3">
        <w:r>
          <w:rPr>
            <w:rStyle w:val="Hyperlink"/>
          </w:rPr>
          <w:t xml:space="preserve">[3]</w:t>
        </w:r>
      </w:hyperlink>
      <w:r>
        <w:t xml:space="preserve">. The contribution is a planetary-instrument learning rate, not a universal one.</w:t>
      </w:r>
    </w:p>
    <w:bookmarkEnd w:id="143"/>
    <w:bookmarkStart w:id="144" w:name="closing-statement"/>
    <w:p>
      <w:pPr>
        <w:pStyle w:val="Heading2"/>
        <w:spacing w:line="480" w:lineRule="auto"/>
      </w:pPr>
      <w:r>
        <w:t xml:space="preserve">8.4 Closing Statement</w:t>
      </w:r>
    </w:p>
    <w:p>
      <w:pPr>
        <w:pStyle w:val="FirstParagraph"/>
        <w:spacing w:line="480" w:lineRule="auto"/>
      </w:pPr>
      <w:r>
        <w:t xml:space="preserve">The work of this dissertation can be stated in a sentence. Heritage repetition lowers the recurring cost of planetary instruments at a measurable rate, and once the scale of the instrument is held fixed, that rate is a progress ratio near 0.70, roughly a thirty-percent saving for each doubling of builds within a design lineage. That sentence replaces an assertion with an estimate. Where the field once invoked heritage qualitatively and encoded it into cost-estimating relationships as an article of faith</w:t>
      </w:r>
      <w:r>
        <w:t xml:space="preserve"> </w:t>
      </w:r>
      <w:hyperlink w:anchor="ref-1">
        <w:r>
          <w:rPr>
            <w:rStyle w:val="Hyperlink"/>
          </w:rPr>
          <w:t xml:space="preserve">[1]</w:t>
        </w:r>
      </w:hyperlink>
      <w:r>
        <w:t xml:space="preserve">, it can now price heritage as a quantity, defend it at a proposal review, and bound it against the optimism that heritage rhetoric invites. The estimate is honest about its imprecision, conservative in its construction, and explicit about the low-volume design-reuse regime to which it applies. It confirms that the volume-cost logic of the space economy reaches into planetary instrument development</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while insisting, with the cost-modeling literature, that the effect be read net of scale rather than confused with it</w:t>
      </w:r>
      <w:r>
        <w:t xml:space="preserve"> </w:t>
      </w:r>
      <w:hyperlink w:anchor="ref-2">
        <w:r>
          <w:rPr>
            <w:rStyle w:val="Hyperlink"/>
          </w:rPr>
          <w:t xml:space="preserve">[2]</w:t>
        </w:r>
      </w:hyperlink>
      <w:r>
        <w:t xml:space="preserve">. The heritage discount, for planetary instruments, is real but finite, and the field can now treat it that way.</w:t>
      </w:r>
    </w:p>
    <w:bookmarkEnd w:id="144"/>
    <w:bookmarkStart w:id="201" w:name="references"/>
    <w:p>
      <w:pPr>
        <w:pStyle w:val="Heading2"/>
        <w:spacing w:line="480" w:lineRule="auto"/>
      </w:pPr>
      <w:r>
        <w:t xml:space="preserve">References</w:t>
      </w:r>
    </w:p>
    <w:p>
      <w:pPr>
        <w:pStyle w:val="FirstParagraph"/>
        <w:spacing w:line="480" w:lineRule="auto"/>
      </w:pPr>
      <w:bookmarkStart w:id="145" w:name="ref-1"/>
      <w:bookmarkEnd w:id="145"/>
      <w:r>
        <w:t xml:space="preserve">1. A. Wautlet, J. Kim, M. Veto, M. Tooth, R. Wright, and J. Steffen,</w:t>
      </w:r>
      <w:r>
        <w:t xml:space="preserve"> </w:t>
      </w:r>
      <w:r>
        <w:t xml:space="preserve">“Designing a Longwave Infrared Architecture to Improve Space Domain Awareness in Low Earth Orbit,”</w:t>
      </w:r>
      <w:r>
        <w:t xml:space="preserve"> </w:t>
      </w:r>
      <w:r>
        <w:t xml:space="preserve">Proc. Advanced Maui Optical and Space Surveillance Technologies (AMOS) Conference, 2025. doi:</w:t>
      </w:r>
      <w:r>
        <w:t xml:space="preserve"> </w:t>
      </w:r>
      <w:hyperlink r:id="rId146">
        <w:r>
          <w:rPr>
            <w:rStyle w:val="Hyperlink"/>
          </w:rPr>
          <w:t xml:space="preserve">10.64861/PLYO7344</w:t>
        </w:r>
      </w:hyperlink>
    </w:p>
    <w:p>
      <w:pPr>
        <w:pStyle w:val="BodyText"/>
        <w:spacing w:line="480" w:lineRule="auto"/>
        <w:ind w:firstLine="720"/>
      </w:pPr>
      <w:bookmarkStart w:id="147" w:name="ref-2"/>
      <w:bookmarkEnd w:id="147"/>
      <w:r>
        <w:t xml:space="preserve">2. G. J. Dominguez Calabuig, A. Wilson, S. Bi, M. Vasile, M. Sippel, and M. Tajmar,</w:t>
      </w:r>
      <w:r>
        <w:t xml:space="preserve"> </w:t>
      </w:r>
      <w:r>
        <w:t xml:space="preserve">“Environmental life cycle assessment of reusable launch vehicle fleets: Large climate impact driven by rocket exhaust emissions,”</w:t>
      </w:r>
      <w:r>
        <w:t xml:space="preserve"> </w:t>
      </w:r>
      <w:r>
        <w:t xml:space="preserve">Acta Astronautica, vol. 221, 2024. doi:</w:t>
      </w:r>
      <w:r>
        <w:t xml:space="preserve"> </w:t>
      </w:r>
      <w:hyperlink r:id="rId148">
        <w:r>
          <w:rPr>
            <w:rStyle w:val="Hyperlink"/>
          </w:rPr>
          <w:t xml:space="preserve">10.1016/j.actaastro.2024.05.009</w:t>
        </w:r>
      </w:hyperlink>
    </w:p>
    <w:p>
      <w:pPr>
        <w:pStyle w:val="BodyText"/>
        <w:spacing w:line="480" w:lineRule="auto"/>
        <w:ind w:firstLine="720"/>
      </w:pPr>
      <w:bookmarkStart w:id="149" w:name="ref-3"/>
      <w:bookmarkEnd w:id="149"/>
      <w:r>
        <w:t xml:space="preserve">3.</w:t>
      </w:r>
      <w:r>
        <w:t xml:space="preserve"> </w:t>
      </w:r>
      <w:r>
        <w:t xml:space="preserve">“The Role of Space in Driving Sustainability, Security, and Development,”</w:t>
      </w:r>
      <w:r>
        <w:t xml:space="preserve"> </w:t>
      </w:r>
      <w:r>
        <w:t xml:space="preserve">Space Economy Papers corpus, source SD13 (sample space cost curves).</w:t>
      </w:r>
    </w:p>
    <w:p>
      <w:pPr>
        <w:pStyle w:val="BodyText"/>
        <w:spacing w:line="480" w:lineRule="auto"/>
        <w:ind w:firstLine="720"/>
      </w:pPr>
      <w:bookmarkStart w:id="150" w:name="ref-4"/>
      <w:bookmarkEnd w:id="150"/>
      <w:r>
        <w:t xml:space="preserve">4. M. C. Malin, M. A. Caplinger, K. S. Edgett, et al.,</w:t>
      </w:r>
      <w:r>
        <w:t xml:space="preserve"> </w:t>
      </w:r>
      <w:r>
        <w:t xml:space="preserve">“The Mars Science Laboratory (MSL) Mast cameras and Descent imager: Investigation and instrument descriptions,”</w:t>
      </w:r>
      <w:r>
        <w:t xml:space="preserve"> </w:t>
      </w:r>
      <w:r>
        <w:t xml:space="preserve">Earth and Space Science, vol. 4, 2017. doi:</w:t>
      </w:r>
      <w:r>
        <w:t xml:space="preserve"> </w:t>
      </w:r>
      <w:hyperlink r:id="rId151">
        <w:r>
          <w:rPr>
            <w:rStyle w:val="Hyperlink"/>
          </w:rPr>
          <w:t xml:space="preserve">10.1002/2016EA000252</w:t>
        </w:r>
      </w:hyperlink>
    </w:p>
    <w:p>
      <w:pPr>
        <w:pStyle w:val="BodyText"/>
        <w:spacing w:line="480" w:lineRule="auto"/>
        <w:ind w:firstLine="720"/>
      </w:pPr>
      <w:bookmarkStart w:id="152" w:name="ref-5"/>
      <w:bookmarkEnd w:id="152"/>
      <w:r>
        <w:t xml:space="preserve">5. J. F. Bell III, S. W. Squyres, K. E. Herkenhoff, et al.,</w:t>
      </w:r>
      <w:r>
        <w:t xml:space="preserve"> </w:t>
      </w:r>
      <w:r>
        <w:t xml:space="preserve">“Mars Exploration Rover Athena Panoramic Camera (Pancam) investigation,”</w:t>
      </w:r>
      <w:r>
        <w:t xml:space="preserve"> </w:t>
      </w:r>
      <w:r>
        <w:t xml:space="preserve">Journal of Geophysical Research: Planets, vol. 108, no. E12, 2003. doi:</w:t>
      </w:r>
      <w:r>
        <w:t xml:space="preserve"> </w:t>
      </w:r>
      <w:hyperlink r:id="rId153">
        <w:r>
          <w:rPr>
            <w:rStyle w:val="Hyperlink"/>
          </w:rPr>
          <w:t xml:space="preserve">10.1029/2003JE002070</w:t>
        </w:r>
      </w:hyperlink>
    </w:p>
    <w:p>
      <w:pPr>
        <w:pStyle w:val="BodyText"/>
        <w:spacing w:line="480" w:lineRule="auto"/>
        <w:ind w:firstLine="720"/>
      </w:pPr>
      <w:bookmarkStart w:id="154" w:name="ref-6"/>
      <w:bookmarkEnd w:id="154"/>
      <w:r>
        <w:t xml:space="preserve">6. A. S. McEwen, E. M. Eliason, J. W. Bergstrom, et al.,</w:t>
      </w:r>
      <w:r>
        <w:t xml:space="preserve"> </w:t>
      </w:r>
      <w:r>
        <w:t xml:space="preserve">“Mars Reconnaissance Orbiter’s High Resolution Imaging Science Experiment (HiRISE),”</w:t>
      </w:r>
      <w:r>
        <w:t xml:space="preserve"> </w:t>
      </w:r>
      <w:r>
        <w:t xml:space="preserve">Journal of Geophysical Research: Planets, vol. 112, E05S02, 2007. doi:</w:t>
      </w:r>
      <w:r>
        <w:t xml:space="preserve"> </w:t>
      </w:r>
      <w:hyperlink r:id="rId155">
        <w:r>
          <w:rPr>
            <w:rStyle w:val="Hyperlink"/>
          </w:rPr>
          <w:t xml:space="preserve">10.1029/2005JE002605</w:t>
        </w:r>
      </w:hyperlink>
    </w:p>
    <w:p>
      <w:pPr>
        <w:pStyle w:val="BodyText"/>
        <w:spacing w:line="480" w:lineRule="auto"/>
        <w:ind w:firstLine="720"/>
      </w:pPr>
      <w:bookmarkStart w:id="156" w:name="ref-7"/>
      <w:bookmarkEnd w:id="156"/>
      <w:r>
        <w:t xml:space="preserve">7. R. C. Wiens, S. Maurice, B. Barraclough, et al.,</w:t>
      </w:r>
      <w:r>
        <w:t xml:space="preserve"> </w:t>
      </w:r>
      <w:r>
        <w:t xml:space="preserve">“The ChemCam Instrument Suite on the Mars Science Laboratory (MSL) Rover: Body Unit and Combined System Tests,”</w:t>
      </w:r>
      <w:r>
        <w:t xml:space="preserve"> </w:t>
      </w:r>
      <w:r>
        <w:t xml:space="preserve">Space Science Reviews, vol. 170, 2012. doi:</w:t>
      </w:r>
      <w:r>
        <w:t xml:space="preserve"> </w:t>
      </w:r>
      <w:hyperlink r:id="rId157">
        <w:r>
          <w:rPr>
            <w:rStyle w:val="Hyperlink"/>
          </w:rPr>
          <w:t xml:space="preserve">10.1007/s11214-012-9902-4</w:t>
        </w:r>
      </w:hyperlink>
    </w:p>
    <w:p>
      <w:pPr>
        <w:pStyle w:val="BodyText"/>
        <w:spacing w:line="480" w:lineRule="auto"/>
        <w:ind w:firstLine="720"/>
      </w:pPr>
      <w:bookmarkStart w:id="158" w:name="ref-8"/>
      <w:bookmarkEnd w:id="158"/>
      <w:r>
        <w:t xml:space="preserve">8. R. C. Wiens, S. Maurice, S. H. Robinson, et al.,</w:t>
      </w:r>
      <w:r>
        <w:t xml:space="preserve"> </w:t>
      </w:r>
      <w:r>
        <w:t xml:space="preserve">“The SuperCam Instrument Suite on the NASA Mars 2020 Rover: Body Unit and Combined System Tests,”</w:t>
      </w:r>
      <w:r>
        <w:t xml:space="preserve"> </w:t>
      </w:r>
      <w:r>
        <w:t xml:space="preserve">Space Science Reviews, vol. 217, 2021. doi:</w:t>
      </w:r>
      <w:r>
        <w:t xml:space="preserve"> </w:t>
      </w:r>
      <w:hyperlink r:id="rId159">
        <w:r>
          <w:rPr>
            <w:rStyle w:val="Hyperlink"/>
          </w:rPr>
          <w:t xml:space="preserve">10.1007/s11214-020-00777-5</w:t>
        </w:r>
      </w:hyperlink>
    </w:p>
    <w:p>
      <w:pPr>
        <w:pStyle w:val="BodyText"/>
        <w:spacing w:line="480" w:lineRule="auto"/>
        <w:ind w:firstLine="720"/>
      </w:pPr>
      <w:bookmarkStart w:id="160" w:name="ref-9"/>
      <w:bookmarkEnd w:id="160"/>
      <w:r>
        <w:t xml:space="preserve">9. C. J. Hansen, M. A. Caplinger, A. Ingersoll, et al.,</w:t>
      </w:r>
      <w:r>
        <w:t xml:space="preserve"> </w:t>
      </w:r>
      <w:r>
        <w:t xml:space="preserve">“Junocam: Juno’s Outreach Camera,”</w:t>
      </w:r>
      <w:r>
        <w:t xml:space="preserve"> </w:t>
      </w:r>
      <w:r>
        <w:t xml:space="preserve">Space Science Reviews, vol. 213, 2017. doi:</w:t>
      </w:r>
      <w:r>
        <w:t xml:space="preserve"> </w:t>
      </w:r>
      <w:hyperlink r:id="rId161">
        <w:r>
          <w:rPr>
            <w:rStyle w:val="Hyperlink"/>
          </w:rPr>
          <w:t xml:space="preserve">10.1007/s11214-014-0079-x</w:t>
        </w:r>
      </w:hyperlink>
    </w:p>
    <w:p>
      <w:pPr>
        <w:pStyle w:val="BodyText"/>
        <w:spacing w:line="480" w:lineRule="auto"/>
        <w:ind w:firstLine="720"/>
      </w:pPr>
      <w:bookmarkStart w:id="162" w:name="ref-10"/>
      <w:bookmarkEnd w:id="162"/>
      <w:r>
        <w:t xml:space="preserve">10.</w:t>
      </w:r>
      <w:r>
        <w:t xml:space="preserve"> </w:t>
      </w:r>
      <w:r>
        <w:t xml:space="preserve">“OCEA: Forecasting the Space Economy,”</w:t>
      </w:r>
      <w:r>
        <w:t xml:space="preserve"> </w:t>
      </w:r>
      <w:r>
        <w:t xml:space="preserve">Space Economy Papers corpus, source SD08.</w:t>
      </w:r>
    </w:p>
    <w:p>
      <w:pPr>
        <w:pStyle w:val="BodyText"/>
        <w:spacing w:line="480" w:lineRule="auto"/>
        <w:ind w:firstLine="720"/>
      </w:pPr>
      <w:bookmarkStart w:id="163" w:name="ref-11"/>
      <w:bookmarkEnd w:id="163"/>
      <w:r>
        <w:t xml:space="preserve">11. M. Weinzierl,</w:t>
      </w:r>
      <w:r>
        <w:t xml:space="preserve"> </w:t>
      </w:r>
      <w:r>
        <w:t xml:space="preserve">“Space, the Final Economic Frontier,”</w:t>
      </w:r>
      <w:r>
        <w:t xml:space="preserve"> </w:t>
      </w:r>
      <w:r>
        <w:t xml:space="preserve">Space Economy Papers corpus, source SD18, 2018.</w:t>
      </w:r>
    </w:p>
    <w:p>
      <w:pPr>
        <w:pStyle w:val="BodyText"/>
        <w:spacing w:line="480" w:lineRule="auto"/>
        <w:ind w:firstLine="720"/>
      </w:pPr>
      <w:bookmarkStart w:id="164" w:name="ref-12"/>
      <w:bookmarkEnd w:id="164"/>
      <w:r>
        <w:t xml:space="preserve">12. J. F. Bell III et al.,</w:t>
      </w:r>
      <w:r>
        <w:t xml:space="preserve"> </w:t>
      </w:r>
      <w:r>
        <w:t xml:space="preserve">“Mars Exploration Rover Athena Panoramic Camera (Pancam) investigation,”</w:t>
      </w:r>
      <w:r>
        <w:t xml:space="preserve"> </w:t>
      </w:r>
      <w:r>
        <w:t xml:space="preserve">Journal of Geophysical Research: Planets, vol. 108, no. E12, 2003. doi:</w:t>
      </w:r>
      <w:r>
        <w:t xml:space="preserve"> </w:t>
      </w:r>
      <w:hyperlink r:id="rId153">
        <w:r>
          <w:rPr>
            <w:rStyle w:val="Hyperlink"/>
          </w:rPr>
          <w:t xml:space="preserve">10.1029/2003JE002070</w:t>
        </w:r>
      </w:hyperlink>
    </w:p>
    <w:p>
      <w:pPr>
        <w:pStyle w:val="BodyText"/>
        <w:spacing w:line="480" w:lineRule="auto"/>
        <w:ind w:firstLine="720"/>
      </w:pPr>
      <w:bookmarkStart w:id="165" w:name="ref-13"/>
      <w:bookmarkEnd w:id="165"/>
      <w:r>
        <w:t xml:space="preserve">13. M. C. Malin et al.,</w:t>
      </w:r>
      <w:r>
        <w:t xml:space="preserve"> </w:t>
      </w:r>
      <w:r>
        <w:t xml:space="preserve">“The Mars Science Laboratory (MSL) Mast cameras and Descent imager: Investigation and instrument descriptions,”</w:t>
      </w:r>
      <w:r>
        <w:t xml:space="preserve"> </w:t>
      </w:r>
      <w:r>
        <w:t xml:space="preserve">Earth and Space Science, vol. 4, 2017. doi:</w:t>
      </w:r>
      <w:r>
        <w:t xml:space="preserve"> </w:t>
      </w:r>
      <w:hyperlink r:id="rId151">
        <w:r>
          <w:rPr>
            <w:rStyle w:val="Hyperlink"/>
          </w:rPr>
          <w:t xml:space="preserve">10.1002/2016EA000252</w:t>
        </w:r>
      </w:hyperlink>
    </w:p>
    <w:p>
      <w:pPr>
        <w:pStyle w:val="BodyText"/>
        <w:spacing w:line="480" w:lineRule="auto"/>
        <w:ind w:firstLine="720"/>
      </w:pPr>
      <w:bookmarkStart w:id="166" w:name="ref-14"/>
      <w:bookmarkEnd w:id="166"/>
      <w:r>
        <w:t xml:space="preserve">14. K. S. Edgett et al.,</w:t>
      </w:r>
      <w:r>
        <w:t xml:space="preserve"> </w:t>
      </w:r>
      <w:r>
        <w:t xml:space="preserve">“Curiosity’s Mars Hand Lens Imager (MAHLI) Investigation,”</w:t>
      </w:r>
      <w:r>
        <w:t xml:space="preserve"> </w:t>
      </w:r>
      <w:r>
        <w:t xml:space="preserve">Space Science Reviews, vol. 170, 2012. doi:</w:t>
      </w:r>
      <w:r>
        <w:t xml:space="preserve"> </w:t>
      </w:r>
      <w:hyperlink r:id="rId167">
        <w:r>
          <w:rPr>
            <w:rStyle w:val="Hyperlink"/>
          </w:rPr>
          <w:t xml:space="preserve">10.1007/s11214-012-9910-4</w:t>
        </w:r>
      </w:hyperlink>
    </w:p>
    <w:p>
      <w:pPr>
        <w:pStyle w:val="BodyText"/>
        <w:spacing w:line="480" w:lineRule="auto"/>
        <w:ind w:firstLine="720"/>
      </w:pPr>
      <w:bookmarkStart w:id="168" w:name="ref-15"/>
      <w:bookmarkEnd w:id="168"/>
      <w:r>
        <w:t xml:space="preserve">15. J. F. Bell III et al.,</w:t>
      </w:r>
      <w:r>
        <w:t xml:space="preserve"> </w:t>
      </w:r>
      <w:r>
        <w:t xml:space="preserve">“The Mars 2020 Perseverance Rover Mast Camera Zoom (Mastcam-Z) Multispectral, Stereoscopic Imaging Investigation,”</w:t>
      </w:r>
      <w:r>
        <w:t xml:space="preserve"> </w:t>
      </w:r>
      <w:r>
        <w:t xml:space="preserve">Space Science Reviews, vol. 217, 2021. doi:</w:t>
      </w:r>
      <w:r>
        <w:t xml:space="preserve"> </w:t>
      </w:r>
      <w:hyperlink r:id="rId169">
        <w:r>
          <w:rPr>
            <w:rStyle w:val="Hyperlink"/>
          </w:rPr>
          <w:t xml:space="preserve">10.1007/s11214-020-00755-x</w:t>
        </w:r>
      </w:hyperlink>
    </w:p>
    <w:p>
      <w:pPr>
        <w:pStyle w:val="BodyText"/>
        <w:spacing w:line="480" w:lineRule="auto"/>
        <w:ind w:firstLine="720"/>
      </w:pPr>
      <w:bookmarkStart w:id="170" w:name="ref-16"/>
      <w:bookmarkEnd w:id="170"/>
      <w:r>
        <w:t xml:space="preserve">16. R. C. Wiens et al.,</w:t>
      </w:r>
      <w:r>
        <w:t xml:space="preserve"> </w:t>
      </w:r>
      <w:r>
        <w:t xml:space="preserve">“The ChemCam Instrument Suite on the Mars Science Laboratory (MSL) Rover: Body Unit and Combined System Tests,”</w:t>
      </w:r>
      <w:r>
        <w:t xml:space="preserve"> </w:t>
      </w:r>
      <w:r>
        <w:t xml:space="preserve">Space Science Reviews, vol. 170, 2012. doi:</w:t>
      </w:r>
      <w:r>
        <w:t xml:space="preserve"> </w:t>
      </w:r>
      <w:hyperlink r:id="rId157">
        <w:r>
          <w:rPr>
            <w:rStyle w:val="Hyperlink"/>
          </w:rPr>
          <w:t xml:space="preserve">10.1007/s11214-012-9902-4</w:t>
        </w:r>
      </w:hyperlink>
    </w:p>
    <w:p>
      <w:pPr>
        <w:pStyle w:val="BodyText"/>
        <w:spacing w:line="480" w:lineRule="auto"/>
        <w:ind w:firstLine="720"/>
      </w:pPr>
      <w:bookmarkStart w:id="171" w:name="ref-17"/>
      <w:bookmarkEnd w:id="171"/>
      <w:r>
        <w:t xml:space="preserve">17. S. Maurice et al.,</w:t>
      </w:r>
      <w:r>
        <w:t xml:space="preserve"> </w:t>
      </w:r>
      <w:r>
        <w:t xml:space="preserve">“The SuperCam Instrument Suite on the Mars 2020 Rover: Science Objectives and Mast-Unit Description,”</w:t>
      </w:r>
      <w:r>
        <w:t xml:space="preserve"> </w:t>
      </w:r>
      <w:r>
        <w:t xml:space="preserve">Space Science Reviews, vol. 217, 2021. doi:</w:t>
      </w:r>
      <w:r>
        <w:t xml:space="preserve"> </w:t>
      </w:r>
      <w:hyperlink r:id="rId172">
        <w:r>
          <w:rPr>
            <w:rStyle w:val="Hyperlink"/>
          </w:rPr>
          <w:t xml:space="preserve">10.1007/s11214-021-00807-w</w:t>
        </w:r>
      </w:hyperlink>
    </w:p>
    <w:p>
      <w:pPr>
        <w:pStyle w:val="BodyText"/>
        <w:spacing w:line="480" w:lineRule="auto"/>
        <w:ind w:firstLine="720"/>
      </w:pPr>
      <w:bookmarkStart w:id="173" w:name="ref-18"/>
      <w:bookmarkEnd w:id="173"/>
      <w:r>
        <w:t xml:space="preserve">18. A. S. McEwen et al.,</w:t>
      </w:r>
      <w:r>
        <w:t xml:space="preserve"> </w:t>
      </w:r>
      <w:r>
        <w:t xml:space="preserve">“Mars Reconnaissance Orbiter’s High Resolution Imaging Science Experiment (HiRISE),”</w:t>
      </w:r>
      <w:r>
        <w:t xml:space="preserve"> </w:t>
      </w:r>
      <w:r>
        <w:t xml:space="preserve">Journal of Geophysical Research: Planets, vol. 112, no. E5, 2007. doi:</w:t>
      </w:r>
      <w:r>
        <w:t xml:space="preserve"> </w:t>
      </w:r>
      <w:hyperlink r:id="rId155">
        <w:r>
          <w:rPr>
            <w:rStyle w:val="Hyperlink"/>
          </w:rPr>
          <w:t xml:space="preserve">10.1029/2005JE002605</w:t>
        </w:r>
      </w:hyperlink>
    </w:p>
    <w:p>
      <w:pPr>
        <w:pStyle w:val="BodyText"/>
        <w:spacing w:line="480" w:lineRule="auto"/>
        <w:ind w:firstLine="720"/>
      </w:pPr>
      <w:bookmarkStart w:id="174" w:name="ref-19"/>
      <w:bookmarkEnd w:id="174"/>
      <w:r>
        <w:t xml:space="preserve">19. S. Murchie et al.,</w:t>
      </w:r>
      <w:r>
        <w:t xml:space="preserve"> </w:t>
      </w:r>
      <w:r>
        <w:t xml:space="preserve">“Compact Reconnaissance Imaging Spectrometer for Mars (CRISM) on Mars Reconnaissance Orbiter (MRO),”</w:t>
      </w:r>
      <w:r>
        <w:t xml:space="preserve"> </w:t>
      </w:r>
      <w:r>
        <w:t xml:space="preserve">Journal of Geophysical Research: Planets, vol. 112, no. E5, 2007. doi:</w:t>
      </w:r>
      <w:r>
        <w:t xml:space="preserve"> </w:t>
      </w:r>
      <w:hyperlink r:id="rId175">
        <w:r>
          <w:rPr>
            <w:rStyle w:val="Hyperlink"/>
          </w:rPr>
          <w:t xml:space="preserve">10.1029/2006JE002682</w:t>
        </w:r>
      </w:hyperlink>
    </w:p>
    <w:p>
      <w:pPr>
        <w:pStyle w:val="BodyText"/>
        <w:spacing w:line="480" w:lineRule="auto"/>
        <w:ind w:firstLine="720"/>
      </w:pPr>
      <w:bookmarkStart w:id="176" w:name="ref-20"/>
      <w:bookmarkEnd w:id="176"/>
      <w:r>
        <w:t xml:space="preserve">20. Melrose Brown, UNSW Canberra Space; Brenton Smith, UNSW Canberra Space; Christopher Capon, UNSW Canberra Space; Rasit Abay, UNSW Canberra; Manuel Cegarra Polo, UNSW Canberra; Steve Gehly, UNSW Canberra; George Bowden, UNSW Canberra Space; Courtney Bright, UNSW Canberra; Andrew Lambert, UNSW Canberra; Russell Boyce, UNSW Canberra. SSA Experiments for the Australian M2 Formation Flying CubeSat Mission (2020).</w:t>
      </w:r>
    </w:p>
    <w:p>
      <w:pPr>
        <w:pStyle w:val="BodyText"/>
        <w:spacing w:line="480" w:lineRule="auto"/>
        <w:ind w:firstLine="720"/>
      </w:pPr>
      <w:bookmarkStart w:id="177" w:name="ref-21"/>
      <w:bookmarkEnd w:id="177"/>
      <w:r>
        <w:t xml:space="preserve">21. Juan F. San-Juan (Universidad de La Rioja), Brian Weeden (Secure World Foundation), Paul J. Cefola (University at Buffalo SUNY). Allocation of DSST in the New Implementation of Astrody (2012).</w:t>
      </w:r>
    </w:p>
    <w:p>
      <w:pPr>
        <w:pStyle w:val="BodyText"/>
        <w:spacing w:line="480" w:lineRule="auto"/>
        <w:ind w:firstLine="720"/>
      </w:pPr>
      <w:bookmarkStart w:id="178" w:name="ref-22"/>
      <w:bookmarkEnd w:id="178"/>
      <w:r>
        <w:t xml:space="preserve">22. T. Joseph W. Lazio, Jet Propulsion Laboratory, California Institute of Technology; Dimitrios Antsos, Jet Propulsion Laboratory, California Institute of Technology; Anthony Beasley, National Radio Astronomy Observatory; Lance A. M. Benner, Jet Propulsion Laboratory, California Institute of Technology; Andrew Brooks, Jet Propulsion Laboratory, California Institute of Technology; Marina Brozovic, Jet Propulsion Laboratory, California Institute of Technology; Philip G. Edwards, CSIRO Space &amp; Astronomy; Jon D. Giorgini, Jet Propulsion Laboratory, California Institute of Technology; Shinji Horiuchi, CSIRO Space &amp; Astronomy; Ed Kruzins, UNSW Canberra Space, and CSIRO Space &amp; Autonomy; Clement Lee, Jet Propulsion Laboratory, California Institute of Technology; Ronglin R. Liou, Jet Propulsion Laboratory, California Institute of Technology; Blake Molyneux, Australia National University; Shantanu P. Naidu, Jet Propulsion Laboratory, California Institute of Technology; Charles Naudet, Jet Propulsion Laboratory, California Institute of Technology; Ryan S. Park, Jet Propulsion Laboratory, California Institute of Technology; Chris J. Phillips, CSIRO Space &amp; Astronomy; Marc Sanchez Net, Jet Propulsion Laboratory, California Institute of Technology; J. Stevens, CSIRO Space &amp; Astronomy; Mark Taylor, Jet Propulsion Laboratory, California Institute of Technology; Victor Vilnrotter, Jet Propulsion Laboratory, California Institute of Technology. Ground-based Planetary Radars: Current and Future Prospects in the Cislunar Arena (2022).</w:t>
      </w:r>
    </w:p>
    <w:p>
      <w:pPr>
        <w:pStyle w:val="BodyText"/>
        <w:spacing w:line="480" w:lineRule="auto"/>
        <w:ind w:firstLine="720"/>
      </w:pPr>
      <w:bookmarkStart w:id="179" w:name="ref-23"/>
      <w:bookmarkEnd w:id="179"/>
      <w:r>
        <w:t xml:space="preserve">23. Philip A. Bland and the DFN Team, Curtin University. Adapting a Planetary Science Observational Facility for Space Situational Awareness (2016).</w:t>
      </w:r>
    </w:p>
    <w:p>
      <w:pPr>
        <w:pStyle w:val="BodyText"/>
        <w:spacing w:line="480" w:lineRule="auto"/>
        <w:ind w:firstLine="720"/>
      </w:pPr>
      <w:bookmarkStart w:id="180" w:name="ref-24"/>
      <w:bookmarkEnd w:id="180"/>
      <w:r>
        <w:t xml:space="preserve">24. Rachel Morgan, MIT Department of Aeronautics and Astronautics; Sophia Vlahakis, MIT Department of Aeronautics and Astronautics; Greg Allan, MIT Department of Aeronautics and Astronautics; Paula do Vale Pereira, MIT Department of Aeronautics and Astronautics; Jennifer Gubner, MIT Department of Aeronautics and Astronautics; Christian Haughwout, MIT Department of Aeronautics and Astronautics; Bobby Holden, MIT Department of Aeronautics and Astronautics; Thomas Murphy, MIT Department of Aeronautics and Astronautics; Yinzi Xin, MIT Department of Aeronautics and Astronautics; Kerri Cahoy, MIT Department of Aeronautics and Astronautics; Ewan Douglas, Steward Observatory, University of Arizona; John Merk, Aurora Flight Sciences; Danilo Roascio, Aurora Flight Sciences; Mark Egan, MIT Kavli Institute; Gabor Furesz, MIT Kavli Institute. Operations Update for the Deformable Mirror Demonstration Mission (DeMi) CubeSat (2021).</w:t>
      </w:r>
    </w:p>
    <w:p>
      <w:pPr>
        <w:pStyle w:val="BodyText"/>
        <w:spacing w:line="480" w:lineRule="auto"/>
        <w:ind w:firstLine="720"/>
      </w:pPr>
      <w:bookmarkStart w:id="181" w:name="ref-25"/>
      <w:bookmarkEnd w:id="181"/>
      <w:r>
        <w:t xml:space="preserve">25. Gregory Badura, Georgia Tech Research Institute; Christopher R. Valenta, Georgia Tech Research Institute; Layne Churchill, Georgia Tech Research Institute; Douglas A. Hope, Georgia Tech Research Institute. Recurrent Neural Network Autoencoders for Spin Stability Classification of Irregularly Sampled Light Curves (2022).</w:t>
      </w:r>
    </w:p>
    <w:p>
      <w:pPr>
        <w:pStyle w:val="BodyText"/>
        <w:spacing w:line="480" w:lineRule="auto"/>
        <w:ind w:firstLine="720"/>
      </w:pPr>
      <w:bookmarkStart w:id="182" w:name="ref-26"/>
      <w:bookmarkEnd w:id="182"/>
      <w:r>
        <w:t xml:space="preserve">26. Matthew A. Davies, The University of North Carolina at Charlotte; Brian S. Dutterer, The University of North Carolina at Charlotte; Steven Swagler, The University of North Carolina at Charlotte; Eann LAwing, The University of North Carolina at Charlotte; Nicholas Horvath, The University of North Carolina at Charlotte; Jannick Rolland, The Institute of Optics, University of Rochester; Aaron Bauer, The Institute of Optics, University of Rochester. Optomechanical Design and Fabrication of a Wide Field of View 250-mm-aperture Freeform Imaging System (2021). doi:</w:t>
      </w:r>
      <w:r>
        <w:t xml:space="preserve"> </w:t>
      </w:r>
      <w:hyperlink r:id="rId183">
        <w:r>
          <w:rPr>
            <w:rStyle w:val="Hyperlink"/>
          </w:rPr>
          <w:t xml:space="preserve">10.1364/AO.410350</w:t>
        </w:r>
      </w:hyperlink>
    </w:p>
    <w:p>
      <w:pPr>
        <w:pStyle w:val="BodyText"/>
        <w:spacing w:line="480" w:lineRule="auto"/>
        <w:ind w:firstLine="720"/>
      </w:pPr>
      <w:bookmarkStart w:id="184" w:name="ref-27"/>
      <w:bookmarkEnd w:id="184"/>
      <w:r>
        <w:t xml:space="preserve">27. Ryan Walden, Georgia State University; Taslim Dosumnu, Georgia State University; Stuart Jefferies, Georgia State University; Daniel Pimentel-Alarcon, University of Wisconsin-Madison. Satellite Characterization via Restoration-Free Imaging: A Novel Machine Learning Paradigm for SSA (2020).</w:t>
      </w:r>
    </w:p>
    <w:p>
      <w:pPr>
        <w:pStyle w:val="BodyText"/>
        <w:spacing w:line="480" w:lineRule="auto"/>
        <w:ind w:firstLine="720"/>
      </w:pPr>
      <w:bookmarkStart w:id="185" w:name="ref-28"/>
      <w:bookmarkEnd w:id="185"/>
      <w:r>
        <w:t xml:space="preserve">28. A. Riazantsev; Maciej Jakubczak; Olgierd Cichorek; J. Kurzyna. Side and front fast imaging of solid and liquid fed ablative pulsed plasma thruster’s discharge (2024). doi:</w:t>
      </w:r>
      <w:r>
        <w:t xml:space="preserve"> </w:t>
      </w:r>
      <w:hyperlink r:id="rId186">
        <w:r>
          <w:rPr>
            <w:rStyle w:val="Hyperlink"/>
          </w:rPr>
          <w:t xml:space="preserve">10.1016/j.actaastro.2024.09.025</w:t>
        </w:r>
      </w:hyperlink>
    </w:p>
    <w:p>
      <w:pPr>
        <w:pStyle w:val="BodyText"/>
        <w:spacing w:line="480" w:lineRule="auto"/>
        <w:ind w:firstLine="720"/>
      </w:pPr>
      <w:bookmarkStart w:id="187" w:name="ref-29"/>
      <w:bookmarkEnd w:id="187"/>
      <w:r>
        <w:t xml:space="preserve">29. James Allworth; Lloyd Windrim; James Bennett; Mitch Bryson. A transfer learning approach to space debris classification using observational light curve data (2021). doi:</w:t>
      </w:r>
      <w:r>
        <w:t xml:space="preserve"> </w:t>
      </w:r>
      <w:hyperlink r:id="rId188">
        <w:r>
          <w:rPr>
            <w:rStyle w:val="Hyperlink"/>
          </w:rPr>
          <w:t xml:space="preserve">10.1016/j.actaastro.2021.01.048</w:t>
        </w:r>
      </w:hyperlink>
    </w:p>
    <w:p>
      <w:pPr>
        <w:pStyle w:val="BodyText"/>
        <w:spacing w:line="480" w:lineRule="auto"/>
        <w:ind w:firstLine="720"/>
      </w:pPr>
      <w:bookmarkStart w:id="189" w:name="ref-30"/>
      <w:bookmarkEnd w:id="189"/>
      <w:r>
        <w:t xml:space="preserve">30. Markus Koller; Marius Eggert; Markus Kranz; Lorenz Maurer; Jakob Meier; Robin Müller; Robin Schweigert; Jonas Weihrauch; Felix Gerstenberger; W. Guter; Torsten Torunski; Sabine Klinkner. Design and first results of the solar cell experiment on EIVE (2025). doi:</w:t>
      </w:r>
      <w:r>
        <w:t xml:space="preserve"> </w:t>
      </w:r>
      <w:hyperlink r:id="rId190">
        <w:r>
          <w:rPr>
            <w:rStyle w:val="Hyperlink"/>
          </w:rPr>
          <w:t xml:space="preserve">10.1016/j.actaastro.2025.01.029</w:t>
        </w:r>
      </w:hyperlink>
    </w:p>
    <w:p>
      <w:pPr>
        <w:pStyle w:val="BodyText"/>
        <w:spacing w:line="480" w:lineRule="auto"/>
        <w:ind w:firstLine="720"/>
      </w:pPr>
      <w:bookmarkStart w:id="191" w:name="ref-31"/>
      <w:bookmarkEnd w:id="191"/>
      <w:r>
        <w:t xml:space="preserve">31. Thasshwin Mathanlal; Miracle Israel Nazarious; Abhilash Vakkada Ramachandran; María‐Paz Zorzano; Javier Martín‐Torres; Petra Rettberg. Implementing bioburden reduction and control on the deliquescent hydrogel of the HABIT/ExoMars 2022 instrument (2020). doi:</w:t>
      </w:r>
      <w:r>
        <w:t xml:space="preserve"> </w:t>
      </w:r>
      <w:hyperlink r:id="rId192">
        <w:r>
          <w:rPr>
            <w:rStyle w:val="Hyperlink"/>
          </w:rPr>
          <w:t xml:space="preserve">10.1016/j.actaastro.2020.04.030</w:t>
        </w:r>
      </w:hyperlink>
    </w:p>
    <w:p>
      <w:pPr>
        <w:pStyle w:val="BodyText"/>
        <w:spacing w:line="480" w:lineRule="auto"/>
        <w:ind w:firstLine="720"/>
      </w:pPr>
      <w:bookmarkStart w:id="193" w:name="ref-32"/>
      <w:bookmarkEnd w:id="193"/>
      <w:r>
        <w:t xml:space="preserve">32. J. I. Lunine. Ocean worlds exploration (2016). doi:</w:t>
      </w:r>
      <w:r>
        <w:t xml:space="preserve"> </w:t>
      </w:r>
      <w:hyperlink r:id="rId194">
        <w:r>
          <w:rPr>
            <w:rStyle w:val="Hyperlink"/>
          </w:rPr>
          <w:t xml:space="preserve">10.1016/j.actaastro.2016.11.017</w:t>
        </w:r>
      </w:hyperlink>
    </w:p>
    <w:p>
      <w:pPr>
        <w:pStyle w:val="BodyText"/>
        <w:spacing w:line="480" w:lineRule="auto"/>
        <w:ind w:firstLine="720"/>
      </w:pPr>
      <w:bookmarkStart w:id="195" w:name="ref-33"/>
      <w:bookmarkEnd w:id="195"/>
      <w:r>
        <w:t xml:space="preserve">33. Daan W. A. van den Nieuwenhof; Konstantinos Vergos; Séamus Thierry; Frank J. A. van den Hoogen; Jochen Hinkelbein. Development and proof-of-concept validation of a neutral buoyancy testbed for cricothyrotomy evaluation in microgravity (2026). doi:</w:t>
      </w:r>
      <w:r>
        <w:t xml:space="preserve"> </w:t>
      </w:r>
      <w:hyperlink r:id="rId196">
        <w:r>
          <w:rPr>
            <w:rStyle w:val="Hyperlink"/>
          </w:rPr>
          <w:t xml:space="preserve">10.1016/j.actaastro.2026.05.029</w:t>
        </w:r>
      </w:hyperlink>
    </w:p>
    <w:p>
      <w:pPr>
        <w:pStyle w:val="BodyText"/>
        <w:spacing w:line="480" w:lineRule="auto"/>
        <w:ind w:firstLine="720"/>
      </w:pPr>
      <w:bookmarkStart w:id="197" w:name="ref-34"/>
      <w:bookmarkEnd w:id="197"/>
      <w:r>
        <w:t xml:space="preserve">34. Giancarlo Genta; Roman Ya. Kezerashvili. Achieving the required mobility in the solar system through direct fusion drive (2020). doi:</w:t>
      </w:r>
      <w:r>
        <w:t xml:space="preserve"> </w:t>
      </w:r>
      <w:hyperlink r:id="rId198">
        <w:r>
          <w:rPr>
            <w:rStyle w:val="Hyperlink"/>
          </w:rPr>
          <w:t xml:space="preserve">10.1016/j.actaastro.2020.04.047</w:t>
        </w:r>
      </w:hyperlink>
    </w:p>
    <w:p>
      <w:pPr>
        <w:pStyle w:val="BodyText"/>
        <w:spacing w:line="480" w:lineRule="auto"/>
        <w:ind w:firstLine="720"/>
      </w:pPr>
      <w:bookmarkStart w:id="199" w:name="ref-35"/>
      <w:bookmarkEnd w:id="199"/>
      <w:r>
        <w:t xml:space="preserve">35. Meng Yu; Shuang Li; Xiangyu Huang; Shuquan Wang. A novel inertial-aided feature detection model for autonomous navigation in planetary landing (2018). doi:</w:t>
      </w:r>
      <w:r>
        <w:t xml:space="preserve"> </w:t>
      </w:r>
      <w:hyperlink r:id="rId200">
        <w:r>
          <w:rPr>
            <w:rStyle w:val="Hyperlink"/>
          </w:rPr>
          <w:t xml:space="preserve">10.1016/j.actaastro.2018.09.022</w:t>
        </w:r>
      </w:hyperlink>
    </w:p>
    <w:bookmarkEnd w:id="201"/>
    <w:bookmarkEnd w:id="202"/>
    <w:bookmarkStart w:id="21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0" w:name="X50098566f812f18696d54eb950b5da585d9a158"/>
    <w:p>
      <w:pPr>
        <w:pStyle w:val="Heading2"/>
        <w:spacing w:line="480" w:lineRule="auto"/>
      </w:pPr>
      <w:r>
        <w:t xml:space="preserve">A.1 Learning Curves in Planetary Instrument Heritage Lineages: A Log-Log Estimate of the Cost Slope Across Cumulative Builds</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cum_build</m:t>
              </m:r>
            </m:e>
            <m:sub>
              <m:r>
                <m:t>i</m:t>
              </m:r>
            </m:sub>
          </m:sSub>
          <m:r>
            <m:rPr>
              <m:sty m:val="p"/>
            </m:rPr>
            <m:t>)</m:t>
          </m:r>
          <m:r>
            <m:rPr>
              <m:sty m:val="p"/>
            </m:rPr>
            <m:t>+</m:t>
          </m:r>
          <m:sSub>
            <m:e>
              <m:r>
                <m:t>ε</m:t>
              </m:r>
            </m:e>
            <m:sub>
              <m:r>
                <m:t>i</m:t>
              </m:r>
            </m:sub>
          </m:sSub>
        </m:oMath>
      </m:oMathPara>
    </w:p>
    <w:bookmarkStart w:id="20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2.6356</w:t>
            </w:r>
          </w:p>
        </w:tc>
        <w:tc>
          <w:tcPr>
            <w:tcW w:w="0" w:type="auto"/>
          </w:tcPr>
          <w:p>
            <w:pPr>
              <w:spacing w:line="240" w:lineRule="auto" w:before="0" w:after="0"/>
              <w:pStyle w:val="Compact"/>
            </w:pPr>
            <w:r>
              <w:rPr>
                <w:sz w:val="20"/>
                <w:szCs w:val="20"/>
              </w:rPr>
              <w:t xml:space="preserve">0.3606</w:t>
            </w:r>
          </w:p>
        </w:tc>
        <w:tc>
          <w:tcPr>
            <w:tcW w:w="0" w:type="auto"/>
          </w:tcPr>
          <w:p>
            <w:pPr>
              <w:spacing w:line="240" w:lineRule="auto" w:before="0" w:after="0"/>
              <w:pStyle w:val="Compact"/>
            </w:pPr>
            <w:r>
              <w:rPr>
                <w:sz w:val="20"/>
                <w:szCs w:val="20"/>
              </w:rPr>
              <w:t xml:space="preserve">7.3098</w:t>
            </w:r>
          </w:p>
        </w:tc>
        <w:tc>
          <w:tcPr>
            <w:tcW w:w="0" w:type="auto"/>
          </w:tcPr>
          <w:p>
            <w:pPr>
              <w:spacing w:line="240" w:lineRule="auto" w:before="0" w:after="0"/>
              <w:pStyle w:val="Compact"/>
            </w:pPr>
            <w:r>
              <w:rPr>
                <w:sz w:val="20"/>
                <w:szCs w:val="20"/>
              </w:rPr>
              <w:t xml:space="preserve">2.676e-13</w:t>
            </w:r>
          </w:p>
        </w:tc>
        <w:tc>
          <w:tcPr>
            <w:tcW w:w="0" w:type="auto"/>
          </w:tcPr>
          <w:p>
            <w:pPr>
              <w:spacing w:line="240" w:lineRule="auto" w:before="0" w:after="0"/>
              <w:pStyle w:val="Compact"/>
            </w:pPr>
            <w:r>
              <w:rPr>
                <w:sz w:val="20"/>
                <w:szCs w:val="20"/>
              </w:rPr>
              <w:t xml:space="preserve">[1.9289, 3.3423]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-0.3196</w:t>
            </w:r>
          </w:p>
        </w:tc>
        <w:tc>
          <w:tcPr>
            <w:tcW w:w="0" w:type="auto"/>
          </w:tcPr>
          <w:p>
            <w:pPr>
              <w:spacing w:line="240" w:lineRule="auto" w:before="0" w:after="0"/>
              <w:pStyle w:val="Compact"/>
            </w:pPr>
            <w:r>
              <w:rPr>
                <w:sz w:val="20"/>
                <w:szCs w:val="20"/>
              </w:rPr>
              <w:t xml:space="preserve">0.2068</w:t>
            </w:r>
          </w:p>
        </w:tc>
        <w:tc>
          <w:tcPr>
            <w:tcW w:w="0" w:type="auto"/>
          </w:tcPr>
          <w:p>
            <w:pPr>
              <w:spacing w:line="240" w:lineRule="auto" w:before="0" w:after="0"/>
              <w:pStyle w:val="Compact"/>
            </w:pPr>
            <w:r>
              <w:rPr>
                <w:sz w:val="20"/>
                <w:szCs w:val="20"/>
              </w:rPr>
              <w:t xml:space="preserve">-1.5454</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[-0.7249, 0.0857]</w:t>
            </w:r>
          </w:p>
        </w:tc>
      </w:tr>
    </w:tbl>
    <w:p>
      <w:pPr>
        <w:pStyle w:val="BodyText"/>
        <w:spacing w:line="480" w:lineRule="auto"/>
        <w:ind w:firstLine="720"/>
      </w:pPr>
      <w:r>
        <w:t xml:space="preserve">Fit: N = 21 R2 = 0.0966 elasticity_b = -0.3196 progress_ratio_2^b = 0.8013</w:t>
      </w:r>
    </w:p>
    <w:bookmarkEnd w:id="203"/>
    <w:bookmarkStart w:id="20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Log-log learning curve of recurring planetary-instrument cost against cumulative build number within heritage lineages, with fitted slope." title="" id="205" name="Picture"/>
            <a:graphic>
              <a:graphicData uri="http://schemas.openxmlformats.org/drawingml/2006/picture">
                <pic:pic>
                  <pic:nvPicPr>
                    <pic:cNvPr descr="D:/Claude_Code/brain/collegium/candidates/dissertations/JPL_PLANETARY_01/research_papers/p1/paper_fig1.png" id="206" name="Picture"/>
                    <pic:cNvPicPr>
                      <a:picLocks noChangeArrowheads="1" noChangeAspect="1"/>
                    </pic:cNvPicPr>
                  </pic:nvPicPr>
                  <pic:blipFill>
                    <a:blip r:embed="rId20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Log-log learning curve of recurring planetary-instrument cost against cumulative build number within heritage lineages, with fitted slope.</w:t>
      </w:r>
    </w:p>
    <w:bookmarkEnd w:id="207"/>
    <w:bookmarkStart w:id="20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build_year</w:t>
            </w:r>
          </w:p>
        </w:tc>
        <w:tc>
          <w:tcPr>
            <w:tcW w:w="0" w:type="auto"/>
          </w:tcPr>
          <w:p>
            <w:pPr>
              <w:spacing w:line="240" w:lineRule="auto" w:before="0" w:after="0"/>
              <w:pStyle w:val="Compact"/>
            </w:pPr>
            <w:r>
              <w:rPr>
                <w:sz w:val="20"/>
                <w:szCs w:val="20"/>
              </w:rPr>
              <w:t xml:space="preserve">cum_build</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cost_musd_fy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MOC</w:t>
            </w:r>
          </w:p>
        </w:tc>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Malin et al. JGR 2001 MOC (mass ~21 kg incl WA/NA); MOC build for MGS; cost approx. from MGS instrument records, https://en.wikipedia.org/wiki/Mars_Global_Surveyor [illustrative cost]</w:t>
            </w:r>
          </w:p>
        </w:tc>
      </w:tr>
      <w:tr>
        <w:tc>
          <w:tcPr>
            <w:tcW w:w="0" w:type="auto"/>
          </w:tcPr>
          <w:p>
            <w:pPr>
              <w:spacing w:line="240" w:lineRule="auto" w:before="0" w:after="0"/>
              <w:pStyle w:val="Compact"/>
            </w:pPr>
            <w:r>
              <w:rPr>
                <w:sz w:val="20"/>
                <w:szCs w:val="20"/>
              </w:rPr>
              <w:t xml:space="preserve">MARCI</w:t>
            </w:r>
          </w:p>
        </w:tc>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MARCI first build for MCO; MSSS, https://www.msss.com/all_projects/mro-ctx.php [illustrative cost]</w:t>
            </w:r>
          </w:p>
        </w:tc>
      </w:tr>
      <w:tr>
        <w:tc>
          <w:tcPr>
            <w:tcW w:w="0" w:type="auto"/>
          </w:tcPr>
          <w:p>
            <w:pPr>
              <w:spacing w:line="240" w:lineRule="auto" w:before="0" w:after="0"/>
              <w:pStyle w:val="Compact"/>
            </w:pPr>
            <w:r>
              <w:rPr>
                <w:sz w:val="20"/>
                <w:szCs w:val="20"/>
              </w:rPr>
              <w:t xml:space="preserve">MARDI</w:t>
            </w:r>
          </w:p>
        </w:tc>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MARDI MPL technical description, https://www.msss.com/mars_images/mardi_mpl/mardi_hardware/description/tech_details/index.html [illustrative cost]</w:t>
            </w:r>
          </w:p>
        </w:tc>
      </w:tr>
      <w:tr>
        <w:tc>
          <w:tcPr>
            <w:tcW w:w="0" w:type="auto"/>
          </w:tcPr>
          <w:p>
            <w:pPr>
              <w:spacing w:line="240" w:lineRule="auto" w:before="0" w:after="0"/>
              <w:pStyle w:val="Compact"/>
            </w:pPr>
            <w:r>
              <w:rPr>
                <w:sz w:val="20"/>
                <w:szCs w:val="20"/>
              </w:rPr>
              <w:t xml:space="preserve">MARCI_MRO</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MARCI WA re-flown on MRO (heritage re-flight of MCO MARCI), https://www.msss.com/all_projects/mro-ctx.php [illustrative cost]</w:t>
            </w:r>
          </w:p>
        </w:tc>
      </w:tr>
      <w:tr>
        <w:tc>
          <w:tcPr>
            <w:tcW w:w="0" w:type="auto"/>
          </w:tcPr>
          <w:p>
            <w:pPr>
              <w:spacing w:line="240" w:lineRule="auto" w:before="0" w:after="0"/>
              <w:pStyle w:val="Compact"/>
            </w:pPr>
            <w:r>
              <w:rPr>
                <w:sz w:val="20"/>
                <w:szCs w:val="20"/>
              </w:rPr>
              <w:t xml:space="preserve">CTX</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MSSS CTX Context Camera for MRO, https://www.msss.com/all_projects/mro-ctx.php [illustrative cost]</w:t>
            </w:r>
          </w:p>
        </w:tc>
      </w:tr>
      <w:tr>
        <w:tc>
          <w:tcPr>
            <w:tcW w:w="0" w:type="auto"/>
          </w:tcPr>
          <w:p>
            <w:pPr>
              <w:spacing w:line="240" w:lineRule="auto" w:before="0" w:after="0"/>
              <w:pStyle w:val="Compact"/>
            </w:pPr>
            <w:r>
              <w:rPr>
                <w:sz w:val="20"/>
                <w:szCs w:val="20"/>
              </w:rPr>
              <w:t xml:space="preserve">LROC_NAC</w:t>
            </w:r>
          </w:p>
        </w:tc>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MSSS LROC for LRO, https://en.wikipedia.org/wiki/Malin_Space_Science_Systems [illustrative cost]</w:t>
            </w:r>
          </w:p>
        </w:tc>
      </w:tr>
      <w:tr>
        <w:tc>
          <w:tcPr>
            <w:tcW w:w="0" w:type="auto"/>
          </w:tcPr>
          <w:p>
            <w:pPr>
              <w:spacing w:line="240" w:lineRule="auto" w:before="0" w:after="0"/>
              <w:pStyle w:val="Compact"/>
            </w:pPr>
            <w:r>
              <w:rPr>
                <w:sz w:val="20"/>
                <w:szCs w:val="20"/>
              </w:rPr>
              <w:t xml:space="preserve">Mastcam</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$17.0M (current-year) MSSS contract with JPL, MSSS Mastcam project page, https://www.msss.com/all_projects/msl-mastcam.php</w:t>
            </w:r>
          </w:p>
        </w:tc>
      </w:tr>
      <w:tr>
        <w:tc>
          <w:tcPr>
            <w:tcW w:w="0" w:type="auto"/>
          </w:tcPr>
          <w:p>
            <w:pPr>
              <w:spacing w:line="240" w:lineRule="auto" w:before="0" w:after="0"/>
              <w:pStyle w:val="Compact"/>
            </w:pPr>
            <w:r>
              <w:rPr>
                <w:sz w:val="20"/>
                <w:szCs w:val="20"/>
              </w:rPr>
              <w:t xml:space="preserve">MAHLI</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MAHLI shares design/parts/labor with Mastcam/MARDI (Edgett et al. 2012 SSR), https://link.springer.com/article/10.1007/s11214-012-9910-4 [illustrative cost]</w:t>
            </w:r>
          </w:p>
        </w:tc>
      </w:tr>
      <w:tr>
        <w:tc>
          <w:tcPr>
            <w:tcW w:w="0" w:type="auto"/>
          </w:tcPr>
          <w:p>
            <w:pPr>
              <w:spacing w:line="240" w:lineRule="auto" w:before="0" w:after="0"/>
              <w:pStyle w:val="Compact"/>
            </w:pPr>
            <w:r>
              <w:rPr>
                <w:sz w:val="20"/>
                <w:szCs w:val="20"/>
              </w:rPr>
              <w:t xml:space="preserve">MARDI_MSL</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MARDI cost $7.9M (MSSS under JPL contract); mass &lt;500 g, MSSS/SpaceNews and MSSS MARDI desc, https://www.msss.com/science/msl-mardi-instrument-description.php</w:t>
            </w:r>
          </w:p>
        </w:tc>
      </w:tr>
      <w:tr>
        <w:tc>
          <w:tcPr>
            <w:tcW w:w="0" w:type="auto"/>
          </w:tcPr>
          <w:p>
            <w:pPr>
              <w:spacing w:line="240" w:lineRule="auto" w:before="0" w:after="0"/>
              <w:pStyle w:val="Compact"/>
            </w:pPr>
            <w:r>
              <w:rPr>
                <w:sz w:val="20"/>
                <w:szCs w:val="20"/>
              </w:rPr>
              <w:t xml:space="preserve">JunoCam</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JunoCam electronics/interfaces based on MSL Mastcam/MARDI heritage to keep cost low (Hansen et al. 2017 SSR), https://link.springer.com/article/10.1007/s11214-014-0079-x [illustrative cost]</w:t>
            </w:r>
          </w:p>
        </w:tc>
      </w:tr>
      <w:tr>
        <w:tc>
          <w:tcPr>
            <w:tcW w:w="0" w:type="auto"/>
          </w:tcPr>
          <w:p>
            <w:pPr>
              <w:spacing w:line="240" w:lineRule="auto" w:before="0" w:after="0"/>
              <w:pStyle w:val="Compact"/>
            </w:pPr>
            <w:r>
              <w:rPr>
                <w:sz w:val="20"/>
                <w:szCs w:val="20"/>
              </w:rPr>
              <w:t xml:space="preserve">OCAMS</w:t>
            </w:r>
          </w:p>
        </w:tc>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MSSS delivered OCAMS/TAGCAMS camera system for OSIRIS-REx, https://spacenews.com/malin-space-science-systems-delivers-camera-system-for-osiris-rex-asteroid-sample-return-mission/ [illustrative cost]</w:t>
            </w:r>
          </w:p>
        </w:tc>
      </w:tr>
      <w:tr>
        <w:tc>
          <w:tcPr>
            <w:tcW w:w="0" w:type="auto"/>
          </w:tcPr>
          <w:p>
            <w:pPr>
              <w:spacing w:line="240" w:lineRule="auto" w:before="0" w:after="0"/>
              <w:pStyle w:val="Compact"/>
            </w:pPr>
            <w:r>
              <w:rPr>
                <w:sz w:val="20"/>
                <w:szCs w:val="20"/>
              </w:rPr>
              <w:t xml:space="preserve">Mastcam-Z</w:t>
            </w:r>
          </w:p>
        </w:tc>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Mastcam-Z high-heritage evolution of MSL Mastcam; camera heads 1.38 kg each + DEA 1.47 kg, https://mastcamz.asu.edu/cameras/tech-specs/ [illustrative cost]</w:t>
            </w:r>
          </w:p>
        </w:tc>
      </w:tr>
      <w:tr>
        <w:tc>
          <w:tcPr>
            <w:tcW w:w="0" w:type="auto"/>
          </w:tcPr>
          <w:p>
            <w:pPr>
              <w:spacing w:line="240" w:lineRule="auto" w:before="0" w:after="0"/>
              <w:pStyle w:val="Compact"/>
            </w:pPr>
            <w:r>
              <w:rPr>
                <w:sz w:val="20"/>
                <w:szCs w:val="20"/>
              </w:rPr>
              <w:t xml:space="preserve">Pancam_Spirit</w:t>
            </w:r>
          </w:p>
        </w:tc>
        <w:tc>
          <w:tcPr>
            <w:tcW w:w="0" w:type="auto"/>
          </w:tcPr>
          <w:p>
            <w:pPr>
              <w:spacing w:line="240" w:lineRule="auto" w:before="0" w:after="0"/>
              <w:pStyle w:val="Compact"/>
            </w:pPr>
            <w:r>
              <w:rPr>
                <w:sz w:val="20"/>
                <w:szCs w:val="20"/>
              </w:rPr>
              <w:t xml:space="preserve">MER-A Spirit</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MER Pancam total mass 267 g per camera (Bell et al. 2003 JGR), https://agupubs.onlinelibrary.wiley.com/doi/full/10.1029/2003JE002070 [illustrative cost]</w:t>
            </w:r>
          </w:p>
        </w:tc>
      </w:tr>
      <w:tr>
        <w:tc>
          <w:tcPr>
            <w:tcW w:w="0" w:type="auto"/>
          </w:tcPr>
          <w:p>
            <w:pPr>
              <w:spacing w:line="240" w:lineRule="auto" w:before="0" w:after="0"/>
              <w:pStyle w:val="Compact"/>
            </w:pPr>
            <w:r>
              <w:rPr>
                <w:sz w:val="20"/>
                <w:szCs w:val="20"/>
              </w:rPr>
              <w:t xml:space="preserve">Pancam_Opportunity</w:t>
            </w:r>
          </w:p>
        </w:tc>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Second-build Pancam (identical design, MER-B); mass per Bell et al. 2003 JGR, https://agupubs.onlinelibrary.wiley.com/doi/full/10.1029/2003JE002070 [illustrative cost]</w:t>
            </w:r>
          </w:p>
        </w:tc>
      </w:tr>
      <w:tr>
        <w:tc>
          <w:tcPr>
            <w:tcW w:w="0" w:type="auto"/>
          </w:tcPr>
          <w:p>
            <w:pPr>
              <w:spacing w:line="240" w:lineRule="auto" w:before="0" w:after="0"/>
              <w:pStyle w:val="Compact"/>
            </w:pPr>
            <w:r>
              <w:rPr>
                <w:sz w:val="20"/>
                <w:szCs w:val="20"/>
              </w:rPr>
              <w:t xml:space="preserve">Navcam_MSL</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MSL Navcam built on MER engineering-camera heritage (JPL), https://an.rsl.wustl.edu/help/Content/About%20the%20mission/MSL/Instruments/MSL%20Navcam.htm [illustrative cost]</w:t>
            </w:r>
          </w:p>
        </w:tc>
      </w:tr>
      <w:tr>
        <w:tc>
          <w:tcPr>
            <w:tcW w:w="0" w:type="auto"/>
          </w:tcPr>
          <w:p>
            <w:pPr>
              <w:spacing w:line="240" w:lineRule="auto" w:before="0" w:after="0"/>
              <w:pStyle w:val="Compact"/>
            </w:pPr>
            <w:r>
              <w:rPr>
                <w:sz w:val="20"/>
                <w:szCs w:val="20"/>
              </w:rPr>
              <w:t xml:space="preserve">Navcam_M2020</w:t>
            </w:r>
          </w:p>
        </w:tc>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Mars 2020 engineering cameras evolve MER/MSL Navcam heritage (Maki et al. 2020), https://link.springer.com/article/10.1007/s11214-020-00765-9 [illustrative cost]</w:t>
            </w:r>
          </w:p>
        </w:tc>
      </w:tr>
      <w:tr>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LIBS_lineage</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ChemCam LIBS suite (Wiens et al. 2012 SSR); mass ~10.6 kg, https://link.springer.com/article/10.1007/s11214-012-9912-2 [illustrative cost]</w:t>
            </w:r>
          </w:p>
        </w:tc>
      </w:tr>
      <w:tr>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LIBS_lineage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SuperCam improved version of ChemCam; 10.7 kg (mast 5.9 + body 4.8), https://link.springer.com/article/10.1007/s11214-021-00807-w [illustrative cost]</w:t>
            </w:r>
          </w:p>
        </w:tc>
      </w:tr>
      <w:tr>
        <w:tc>
          <w:tcPr>
            <w:tcW w:w="0" w:type="auto"/>
          </w:tcPr>
          <w:p>
            <w:pPr>
              <w:spacing w:line="240" w:lineRule="auto" w:before="0" w:after="0"/>
              <w:pStyle w:val="Compact"/>
            </w:pPr>
            <w:r>
              <w:rPr>
                <w:sz w:val="20"/>
                <w:szCs w:val="20"/>
              </w:rPr>
              <w:t xml:space="preserve">OMEGA</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VISIR_spectrometer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OMEGA VISIR imaging spectrometer on Mars Express (Bibring et al. 2004), mass ~28.6 kg, https://en.wikipedia.org/wiki/OMEGA_(spectrometer) [illustrative cost]</w:t>
            </w:r>
          </w:p>
        </w:tc>
      </w:tr>
      <w:tr>
        <w:tc>
          <w:tcPr>
            <w:tcW w:w="0" w:type="auto"/>
          </w:tcPr>
          <w:p>
            <w:pPr>
              <w:spacing w:line="240" w:lineRule="auto" w:before="0" w:after="0"/>
              <w:pStyle w:val="Compact"/>
            </w:pPr>
            <w:r>
              <w:rPr>
                <w:sz w:val="20"/>
                <w:szCs w:val="20"/>
              </w:rPr>
              <w:t xml:space="preserve">CRISM</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VISIR_spectrometer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CRISM hyperspectral imager on MRO (Murchie et al. 2007 JGR); OSU/DPU/GME, mass ~32 kg, https://en.wikipedia.org/wiki/Compact_Reconnaissance_Imaging_Spectrometer_for_Mars [illustrative cost]</w:t>
            </w:r>
          </w:p>
        </w:tc>
      </w:tr>
      <w:tr>
        <w:tc>
          <w:tcPr>
            <w:tcW w:w="0" w:type="auto"/>
          </w:tcPr>
          <w:p>
            <w:pPr>
              <w:spacing w:line="240" w:lineRule="auto" w:before="0" w:after="0"/>
              <w:pStyle w:val="Compact"/>
            </w:pPr>
            <w:r>
              <w:rPr>
                <w:sz w:val="20"/>
                <w:szCs w:val="20"/>
              </w:rPr>
              <w:t xml:space="preserve">HiRISE</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UA_telescopic_imager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HiRISE $40M instrument, Ball Aerospace/UA LPL; mass 64.2 kg, https://en.wikipedia.org/wiki/HiRISE</w:t>
            </w:r>
          </w:p>
        </w:tc>
      </w:tr>
    </w:tbl>
    <w:bookmarkEnd w:id="208"/>
    <w:bookmarkStart w:id="20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cost_musd_fy</w:t>
            </w:r>
          </w:p>
        </w:tc>
        <w:tc>
          <w:tcPr>
            <w:tcW w:w="0" w:type="auto"/>
          </w:tcPr>
          <w:p>
            <w:pPr>
              <w:spacing w:line="240" w:lineRule="auto" w:before="0" w:after="0"/>
              <w:pStyle w:val="Compact"/>
            </w:pPr>
            <w:r>
              <w:rPr>
                <w:sz w:val="20"/>
                <w:szCs w:val="20"/>
              </w:rPr>
              <w:t xml:space="preserve">Recurring instrument development cost in current-year (then-year) USD millions</w:t>
            </w:r>
          </w:p>
        </w:tc>
        <w:tc>
          <w:tcPr>
            <w:tcW w:w="0" w:type="auto"/>
          </w:tcPr>
          <w:p>
            <w:pPr>
              <w:spacing w:line="240" w:lineRule="auto" w:before="0" w:after="0"/>
              <w:pStyle w:val="Compact"/>
            </w:pPr>
            <w:r>
              <w:rPr>
                <w:sz w:val="20"/>
                <w:szCs w:val="20"/>
              </w:rPr>
              <w:t xml:space="preserve">Public contract/development values where released (Mastcam $17.0M, MARDI $7.9M, HiRISE $40M); otherwise reconstructed and marked [illustrative]</w:t>
            </w:r>
          </w:p>
        </w:tc>
      </w:tr>
      <w:tr>
        <w:tc>
          <w:tcPr>
            <w:tcW w:w="0" w:type="auto"/>
          </w:tcPr>
          <w:p>
            <w:pPr>
              <w:spacing w:line="240" w:lineRule="auto" w:before="0" w:after="0"/>
              <w:pStyle w:val="Compact"/>
            </w:pPr>
            <w:r>
              <w:rPr>
                <w:sz w:val="20"/>
                <w:szCs w:val="20"/>
              </w:rPr>
              <w:t xml:space="preserve">cum_build</w:t>
            </w:r>
          </w:p>
        </w:tc>
        <w:tc>
          <w:tcPr>
            <w:tcW w:w="0" w:type="auto"/>
          </w:tcPr>
          <w:p>
            <w:pPr>
              <w:spacing w:line="240" w:lineRule="auto" w:before="0" w:after="0"/>
              <w:pStyle w:val="Compact"/>
            </w:pPr>
            <w:r>
              <w:rPr>
                <w:sz w:val="20"/>
                <w:szCs w:val="20"/>
              </w:rPr>
              <w:t xml:space="preserve">Cumulative build number within a heritage lineage, ranked by delivery year</w:t>
            </w:r>
          </w:p>
        </w:tc>
        <w:tc>
          <w:tcPr>
            <w:tcW w:w="0" w:type="auto"/>
          </w:tcPr>
          <w:p>
            <w:pPr>
              <w:spacing w:line="240" w:lineRule="auto" w:before="0" w:after="0"/>
              <w:pStyle w:val="Compact"/>
            </w:pPr>
            <w:r>
              <w:rPr>
                <w:sz w:val="20"/>
                <w:szCs w:val="20"/>
              </w:rPr>
              <w:t xml:space="preserve">Within-lineage delivery-order rank coded from documented design ancestry (MSSS imaging, JPL MER imaging, ChemCam-to-SuperCam LIBS, VISIR spectrometer, UA telescopic imager)</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Delivered instrument mass in kilograms</w:t>
            </w:r>
          </w:p>
        </w:tc>
        <w:tc>
          <w:tcPr>
            <w:tcW w:w="0" w:type="auto"/>
          </w:tcPr>
          <w:p>
            <w:pPr>
              <w:spacing w:line="240" w:lineRule="auto" w:before="0" w:after="0"/>
              <w:pStyle w:val="Compact"/>
            </w:pPr>
            <w:r>
              <w:rPr>
                <w:sz w:val="20"/>
                <w:szCs w:val="20"/>
              </w:rPr>
              <w:t xml:space="preserve">Instrument papers and project pages (e.g., MER Pancam 0.267 kg, SuperCam 10.7 kg, HiRISE 64.2 kg, MARDI &lt;0.5 kg, Mastcam-Z heads 1.38 kg + DEA 1.47 kg)</w:t>
            </w:r>
          </w:p>
        </w:tc>
      </w:tr>
      <w:tr>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Ordinal instrument-complexity index: 1 = single small camera, 2 = multi-head/facility imager, 3 = spectrometer or large telescopic suite</w:t>
            </w:r>
          </w:p>
        </w:tc>
        <w:tc>
          <w:tcPr>
            <w:tcW w:w="0" w:type="auto"/>
          </w:tcPr>
          <w:p>
            <w:pPr>
              <w:spacing w:line="240" w:lineRule="auto" w:before="0" w:after="0"/>
              <w:pStyle w:val="Compact"/>
            </w:pPr>
            <w:r>
              <w:rPr>
                <w:sz w:val="20"/>
                <w:szCs w:val="20"/>
              </w:rPr>
              <w:t xml:space="preserve">Coded from instrument type following the practice of building cost relationships from heritage instrument analogs</w:t>
            </w:r>
          </w:p>
        </w:tc>
      </w:tr>
      <w:tr>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Heritage lineage identifier grouping instruments that share documented design ancestry</w:t>
            </w:r>
          </w:p>
        </w:tc>
        <w:tc>
          <w:tcPr>
            <w:tcW w:w="0" w:type="auto"/>
          </w:tcPr>
          <w:p>
            <w:pPr>
              <w:spacing w:line="240" w:lineRule="auto" w:before="0" w:after="0"/>
              <w:pStyle w:val="Compact"/>
            </w:pPr>
            <w:r>
              <w:rPr>
                <w:sz w:val="20"/>
                <w:szCs w:val="20"/>
              </w:rPr>
              <w:t xml:space="preserve">Coded from delivered-design heritage statements in instrument papers and vendor project pages</w:t>
            </w:r>
          </w:p>
        </w:tc>
      </w:tr>
      <w:tr>
        <w:tc>
          <w:tcPr>
            <w:tcW w:w="0" w:type="auto"/>
          </w:tcPr>
          <w:p>
            <w:pPr>
              <w:spacing w:line="240" w:lineRule="auto" w:before="0" w:after="0"/>
              <w:pStyle w:val="Compact"/>
            </w:pPr>
            <w:r>
              <w:rPr>
                <w:sz w:val="20"/>
                <w:szCs w:val="20"/>
              </w:rPr>
              <w:t xml:space="preserve">build_year</w:t>
            </w:r>
          </w:p>
        </w:tc>
        <w:tc>
          <w:tcPr>
            <w:tcW w:w="0" w:type="auto"/>
          </w:tcPr>
          <w:p>
            <w:pPr>
              <w:spacing w:line="240" w:lineRule="auto" w:before="0" w:after="0"/>
              <w:pStyle w:val="Compact"/>
            </w:pPr>
            <w:r>
              <w:rPr>
                <w:sz w:val="20"/>
                <w:szCs w:val="20"/>
              </w:rPr>
              <w:t xml:space="preserve">Year the instrument build was delivered or its mission launched</w:t>
            </w:r>
          </w:p>
        </w:tc>
        <w:tc>
          <w:tcPr>
            <w:tcW w:w="0" w:type="auto"/>
          </w:tcPr>
          <w:p>
            <w:pPr>
              <w:spacing w:line="240" w:lineRule="auto" w:before="0" w:after="0"/>
              <w:pStyle w:val="Compact"/>
            </w:pPr>
            <w:r>
              <w:rPr>
                <w:sz w:val="20"/>
                <w:szCs w:val="20"/>
              </w:rPr>
              <w:t xml:space="preserve">Mission and instrument documentation</w:t>
            </w:r>
          </w:p>
        </w:tc>
      </w:tr>
    </w:tbl>
    <w:bookmarkEnd w:id="209"/>
    <w:bookmarkEnd w:id="210"/>
    <w:bookmarkStart w:id="218" w:name="X92ff8d0691b1f4466ff7e5114f0c2b09086b50f"/>
    <w:p>
      <w:pPr>
        <w:pStyle w:val="Heading2"/>
        <w:spacing w:line="480" w:lineRule="auto"/>
      </w:pPr>
      <w:r>
        <w:t xml:space="preserve">A.2 Heritage Repetition Net of Scale: A Multivariate Cost Elasticity for Planetary Instrument Lineages</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sSub>
            <m:e>
              <m:r>
                <m:t>β</m:t>
              </m:r>
            </m:e>
            <m:sub>
              <m:r>
                <m:t>1</m:t>
              </m:r>
            </m:sub>
          </m:sSub>
          <m:r>
            <m:t> </m:t>
          </m:r>
          <m:r>
            <m:rPr>
              <m:sty m:val="p"/>
            </m:rPr>
            <m:t>ln</m:t>
          </m:r>
          <m:r>
            <m:rPr>
              <m:sty m:val="p"/>
            </m:rPr>
            <m:t>(</m:t>
          </m:r>
          <m:sSub>
            <m:e>
              <m:r>
                <m:rPr>
                  <m:nor/>
                  <m:sty m:val="p"/>
                </m:rPr>
                <m:t>cum_build</m:t>
              </m:r>
            </m:e>
            <m:sub>
              <m:r>
                <m:t>i</m:t>
              </m:r>
            </m:sub>
          </m:sSub>
          <m:r>
            <m:rPr>
              <m:sty m:val="p"/>
            </m:rPr>
            <m:t>)</m:t>
          </m:r>
          <m:r>
            <m:rPr>
              <m:sty m:val="p"/>
            </m:rPr>
            <m:t>+</m:t>
          </m:r>
          <m:sSub>
            <m:e>
              <m:r>
                <m:t>β</m:t>
              </m:r>
            </m:e>
            <m:sub>
              <m:r>
                <m:t>2</m:t>
              </m:r>
            </m:sub>
          </m:sSub>
          <m:r>
            <m:t> </m:t>
          </m:r>
          <m:r>
            <m:rPr>
              <m:sty m:val="p"/>
            </m:rPr>
            <m:t>ln</m:t>
          </m:r>
          <m:r>
            <m:rPr>
              <m:sty m:val="p"/>
            </m:rPr>
            <m:t>(</m:t>
          </m:r>
          <m:sSub>
            <m:e>
              <m:r>
                <m:rPr>
                  <m:nor/>
                  <m:sty m:val="p"/>
                </m:rPr>
                <m:t>mass</m:t>
              </m:r>
            </m:e>
            <m:sub>
              <m:r>
                <m:t>i</m:t>
              </m:r>
            </m:sub>
          </m:sSub>
          <m:r>
            <m:rPr>
              <m:sty m:val="p"/>
            </m:rPr>
            <m:t>)</m:t>
          </m:r>
          <m:r>
            <m:rPr>
              <m:sty m:val="p"/>
            </m:rPr>
            <m:t>+</m:t>
          </m:r>
          <m:sSub>
            <m:e>
              <m:r>
                <m:t>β</m:t>
              </m:r>
            </m:e>
            <m:sub>
              <m:r>
                <m:t>3</m:t>
              </m:r>
            </m:sub>
          </m:sSub>
          <m:r>
            <m:t> </m:t>
          </m:r>
          <m:sSub>
            <m:e>
              <m:r>
                <m:rPr>
                  <m:nor/>
                  <m:sty m:val="p"/>
                </m:rPr>
                <m:t>complexity</m:t>
              </m:r>
            </m:e>
            <m:sub>
              <m:r>
                <m:t>i</m:t>
              </m:r>
            </m:sub>
          </m:sSub>
          <m:r>
            <m:rPr>
              <m:sty m:val="p"/>
            </m:rPr>
            <m:t>+</m:t>
          </m:r>
          <m:sSub>
            <m:e>
              <m:r>
                <m:t>ε</m:t>
              </m:r>
            </m:e>
            <m:sub>
              <m:r>
                <m:t>i</m:t>
              </m:r>
            </m:sub>
          </m:sSub>
        </m:oMath>
      </m:oMathPara>
    </w:p>
    <w:bookmarkStart w:id="21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1.457</w:t>
            </w:r>
          </w:p>
        </w:tc>
        <w:tc>
          <w:tcPr>
            <w:tcW w:w="0" w:type="auto"/>
          </w:tcPr>
          <w:p>
            <w:pPr>
              <w:spacing w:line="240" w:lineRule="auto" w:before="0" w:after="0"/>
              <w:pStyle w:val="Compact"/>
            </w:pPr>
            <w:r>
              <w:rPr>
                <w:sz w:val="20"/>
                <w:szCs w:val="20"/>
              </w:rPr>
              <w:t xml:space="preserve">0.2348</w:t>
            </w:r>
          </w:p>
        </w:tc>
        <w:tc>
          <w:tcPr>
            <w:tcW w:w="0" w:type="auto"/>
          </w:tcPr>
          <w:p>
            <w:pPr>
              <w:spacing w:line="240" w:lineRule="auto" w:before="0" w:after="0"/>
              <w:pStyle w:val="Compact"/>
            </w:pPr>
            <w:r>
              <w:rPr>
                <w:sz w:val="20"/>
                <w:szCs w:val="20"/>
              </w:rPr>
              <w:t xml:space="preserve">6.2044</w:t>
            </w:r>
          </w:p>
        </w:tc>
        <w:tc>
          <w:tcPr>
            <w:tcW w:w="0" w:type="auto"/>
          </w:tcPr>
          <w:p>
            <w:pPr>
              <w:spacing w:line="240" w:lineRule="auto" w:before="0" w:after="0"/>
              <w:pStyle w:val="Compact"/>
            </w:pPr>
            <w:r>
              <w:rPr>
                <w:sz w:val="20"/>
                <w:szCs w:val="20"/>
              </w:rPr>
              <w:t xml:space="preserve">5.492e-10</w:t>
            </w:r>
          </w:p>
        </w:tc>
        <w:tc>
          <w:tcPr>
            <w:tcW w:w="0" w:type="auto"/>
          </w:tcPr>
          <w:p>
            <w:pPr>
              <w:spacing w:line="240" w:lineRule="auto" w:before="0" w:after="0"/>
              <w:pStyle w:val="Compact"/>
            </w:pPr>
            <w:r>
              <w:rPr>
                <w:sz w:val="20"/>
                <w:szCs w:val="20"/>
              </w:rPr>
              <w:t xml:space="preserve">[0.9967, 1.9172]</w:t>
            </w:r>
          </w:p>
        </w:tc>
      </w:tr>
      <w:tr>
        <w:tc>
          <w:tcPr>
            <w:tcW w:w="0" w:type="auto"/>
          </w:tcPr>
          <w:p>
            <w:pPr>
              <w:spacing w:line="240" w:lineRule="auto" w:before="0" w:after="0"/>
              <w:pStyle w:val="Compact"/>
            </w:pPr>
            <w:r>
              <w:rPr>
                <w:sz w:val="20"/>
                <w:szCs w:val="20"/>
              </w:rPr>
              <w:t xml:space="preserve">ln_cum_build</w:t>
            </w:r>
          </w:p>
        </w:tc>
        <w:tc>
          <w:tcPr>
            <w:tcW w:w="0" w:type="auto"/>
          </w:tcPr>
          <w:p>
            <w:pPr>
              <w:spacing w:line="240" w:lineRule="auto" w:before="0" w:after="0"/>
              <w:pStyle w:val="Compact"/>
            </w:pPr>
            <w:r>
              <w:rPr>
                <w:sz w:val="20"/>
                <w:szCs w:val="20"/>
              </w:rPr>
              <w:t xml:space="preserve">-0.5222</w:t>
            </w:r>
          </w:p>
        </w:tc>
        <w:tc>
          <w:tcPr>
            <w:tcW w:w="0" w:type="auto"/>
          </w:tcPr>
          <w:p>
            <w:pPr>
              <w:spacing w:line="240" w:lineRule="auto" w:before="0" w:after="0"/>
              <w:pStyle w:val="Compact"/>
            </w:pPr>
            <w:r>
              <w:rPr>
                <w:sz w:val="20"/>
                <w:szCs w:val="20"/>
              </w:rPr>
              <w:t xml:space="preserve">0.1303</w:t>
            </w:r>
          </w:p>
        </w:tc>
        <w:tc>
          <w:tcPr>
            <w:tcW w:w="0" w:type="auto"/>
          </w:tcPr>
          <w:p>
            <w:pPr>
              <w:spacing w:line="240" w:lineRule="auto" w:before="0" w:after="0"/>
              <w:pStyle w:val="Compact"/>
            </w:pPr>
            <w:r>
              <w:rPr>
                <w:sz w:val="20"/>
                <w:szCs w:val="20"/>
              </w:rPr>
              <w:t xml:space="preserve">-4.0064</w:t>
            </w:r>
          </w:p>
        </w:tc>
        <w:tc>
          <w:tcPr>
            <w:tcW w:w="0" w:type="auto"/>
          </w:tcPr>
          <w:p>
            <w:pPr>
              <w:spacing w:line="240" w:lineRule="auto" w:before="0" w:after="0"/>
              <w:pStyle w:val="Compact"/>
            </w:pPr>
            <w:r>
              <w:rPr>
                <w:sz w:val="20"/>
                <w:szCs w:val="20"/>
              </w:rPr>
              <w:t xml:space="preserve">6.165e-05</w:t>
            </w:r>
          </w:p>
        </w:tc>
        <w:tc>
          <w:tcPr>
            <w:tcW w:w="0" w:type="auto"/>
          </w:tcPr>
          <w:p>
            <w:pPr>
              <w:spacing w:line="240" w:lineRule="auto" w:before="0" w:after="0"/>
              <w:pStyle w:val="Compact"/>
            </w:pPr>
            <w:r>
              <w:rPr>
                <w:sz w:val="20"/>
                <w:szCs w:val="20"/>
              </w:rPr>
              <w:t xml:space="preserve">[-0.7776, -0.2667]</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0.0891</w:t>
            </w:r>
          </w:p>
        </w:tc>
        <w:tc>
          <w:tcPr>
            <w:tcW w:w="0" w:type="auto"/>
          </w:tcPr>
          <w:p>
            <w:pPr>
              <w:spacing w:line="240" w:lineRule="auto" w:before="0" w:after="0"/>
              <w:pStyle w:val="Compact"/>
            </w:pPr>
            <w:r>
              <w:rPr>
                <w:sz w:val="20"/>
                <w:szCs w:val="20"/>
              </w:rPr>
              <w:t xml:space="preserve">0.0586</w:t>
            </w:r>
          </w:p>
        </w:tc>
        <w:tc>
          <w:tcPr>
            <w:tcW w:w="0" w:type="auto"/>
          </w:tcPr>
          <w:p>
            <w:pPr>
              <w:spacing w:line="240" w:lineRule="auto" w:before="0" w:after="0"/>
              <w:pStyle w:val="Compact"/>
            </w:pPr>
            <w:r>
              <w:rPr>
                <w:sz w:val="20"/>
                <w:szCs w:val="20"/>
              </w:rPr>
              <w:t xml:space="preserve">1.5214</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[-0.0257, 0.204]</w:t>
            </w:r>
          </w:p>
        </w:tc>
      </w:tr>
      <w:tr>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0.6202</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4.2454</w:t>
            </w:r>
          </w:p>
        </w:tc>
        <w:tc>
          <w:tcPr>
            <w:tcW w:w="0" w:type="auto"/>
          </w:tcPr>
          <w:p>
            <w:pPr>
              <w:spacing w:line="240" w:lineRule="auto" w:before="0" w:after="0"/>
              <w:pStyle w:val="Compact"/>
            </w:pPr>
            <w:r>
              <w:rPr>
                <w:sz w:val="20"/>
                <w:szCs w:val="20"/>
              </w:rPr>
              <w:t xml:space="preserve">2.182e-05</w:t>
            </w:r>
          </w:p>
        </w:tc>
        <w:tc>
          <w:tcPr>
            <w:tcW w:w="0" w:type="auto"/>
          </w:tcPr>
          <w:p>
            <w:pPr>
              <w:spacing w:line="240" w:lineRule="auto" w:before="0" w:after="0"/>
              <w:pStyle w:val="Compact"/>
            </w:pPr>
            <w:r>
              <w:rPr>
                <w:sz w:val="20"/>
                <w:szCs w:val="20"/>
              </w:rPr>
              <w:t xml:space="preserve">[0.3339, 0.9066]</w:t>
            </w:r>
          </w:p>
        </w:tc>
      </w:tr>
    </w:tbl>
    <w:p>
      <w:pPr>
        <w:pStyle w:val="BodyText"/>
        <w:spacing w:line="480" w:lineRule="auto"/>
        <w:ind w:firstLine="720"/>
      </w:pPr>
      <w:r>
        <w:t xml:space="preserve">Fit: N = 24 R2 = 0.8898 R2_adj = 0.8733 F = 114.4988 F_p = 9.17e-13</w:t>
      </w:r>
    </w:p>
    <w:bookmarkEnd w:id="211"/>
    <w:bookmarkStart w:id="21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Log recurring planetary-instrument cost against log cumulative build number; the scatter shows the raw within-lineage repetition pattern that the multivariate model isolates net of mass and complexity." title="" id="213" name="Picture"/>
            <a:graphic>
              <a:graphicData uri="http://schemas.openxmlformats.org/drawingml/2006/picture">
                <pic:pic>
                  <pic:nvPicPr>
                    <pic:cNvPr descr="D:/Claude_Code/brain/collegium/candidates/dissertations/JPL_PLANETARY_01/research_papers/p2/paper_fig1.png" id="214" name="Picture"/>
                    <pic:cNvPicPr>
                      <a:picLocks noChangeArrowheads="1" noChangeAspect="1"/>
                    </pic:cNvPicPr>
                  </pic:nvPicPr>
                  <pic:blipFill>
                    <a:blip r:embed="rId21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Log recurring planetary-instrument cost against log cumulative build number; the scatter shows the raw within-lineage repetition pattern that the multivariate model isolates net of mass and complexity.</w:t>
      </w:r>
    </w:p>
    <w:bookmarkEnd w:id="215"/>
    <w:bookmarkStart w:id="21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cum_build</w:t>
            </w:r>
          </w:p>
        </w:tc>
        <w:tc>
          <w:tcPr>
            <w:tcW w:w="0" w:type="auto"/>
          </w:tcPr>
          <w:p>
            <w:pPr>
              <w:spacing w:line="240" w:lineRule="auto" w:before="0" w:after="0"/>
              <w:pStyle w:val="Compact"/>
            </w:pPr>
            <w:r>
              <w:rPr>
                <w:sz w:val="20"/>
                <w:szCs w:val="20"/>
              </w:rPr>
              <w:t xml:space="preserve">build_year</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cost_musd_fy</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ln_cum_build</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MER Pancam</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2.0541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-1.3205</w:t>
            </w:r>
          </w:p>
        </w:tc>
        <w:tc>
          <w:tcPr>
            <w:tcW w:w="0" w:type="auto"/>
          </w:tcPr>
          <w:p>
            <w:pPr>
              <w:spacing w:line="240" w:lineRule="auto" w:before="0" w:after="0"/>
              <w:pStyle w:val="Compact"/>
            </w:pPr>
            <w:r>
              <w:rPr>
                <w:sz w:val="20"/>
                <w:szCs w:val="20"/>
              </w:rPr>
              <w:t xml:space="preserve">Bell et al. 2003 JGR Pancam investigation, mass 267 g per camera (https://doi.org/10.1029/2003JE002070); per-instrument cost reconstructed from MER Athena payload budget [illustrative]</w:t>
            </w:r>
          </w:p>
        </w:tc>
      </w:tr>
      <w:tr>
        <w:tc>
          <w:tcPr>
            <w:tcW w:w="0" w:type="auto"/>
          </w:tcPr>
          <w:p>
            <w:pPr>
              <w:spacing w:line="240" w:lineRule="auto" w:before="0" w:after="0"/>
              <w:pStyle w:val="Compact"/>
            </w:pPr>
            <w:r>
              <w:rPr>
                <w:sz w:val="20"/>
                <w:szCs w:val="20"/>
              </w:rPr>
              <w:t xml:space="preserve">MSL Navcam</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1.5041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-1.5141</w:t>
            </w:r>
          </w:p>
        </w:tc>
        <w:tc>
          <w:tcPr>
            <w:tcW w:w="0" w:type="auto"/>
          </w:tcPr>
          <w:p>
            <w:pPr>
              <w:spacing w:line="240" w:lineRule="auto" w:before="0" w:after="0"/>
              <w:pStyle w:val="Compact"/>
            </w:pPr>
            <w:r>
              <w:rPr>
                <w:sz w:val="20"/>
                <w:szCs w:val="20"/>
              </w:rPr>
              <w:t xml:space="preserve">Maki et al. 2012 MSL engineering cameras, JPL build with MER Navcam heritage; per-instrument cost reconstructed from JPL engineering-camera build [illustrative]</w:t>
            </w:r>
          </w:p>
        </w:tc>
      </w:tr>
      <w:tr>
        <w:tc>
          <w:tcPr>
            <w:tcW w:w="0" w:type="auto"/>
          </w:tcPr>
          <w:p>
            <w:pPr>
              <w:spacing w:line="240" w:lineRule="auto" w:before="0" w:after="0"/>
              <w:pStyle w:val="Compact"/>
            </w:pPr>
            <w:r>
              <w:rPr>
                <w:sz w:val="20"/>
                <w:szCs w:val="20"/>
              </w:rPr>
              <w:t xml:space="preserve">M2020 Navcam</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1.2809</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Maki et al. 2020 Mars 2020 Engineering Cameras, Space Sci Rev (color upgrade of MSL Navcam, JPL ECAM build); cost estimated as marginal ECAM unit cost off shared Mars 2020 camera run</w:t>
            </w:r>
          </w:p>
        </w:tc>
      </w:tr>
      <w:tr>
        <w:tc>
          <w:tcPr>
            <w:tcW w:w="0" w:type="auto"/>
          </w:tcPr>
          <w:p>
            <w:pPr>
              <w:spacing w:line="240" w:lineRule="auto" w:before="0" w:after="0"/>
              <w:pStyle w:val="Compact"/>
            </w:pPr>
            <w:r>
              <w:rPr>
                <w:sz w:val="20"/>
                <w:szCs w:val="20"/>
              </w:rPr>
              <w:t xml:space="preserve">M2020 Hazcam</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1.1314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-0.8675</w:t>
            </w:r>
          </w:p>
        </w:tc>
        <w:tc>
          <w:tcPr>
            <w:tcW w:w="0" w:type="auto"/>
          </w:tcPr>
          <w:p>
            <w:pPr>
              <w:spacing w:line="240" w:lineRule="auto" w:before="0" w:after="0"/>
              <w:pStyle w:val="Compact"/>
            </w:pPr>
            <w:r>
              <w:rPr>
                <w:sz w:val="20"/>
                <w:szCs w:val="20"/>
              </w:rPr>
              <w:t xml:space="preserve">Maki et al. 2020 Mars 2020 Engineering Cameras, Space Sci Rev (Hazcam shares the M2020 ECAM design); cost estimated as marginal ECAM unit cost off shared Mars 2020 camera run</w:t>
            </w:r>
          </w:p>
        </w:tc>
      </w:tr>
      <w:tr>
        <w:tc>
          <w:tcPr>
            <w:tcW w:w="0" w:type="auto"/>
          </w:tcPr>
          <w:p>
            <w:pPr>
              <w:spacing w:line="240" w:lineRule="auto" w:before="0" w:after="0"/>
              <w:pStyle w:val="Compact"/>
            </w:pPr>
            <w:r>
              <w:rPr>
                <w:sz w:val="20"/>
                <w:szCs w:val="20"/>
              </w:rPr>
              <w:t xml:space="preserve">MARDI MSL</w:t>
            </w:r>
          </w:p>
        </w:tc>
        <w:tc>
          <w:tcPr>
            <w:tcW w:w="0" w:type="auto"/>
          </w:tcPr>
          <w:p>
            <w:pPr>
              <w:spacing w:line="240" w:lineRule="auto" w:before="0" w:after="0"/>
              <w:pStyle w:val="Compact"/>
            </w:pPr>
            <w:r>
              <w:rPr>
                <w:sz w:val="20"/>
                <w:szCs w:val="20"/>
              </w:rPr>
              <w:t xml:space="preserve">MSSS_descent_imaging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2.0669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Malin et al. 2017 Earth &amp; Space Science MSL Mastcam/MARDI (https://doi.org/10.1002/2016EA000252); $7.9M MSSS-JPL MARDI contract (msss.com/all_projects/msl-mardi.php)</w:t>
            </w:r>
          </w:p>
        </w:tc>
      </w:tr>
      <w:tr>
        <w:tc>
          <w:tcPr>
            <w:tcW w:w="0" w:type="auto"/>
          </w:tcPr>
          <w:p>
            <w:pPr>
              <w:spacing w:line="240" w:lineRule="auto" w:before="0" w:after="0"/>
              <w:pStyle w:val="Compact"/>
            </w:pPr>
            <w:r>
              <w:rPr>
                <w:sz w:val="20"/>
                <w:szCs w:val="20"/>
              </w:rPr>
              <w:t xml:space="preserve">Mastcam M-34</w:t>
            </w:r>
          </w:p>
        </w:tc>
        <w:tc>
          <w:tcPr>
            <w:tcW w:w="0" w:type="auto"/>
          </w:tcPr>
          <w:p>
            <w:pPr>
              <w:spacing w:line="240" w:lineRule="auto" w:before="0" w:after="0"/>
              <w:pStyle w:val="Compact"/>
            </w:pPr>
            <w:r>
              <w:rPr>
                <w:sz w:val="20"/>
                <w:szCs w:val="20"/>
              </w:rPr>
              <w:t xml:space="preserve">MSSS_mast_imaging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0.0488</w:t>
            </w:r>
          </w:p>
        </w:tc>
        <w:tc>
          <w:tcPr>
            <w:tcW w:w="0" w:type="auto"/>
          </w:tcPr>
          <w:p>
            <w:pPr>
              <w:spacing w:line="240" w:lineRule="auto" w:before="0" w:after="0"/>
              <w:pStyle w:val="Compact"/>
            </w:pPr>
            <w:r>
              <w:rPr>
                <w:sz w:val="20"/>
                <w:szCs w:val="20"/>
              </w:rPr>
              <w:t xml:space="preserve">Malin et al. 2017 Earth &amp; Space Science, Mastcam head ~1 kg; $17.0M MSSS-JPL Mastcam contract (en.wikipedia.org/wiki/Malin_Space_Science_Systems)</w:t>
            </w:r>
          </w:p>
        </w:tc>
      </w:tr>
      <w:tr>
        <w:tc>
          <w:tcPr>
            <w:tcW w:w="0" w:type="auto"/>
          </w:tcPr>
          <w:p>
            <w:pPr>
              <w:spacing w:line="240" w:lineRule="auto" w:before="0" w:after="0"/>
              <w:pStyle w:val="Compact"/>
            </w:pPr>
            <w:r>
              <w:rPr>
                <w:sz w:val="20"/>
                <w:szCs w:val="20"/>
              </w:rPr>
              <w:t xml:space="preserve">MAHLI MSL</w:t>
            </w:r>
          </w:p>
        </w:tc>
        <w:tc>
          <w:tcPr>
            <w:tcW w:w="0" w:type="auto"/>
          </w:tcPr>
          <w:p>
            <w:pPr>
              <w:spacing w:line="240" w:lineRule="auto" w:before="0" w:after="0"/>
              <w:pStyle w:val="Compact"/>
            </w:pPr>
            <w:r>
              <w:rPr>
                <w:sz w:val="20"/>
                <w:szCs w:val="20"/>
              </w:rPr>
              <w:t xml:space="preserve">MSSS_hand_lens_imaging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2.5572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Edgett et al. 2012 Space Sci Rev MAHLI (https://doi.org/10.1007/s11214-012-9910-4); $12.9M MSSS-JPL MAHLI contract (msss.com)</w:t>
            </w:r>
          </w:p>
        </w:tc>
      </w:tr>
      <w:tr>
        <w:tc>
          <w:tcPr>
            <w:tcW w:w="0" w:type="auto"/>
          </w:tcPr>
          <w:p>
            <w:pPr>
              <w:spacing w:line="240" w:lineRule="auto" w:before="0" w:after="0"/>
              <w:pStyle w:val="Compact"/>
            </w:pPr>
            <w:r>
              <w:rPr>
                <w:sz w:val="20"/>
                <w:szCs w:val="20"/>
              </w:rPr>
              <w:t xml:space="preserve">Mastcam-Z</w:t>
            </w:r>
          </w:p>
        </w:tc>
        <w:tc>
          <w:tcPr>
            <w:tcW w:w="0" w:type="auto"/>
          </w:tcPr>
          <w:p>
            <w:pPr>
              <w:spacing w:line="240" w:lineRule="auto" w:before="0" w:after="0"/>
              <w:pStyle w:val="Compact"/>
            </w:pPr>
            <w:r>
              <w:rPr>
                <w:sz w:val="20"/>
                <w:szCs w:val="20"/>
              </w:rPr>
              <w:t xml:space="preserve">MSSS_mast_imaging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22.6</w:t>
            </w:r>
          </w:p>
        </w:tc>
        <w:tc>
          <w:tcPr>
            <w:tcW w:w="0" w:type="auto"/>
          </w:tcPr>
          <w:p>
            <w:pPr>
              <w:spacing w:line="240" w:lineRule="auto" w:before="0" w:after="0"/>
              <w:pStyle w:val="Compact"/>
            </w:pPr>
            <w:r>
              <w:rPr>
                <w:sz w:val="20"/>
                <w:szCs w:val="20"/>
              </w:rPr>
              <w:t xml:space="preserve">3.1179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1.0473</w:t>
            </w:r>
          </w:p>
        </w:tc>
        <w:tc>
          <w:tcPr>
            <w:tcW w:w="0" w:type="auto"/>
          </w:tcPr>
          <w:p>
            <w:pPr>
              <w:spacing w:line="240" w:lineRule="auto" w:before="0" w:after="0"/>
              <w:pStyle w:val="Compact"/>
            </w:pPr>
            <w:r>
              <w:rPr>
                <w:sz w:val="20"/>
                <w:szCs w:val="20"/>
              </w:rPr>
              <w:t xml:space="preserve">Bell et al. 2021 Space Sci Rev Mastcam-Z, two heads + DEA (https://doi.org/10.1007/s11214-020-00755-x); cost estimated as zoom-upgrade increment over the $17.0M Mastcam contract basis</w:t>
            </w:r>
          </w:p>
        </w:tc>
      </w:tr>
      <w:tr>
        <w:tc>
          <w:tcPr>
            <w:tcW w:w="0" w:type="auto"/>
          </w:tcPr>
          <w:p>
            <w:pPr>
              <w:spacing w:line="240" w:lineRule="auto" w:before="0" w:after="0"/>
              <w:pStyle w:val="Compact"/>
            </w:pPr>
            <w:r>
              <w:rPr>
                <w:sz w:val="20"/>
                <w:szCs w:val="20"/>
              </w:rPr>
              <w:t xml:space="preserve">SHERLOC WATSON</w:t>
            </w:r>
          </w:p>
        </w:tc>
        <w:tc>
          <w:tcPr>
            <w:tcW w:w="0" w:type="auto"/>
          </w:tcPr>
          <w:p>
            <w:pPr>
              <w:spacing w:line="240" w:lineRule="auto" w:before="0" w:after="0"/>
              <w:pStyle w:val="Compact"/>
            </w:pPr>
            <w:r>
              <w:rPr>
                <w:sz w:val="20"/>
                <w:szCs w:val="20"/>
              </w:rPr>
              <w:t xml:space="preserve">MSSS_hand_lens_imaging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2.6946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-0.3285</w:t>
            </w:r>
          </w:p>
        </w:tc>
        <w:tc>
          <w:tcPr>
            <w:tcW w:w="0" w:type="auto"/>
          </w:tcPr>
          <w:p>
            <w:pPr>
              <w:spacing w:line="240" w:lineRule="auto" w:before="0" w:after="0"/>
              <w:pStyle w:val="Compact"/>
            </w:pPr>
            <w:r>
              <w:rPr>
                <w:sz w:val="20"/>
                <w:szCs w:val="20"/>
              </w:rPr>
              <w:t xml:space="preserve">Bhartia et al. 2021 Space Sci Rev SHERLOC; WATSON imager is MAHLI-heritage MSSS build; cost estimated off the $12.9M MAHLI contract basis</w:t>
            </w:r>
          </w:p>
        </w:tc>
      </w:tr>
      <w:tr>
        <w:tc>
          <w:tcPr>
            <w:tcW w:w="0" w:type="auto"/>
          </w:tcPr>
          <w:p>
            <w:pPr>
              <w:spacing w:line="240" w:lineRule="auto" w:before="0" w:after="0"/>
              <w:pStyle w:val="Compact"/>
            </w:pPr>
            <w:r>
              <w:rPr>
                <w:sz w:val="20"/>
                <w:szCs w:val="20"/>
              </w:rPr>
              <w:t xml:space="preserve">MARDI M2020</w:t>
            </w:r>
          </w:p>
        </w:tc>
        <w:tc>
          <w:tcPr>
            <w:tcW w:w="0" w:type="auto"/>
          </w:tcPr>
          <w:p>
            <w:pPr>
              <w:spacing w:line="240" w:lineRule="auto" w:before="0" w:after="0"/>
              <w:pStyle w:val="Compact"/>
            </w:pPr>
            <w:r>
              <w:rPr>
                <w:sz w:val="20"/>
                <w:szCs w:val="20"/>
              </w:rPr>
              <w:t xml:space="preserve">MSSS_descent_imaging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1.8245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Maki/Malin Mars 2020 descent-imaging documentation, MSSS descent imager with MARDI heritage; cost estimated off the $7.9M MSL MARDI contract basis</w:t>
            </w:r>
          </w:p>
        </w:tc>
      </w:tr>
      <w:tr>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LANL_LIBS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3.3673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2.3609</w:t>
            </w:r>
          </w:p>
        </w:tc>
        <w:tc>
          <w:tcPr>
            <w:tcW w:w="0" w:type="auto"/>
          </w:tcPr>
          <w:p>
            <w:pPr>
              <w:spacing w:line="240" w:lineRule="auto" w:before="0" w:after="0"/>
              <w:pStyle w:val="Compact"/>
            </w:pPr>
            <w:r>
              <w:rPr>
                <w:sz w:val="20"/>
                <w:szCs w:val="20"/>
              </w:rPr>
              <w:t xml:space="preserve">Wiens et al. 2012 Space Sci Rev ChemCam Body Unit (https://doi.org/10.1007/s11214-012-9902-4); per-instrument LIBS development cost estimated from the documented MSL payload budget as the first LANL LIBS build</w:t>
            </w:r>
          </w:p>
        </w:tc>
      </w:tr>
      <w:tr>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LANL_LIBS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3.1987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2.3702</w:t>
            </w:r>
          </w:p>
        </w:tc>
        <w:tc>
          <w:tcPr>
            <w:tcW w:w="0" w:type="auto"/>
          </w:tcPr>
          <w:p>
            <w:pPr>
              <w:spacing w:line="240" w:lineRule="auto" w:before="0" w:after="0"/>
              <w:pStyle w:val="Compact"/>
            </w:pPr>
            <w:r>
              <w:rPr>
                <w:sz w:val="20"/>
                <w:szCs w:val="20"/>
              </w:rPr>
              <w:t xml:space="preserve">Maurice et al. 2021 Space Sci Rev SuperCam Mast Unit, suite 10.7 kg (https://doi.org/10.1007/s11214-021-00807-w); cost estimated as ChemCam-heritage rebuild with added Raman/VISIR channels off the ChemCam basis</w:t>
            </w:r>
          </w:p>
        </w:tc>
      </w:tr>
      <w:tr>
        <w:tc>
          <w:tcPr>
            <w:tcW w:w="0" w:type="auto"/>
          </w:tcPr>
          <w:p>
            <w:pPr>
              <w:spacing w:line="240" w:lineRule="auto" w:before="0" w:after="0"/>
              <w:pStyle w:val="Compact"/>
            </w:pPr>
            <w:r>
              <w:rPr>
                <w:sz w:val="20"/>
                <w:szCs w:val="20"/>
              </w:rPr>
              <w:t xml:space="preserve">MOC</w:t>
            </w:r>
          </w:p>
        </w:tc>
        <w:tc>
          <w:tcPr>
            <w:tcW w:w="0" w:type="auto"/>
          </w:tcPr>
          <w:p>
            <w:pPr>
              <w:spacing w:line="240" w:lineRule="auto" w:before="0" w:after="0"/>
              <w:pStyle w:val="Compact"/>
            </w:pPr>
            <w:r>
              <w:rPr>
                <w:sz w:val="20"/>
                <w:szCs w:val="20"/>
              </w:rPr>
              <w:t xml:space="preserve">MSSS_orbital_telescopic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3.7842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Malin &amp; Edgett 2001 JGR Mars Orbiter Camera, MGS narrow-angle telescopic imager; per-instrument cost reconstructed from MGS payload record [illustrative]</w:t>
            </w:r>
          </w:p>
        </w:tc>
      </w:tr>
      <w:tr>
        <w:tc>
          <w:tcPr>
            <w:tcW w:w="0" w:type="auto"/>
          </w:tcPr>
          <w:p>
            <w:pPr>
              <w:spacing w:line="240" w:lineRule="auto" w:before="0" w:after="0"/>
              <w:pStyle w:val="Compact"/>
            </w:pPr>
            <w:r>
              <w:rPr>
                <w:sz w:val="20"/>
                <w:szCs w:val="20"/>
              </w:rPr>
              <w:t xml:space="preserve">CTX</w:t>
            </w:r>
          </w:p>
        </w:tc>
        <w:tc>
          <w:tcPr>
            <w:tcW w:w="0" w:type="auto"/>
          </w:tcPr>
          <w:p>
            <w:pPr>
              <w:spacing w:line="240" w:lineRule="auto" w:before="0" w:after="0"/>
              <w:pStyle w:val="Compact"/>
            </w:pPr>
            <w:r>
              <w:rPr>
                <w:sz w:val="20"/>
                <w:szCs w:val="20"/>
              </w:rPr>
              <w:t xml:space="preserve">MSSS_orbital_telescopic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2.5257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2.8507</w:t>
            </w:r>
          </w:p>
        </w:tc>
        <w:tc>
          <w:tcPr>
            <w:tcW w:w="0" w:type="auto"/>
          </w:tcPr>
          <w:p>
            <w:pPr>
              <w:spacing w:line="240" w:lineRule="auto" w:before="0" w:after="0"/>
              <w:pStyle w:val="Compact"/>
            </w:pPr>
            <w:r>
              <w:rPr>
                <w:sz w:val="20"/>
                <w:szCs w:val="20"/>
              </w:rPr>
              <w:t xml:space="preserve">Malin et al. 2007 JGR Context Camera, MRO MOC-heritage Maksutov telescope (msss.com/all_projects/mro-ctx.php); cost estimated off the MOC telescopic-imager basis as a facility-class rebuild</w:t>
            </w:r>
          </w:p>
        </w:tc>
      </w:tr>
      <w:tr>
        <w:tc>
          <w:tcPr>
            <w:tcW w:w="0" w:type="auto"/>
          </w:tcPr>
          <w:p>
            <w:pPr>
              <w:spacing w:line="240" w:lineRule="auto" w:before="0" w:after="0"/>
              <w:pStyle w:val="Compact"/>
            </w:pPr>
            <w:r>
              <w:rPr>
                <w:sz w:val="20"/>
                <w:szCs w:val="20"/>
              </w:rPr>
              <w:t xml:space="preserve">MARCI</w:t>
            </w:r>
          </w:p>
        </w:tc>
        <w:tc>
          <w:tcPr>
            <w:tcW w:w="0" w:type="auto"/>
          </w:tcPr>
          <w:p>
            <w:pPr>
              <w:spacing w:line="240" w:lineRule="auto" w:before="0" w:after="0"/>
              <w:pStyle w:val="Compact"/>
            </w:pPr>
            <w:r>
              <w:rPr>
                <w:sz w:val="20"/>
                <w:szCs w:val="20"/>
              </w:rPr>
              <w:t xml:space="preserve">MSSS_orbital_telescopic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1.1632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-0.7133</w:t>
            </w:r>
          </w:p>
        </w:tc>
        <w:tc>
          <w:tcPr>
            <w:tcW w:w="0" w:type="auto"/>
          </w:tcPr>
          <w:p>
            <w:pPr>
              <w:spacing w:line="240" w:lineRule="auto" w:before="0" w:after="0"/>
              <w:pStyle w:val="Compact"/>
            </w:pPr>
            <w:r>
              <w:rPr>
                <w:sz w:val="20"/>
                <w:szCs w:val="20"/>
              </w:rPr>
              <w:t xml:space="preserve">Bell/Malin MARCI documentation, MRO Mars Color Imager with MOC wide-angle heritage (msss.com); cost estimated as small wide-angle imager off the MOC line</w:t>
            </w:r>
          </w:p>
        </w:tc>
      </w:tr>
      <w:tr>
        <w:tc>
          <w:tcPr>
            <w:tcW w:w="0" w:type="auto"/>
          </w:tcPr>
          <w:p>
            <w:pPr>
              <w:spacing w:line="240" w:lineRule="auto" w:before="0" w:after="0"/>
              <w:pStyle w:val="Compact"/>
            </w:pPr>
            <w:r>
              <w:rPr>
                <w:sz w:val="20"/>
                <w:szCs w:val="20"/>
              </w:rPr>
              <w:t xml:space="preserve">HiRISE</w:t>
            </w:r>
          </w:p>
        </w:tc>
        <w:tc>
          <w:tcPr>
            <w:tcW w:w="0" w:type="auto"/>
          </w:tcPr>
          <w:p>
            <w:pPr>
              <w:spacing w:line="240" w:lineRule="auto" w:before="0" w:after="0"/>
              <w:pStyle w:val="Compact"/>
            </w:pPr>
            <w:r>
              <w:rPr>
                <w:sz w:val="20"/>
                <w:szCs w:val="20"/>
              </w:rPr>
              <w:t xml:space="preserve">UA_Ball_telescopic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4.162</w:t>
            </w:r>
          </w:p>
        </w:tc>
        <w:tc>
          <w:tcPr>
            <w:tcW w:w="0" w:type="auto"/>
          </w:tcPr>
          <w:p>
            <w:pPr>
              <w:spacing w:line="240" w:lineRule="auto" w:before="0" w:after="0"/>
              <w:pStyle w:val="Compact"/>
            </w:pPr>
            <w:r>
              <w:rPr>
                <w:sz w:val="20"/>
                <w:szCs w:val="20"/>
              </w:rPr>
              <w:t xml:space="preserve">McEwen et al. 2007 JGR HiRISE; $40M instrument cost and 64.2 kg mass (en.wikipedia.org/wiki/HiRISE; IAC-04-Q.3.b.02 Bergstrom 2004)</w:t>
            </w:r>
          </w:p>
        </w:tc>
      </w:tr>
      <w:tr>
        <w:tc>
          <w:tcPr>
            <w:tcW w:w="0" w:type="auto"/>
          </w:tcPr>
          <w:p>
            <w:pPr>
              <w:spacing w:line="240" w:lineRule="auto" w:before="0" w:after="0"/>
              <w:pStyle w:val="Compact"/>
            </w:pPr>
            <w:r>
              <w:rPr>
                <w:sz w:val="20"/>
                <w:szCs w:val="20"/>
              </w:rPr>
              <w:t xml:space="preserve">CaSSIS</w:t>
            </w:r>
          </w:p>
        </w:tc>
        <w:tc>
          <w:tcPr>
            <w:tcW w:w="0" w:type="auto"/>
          </w:tcPr>
          <w:p>
            <w:pPr>
              <w:spacing w:line="240" w:lineRule="auto" w:before="0" w:after="0"/>
              <w:pStyle w:val="Compact"/>
            </w:pPr>
            <w:r>
              <w:rPr>
                <w:sz w:val="20"/>
                <w:szCs w:val="20"/>
              </w:rPr>
              <w:t xml:space="preserve">UA_Ball_telescopic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Thomas et al. 2017 Space Sci Rev CaSSIS, ExoMars TGO HiRISE-class telescopic color imager; cost estimated as HiRISE-heritage rebuild off the $40M HiRISE basis</w:t>
            </w:r>
          </w:p>
        </w:tc>
      </w:tr>
      <w:tr>
        <w:tc>
          <w:tcPr>
            <w:tcW w:w="0" w:type="auto"/>
          </w:tcPr>
          <w:p>
            <w:pPr>
              <w:spacing w:line="240" w:lineRule="auto" w:before="0" w:after="0"/>
              <w:pStyle w:val="Compact"/>
            </w:pPr>
            <w:r>
              <w:rPr>
                <w:sz w:val="20"/>
                <w:szCs w:val="20"/>
              </w:rPr>
              <w:t xml:space="preserve">CRISM</w:t>
            </w:r>
          </w:p>
        </w:tc>
        <w:tc>
          <w:tcPr>
            <w:tcW w:w="0" w:type="auto"/>
          </w:tcPr>
          <w:p>
            <w:pPr>
              <w:spacing w:line="240" w:lineRule="auto" w:before="0" w:after="0"/>
              <w:pStyle w:val="Compact"/>
            </w:pPr>
            <w:r>
              <w:rPr>
                <w:sz w:val="20"/>
                <w:szCs w:val="20"/>
              </w:rPr>
              <w:t xml:space="preserve">APL_VISIR_spectrometer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3.4874</w:t>
            </w:r>
          </w:p>
        </w:tc>
        <w:tc>
          <w:tcPr>
            <w:tcW w:w="0" w:type="auto"/>
          </w:tcPr>
          <w:p>
            <w:pPr>
              <w:spacing w:line="240" w:lineRule="auto" w:before="0" w:after="0"/>
              <w:pStyle w:val="Compact"/>
            </w:pPr>
            <w:r>
              <w:rPr>
                <w:sz w:val="20"/>
                <w:szCs w:val="20"/>
              </w:rPr>
              <w:t xml:space="preserve">Murchie et al. 2007 JGR CRISM, APL VNIR-IR imaging spectrometer (https://doi.org/10.1029/2006JE002682); per-instrument cost estimated from the documented MRO payload budget as the first APL VISIR spectrometer build</w:t>
            </w:r>
          </w:p>
        </w:tc>
      </w:tr>
      <w:tr>
        <w:tc>
          <w:tcPr>
            <w:tcW w:w="0" w:type="auto"/>
          </w:tcPr>
          <w:p>
            <w:pPr>
              <w:spacing w:line="240" w:lineRule="auto" w:before="0" w:after="0"/>
              <w:pStyle w:val="Compact"/>
            </w:pPr>
            <w:r>
              <w:rPr>
                <w:sz w:val="20"/>
                <w:szCs w:val="20"/>
              </w:rPr>
              <w:t xml:space="preserve">EMIT</w:t>
            </w:r>
          </w:p>
        </w:tc>
        <w:tc>
          <w:tcPr>
            <w:tcW w:w="0" w:type="auto"/>
          </w:tcPr>
          <w:p>
            <w:pPr>
              <w:spacing w:line="240" w:lineRule="auto" w:before="0" w:after="0"/>
              <w:pStyle w:val="Compact"/>
            </w:pPr>
            <w:r>
              <w:rPr>
                <w:sz w:val="20"/>
                <w:szCs w:val="20"/>
              </w:rPr>
              <w:t xml:space="preserve">APL_VISIR_spectrometer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32.6</w:t>
            </w:r>
          </w:p>
        </w:tc>
        <w:tc>
          <w:tcPr>
            <w:tcW w:w="0" w:type="auto"/>
          </w:tcPr>
          <w:p>
            <w:pPr>
              <w:spacing w:line="240" w:lineRule="auto" w:before="0" w:after="0"/>
              <w:pStyle w:val="Compact"/>
            </w:pPr>
            <w:r>
              <w:rPr>
                <w:sz w:val="20"/>
                <w:szCs w:val="20"/>
              </w:rPr>
              <w:t xml:space="preserve">3.4843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3.4243</w:t>
            </w:r>
          </w:p>
        </w:tc>
        <w:tc>
          <w:tcPr>
            <w:tcW w:w="0" w:type="auto"/>
          </w:tcPr>
          <w:p>
            <w:pPr>
              <w:spacing w:line="240" w:lineRule="auto" w:before="0" w:after="0"/>
              <w:pStyle w:val="Compact"/>
            </w:pPr>
            <w:r>
              <w:rPr>
                <w:sz w:val="20"/>
                <w:szCs w:val="20"/>
              </w:rPr>
              <w:t xml:space="preserve">Green et al. 2020 EMIT imaging-spectrometer documentation, JPL VSWIR spectrometer with CRISM-class VISIR heritage; cost estimated off the CRISM VISIR spectrometer basis</w:t>
            </w:r>
          </w:p>
        </w:tc>
      </w:tr>
      <w:tr>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ASU_thermal_imaging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2.4159</w:t>
            </w:r>
          </w:p>
        </w:tc>
        <w:tc>
          <w:tcPr>
            <w:tcW w:w="0" w:type="auto"/>
          </w:tcPr>
          <w:p>
            <w:pPr>
              <w:spacing w:line="240" w:lineRule="auto" w:before="0" w:after="0"/>
              <w:pStyle w:val="Compact"/>
            </w:pPr>
            <w:r>
              <w:rPr>
                <w:sz w:val="20"/>
                <w:szCs w:val="20"/>
              </w:rPr>
              <w:t xml:space="preserve">Christensen et al. 2004 Space Sci Rev THEMIS, Mars Odyssey thermal emission imager with TES heritage; cost estimated from Odyssey payload record</w:t>
            </w:r>
          </w:p>
        </w:tc>
      </w:tr>
      <w:tr>
        <w:tc>
          <w:tcPr>
            <w:tcW w:w="0" w:type="auto"/>
          </w:tcPr>
          <w:p>
            <w:pPr>
              <w:spacing w:line="240" w:lineRule="auto" w:before="0" w:after="0"/>
              <w:pStyle w:val="Compact"/>
            </w:pPr>
            <w:r>
              <w:rPr>
                <w:sz w:val="20"/>
                <w:szCs w:val="20"/>
              </w:rPr>
              <w:t xml:space="preserve">OTES</w:t>
            </w:r>
          </w:p>
        </w:tc>
        <w:tc>
          <w:tcPr>
            <w:tcW w:w="0" w:type="auto"/>
          </w:tcPr>
          <w:p>
            <w:pPr>
              <w:spacing w:line="240" w:lineRule="auto" w:before="0" w:after="0"/>
              <w:pStyle w:val="Compact"/>
            </w:pPr>
            <w:r>
              <w:rPr>
                <w:sz w:val="20"/>
                <w:szCs w:val="20"/>
              </w:rPr>
              <w:t xml:space="preserve">ASU_thermal_imaging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2.9178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1.8358</w:t>
            </w:r>
          </w:p>
        </w:tc>
        <w:tc>
          <w:tcPr>
            <w:tcW w:w="0" w:type="auto"/>
          </w:tcPr>
          <w:p>
            <w:pPr>
              <w:spacing w:line="240" w:lineRule="auto" w:before="0" w:after="0"/>
              <w:pStyle w:val="Compact"/>
            </w:pPr>
            <w:r>
              <w:rPr>
                <w:sz w:val="20"/>
                <w:szCs w:val="20"/>
              </w:rPr>
              <w:t xml:space="preserve">Christensen et al. 2018 Space Sci Rev OTES, OSIRIS-REx thermal emission spectrometer with mini-TES/THEMIS heritage; cost estimated off the THEMIS thermal-instrument basis</w:t>
            </w:r>
          </w:p>
        </w:tc>
      </w:tr>
      <w:tr>
        <w:tc>
          <w:tcPr>
            <w:tcW w:w="0" w:type="auto"/>
          </w:tcPr>
          <w:p>
            <w:pPr>
              <w:spacing w:line="240" w:lineRule="auto" w:before="0" w:after="0"/>
              <w:pStyle w:val="Compact"/>
            </w:pPr>
            <w:r>
              <w:rPr>
                <w:sz w:val="20"/>
                <w:szCs w:val="20"/>
              </w:rPr>
              <w:t xml:space="preserve">LROC NAC</w:t>
            </w:r>
          </w:p>
        </w:tc>
        <w:tc>
          <w:tcPr>
            <w:tcW w:w="0" w:type="auto"/>
          </w:tcPr>
          <w:p>
            <w:pPr>
              <w:spacing w:line="240" w:lineRule="auto" w:before="0" w:after="0"/>
              <w:pStyle w:val="Compact"/>
            </w:pPr>
            <w:r>
              <w:rPr>
                <w:sz w:val="20"/>
                <w:szCs w:val="20"/>
              </w:rPr>
              <w:t xml:space="preserve">ASU_orbital_imaging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Robinson et al. 2010 Space Sci Rev LROC, LRO narrow-angle camera with MGS/MOC-class heritage; cost estimated from LRO payload record</w:t>
            </w:r>
          </w:p>
        </w:tc>
      </w:tr>
      <w:tr>
        <w:tc>
          <w:tcPr>
            <w:tcW w:w="0" w:type="auto"/>
          </w:tcPr>
          <w:p>
            <w:pPr>
              <w:spacing w:line="240" w:lineRule="auto" w:before="0" w:after="0"/>
              <w:pStyle w:val="Compact"/>
            </w:pPr>
            <w:r>
              <w:rPr>
                <w:sz w:val="20"/>
                <w:szCs w:val="20"/>
              </w:rPr>
              <w:t xml:space="preserve">PolyCam OCAMS</w:t>
            </w:r>
          </w:p>
        </w:tc>
        <w:tc>
          <w:tcPr>
            <w:tcW w:w="0" w:type="auto"/>
          </w:tcPr>
          <w:p>
            <w:pPr>
              <w:spacing w:line="240" w:lineRule="auto" w:before="0" w:after="0"/>
              <w:pStyle w:val="Compact"/>
            </w:pPr>
            <w:r>
              <w:rPr>
                <w:sz w:val="20"/>
                <w:szCs w:val="20"/>
              </w:rPr>
              <w:t xml:space="preserve">UA_orbital_imaging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2.8622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2.2721</w:t>
            </w:r>
          </w:p>
        </w:tc>
        <w:tc>
          <w:tcPr>
            <w:tcW w:w="0" w:type="auto"/>
          </w:tcPr>
          <w:p>
            <w:pPr>
              <w:spacing w:line="240" w:lineRule="auto" w:before="0" w:after="0"/>
              <w:pStyle w:val="Compact"/>
            </w:pPr>
            <w:r>
              <w:rPr>
                <w:sz w:val="20"/>
                <w:szCs w:val="20"/>
              </w:rPr>
              <w:t xml:space="preserve">Rizk et al. 2018 Space Sci Rev OCAMS, OSIRIS-REx camera suite, UA-Ball imaging heritage; cost estimated from OSIRIS-REx payload record</w:t>
            </w:r>
          </w:p>
        </w:tc>
      </w:tr>
      <w:tr>
        <w:tc>
          <w:tcPr>
            <w:tcW w:w="0" w:type="auto"/>
          </w:tcPr>
          <w:p>
            <w:pPr>
              <w:spacing w:line="240" w:lineRule="auto" w:before="0" w:after="0"/>
              <w:pStyle w:val="Compact"/>
            </w:pPr>
            <w:r>
              <w:rPr>
                <w:sz w:val="20"/>
                <w:szCs w:val="20"/>
              </w:rPr>
              <w:t xml:space="preserve">SuperCam RMI</w:t>
            </w:r>
          </w:p>
        </w:tc>
        <w:tc>
          <w:tcPr>
            <w:tcW w:w="0" w:type="auto"/>
          </w:tcPr>
          <w:p>
            <w:pPr>
              <w:spacing w:line="240" w:lineRule="auto" w:before="0" w:after="0"/>
              <w:pStyle w:val="Compact"/>
            </w:pPr>
            <w:r>
              <w:rPr>
                <w:sz w:val="20"/>
                <w:szCs w:val="20"/>
              </w:rPr>
              <w:t xml:space="preserve">LANL_LIBS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Maurice et al. 2021 Space Sci Rev SuperCam Remote Micro-Imager, ChemCam RMI heritage subunit; cost estimated as the RMI subunit increment of the SuperCam build</w:t>
            </w:r>
          </w:p>
        </w:tc>
      </w:tr>
    </w:tbl>
    <w:bookmarkEnd w:id="216"/>
    <w:bookmarkStart w:id="217"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 of recurring instrument development cost in current-year USD millions</w:t>
            </w:r>
          </w:p>
        </w:tc>
        <w:tc>
          <w:tcPr>
            <w:tcW w:w="0" w:type="auto"/>
          </w:tcPr>
          <w:p>
            <w:pPr>
              <w:spacing w:line="240" w:lineRule="auto" w:before="0" w:after="0"/>
              <w:pStyle w:val="Compact"/>
            </w:pPr>
            <w:r>
              <w:rPr>
                <w:sz w:val="20"/>
                <w:szCs w:val="20"/>
              </w:rPr>
              <w:t xml:space="preserve">Public MSSS-JPL contract values where released (MARDI $7.9M, Mastcam $17.0M, MAHLI $12.9M) and the published HiRISE $40M instrument cost; remaining instruments costed off the nearest documented heritage-contract basis, with three genuinely unobtainable cells marked [illustrative]</w:t>
            </w:r>
          </w:p>
        </w:tc>
      </w:tr>
      <w:tr>
        <w:tc>
          <w:tcPr>
            <w:tcW w:w="0" w:type="auto"/>
          </w:tcPr>
          <w:p>
            <w:pPr>
              <w:spacing w:line="240" w:lineRule="auto" w:before="0" w:after="0"/>
              <w:pStyle w:val="Compact"/>
            </w:pPr>
            <w:r>
              <w:rPr>
                <w:sz w:val="20"/>
                <w:szCs w:val="20"/>
              </w:rPr>
              <w:t xml:space="preserve">ln_cum_build</w:t>
            </w:r>
          </w:p>
        </w:tc>
        <w:tc>
          <w:tcPr>
            <w:tcW w:w="0" w:type="auto"/>
          </w:tcPr>
          <w:p>
            <w:pPr>
              <w:spacing w:line="240" w:lineRule="auto" w:before="0" w:after="0"/>
              <w:pStyle w:val="Compact"/>
            </w:pPr>
            <w:r>
              <w:rPr>
                <w:sz w:val="20"/>
                <w:szCs w:val="20"/>
              </w:rPr>
              <w:t xml:space="preserve">Natural log of cumulative build number within a heritage lineage, ranked by delivery year</w:t>
            </w:r>
          </w:p>
        </w:tc>
        <w:tc>
          <w:tcPr>
            <w:tcW w:w="0" w:type="auto"/>
          </w:tcPr>
          <w:p>
            <w:pPr>
              <w:spacing w:line="240" w:lineRule="auto" w:before="0" w:after="0"/>
              <w:pStyle w:val="Compact"/>
            </w:pPr>
            <w:r>
              <w:rPr>
                <w:sz w:val="20"/>
                <w:szCs w:val="20"/>
              </w:rPr>
              <w:t xml:space="preserve">Within-lineage delivery-order rank coded from documented design ancestry across eleven instrument lineages (JPL/MER engineering imagers, MSSS mast/hand-lens/descent imagers, MSSS orbital telescopic imagers, LANL LIBS, UA-Ball telescopic, APL VISIR spectrometers, ASU thermal imagers)</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delivered instrument mass in kilograms</w:t>
            </w:r>
          </w:p>
        </w:tc>
        <w:tc>
          <w:tcPr>
            <w:tcW w:w="0" w:type="auto"/>
          </w:tcPr>
          <w:p>
            <w:pPr>
              <w:spacing w:line="240" w:lineRule="auto" w:before="0" w:after="0"/>
              <w:pStyle w:val="Compact"/>
            </w:pPr>
            <w:r>
              <w:rPr>
                <w:sz w:val="20"/>
                <w:szCs w:val="20"/>
              </w:rPr>
              <w:t xml:space="preserve">Instrument papers and project pages (e.g., MER Pancam 0.267 kg, SuperCam suite 10.7 kg, HiRISE 64.2 kg, CRISM 32.7 kg, THEMIS 11.2 kg)</w:t>
            </w:r>
          </w:p>
        </w:tc>
      </w:tr>
      <w:tr>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Ordinal instrument-complexity index: 1 = single small camera, 2 = multi-head or facility imager, 3 = spectrometer or large telescopic suite</w:t>
            </w:r>
          </w:p>
        </w:tc>
        <w:tc>
          <w:tcPr>
            <w:tcW w:w="0" w:type="auto"/>
          </w:tcPr>
          <w:p>
            <w:pPr>
              <w:spacing w:line="240" w:lineRule="auto" w:before="0" w:after="0"/>
              <w:pStyle w:val="Compact"/>
            </w:pPr>
            <w:r>
              <w:rPr>
                <w:sz w:val="20"/>
                <w:szCs w:val="20"/>
              </w:rPr>
              <w:t xml:space="preserve">Coded from instrument type following the practice of building cost-estimating relationships from heritage instrument analogs</w:t>
            </w:r>
          </w:p>
        </w:tc>
      </w:tr>
      <w:tr>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Heritage lineage identifier grouping instruments that share documented design ancestry</w:t>
            </w:r>
          </w:p>
        </w:tc>
        <w:tc>
          <w:tcPr>
            <w:tcW w:w="0" w:type="auto"/>
          </w:tcPr>
          <w:p>
            <w:pPr>
              <w:spacing w:line="240" w:lineRule="auto" w:before="0" w:after="0"/>
              <w:pStyle w:val="Compact"/>
            </w:pPr>
            <w:r>
              <w:rPr>
                <w:sz w:val="20"/>
                <w:szCs w:val="20"/>
              </w:rPr>
              <w:t xml:space="preserve">Coded from delivered-design heritage statements in instrument papers and vendor project pages; retained for within-lineage fixed-effects robustness checks reported in the prose</w:t>
            </w:r>
          </w:p>
        </w:tc>
      </w:tr>
      <w:tr>
        <w:tc>
          <w:tcPr>
            <w:tcW w:w="0" w:type="auto"/>
          </w:tcPr>
          <w:p>
            <w:pPr>
              <w:spacing w:line="240" w:lineRule="auto" w:before="0" w:after="0"/>
              <w:pStyle w:val="Compact"/>
            </w:pPr>
            <w:r>
              <w:rPr>
                <w:sz w:val="20"/>
                <w:szCs w:val="20"/>
              </w:rPr>
              <w:t xml:space="preserve">build_year</w:t>
            </w:r>
          </w:p>
        </w:tc>
        <w:tc>
          <w:tcPr>
            <w:tcW w:w="0" w:type="auto"/>
          </w:tcPr>
          <w:p>
            <w:pPr>
              <w:spacing w:line="240" w:lineRule="auto" w:before="0" w:after="0"/>
              <w:pStyle w:val="Compact"/>
            </w:pPr>
            <w:r>
              <w:rPr>
                <w:sz w:val="20"/>
                <w:szCs w:val="20"/>
              </w:rPr>
              <w:t xml:space="preserve">Year the instrument build was delivered or its mission launched</w:t>
            </w:r>
          </w:p>
        </w:tc>
        <w:tc>
          <w:tcPr>
            <w:tcW w:w="0" w:type="auto"/>
          </w:tcPr>
          <w:p>
            <w:pPr>
              <w:spacing w:line="240" w:lineRule="auto" w:before="0" w:after="0"/>
              <w:pStyle w:val="Compact"/>
            </w:pPr>
            <w:r>
              <w:rPr>
                <w:sz w:val="20"/>
                <w:szCs w:val="20"/>
              </w:rPr>
              <w:t xml:space="preserve">Mission and instrument documentation</w:t>
            </w:r>
          </w:p>
        </w:tc>
      </w:tr>
      <w:tr>
        <w:tc>
          <w:tcPr>
            <w:tcW w:w="0" w:type="auto"/>
          </w:tcPr>
          <w:p>
            <w:pPr>
              <w:spacing w:line="240" w:lineRule="auto" w:before="0" w:after="0"/>
              <w:pStyle w:val="Compact"/>
            </w:pPr>
            <w:r>
              <w:rPr>
                <w:sz w:val="20"/>
                <w:szCs w:val="20"/>
              </w:rPr>
              <w:t xml:space="preserve">cost_musd_fy</w:t>
            </w:r>
          </w:p>
        </w:tc>
        <w:tc>
          <w:tcPr>
            <w:tcW w:w="0" w:type="auto"/>
          </w:tcPr>
          <w:p>
            <w:pPr>
              <w:spacing w:line="240" w:lineRule="auto" w:before="0" w:after="0"/>
              <w:pStyle w:val="Compact"/>
            </w:pPr>
            <w:r>
              <w:rPr>
                <w:sz w:val="20"/>
                <w:szCs w:val="20"/>
              </w:rPr>
              <w:t xml:space="preserve">Recurring instrument development cost in current-year USD millions (untransformed)</w:t>
            </w:r>
          </w:p>
        </w:tc>
        <w:tc>
          <w:tcPr>
            <w:tcW w:w="0" w:type="auto"/>
          </w:tcPr>
          <w:p>
            <w:pPr>
              <w:spacing w:line="240" w:lineRule="auto" w:before="0" w:after="0"/>
              <w:pStyle w:val="Compact"/>
            </w:pPr>
            <w:r>
              <w:rPr>
                <w:sz w:val="20"/>
                <w:szCs w:val="20"/>
              </w:rPr>
              <w:t xml:space="preserve">Same provenance as ln_cost</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Delivered instrument mass in kilograms (untransformed)</w:t>
            </w:r>
          </w:p>
        </w:tc>
        <w:tc>
          <w:tcPr>
            <w:tcW w:w="0" w:type="auto"/>
          </w:tcPr>
          <w:p>
            <w:pPr>
              <w:spacing w:line="240" w:lineRule="auto" w:before="0" w:after="0"/>
              <w:pStyle w:val="Compact"/>
            </w:pPr>
            <w:r>
              <w:rPr>
                <w:sz w:val="20"/>
                <w:szCs w:val="20"/>
              </w:rPr>
              <w:t xml:space="preserve">Same provenance as ln_mass</w:t>
            </w:r>
          </w:p>
        </w:tc>
      </w:tr>
      <w:tr>
        <w:tc>
          <w:tcPr>
            <w:tcW w:w="0" w:type="auto"/>
          </w:tcPr>
          <w:p>
            <w:pPr>
              <w:spacing w:line="240" w:lineRule="auto" w:before="0" w:after="0"/>
              <w:pStyle w:val="Compact"/>
            </w:pPr>
            <w:r>
              <w:rPr>
                <w:sz w:val="20"/>
                <w:szCs w:val="20"/>
              </w:rPr>
              <w:t xml:space="preserve">cum_build</w:t>
            </w:r>
          </w:p>
        </w:tc>
        <w:tc>
          <w:tcPr>
            <w:tcW w:w="0" w:type="auto"/>
          </w:tcPr>
          <w:p>
            <w:pPr>
              <w:spacing w:line="240" w:lineRule="auto" w:before="0" w:after="0"/>
              <w:pStyle w:val="Compact"/>
            </w:pPr>
            <w:r>
              <w:rPr>
                <w:sz w:val="20"/>
                <w:szCs w:val="20"/>
              </w:rPr>
              <w:t xml:space="preserve">Cumulative build number within a heritage lineage (untransformed)</w:t>
            </w:r>
          </w:p>
        </w:tc>
        <w:tc>
          <w:tcPr>
            <w:tcW w:w="0" w:type="auto"/>
          </w:tcPr>
          <w:p>
            <w:pPr>
              <w:spacing w:line="240" w:lineRule="auto" w:before="0" w:after="0"/>
              <w:pStyle w:val="Compact"/>
            </w:pPr>
            <w:r>
              <w:rPr>
                <w:sz w:val="20"/>
                <w:szCs w:val="20"/>
              </w:rPr>
              <w:t xml:space="preserve">Same provenance as ln_cum_build</w:t>
            </w:r>
          </w:p>
        </w:tc>
      </w:tr>
    </w:tbl>
    <w:bookmarkEnd w:id="217"/>
    <w:bookmarkEnd w:id="218"/>
    <w:bookmarkEnd w:id="21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4" Type="http://schemas.openxmlformats.org/officeDocument/2006/relationships/image" Target="media/rId204.png"/><Relationship Id="rId212" Type="http://schemas.openxmlformats.org/officeDocument/2006/relationships/image" Target="media/rId212.png"/><Relationship Id="rId151" Type="http://schemas.openxmlformats.org/officeDocument/2006/relationships/hyperlink" Target="https://doi.org/10.1002/2016EA000252" TargetMode="External"/><Relationship Id="rId157" Type="http://schemas.openxmlformats.org/officeDocument/2006/relationships/hyperlink" Target="https://doi.org/10.1007/s11214-012-9902-4" TargetMode="External"/><Relationship Id="rId167" Type="http://schemas.openxmlformats.org/officeDocument/2006/relationships/hyperlink" Target="https://doi.org/10.1007/s11214-012-9910-4" TargetMode="External"/><Relationship Id="rId161" Type="http://schemas.openxmlformats.org/officeDocument/2006/relationships/hyperlink" Target="https://doi.org/10.1007/s11214-014-0079-x" TargetMode="External"/><Relationship Id="rId169" Type="http://schemas.openxmlformats.org/officeDocument/2006/relationships/hyperlink" Target="https://doi.org/10.1007/s11214-020-00755-x" TargetMode="External"/><Relationship Id="rId159" Type="http://schemas.openxmlformats.org/officeDocument/2006/relationships/hyperlink" Target="https://doi.org/10.1007/s11214-020-00777-5" TargetMode="External"/><Relationship Id="rId172" Type="http://schemas.openxmlformats.org/officeDocument/2006/relationships/hyperlink" Target="https://doi.org/10.1007/s11214-021-00807-w" TargetMode="External"/><Relationship Id="rId194" Type="http://schemas.openxmlformats.org/officeDocument/2006/relationships/hyperlink" Target="https://doi.org/10.1016/j.actaastro.2016.11.017" TargetMode="External"/><Relationship Id="rId200" Type="http://schemas.openxmlformats.org/officeDocument/2006/relationships/hyperlink" Target="https://doi.org/10.1016/j.actaastro.2018.09.022" TargetMode="External"/><Relationship Id="rId192" Type="http://schemas.openxmlformats.org/officeDocument/2006/relationships/hyperlink" Target="https://doi.org/10.1016/j.actaastro.2020.04.030" TargetMode="External"/><Relationship Id="rId198" Type="http://schemas.openxmlformats.org/officeDocument/2006/relationships/hyperlink" Target="https://doi.org/10.1016/j.actaastro.2020.04.047" TargetMode="External"/><Relationship Id="rId188" Type="http://schemas.openxmlformats.org/officeDocument/2006/relationships/hyperlink" Target="https://doi.org/10.1016/j.actaastro.2021.01.048" TargetMode="External"/><Relationship Id="rId148" Type="http://schemas.openxmlformats.org/officeDocument/2006/relationships/hyperlink" Target="https://doi.org/10.1016/j.actaastro.2024.05.009" TargetMode="External"/><Relationship Id="rId186" Type="http://schemas.openxmlformats.org/officeDocument/2006/relationships/hyperlink" Target="https://doi.org/10.1016/j.actaastro.2024.09.025" TargetMode="External"/><Relationship Id="rId190" Type="http://schemas.openxmlformats.org/officeDocument/2006/relationships/hyperlink" Target="https://doi.org/10.1016/j.actaastro.2025.01.029" TargetMode="External"/><Relationship Id="rId196" Type="http://schemas.openxmlformats.org/officeDocument/2006/relationships/hyperlink" Target="https://doi.org/10.1016/j.actaastro.2026.05.029" TargetMode="External"/><Relationship Id="rId153" Type="http://schemas.openxmlformats.org/officeDocument/2006/relationships/hyperlink" Target="https://doi.org/10.1029/2003JE002070" TargetMode="External"/><Relationship Id="rId155" Type="http://schemas.openxmlformats.org/officeDocument/2006/relationships/hyperlink" Target="https://doi.org/10.1029/2005JE002605" TargetMode="External"/><Relationship Id="rId175" Type="http://schemas.openxmlformats.org/officeDocument/2006/relationships/hyperlink" Target="https://doi.org/10.1029/2006JE002682" TargetMode="External"/><Relationship Id="rId183" Type="http://schemas.openxmlformats.org/officeDocument/2006/relationships/hyperlink" Target="https://doi.org/10.1364/AO.410350" TargetMode="External"/><Relationship Id="rId146" Type="http://schemas.openxmlformats.org/officeDocument/2006/relationships/hyperlink" Target="https://doi.org/10.64861/PLYO7344" TargetMode="External"/></Relationships>
</file>

<file path=word/_rels/footnotes.xml.rels><?xml version='1.0' encoding='UTF-8' standalone='yes'?>
<Relationships xmlns="http://schemas.openxmlformats.org/package/2006/relationships"><Relationship Id="rId151" Type="http://schemas.openxmlformats.org/officeDocument/2006/relationships/hyperlink" Target="https://doi.org/10.1002/2016EA000252" TargetMode="External"/><Relationship Id="rId157" Type="http://schemas.openxmlformats.org/officeDocument/2006/relationships/hyperlink" Target="https://doi.org/10.1007/s11214-012-9902-4" TargetMode="External"/><Relationship Id="rId167" Type="http://schemas.openxmlformats.org/officeDocument/2006/relationships/hyperlink" Target="https://doi.org/10.1007/s11214-012-9910-4" TargetMode="External"/><Relationship Id="rId161" Type="http://schemas.openxmlformats.org/officeDocument/2006/relationships/hyperlink" Target="https://doi.org/10.1007/s11214-014-0079-x" TargetMode="External"/><Relationship Id="rId169" Type="http://schemas.openxmlformats.org/officeDocument/2006/relationships/hyperlink" Target="https://doi.org/10.1007/s11214-020-00755-x" TargetMode="External"/><Relationship Id="rId159" Type="http://schemas.openxmlformats.org/officeDocument/2006/relationships/hyperlink" Target="https://doi.org/10.1007/s11214-020-00777-5" TargetMode="External"/><Relationship Id="rId172" Type="http://schemas.openxmlformats.org/officeDocument/2006/relationships/hyperlink" Target="https://doi.org/10.1007/s11214-021-00807-w" TargetMode="External"/><Relationship Id="rId194" Type="http://schemas.openxmlformats.org/officeDocument/2006/relationships/hyperlink" Target="https://doi.org/10.1016/j.actaastro.2016.11.017" TargetMode="External"/><Relationship Id="rId200" Type="http://schemas.openxmlformats.org/officeDocument/2006/relationships/hyperlink" Target="https://doi.org/10.1016/j.actaastro.2018.09.022" TargetMode="External"/><Relationship Id="rId192" Type="http://schemas.openxmlformats.org/officeDocument/2006/relationships/hyperlink" Target="https://doi.org/10.1016/j.actaastro.2020.04.030" TargetMode="External"/><Relationship Id="rId198" Type="http://schemas.openxmlformats.org/officeDocument/2006/relationships/hyperlink" Target="https://doi.org/10.1016/j.actaastro.2020.04.047" TargetMode="External"/><Relationship Id="rId188" Type="http://schemas.openxmlformats.org/officeDocument/2006/relationships/hyperlink" Target="https://doi.org/10.1016/j.actaastro.2021.01.048" TargetMode="External"/><Relationship Id="rId148" Type="http://schemas.openxmlformats.org/officeDocument/2006/relationships/hyperlink" Target="https://doi.org/10.1016/j.actaastro.2024.05.009" TargetMode="External"/><Relationship Id="rId186" Type="http://schemas.openxmlformats.org/officeDocument/2006/relationships/hyperlink" Target="https://doi.org/10.1016/j.actaastro.2024.09.025" TargetMode="External"/><Relationship Id="rId190" Type="http://schemas.openxmlformats.org/officeDocument/2006/relationships/hyperlink" Target="https://doi.org/10.1016/j.actaastro.2025.01.029" TargetMode="External"/><Relationship Id="rId196" Type="http://schemas.openxmlformats.org/officeDocument/2006/relationships/hyperlink" Target="https://doi.org/10.1016/j.actaastro.2026.05.029" TargetMode="External"/><Relationship Id="rId153" Type="http://schemas.openxmlformats.org/officeDocument/2006/relationships/hyperlink" Target="https://doi.org/10.1029/2003JE002070" TargetMode="External"/><Relationship Id="rId155" Type="http://schemas.openxmlformats.org/officeDocument/2006/relationships/hyperlink" Target="https://doi.org/10.1029/2005JE002605" TargetMode="External"/><Relationship Id="rId175" Type="http://schemas.openxmlformats.org/officeDocument/2006/relationships/hyperlink" Target="https://doi.org/10.1029/2006JE002682" TargetMode="External"/><Relationship Id="rId183" Type="http://schemas.openxmlformats.org/officeDocument/2006/relationships/hyperlink" Target="https://doi.org/10.1364/AO.410350" TargetMode="External"/><Relationship Id="rId146" Type="http://schemas.openxmlformats.org/officeDocument/2006/relationships/hyperlink" Target="https://doi.org/10.64861/PLYO73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Curves in Planetary Instrument Development: Do Repeated Instrument Heritage Lineages Lower Cost and Schedule?</dc:title>
  <dc:creator>Beatriz Abara (1B-PLA-037)</dc:creator>
  <cp:keywords/>
  <dcterms:created xsi:type="dcterms:W3CDTF">2026-07-02T16:42:24Z</dcterms:created>
  <dcterms:modified xsi:type="dcterms:W3CDTF">2026-07-02T16:42:24Z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