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28d2b005518a01102e80d83b5241afb447a1025"/>
    <w:p>
      <w:pPr>
        <w:pStyle w:val="Heading1"/>
      </w:pPr>
      <w:r>
        <w:t xml:space="preserve">Causal Drivers of Planetary Data-Pipeline Latency: An Instrumented Log-Linear Regression of Cross-Mission Data-Return Turnaround</w:t>
      </w:r>
    </w:p>
    <w:bookmarkStart w:id="61" w:name="introduction"/>
    <w:p>
      <w:pPr>
        <w:pStyle w:val="Heading2"/>
      </w:pPr>
      <w:r>
        <w:t xml:space="preserve">1. Introduction</w:t>
      </w:r>
    </w:p>
    <w:p>
      <w:pPr>
        <w:pStyle w:val="FirstParagraph"/>
      </w:pPr>
      <w:r>
        <w:t xml:space="preserve">Every planetary science result begins as a measurement on a spacecraft and ends as a calibrated product on the ground. The interval between those two states, the data-return latency of the mission pipeline, sets the tempo at which discovery, anomaly response, and operational decision-making can proceed. For a Mars surface asset that latency is a matter of minutes; for an interstellar probe it stretches across the better part of a day. Understanding which engineering and geometric variables govern that interval, and in what proportion, is a precondition for designing operations concepts that meet science and decision requirements.</w:t>
      </w:r>
    </w:p>
    <w:p>
      <w:pPr>
        <w:pStyle w:val="BodyText"/>
      </w:pPr>
      <w:r>
        <w:t xml:space="preserve">The operational stakes are not abstract. As the volume of returned planetary data grows and as the Deep Space Network and its international peers contend with more simultaneous customers, latency competes with throughput as the binding constraint on mission value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A clear, quantified account of what drives latency tells program planners where investment actually moves the outcome: whether a larger antenna, a faster downlink mode, a relay architecture, or simply an acceptance of the physics of distance.</w:t>
      </w:r>
    </w:p>
    <w:p>
      <w:pPr>
        <w:pStyle w:val="FirstParagraph"/>
      </w:pPr>
      <w:r>
        <w:t xml:space="preserve">This paper estimates an instrumented log-linear regression of representative data-return latency across twenty-eight planetary and deep-space missions on four documented drivers: Earth-spacecraft distance, downlink data rate, high-gain antenna aperture, and relay architecture. The central finding is that distance, through its irreducible one-way light-time floor, dominates the cross-mission variation, while the engineering levers that planners can purchase exert second-order influence. The contribution is a transparent, source-traceable elasticity decomposition that separates the compressible from the incompressible components of pipeline latency.</w:t>
      </w:r>
    </w:p>
    <w:bookmarkEnd w:id="61"/>
    <w:bookmarkStart w:id="62" w:name="theory-and-hypotheses"/>
    <w:p>
      <w:pPr>
        <w:pStyle w:val="Heading2"/>
      </w:pPr>
      <w:r>
        <w:t xml:space="preserve">2. Theory and Hypotheses</w:t>
      </w:r>
    </w:p>
    <w:p>
      <w:pPr>
        <w:pStyle w:val="FirstParagraph"/>
      </w:pPr>
      <w:r>
        <w:t xml:space="preserve">Data-return latency in a deep-space pipeline decomposes into two physically distinct parts. The first is the one-way light-time floor, fixed by the Earth-spacecraft distance and the speed of light, which no ground-segment or onboard engineering can reduce. The second is the accumulation of overhead above that floor: queueing for a tracking pass, buffering and playback at a finite downlink rate, and ground processing. Mission telecommunications design has long recognized that as distance grows the link budget degrades with the inverse square of range, forcing lower downlink rates precisely where the light-time floor is already highest</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The two parts therefore tend to compound rather than offset.</w:t>
      </w:r>
    </w:p>
    <w:p>
      <w:pPr>
        <w:pStyle w:val="FirstParagraph"/>
      </w:pPr>
      <w:r>
        <w:t xml:space="preserve">The downlink-rate channel is the principal lever planners purchase. Higher-rate Ka-band and arrayed-reception architectures shorten the playback component of latency for a fixed data volume, and adaptive data-rate schemes on deep-space links explicitly trade rate against distance-driven margin</w:t>
      </w:r>
      <w:r>
        <w:t xml:space="preserve"> </w:t>
      </w:r>
      <w:hyperlink w:anchor="ref-4">
        <m:oMathPara>
          <m:oMathParaPr>
            <m:jc m:val="center"/>
          </m:oMathParaPr>
          <m:oMath>
            <m:r>
              <m:t>4</m:t>
            </m:r>
          </m:oMath>
        </m:oMathPara>
      </w:hyperlink>
      <w:r>
        <w:t xml:space="preserve">. Antenna aperture enters through the link budget as well, since a larger high-gain dish raises achievable rate for a given distance and ground asset. Relay architectures, in which a surface asset routes through an orbiter rather than transmitting direct-to-Earth, restructure the pipeline into multiple hops; recent work on distributed and agent-based mission management frames this as a topology choice with its own latency signature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Autonomous and onboard processing can further compress the ground-side component by reducing the volume that must traverse the link</w:t>
      </w:r>
      <w:r>
        <w:t xml:space="preserve"> </w:t>
      </w:r>
      <w:hyperlink w:anchor="ref-7">
        <m:oMathPara>
          <m:oMathParaPr>
            <m:jc m:val="center"/>
          </m:oMathParaPr>
          <m:oMath>
            <m:r>
              <m:t>7</m:t>
            </m:r>
          </m:oMath>
        </m:oMathPara>
      </w:hyperlink>
      <w:r>
        <w:t xml:space="preserve">.</w:t>
      </w:r>
    </w:p>
    <w:p>
      <w:pPr>
        <w:pStyle w:val="FirstParagraph"/>
      </w:pPr>
      <w:r>
        <w:t xml:space="preserve">These mechanisms motivate a log-linear specification in which the elasticity of latency with respect to distance is expected to be large and positive, while the elasticity with respect to downlink rate is expected to be negative. The formal model is</w:t>
      </w:r>
    </w:p>
    <w:p>
      <w:pPr>
        <w:pStyle w:val="BodyText"/>
      </w:pPr>
      <w:r>
        <w:t xml:space="preserve">ln(L_i) = beta_0 + beta_1 ln(D_i) + beta_2 ln(R_i) + beta_3 A_i + beta_4 Relay_i + epsilon_i</w:t>
      </w:r>
    </w:p>
    <w:p>
      <w:pPr>
        <w:pStyle w:val="BodyText"/>
      </w:pPr>
      <w:r>
        <w:t xml:space="preserve">where L is latency in hours, D is Earth distance in astronomical units, R is downlink rate in kilobits per second, A is antenna aperture in meters, and Relay is a relay-architecture indicator.</w:t>
      </w:r>
    </w:p>
    <w:p>
      <w:pPr>
        <w:pStyle w:val="BodyText"/>
      </w:pPr>
      <w:r>
        <w:rPr>
          <w:b/>
          <w:bCs/>
        </w:rPr>
        <w:t xml:space="preserve">H1.</w:t>
      </w:r>
      <w:r>
        <w:t xml:space="preserve"> </w:t>
      </w:r>
      <w:r>
        <w:t xml:space="preserve">Holding downlink rate, aperture, and architecture fixed, the elasticity of latency with respect to distance is positive (beta_1 &gt; 0) and large, reflecting the light-time floor.</w:t>
      </w:r>
    </w:p>
    <w:p>
      <w:pPr>
        <w:pStyle w:val="BodyText"/>
      </w:pPr>
      <w:r>
        <w:rPr>
          <w:b/>
          <w:bCs/>
        </w:rPr>
        <w:t xml:space="preserve">H2.</w:t>
      </w:r>
      <w:r>
        <w:t xml:space="preserve"> </w:t>
      </w:r>
      <w:r>
        <w:t xml:space="preserve">Holding distance, aperture, and architecture fixed, the elasticity of latency with respect to downlink rate is negative (beta_2 &lt; 0).</w:t>
      </w:r>
    </w:p>
    <w:bookmarkEnd w:id="62"/>
    <w:bookmarkStart w:id="63" w:name="data"/>
    <w:p>
      <w:pPr>
        <w:pStyle w:val="Heading2"/>
      </w:pPr>
      <w:r>
        <w:t xml:space="preserve">3. Data</w:t>
      </w:r>
    </w:p>
    <w:p>
      <w:pPr>
        <w:pStyle w:val="FirstParagraph"/>
      </w:pPr>
      <w:r>
        <w:t xml:space="preserve">The dataset is a cross-section of twenty-eight planetary and deep-space missions operated by NASA, ESA, and JAXA, spanning Mercury to the interstellar medium. Each row records the mission, target body, representative Earth-spacecraft distance in astronomical units, one-way light time in minutes, representative downlink data rate in kilobits per second, high-gain antenna aperture in meters, a relay-architecture indicator, representative onboard storage, and the representative one-way data-return latency in hours. The final column of the dataset cites the documented source for each row, drawn from mission press kits, NASA and ESA and JAXA mission pages, and the DESCANSO deep-space telecommunications monograph series.</w:t>
      </w:r>
    </w:p>
    <w:p>
      <w:pPr>
        <w:pStyle w:val="BodyText"/>
      </w:pPr>
      <w:r>
        <w:t xml:space="preserve">The outcome variable is constructed from the documented one-way light-time floor together with the downlink and scheduling overhead reported for each mission. Anchor values are firmly sourced: Voyager 1 transmits at 160 bits per second with a one-way light time near 22.5 hours at 164 astronomical units; New Horizons returned Pluto encounter data at 1 to 2 kilobits per second with a flyby light time of about four hours and twenty-five minutes; Cassini downlinked at 33 to 140 kilobits per second through a 4-meter high-gain antenna at Saturn. Where a single published overhead figure was genuinely unobtainable, the cell is marked illustrative; such cells affect four of twenty-eight rows and remain below the fifteen percent ceiling. Distance and downlink rate enter the regression in natural logs; aperture and the relay indicator enter in levels.</w:t>
      </w:r>
    </w:p>
    <w:bookmarkEnd w:id="63"/>
    <w:bookmarkStart w:id="64" w:name="method"/>
    <w:p>
      <w:pPr>
        <w:pStyle w:val="Heading2"/>
      </w:pPr>
      <w:r>
        <w:t xml:space="preserve">4. Method</w:t>
      </w:r>
    </w:p>
    <w:p>
      <w:pPr>
        <w:pStyle w:val="FirstParagraph"/>
      </w:pPr>
      <w:r>
        <w:t xml:space="preserve">The model is estimated by ordinary least squares with heteroskedasticity-consistent (HC1) standard errors, appropriate to a cross-section with wide dispersion in distance and rate across mission classes. The log-log form on distance and rate yields coefficients interpretable as elasticities: a one percent change in the regressor maps to a beta percent change in latency. Aperture and the relay indicator enter linearly, so their coefficients are semi-elasticities. The specification is deliberately parsimonious, with four drivers and twenty-eight observations, to avoid overfitting and to keep each coefficient defensible against the documented sources. The estimator and its standard errors are computed through the shared runner used across this dissertation’s empirical papers, so the reported numbers are reproducible from the dataset and configuration without manual intervention.</w:t>
      </w:r>
    </w:p>
    <w:bookmarkEnd w:id="64"/>
    <w:bookmarkStart w:id="65" w:name="findings"/>
    <w:p>
      <w:pPr>
        <w:pStyle w:val="Heading2"/>
      </w:pPr>
      <w:r>
        <w:t xml:space="preserve">5. Findings</w:t>
      </w:r>
    </w:p>
    <w:p>
      <w:pPr>
        <w:pStyle w:val="FirstParagraph"/>
      </w:pPr>
      <w:r>
        <w:t xml:space="preserve">The model fits the cross-mission variation closely. Across twenty-eight missions the regression explains ninety-eight percent of the variance in log latency (R-squared 0.980, adjusted R-squared 0.976), and the joint F-statistic of 128.0 is significant well beyond conventional thresholds (p approximately 2.3e-15).</w:t>
      </w:r>
    </w:p>
    <w:p>
      <w:pPr>
        <w:pStyle w:val="BodyText"/>
      </w:pPr>
      <w:r>
        <w:t xml:space="preserve">The distance elasticity is the dominant and decisive result. The coefficient on log Earth distance is 0.735 with a standard error of 0.052 and a p-value below 0.001. A one percent increase in Earth-spacecraft distance is associated with roughly a 0.74 percent increase in data-return latency, holding the engineering variables fixed. This strongly supports H1: the light-time floor governs the pipeline, and its grip tightens monotonically from the inner planets to the interstellar probes. The estimated elasticity below unity is consistent with the floor being the leading but not the sole component, since overhead above the floor does not scale exactly with distance.</w:t>
      </w:r>
    </w:p>
    <w:p>
      <w:pPr>
        <w:pStyle w:val="BodyText"/>
      </w:pPr>
      <w:r>
        <w:t xml:space="preserve">The downlink-rate elasticity carries the predicted negative sign but does not reach significance. The coefficient on log downlink rate is -0.021 with a standard error of 0.017 and a p-value of 0.213. The direction matches H2, and the point estimate implies that a tenfold increase in downlink rate is associated with roughly a five percent reduction in latency, but the cross-section cannot distinguish this effect from zero at conventional levels. The practical reading is that rate matters most for throughput rather than for the latency floor, which distance already pins.</w:t>
      </w:r>
    </w:p>
    <w:p>
      <w:pPr>
        <w:pStyle w:val="BodyText"/>
      </w:pPr>
      <w:r>
        <w:t xml:space="preserve">The two remaining engineering levers are not statistically distinguishable from zero. Antenna aperture enters with a coefficient of -0.025 (standard error 0.055, p 0.645), and the relay indicator enters with a coefficient of 0.056 (standard error 0.075, p 0.451). The relay sign is positive, consistent with the intuition that a multi-hop architecture adds overhead, but the estimate is imprecise in this cross-section. Neither aperture nor architecture rivals distance as a driver of latency once distance and rate are controlled.</w:t>
      </w:r>
    </w:p>
    <w:bookmarkEnd w:id="65"/>
    <w:bookmarkStart w:id="66" w:name="discussion"/>
    <w:p>
      <w:pPr>
        <w:pStyle w:val="Heading2"/>
      </w:pPr>
      <w:r>
        <w:t xml:space="preserve">6. Discussion</w:t>
      </w:r>
    </w:p>
    <w:p>
      <w:pPr>
        <w:pStyle w:val="FirstParagraph"/>
      </w:pPr>
      <w:r>
        <w:t xml:space="preserve">The headline of this analysis is a separation between what planners can buy and what physics imposes. Distance, the one variable no operations investment can change, accounts for nearly all of the explained variation in latency, with a tight and highly significant elasticity near 0.74. The levers that programs actually purchase, faster downlink modes, larger apertures, and relay topologies, move latency only at the margin once distance is held fixed. This does not diminish those investments; they remain the primary means of raising throughput and closing link budgets at range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It does, however, reframe the latency conversation: for deep-space missions, latency requirements should be treated as largely exogenous to ground engineering and instead designed around through autonomy, onboard triage, and operations concepts that tolerate the floor</w:t>
      </w:r>
      <w:r>
        <w:t xml:space="preserve"> </w:t>
      </w:r>
      <w:hyperlink w:anchor="ref-7">
        <m:oMathPara>
          <m:oMathParaPr>
            <m:jc m:val="center"/>
          </m:oMathParaPr>
          <m:oMath>
            <m:r>
              <m:t>7</m:t>
            </m:r>
          </m:oMath>
        </m:oMathPara>
      </w:hyperlink>
      <w:r>
        <w:t xml:space="preserve">.</w:t>
      </w:r>
    </w:p>
    <w:p>
      <w:pPr>
        <w:pStyle w:val="FirstParagraph"/>
      </w:pPr>
      <w:r>
        <w:t xml:space="preserve">Three limitations bound the claims. First, the outcome is a representative latency rather than a continuously logged operational series, so the estimates describe cross-mission structure rather than within-mission dynamics. Second, the relay and aperture channels are thinly populated in this cross-section, which limits the precision of their coefficients; a panel with repeated passes per mission would sharpen them. Third, four illustrative overhead cells, all flagged in the dataset, introduce modest measurement noise that the log specification partially absorbs. Future work should extend the cross-section into a true panel of tracking-pass records, where queueing delay at the Deep Space Network and its peers can be modeled directly alongside the light-time floor</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The policy implication for planetary operations is direct. Because the dominant driver is incompressible, the highest-leverage latency investments are not in the link but in reducing the volume and increasing the autonomy of what crosses it. Distributed and agent-based mission management, onboard event detection, and prioritized data triage attack the part of the pipeline that engineering can actually move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leaving the light-time floor to be planned around rather than fought.</w:t>
      </w:r>
    </w:p>
    <w:bookmarkEnd w:id="66"/>
    <w:bookmarkStart w:id="78" w:name="references"/>
    <w:p>
      <w:pPr>
        <w:pStyle w:val="Heading2"/>
      </w:pPr>
      <w:r>
        <w:t xml:space="preserve">References</w:t>
      </w:r>
    </w:p>
    <w:p>
      <w:pPr>
        <w:pStyle w:val="FirstParagraph"/>
      </w:pPr>
      <w:bookmarkStart w:id="67" w:name="ref-1"/>
      <w:bookmarkEnd w:id="67"/>
      <w:r>
        <w:t xml:space="preserve">1. T. Ely and colleagues,</w:t>
      </w:r>
      <w:r>
        <w:t xml:space="preserve"> </w:t>
      </w:r>
      <w:r>
        <w:t xml:space="preserve">“The Impact of Traffic Prioritization on Deep Space Network Mission Traffic,”</w:t>
      </w:r>
      <w:r>
        <w:t xml:space="preserve"> </w:t>
      </w:r>
      <w:r>
        <w:t xml:space="preserve">NASA Technical Reports Server, 2011. https://ntrs.nasa.gov/</w:t>
      </w:r>
    </w:p>
    <w:p>
      <w:pPr>
        <w:pStyle w:val="BodyText"/>
      </w:pPr>
      <w:bookmarkStart w:id="68" w:name="ref-2"/>
      <w:bookmarkEnd w:id="68"/>
      <w:r>
        <w:t xml:space="preserve">2. NASA Jet Propulsion Laboratory,</w:t>
      </w:r>
      <w:r>
        <w:t xml:space="preserve"> </w:t>
      </w:r>
      <w:r>
        <w:t xml:space="preserve">“Deep Space Network (DSN) Lunar Exploration Upgrades (DLEU),”</w:t>
      </w:r>
      <w:r>
        <w:t xml:space="preserve"> </w:t>
      </w:r>
      <w:r>
        <w:t xml:space="preserve">NASA Technical Reports Server. https://ntrs.nasa.gov/</w:t>
      </w:r>
    </w:p>
    <w:p>
      <w:pPr>
        <w:pStyle w:val="BodyText"/>
      </w:pPr>
      <w:bookmarkStart w:id="69" w:name="ref-3"/>
      <w:bookmarkEnd w:id="69"/>
      <w:r>
        <w:t xml:space="preserve">3. R. Ludwig and J. Taylor,</w:t>
      </w:r>
      <w:r>
        <w:t xml:space="preserve"> </w:t>
      </w:r>
      <w:r>
        <w:t xml:space="preserve">“Voyager Telecommunications,”</w:t>
      </w:r>
      <w:r>
        <w:t xml:space="preserve"> </w:t>
      </w:r>
      <w:r>
        <w:t xml:space="preserve">DESCANSO Design and Performance Summary Series, Chapter 3, NASA/JPL, 2002. https://voyager.gsfc.nasa.gov/Library/DeepCommo_Chapter3–141029.pdf</w:t>
      </w:r>
    </w:p>
    <w:p>
      <w:pPr>
        <w:pStyle w:val="BodyText"/>
      </w:pPr>
      <w:bookmarkStart w:id="70" w:name="ref-4"/>
      <w:bookmarkEnd w:id="70"/>
      <w:r>
        <w:t xml:space="preserve">4. M. M. Kobayashi, F. Stocklin, M. Pugh, and I. Kuperman,</w:t>
      </w:r>
      <w:r>
        <w:t xml:space="preserve"> </w:t>
      </w:r>
      <w:r>
        <w:t xml:space="preserve">“NASA’s high-rate Ka-band downlink system for the NISAR mission,”</w:t>
      </w:r>
      <w:r>
        <w:t xml:space="preserve"> </w:t>
      </w:r>
      <w:r>
        <w:t xml:space="preserve">Acta Astronautica, 2019. doi:</w:t>
      </w:r>
      <w:r>
        <w:t xml:space="preserve"> </w:t>
      </w:r>
      <w:hyperlink r:id="rId71">
        <w:r>
          <w:rPr>
            <w:rStyle w:val="Hyperlink"/>
          </w:rPr>
          <w:t xml:space="preserve">10.1016/j.actaastro.2019.03.069</w:t>
        </w:r>
      </w:hyperlink>
    </w:p>
    <w:p>
      <w:pPr>
        <w:pStyle w:val="BodyText"/>
      </w:pPr>
      <w:bookmarkStart w:id="72" w:name="ref-5"/>
      <w:bookmarkEnd w:id="72"/>
      <w:r>
        <w:t xml:space="preserve">5. P. Betriu, M. Soria, J. Gutierrez, M. Llopis, and A. Anton,</w:t>
      </w:r>
      <w:r>
        <w:t xml:space="preserve"> </w:t>
      </w:r>
      <w:r>
        <w:t xml:space="preserve">“An assessment of different relay network topologies to improve Earth-Mars communications,”</w:t>
      </w:r>
      <w:r>
        <w:t xml:space="preserve"> </w:t>
      </w:r>
      <w:r>
        <w:t xml:space="preserve">Acta Astronautica, 2023. doi:</w:t>
      </w:r>
      <w:r>
        <w:t xml:space="preserve"> </w:t>
      </w:r>
      <w:hyperlink r:id="rId73">
        <w:r>
          <w:rPr>
            <w:rStyle w:val="Hyperlink"/>
          </w:rPr>
          <w:t xml:space="preserve">10.1016/j.actaastro.2023.01.040</w:t>
        </w:r>
      </w:hyperlink>
    </w:p>
    <w:p>
      <w:pPr>
        <w:pStyle w:val="BodyText"/>
      </w:pPr>
      <w:bookmarkStart w:id="74" w:name="ref-6"/>
      <w:bookmarkEnd w:id="74"/>
      <w:r>
        <w:t xml:space="preserve">6. M. R. Jabbarpour, Q. B. Vo, and G. El-Din,</w:t>
      </w:r>
      <w:r>
        <w:t xml:space="preserve"> </w:t>
      </w:r>
      <w:r>
        <w:t xml:space="preserve">“Agent-based approaches for distributed space systems and mission management: Methodologies, current practices and challenges,”</w:t>
      </w:r>
      <w:r>
        <w:t xml:space="preserve"> </w:t>
      </w:r>
      <w:r>
        <w:t xml:space="preserve">Acta Astronautica, 2025. doi:</w:t>
      </w:r>
      <w:r>
        <w:t xml:space="preserve"> </w:t>
      </w:r>
      <w:hyperlink r:id="rId75">
        <w:r>
          <w:rPr>
            <w:rStyle w:val="Hyperlink"/>
          </w:rPr>
          <w:t xml:space="preserve">10.1016/j.actaastro.2025.10.018</w:t>
        </w:r>
      </w:hyperlink>
    </w:p>
    <w:p>
      <w:pPr>
        <w:pStyle w:val="BodyText"/>
      </w:pPr>
      <w:bookmarkStart w:id="76" w:name="ref-7"/>
      <w:bookmarkEnd w:id="76"/>
      <w:r>
        <w:t xml:space="preserve">7. E. Turan, S. Speretta, and E. Gill,</w:t>
      </w:r>
      <w:r>
        <w:t xml:space="preserve"> </w:t>
      </w:r>
      <w:r>
        <w:t xml:space="preserve">“Autonomous navigation for deep space small satellites: Scientific and technological advances,”</w:t>
      </w:r>
      <w:r>
        <w:t xml:space="preserve"> </w:t>
      </w:r>
      <w:r>
        <w:t xml:space="preserve">Acta Astronautica, 2022. doi:</w:t>
      </w:r>
      <w:r>
        <w:t xml:space="preserve"> </w:t>
      </w:r>
      <w:hyperlink r:id="rId77">
        <w:r>
          <w:rPr>
            <w:rStyle w:val="Hyperlink"/>
          </w:rPr>
          <w:t xml:space="preserve">10.1016/j.actaastro.2021.12.030</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t>L</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t>D</m:t>
              </m:r>
            </m:e>
            <m:sub>
              <m:r>
                <m:t>i</m:t>
              </m:r>
            </m:sub>
          </m:sSub>
          <m:r>
            <m:rPr>
              <m:sty m:val="p"/>
            </m:rPr>
            <m:t>)</m:t>
          </m:r>
          <m:r>
            <m:rPr>
              <m:sty m:val="p"/>
            </m:rPr>
            <m:t>+</m:t>
          </m:r>
          <m:sSub>
            <m:e>
              <m:r>
                <m:t>β</m:t>
              </m:r>
            </m:e>
            <m:sub>
              <m:r>
                <m:t>2</m:t>
              </m:r>
            </m:sub>
          </m:sSub>
          <m:r>
            <m:rPr>
              <m:sty m:val="p"/>
            </m:rPr>
            <m:t>ln</m:t>
          </m:r>
          <m:r>
            <m:rPr>
              <m:sty m:val="p"/>
            </m:rPr>
            <m:t>(</m:t>
          </m:r>
          <m:sSub>
            <m:e>
              <m:r>
                <m:t>R</m:t>
              </m:r>
            </m:e>
            <m:sub>
              <m:r>
                <m:t>i</m:t>
              </m:r>
            </m:sub>
          </m:sSub>
          <m:r>
            <m:rPr>
              <m:sty m:val="p"/>
            </m:rPr>
            <m:t>)</m:t>
          </m:r>
          <m:r>
            <m:rPr>
              <m:sty m:val="p"/>
            </m:rPr>
            <m:t>+</m:t>
          </m:r>
          <m:sSub>
            <m:e>
              <m:r>
                <m:t>β</m:t>
              </m:r>
            </m:e>
            <m:sub>
              <m:r>
                <m:t>3</m:t>
              </m:r>
            </m:sub>
          </m:sSub>
          <m:sSub>
            <m:e>
              <m:r>
                <m:t>A</m:t>
              </m:r>
            </m:e>
            <m:sub>
              <m:r>
                <m:t>i</m:t>
              </m:r>
            </m:sub>
          </m:sSub>
          <m:r>
            <m:rPr>
              <m:sty m:val="p"/>
            </m:rPr>
            <m:t>+</m:t>
          </m:r>
          <m:sSub>
            <m:e>
              <m:r>
                <m:t>β</m:t>
              </m:r>
            </m:e>
            <m:sub>
              <m:r>
                <m:t>4</m:t>
              </m:r>
            </m:sub>
          </m:sSub>
          <m:sSub>
            <m:e>
              <m:r>
                <m:rPr>
                  <m:sty m:val="p"/>
                </m:rPr>
                <m:t>R</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-0.8137</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-11.0182</w:t>
            </w:r>
          </w:p>
        </w:tc>
        <w:tc>
          <w:tcPr>
            <w:tcW w:w="0" w:type="auto"/>
          </w:tcPr>
          <w:p>
            <w:pPr>
              <w:spacing w:line="240" w:lineRule="auto" w:before="0" w:after="0"/>
              <w:pStyle w:val="Compact"/>
            </w:pPr>
            <w:r>
              <w:rPr>
                <w:sz w:val="20"/>
                <w:szCs w:val="20"/>
              </w:rPr>
              <w:t xml:space="preserve">3.121e-28</w:t>
            </w:r>
          </w:p>
        </w:tc>
        <w:tc>
          <w:tcPr>
            <w:tcW w:w="0" w:type="auto"/>
          </w:tcPr>
          <w:p>
            <w:pPr>
              <w:spacing w:line="240" w:lineRule="auto" w:before="0" w:after="0"/>
              <w:pStyle w:val="Compact"/>
            </w:pPr>
            <w:r>
              <w:rPr>
                <w:sz w:val="20"/>
                <w:szCs w:val="20"/>
              </w:rPr>
              <w:t xml:space="preserve">[-0.9584, -0.6689]</w:t>
            </w:r>
          </w:p>
        </w:tc>
      </w:tr>
      <w:tr>
        <w:tc>
          <w:tcPr>
            <w:tcW w:w="0" w:type="auto"/>
          </w:tcPr>
          <w:p>
            <w:pPr>
              <w:spacing w:line="240" w:lineRule="auto" w:before="0" w:after="0"/>
              <w:pStyle w:val="Compact"/>
            </w:pPr>
            <w:r>
              <w:rPr>
                <w:sz w:val="20"/>
                <w:szCs w:val="20"/>
              </w:rPr>
              <w:t xml:space="preserve">ln_earth_dist_au</w:t>
            </w:r>
          </w:p>
        </w:tc>
        <w:tc>
          <w:tcPr>
            <w:tcW w:w="0" w:type="auto"/>
          </w:tcPr>
          <w:p>
            <w:pPr>
              <w:spacing w:line="240" w:lineRule="auto" w:before="0" w:after="0"/>
              <w:pStyle w:val="Compact"/>
            </w:pPr>
            <w:r>
              <w:rPr>
                <w:sz w:val="20"/>
                <w:szCs w:val="20"/>
              </w:rPr>
              <w:t xml:space="preserve">0.7354</w:t>
            </w:r>
          </w:p>
        </w:tc>
        <w:tc>
          <w:tcPr>
            <w:tcW w:w="0" w:type="auto"/>
          </w:tcPr>
          <w:p>
            <w:pPr>
              <w:spacing w:line="240" w:lineRule="auto" w:before="0" w:after="0"/>
              <w:pStyle w:val="Compact"/>
            </w:pPr>
            <w:r>
              <w:rPr>
                <w:sz w:val="20"/>
                <w:szCs w:val="20"/>
              </w:rPr>
              <w:t xml:space="preserve">0.0523</w:t>
            </w:r>
          </w:p>
        </w:tc>
        <w:tc>
          <w:tcPr>
            <w:tcW w:w="0" w:type="auto"/>
          </w:tcPr>
          <w:p>
            <w:pPr>
              <w:spacing w:line="240" w:lineRule="auto" w:before="0" w:after="0"/>
              <w:pStyle w:val="Compact"/>
            </w:pPr>
            <w:r>
              <w:rPr>
                <w:sz w:val="20"/>
                <w:szCs w:val="20"/>
              </w:rPr>
              <w:t xml:space="preserve">14.0626</w:t>
            </w:r>
          </w:p>
        </w:tc>
        <w:tc>
          <w:tcPr>
            <w:tcW w:w="0" w:type="auto"/>
          </w:tcPr>
          <w:p>
            <w:pPr>
              <w:spacing w:line="240" w:lineRule="auto" w:before="0" w:after="0"/>
              <w:pStyle w:val="Compact"/>
            </w:pPr>
            <w:r>
              <w:rPr>
                <w:sz w:val="20"/>
                <w:szCs w:val="20"/>
              </w:rPr>
              <w:t xml:space="preserve">6.451e-45</w:t>
            </w:r>
          </w:p>
        </w:tc>
        <w:tc>
          <w:tcPr>
            <w:tcW w:w="0" w:type="auto"/>
          </w:tcPr>
          <w:p>
            <w:pPr>
              <w:spacing w:line="240" w:lineRule="auto" w:before="0" w:after="0"/>
              <w:pStyle w:val="Compact"/>
            </w:pPr>
            <w:r>
              <w:rPr>
                <w:sz w:val="20"/>
                <w:szCs w:val="20"/>
              </w:rPr>
              <w:t xml:space="preserve">[0.6329, 0.8379]</w:t>
            </w:r>
          </w:p>
        </w:tc>
      </w:tr>
      <w:tr>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-0.0207</w:t>
            </w:r>
          </w:p>
        </w:tc>
        <w:tc>
          <w:tcPr>
            <w:tcW w:w="0" w:type="auto"/>
          </w:tcPr>
          <w:p>
            <w:pPr>
              <w:spacing w:line="240" w:lineRule="auto" w:before="0" w:after="0"/>
              <w:pStyle w:val="Compact"/>
            </w:pPr>
            <w:r>
              <w:rPr>
                <w:sz w:val="20"/>
                <w:szCs w:val="20"/>
              </w:rPr>
              <w:t xml:space="preserve">0.0166</w:t>
            </w:r>
          </w:p>
        </w:tc>
        <w:tc>
          <w:tcPr>
            <w:tcW w:w="0" w:type="auto"/>
          </w:tcPr>
          <w:p>
            <w:pPr>
              <w:spacing w:line="240" w:lineRule="auto" w:before="0" w:after="0"/>
              <w:pStyle w:val="Compact"/>
            </w:pPr>
            <w:r>
              <w:rPr>
                <w:sz w:val="20"/>
                <w:szCs w:val="20"/>
              </w:rPr>
              <w:t xml:space="preserve">-1.246</w:t>
            </w:r>
          </w:p>
        </w:tc>
        <w:tc>
          <w:tcPr>
            <w:tcW w:w="0" w:type="auto"/>
          </w:tcPr>
          <w:p>
            <w:pPr>
              <w:spacing w:line="240" w:lineRule="auto" w:before="0" w:after="0"/>
              <w:pStyle w:val="Compact"/>
            </w:pPr>
            <w:r>
              <w:rPr>
                <w:sz w:val="20"/>
                <w:szCs w:val="20"/>
              </w:rPr>
              <w:t xml:space="preserve">0.2128</w:t>
            </w:r>
          </w:p>
        </w:tc>
        <w:tc>
          <w:tcPr>
            <w:tcW w:w="0" w:type="auto"/>
          </w:tcPr>
          <w:p>
            <w:pPr>
              <w:spacing w:line="240" w:lineRule="auto" w:before="0" w:after="0"/>
              <w:pStyle w:val="Compact"/>
            </w:pPr>
            <w:r>
              <w:rPr>
                <w:sz w:val="20"/>
                <w:szCs w:val="20"/>
              </w:rPr>
              <w:t xml:space="preserve">[-0.0534, 0.0119]</w:t>
            </w:r>
          </w:p>
        </w:tc>
      </w:tr>
      <w:tr>
        <w:tc>
          <w:tcPr>
            <w:tcW w:w="0" w:type="auto"/>
          </w:tcPr>
          <w:p>
            <w:pPr>
              <w:spacing w:line="240" w:lineRule="auto" w:before="0" w:after="0"/>
              <w:pStyle w:val="Compact"/>
            </w:pPr>
            <w:r>
              <w:rPr>
                <w:sz w:val="20"/>
                <w:szCs w:val="20"/>
              </w:rPr>
              <w:t xml:space="preserve">antenna_m</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-0.4609</w:t>
            </w:r>
          </w:p>
        </w:tc>
        <w:tc>
          <w:tcPr>
            <w:tcW w:w="0" w:type="auto"/>
          </w:tcPr>
          <w:p>
            <w:pPr>
              <w:spacing w:line="240" w:lineRule="auto" w:before="0" w:after="0"/>
              <w:pStyle w:val="Compact"/>
            </w:pPr>
            <w:r>
              <w:rPr>
                <w:sz w:val="20"/>
                <w:szCs w:val="20"/>
              </w:rPr>
              <w:t xml:space="preserve">0.6449</w:t>
            </w:r>
          </w:p>
        </w:tc>
        <w:tc>
          <w:tcPr>
            <w:tcW w:w="0" w:type="auto"/>
          </w:tcPr>
          <w:p>
            <w:pPr>
              <w:spacing w:line="240" w:lineRule="auto" w:before="0" w:after="0"/>
              <w:pStyle w:val="Compact"/>
            </w:pPr>
            <w:r>
              <w:rPr>
                <w:sz w:val="20"/>
                <w:szCs w:val="20"/>
              </w:rPr>
              <w:t xml:space="preserve">[-0.1326, 0.0821]</w:t>
            </w:r>
          </w:p>
        </w:tc>
      </w:tr>
      <w:tr>
        <w:tc>
          <w:tcPr>
            <w:tcW w:w="0" w:type="auto"/>
          </w:tcPr>
          <w:p>
            <w:pPr>
              <w:spacing w:line="240" w:lineRule="auto" w:before="0" w:after="0"/>
              <w:pStyle w:val="Compact"/>
            </w:pPr>
            <w:r>
              <w:rPr>
                <w:sz w:val="20"/>
                <w:szCs w:val="20"/>
              </w:rPr>
              <w:t xml:space="preserve">relay</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0.7533</w:t>
            </w:r>
          </w:p>
        </w:tc>
        <w:tc>
          <w:tcPr>
            <w:tcW w:w="0" w:type="auto"/>
          </w:tcPr>
          <w:p>
            <w:pPr>
              <w:spacing w:line="240" w:lineRule="auto" w:before="0" w:after="0"/>
              <w:pStyle w:val="Compact"/>
            </w:pPr>
            <w:r>
              <w:rPr>
                <w:sz w:val="20"/>
                <w:szCs w:val="20"/>
              </w:rPr>
              <w:t xml:space="preserve">0.4513</w:t>
            </w:r>
          </w:p>
        </w:tc>
        <w:tc>
          <w:tcPr>
            <w:tcW w:w="0" w:type="auto"/>
          </w:tcPr>
          <w:p>
            <w:pPr>
              <w:spacing w:line="240" w:lineRule="auto" w:before="0" w:after="0"/>
              <w:pStyle w:val="Compact"/>
            </w:pPr>
            <w:r>
              <w:rPr>
                <w:sz w:val="20"/>
                <w:szCs w:val="20"/>
              </w:rPr>
              <w:t xml:space="preserve">[-0.0899, 0.2021]</w:t>
            </w:r>
          </w:p>
        </w:tc>
      </w:tr>
    </w:tbl>
    <w:p>
      <w:pPr>
        <w:pStyle w:val="BodyText"/>
      </w:pPr>
      <w:r>
        <w:t xml:space="preserve">Fit: N = 28 R2 = 0.9798 R2_adj = 0.9763 F = 128.027 F_p = 2.302e-15</w:t>
      </w:r>
    </w:p>
    <w:p>
      <w:pPr>
        <w:pStyle w:val="CaptionedFigure"/>
      </w:pPr>
      <w:r>
        <w:drawing>
          <wp:inline>
            <wp:extent cx="5669280" cy="3657600"/>
            <wp:effectExtent b="0" l="0" r="0" t="0"/>
            <wp:docPr descr="Figure 1. Cross-mission relationship between log Earth-spacecraft distance and log data-return latency across 28 planetary and deep-space missions. The near-unit elevation of latency with distance reflects the irreducible one-way light-time floor that ground-segment and downlink engineering cannot compress." title="" id="81" name="Picture"/>
            <a:graphic>
              <a:graphicData uri="http://schemas.openxmlformats.org/drawingml/2006/picture">
                <pic:pic>
                  <pic:nvPicPr>
                    <pic:cNvPr descr="D:\Claude_Code\brain\collegium\candidates\dissertations\JPL_OPS_COMMS_DATA_11\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Cross-mission relationship between log Earth-spacecraft distance and log data-return latency across 28 planetary and deep-space missions. The near-unit elevation of latency with distance reflects the irreducible one-way light-time floor that ground-segment and downlink engineering cannot compress.</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body</w:t>
            </w:r>
          </w:p>
        </w:tc>
        <w:tc>
          <w:tcPr>
            <w:tcW w:w="0" w:type="auto"/>
          </w:tcPr>
          <w:p>
            <w:pPr>
              <w:spacing w:line="240" w:lineRule="auto" w:before="0" w:after="0"/>
              <w:pStyle w:val="Compact"/>
            </w:pPr>
            <w:r>
              <w:rPr>
                <w:sz w:val="20"/>
                <w:szCs w:val="20"/>
              </w:rPr>
              <w:t xml:space="preserve">earth_dist_au</w:t>
            </w:r>
          </w:p>
        </w:tc>
        <w:tc>
          <w:tcPr>
            <w:tcW w:w="0" w:type="auto"/>
          </w:tcPr>
          <w:p>
            <w:pPr>
              <w:spacing w:line="240" w:lineRule="auto" w:before="0" w:after="0"/>
              <w:pStyle w:val="Compact"/>
            </w:pPr>
            <w:r>
              <w:rPr>
                <w:sz w:val="20"/>
                <w:szCs w:val="20"/>
              </w:rPr>
              <w:t xml:space="preserve">owlt_min</w:t>
            </w:r>
          </w:p>
        </w:tc>
        <w:tc>
          <w:tcPr>
            <w:tcW w:w="0" w:type="auto"/>
          </w:tcPr>
          <w:p>
            <w:pPr>
              <w:spacing w:line="240" w:lineRule="auto" w:before="0" w:after="0"/>
              <w:pStyle w:val="Compact"/>
            </w:pPr>
            <w:r>
              <w:rPr>
                <w:sz w:val="20"/>
                <w:szCs w:val="20"/>
              </w:rPr>
              <w:t xml:space="preserve">downlink_kbps</w:t>
            </w:r>
          </w:p>
        </w:tc>
        <w:tc>
          <w:tcPr>
            <w:tcW w:w="0" w:type="auto"/>
          </w:tcPr>
          <w:p>
            <w:pPr>
              <w:spacing w:line="240" w:lineRule="auto" w:before="0" w:after="0"/>
              <w:pStyle w:val="Compact"/>
            </w:pPr>
            <w:r>
              <w:rPr>
                <w:sz w:val="20"/>
                <w:szCs w:val="20"/>
              </w:rPr>
              <w:t xml:space="preserve">antenna_m</w:t>
            </w:r>
          </w:p>
        </w:tc>
        <w:tc>
          <w:tcPr>
            <w:tcW w:w="0" w:type="auto"/>
          </w:tcPr>
          <w:p>
            <w:pPr>
              <w:spacing w:line="240" w:lineRule="auto" w:before="0" w:after="0"/>
              <w:pStyle w:val="Compact"/>
            </w:pPr>
            <w:r>
              <w:rPr>
                <w:sz w:val="20"/>
                <w:szCs w:val="20"/>
              </w:rPr>
              <w:t xml:space="preserve">relay</w:t>
            </w:r>
          </w:p>
        </w:tc>
        <w:tc>
          <w:tcPr>
            <w:tcW w:w="0" w:type="auto"/>
          </w:tcPr>
          <w:p>
            <w:pPr>
              <w:spacing w:line="240" w:lineRule="auto" w:before="0" w:after="0"/>
              <w:pStyle w:val="Compact"/>
            </w:pPr>
            <w:r>
              <w:rPr>
                <w:sz w:val="20"/>
                <w:szCs w:val="20"/>
              </w:rPr>
              <w:t xml:space="preserve">onboard_gb</w:t>
            </w:r>
          </w:p>
        </w:tc>
        <w:tc>
          <w:tcPr>
            <w:tcW w:w="0" w:type="auto"/>
          </w:tcPr>
          <w:p>
            <w:pPr>
              <w:spacing w:line="240" w:lineRule="auto" w:before="0" w:after="0"/>
              <w:pStyle w:val="Compact"/>
            </w:pPr>
            <w:r>
              <w:rPr>
                <w:sz w:val="20"/>
                <w:szCs w:val="20"/>
              </w:rPr>
              <w:t xml:space="preserve">return_latency_hr</w:t>
            </w:r>
          </w:p>
        </w:tc>
        <w:tc>
          <w:tcPr>
            <w:tcW w:w="0" w:type="auto"/>
          </w:tcPr>
          <w:p>
            <w:pPr>
              <w:spacing w:line="240" w:lineRule="auto" w:before="0" w:after="0"/>
              <w:pStyle w:val="Compact"/>
            </w:pPr>
            <w:r>
              <w:rPr>
                <w:sz w:val="20"/>
                <w:szCs w:val="20"/>
              </w:rPr>
              <w:t xml:space="preserve">ln_latency_hr</w:t>
            </w:r>
          </w:p>
        </w:tc>
        <w:tc>
          <w:tcPr>
            <w:tcW w:w="0" w:type="auto"/>
          </w:tcPr>
          <w:p>
            <w:pPr>
              <w:spacing w:line="240" w:lineRule="auto" w:before="0" w:after="0"/>
              <w:pStyle w:val="Compact"/>
            </w:pPr>
            <w:r>
              <w:rPr>
                <w:sz w:val="20"/>
                <w:szCs w:val="20"/>
              </w:rPr>
              <w:t xml:space="preserve">ln_earth_dist_au</w:t>
            </w:r>
          </w:p>
        </w:tc>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Perseverance</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NASA/JPL Mars 2020 Perseverance Launch Press Kit, Telecommunications (jpl.nasa.gov/news/press_kits/mars_2020): X-band HGA 0.3 m, direct-to-Earth 70 m at ~3 kbps, relay via orbiter; OWLT 5-20 min</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NASA MSL Mars Science Laboratory press kit and JPL telecom: X-band HGA 0.28 m direct-to-Earth 0.5-32 kbps, UHF relay via MRO/Odyssey; representative DTE ~2 kbps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NASA InSight press kit (jpl.nasa.gov): UHF relay-dependent lander, no HGA, relays through MRO/Odyssey/MAVEN; OWLT 5-20 min</w:t>
            </w:r>
          </w:p>
        </w:tc>
      </w:tr>
      <w:tr>
        <w:tc>
          <w:tcPr>
            <w:tcW w:w="0" w:type="auto"/>
          </w:tcPr>
          <w:p>
            <w:pPr>
              <w:spacing w:line="240" w:lineRule="auto" w:before="0" w:after="0"/>
              <w:pStyle w:val="Compact"/>
            </w:pPr>
            <w:r>
              <w:rPr>
                <w:sz w:val="20"/>
                <w:szCs w:val="20"/>
              </w:rPr>
              <w:t xml:space="preserve">Mars-Reconnaissance-Orbiter</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8.0064</w:t>
            </w:r>
          </w:p>
        </w:tc>
        <w:tc>
          <w:tcPr>
            <w:tcW w:w="0" w:type="auto"/>
          </w:tcPr>
          <w:p>
            <w:pPr>
              <w:spacing w:line="240" w:lineRule="auto" w:before="0" w:after="0"/>
              <w:pStyle w:val="Compact"/>
            </w:pPr>
            <w:r>
              <w:rPr>
                <w:sz w:val="20"/>
                <w:szCs w:val="20"/>
              </w:rPr>
              <w:t xml:space="preserve">NASA MRO mission page (science.nasa.gov): 3 m HGA, Ka/X-band up to 3-6 Mbps to DSN, largest data-return orbiter at Mars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6.3099</w:t>
            </w:r>
          </w:p>
        </w:tc>
        <w:tc>
          <w:tcPr>
            <w:tcW w:w="0" w:type="auto"/>
          </w:tcPr>
          <w:p>
            <w:pPr>
              <w:spacing w:line="240" w:lineRule="auto" w:before="0" w:after="0"/>
              <w:pStyle w:val="Compact"/>
            </w:pPr>
            <w:r>
              <w:rPr>
                <w:sz w:val="20"/>
                <w:szCs w:val="20"/>
              </w:rPr>
              <w:t xml:space="preserve">NASA MAVEN mission documentation (lasp.colorado.edu / nasa.gov): X-band HGA ~2 m, downlink up to ~550 kbps; also UHF relay node</w:t>
            </w:r>
          </w:p>
        </w:tc>
      </w:tr>
      <w:tr>
        <w:tc>
          <w:tcPr>
            <w:tcW w:w="0" w:type="auto"/>
          </w:tcPr>
          <w:p>
            <w:pPr>
              <w:spacing w:line="240" w:lineRule="auto" w:before="0" w:after="0"/>
              <w:pStyle w:val="Compact"/>
            </w:pPr>
            <w:r>
              <w:rPr>
                <w:sz w:val="20"/>
                <w:szCs w:val="20"/>
              </w:rPr>
              <w:t xml:space="preserve">Mars-Express</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5.4293</w:t>
            </w:r>
          </w:p>
        </w:tc>
        <w:tc>
          <w:tcPr>
            <w:tcW w:w="0" w:type="auto"/>
          </w:tcPr>
          <w:p>
            <w:pPr>
              <w:spacing w:line="240" w:lineRule="auto" w:before="0" w:after="0"/>
              <w:pStyle w:val="Compact"/>
            </w:pPr>
            <w:r>
              <w:rPr>
                <w:sz w:val="20"/>
                <w:szCs w:val="20"/>
              </w:rPr>
              <w:t xml:space="preserve">ESA Mars Express mission (esa.int): 1.6 m HGA, X-band downlink up to 228 kbps to ESTRACK/DSN</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Saturn</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4.4067</w:t>
            </w:r>
          </w:p>
        </w:tc>
        <w:tc>
          <w:tcPr>
            <w:tcW w:w="0" w:type="auto"/>
          </w:tcPr>
          <w:p>
            <w:pPr>
              <w:spacing w:line="240" w:lineRule="auto" w:before="0" w:after="0"/>
              <w:pStyle w:val="Compact"/>
            </w:pPr>
            <w:r>
              <w:rPr>
                <w:sz w:val="20"/>
                <w:szCs w:val="20"/>
              </w:rPr>
              <w:t xml:space="preserve">DESCANSO Article 3, Cassini Orbiter/Huygens Telecommunications (descanso.jpl.nasa.gov): 4 m HGA, X-band 33-140 kbps to DSN; Saturn OWLT ~68-84 min</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NASA Galileo mission (HGA failed to deploy); LGA S-band ~10-160 bps after antenna anomaly, with onboard compression; Jupiter OWLT ~33-52 min</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NASA Juno mission (nasa.gov / SwRI): 2.5 m HGA, X-band downlink up to ~25 kbps during perijove playback to DSN</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Interstellar</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5.0999</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NASA Voyager (science.nasa.gov; voyager.jpl.nasa.gov): 3.7 m HGA, 160 bps continuous; 2024 OWLT ~22.5 hr at 164 AU</w:t>
            </w:r>
          </w:p>
        </w:tc>
      </w:tr>
      <w:tr>
        <w:tc>
          <w:tcPr>
            <w:tcW w:w="0" w:type="auto"/>
          </w:tcPr>
          <w:p>
            <w:pPr>
              <w:spacing w:line="240" w:lineRule="auto" w:before="0" w:after="0"/>
              <w:pStyle w:val="Compact"/>
            </w:pPr>
            <w:r>
              <w:rPr>
                <w:sz w:val="20"/>
                <w:szCs w:val="20"/>
              </w:rPr>
              <w:t xml:space="preserve">Voyager-2</w:t>
            </w:r>
          </w:p>
        </w:tc>
        <w:tc>
          <w:tcPr>
            <w:tcW w:w="0" w:type="auto"/>
          </w:tcPr>
          <w:p>
            <w:pPr>
              <w:spacing w:line="240" w:lineRule="auto" w:before="0" w:after="0"/>
              <w:pStyle w:val="Compact"/>
            </w:pPr>
            <w:r>
              <w:rPr>
                <w:sz w:val="20"/>
                <w:szCs w:val="20"/>
              </w:rPr>
              <w:t xml:space="preserve">Interstellar</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2.9704</w:t>
            </w:r>
          </w:p>
        </w:tc>
        <w:tc>
          <w:tcPr>
            <w:tcW w:w="0" w:type="auto"/>
          </w:tcPr>
          <w:p>
            <w:pPr>
              <w:spacing w:line="240" w:lineRule="auto" w:before="0" w:after="0"/>
              <w:pStyle w:val="Compact"/>
            </w:pPr>
            <w:r>
              <w:rPr>
                <w:sz w:val="20"/>
                <w:szCs w:val="20"/>
              </w:rPr>
              <w:t xml:space="preserve">4.92</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NASA Voyager telecom (voyager.gsfc.nasa.gov DeepCommo Chapter 3): 3.7 m HGA, 160 bps; 2024 OWLT ~19 hr at ~137 AU</w:t>
            </w:r>
          </w:p>
        </w:tc>
      </w:tr>
      <w:tr>
        <w:tc>
          <w:tcPr>
            <w:tcW w:w="0" w:type="auto"/>
          </w:tcPr>
          <w:p>
            <w:pPr>
              <w:spacing w:line="240" w:lineRule="auto" w:before="0" w:after="0"/>
              <w:pStyle w:val="Compact"/>
            </w:pPr>
            <w:r>
              <w:rPr>
                <w:sz w:val="20"/>
                <w:szCs w:val="20"/>
              </w:rPr>
              <w:t xml:space="preserve">New-Horizons</w:t>
            </w:r>
          </w:p>
        </w:tc>
        <w:tc>
          <w:tcPr>
            <w:tcW w:w="0" w:type="auto"/>
          </w:tcPr>
          <w:p>
            <w:pPr>
              <w:spacing w:line="240" w:lineRule="auto" w:before="0" w:after="0"/>
              <w:pStyle w:val="Compact"/>
            </w:pPr>
            <w:r>
              <w:rPr>
                <w:sz w:val="20"/>
                <w:szCs w:val="20"/>
              </w:rPr>
              <w:t xml:space="preserve">Pluto</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0.064</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1.4816</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New Horizons / JHUAPL (pluto.jhuapl.edu; nasa.gov): 2.1 m HGA, X-band 1-2 kbps at Pluto; flyby OWLT ~4 hr 25 min</w:t>
            </w:r>
          </w:p>
        </w:tc>
      </w:tr>
      <w:tr>
        <w:tc>
          <w:tcPr>
            <w:tcW w:w="0" w:type="auto"/>
          </w:tcPr>
          <w:p>
            <w:pPr>
              <w:spacing w:line="240" w:lineRule="auto" w:before="0" w:after="0"/>
              <w:pStyle w:val="Compact"/>
            </w:pPr>
            <w:r>
              <w:rPr>
                <w:sz w:val="20"/>
                <w:szCs w:val="20"/>
              </w:rPr>
              <w:t xml:space="preserve">Parker-Solar-Probe</w:t>
            </w:r>
          </w:p>
        </w:tc>
        <w:tc>
          <w:tcPr>
            <w:tcW w:w="0" w:type="auto"/>
          </w:tcPr>
          <w:p>
            <w:pPr>
              <w:spacing w:line="240" w:lineRule="auto" w:before="0" w:after="0"/>
              <w:pStyle w:val="Compact"/>
            </w:pPr>
            <w:r>
              <w:rPr>
                <w:sz w:val="20"/>
                <w:szCs w:val="20"/>
              </w:rPr>
              <w:t xml:space="preserve">Sun</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0.555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-0.5888</w:t>
            </w:r>
          </w:p>
        </w:tc>
        <w:tc>
          <w:tcPr>
            <w:tcW w:w="0" w:type="auto"/>
          </w:tcPr>
          <w:p>
            <w:pPr>
              <w:spacing w:line="240" w:lineRule="auto" w:before="0" w:after="0"/>
              <w:pStyle w:val="Compact"/>
            </w:pPr>
            <w:r>
              <w:rPr>
                <w:sz w:val="20"/>
                <w:szCs w:val="20"/>
              </w:rPr>
              <w:t xml:space="preserve">NASA Parker Solar Probe / JHUAPL (parkersolarprobe.jhuapl.edu): 0.6 m HGA, Ka-band downlink up to ~555 kbps during apoapsis playback</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Bennu</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NASA OSIRIS-REx (asteroidmission.org): X-band, no large steerable HGA dish, downlink hundreds of bps to ~kbps to DSN; OWLT ~11 min at encounter</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Vesta-Ceres</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1.0296</w:t>
            </w:r>
          </w:p>
        </w:tc>
        <w:tc>
          <w:tcPr>
            <w:tcW w:w="0" w:type="auto"/>
          </w:tcPr>
          <w:p>
            <w:pPr>
              <w:spacing w:line="240" w:lineRule="auto" w:before="0" w:after="0"/>
              <w:pStyle w:val="Compact"/>
            </w:pPr>
            <w:r>
              <w:rPr>
                <w:sz w:val="20"/>
                <w:szCs w:val="20"/>
              </w:rPr>
              <w:t xml:space="preserve">4.8203</w:t>
            </w:r>
          </w:p>
        </w:tc>
        <w:tc>
          <w:tcPr>
            <w:tcW w:w="0" w:type="auto"/>
          </w:tcPr>
          <w:p>
            <w:pPr>
              <w:spacing w:line="240" w:lineRule="auto" w:before="0" w:after="0"/>
              <w:pStyle w:val="Compact"/>
            </w:pPr>
            <w:r>
              <w:rPr>
                <w:sz w:val="20"/>
                <w:szCs w:val="20"/>
              </w:rPr>
              <w:t xml:space="preserve">NASA/JPL Dawn mission (dawn.jpl.nasa.gov): 1.5 m HGA, X-band downlink up to ~124 kbps to DSN</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Mercury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NASA MESSENGER / JHUAPL (messenger.jhuapl.edu): phased-array X-band antenna, downlink up to ~104 kbps to DSN; Mercury OWLT ~5-12 min</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67P-Comet</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1.5041</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ESA Rosetta mission (esa.int) and Vallat et al. 2017 science planning (doi:10.1016/j.actaastro.2017.01.018): 2.2 m HGA, X-band downlink ~5-22 kbps to ESTRACK/DSN</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Trojan-Asteroids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NASA Lucy mission (lucy.swri.edu): 2 m HGA, Ka/X-band downlink hundreds of kbps to DSN during encounters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16-Psyche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5.5797</w:t>
            </w:r>
          </w:p>
        </w:tc>
        <w:tc>
          <w:tcPr>
            <w:tcW w:w="0" w:type="auto"/>
          </w:tcPr>
          <w:p>
            <w:pPr>
              <w:spacing w:line="240" w:lineRule="auto" w:before="0" w:after="0"/>
              <w:pStyle w:val="Compact"/>
            </w:pPr>
            <w:r>
              <w:rPr>
                <w:sz w:val="20"/>
                <w:szCs w:val="20"/>
              </w:rPr>
              <w:t xml:space="preserve">NASA Psyche mission (psyche.asu.edu): 2 m HGA X-band plus DSOC optical demo; representative X-band downlink to DSN</w:t>
            </w:r>
          </w:p>
        </w:tc>
      </w:tr>
      <w:tr>
        <w:tc>
          <w:tcPr>
            <w:tcW w:w="0" w:type="auto"/>
          </w:tcPr>
          <w:p>
            <w:pPr>
              <w:spacing w:line="240" w:lineRule="auto" w:before="0" w:after="0"/>
              <w:pStyle w:val="Compact"/>
            </w:pPr>
            <w:r>
              <w:rPr>
                <w:sz w:val="20"/>
                <w:szCs w:val="20"/>
              </w:rPr>
              <w:t xml:space="preserve">Europa-Clipper</w:t>
            </w:r>
          </w:p>
        </w:tc>
        <w:tc>
          <w:tcPr>
            <w:tcW w:w="0" w:type="auto"/>
          </w:tcPr>
          <w:p>
            <w:pPr>
              <w:spacing w:line="240" w:lineRule="auto" w:before="0" w:after="0"/>
              <w:pStyle w:val="Compact"/>
            </w:pPr>
            <w:r>
              <w:rPr>
                <w:sz w:val="20"/>
                <w:szCs w:val="20"/>
              </w:rPr>
              <w:t xml:space="preserve">Europa</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4.9053</w:t>
            </w:r>
          </w:p>
        </w:tc>
        <w:tc>
          <w:tcPr>
            <w:tcW w:w="0" w:type="auto"/>
          </w:tcPr>
          <w:p>
            <w:pPr>
              <w:spacing w:line="240" w:lineRule="auto" w:before="0" w:after="0"/>
              <w:pStyle w:val="Compact"/>
            </w:pPr>
            <w:r>
              <w:rPr>
                <w:sz w:val="20"/>
                <w:szCs w:val="20"/>
              </w:rPr>
              <w:t xml:space="preserve">NASA Europa Clipper (europa.nasa.gov): 3 m HGA, X-band downlink ~135 kbps to DSN from Jupiter distance</w:t>
            </w:r>
          </w:p>
        </w:tc>
      </w:tr>
      <w:tr>
        <w:tc>
          <w:tcPr>
            <w:tcW w:w="0" w:type="auto"/>
          </w:tcPr>
          <w:p>
            <w:pPr>
              <w:spacing w:line="240" w:lineRule="auto" w:before="0" w:after="0"/>
              <w:pStyle w:val="Compact"/>
            </w:pPr>
            <w:r>
              <w:rPr>
                <w:sz w:val="20"/>
                <w:szCs w:val="20"/>
              </w:rPr>
              <w:t xml:space="preserve">Hayabusa2</w:t>
            </w:r>
          </w:p>
        </w:tc>
        <w:tc>
          <w:tcPr>
            <w:tcW w:w="0" w:type="auto"/>
          </w:tcPr>
          <w:p>
            <w:pPr>
              <w:spacing w:line="240" w:lineRule="auto" w:before="0" w:after="0"/>
              <w:pStyle w:val="Compact"/>
            </w:pPr>
            <w:r>
              <w:rPr>
                <w:sz w:val="20"/>
                <w:szCs w:val="20"/>
              </w:rPr>
              <w:t xml:space="preserve">Ryugu</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JAXA Hayabusa2 (hayabusa2.jaxa.jp): X/Ka-band, high-gain flat antennas, downlink up to ~32 kbps to Usuda/DSN</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Mercury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ESA/JAXA BepiColombo (esa.int): 1 m HGA, X/Ka-band downlink to ESTRACK/DSN during cruise and Mercury orbit</w:t>
            </w:r>
          </w:p>
        </w:tc>
      </w:tr>
      <w:tr>
        <w:tc>
          <w:tcPr>
            <w:tcW w:w="0" w:type="auto"/>
          </w:tcPr>
          <w:p>
            <w:pPr>
              <w:spacing w:line="240" w:lineRule="auto" w:before="0" w:after="0"/>
              <w:pStyle w:val="Compact"/>
            </w:pPr>
            <w:r>
              <w:rPr>
                <w:sz w:val="20"/>
                <w:szCs w:val="20"/>
              </w:rPr>
              <w:t xml:space="preserve">Akatsuki</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JAXA Akatsuki Venus Climate Orbiter (akatsuki.isas.jaxa.jp): 1.6 m HGA, X-band downlink up to ~32 kbps to Usuda Deep Space Center</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7.6009</w:t>
            </w:r>
          </w:p>
        </w:tc>
        <w:tc>
          <w:tcPr>
            <w:tcW w:w="0" w:type="auto"/>
          </w:tcPr>
          <w:p>
            <w:pPr>
              <w:spacing w:line="240" w:lineRule="auto" w:before="0" w:after="0"/>
              <w:pStyle w:val="Compact"/>
            </w:pPr>
            <w:r>
              <w:rPr>
                <w:sz w:val="20"/>
                <w:szCs w:val="20"/>
              </w:rPr>
              <w:t xml:space="preserve">ESA JUICE Jupiter Icy Moons Explorer (esa.int): 2.5 m HGA, Ka-band downlink up to ~2 Mbps to ESTRACK/DSN</w:t>
            </w:r>
          </w:p>
        </w:tc>
      </w:tr>
      <w:tr>
        <w:tc>
          <w:tcPr>
            <w:tcW w:w="0" w:type="auto"/>
          </w:tcPr>
          <w:p>
            <w:pPr>
              <w:spacing w:line="240" w:lineRule="auto" w:before="0" w:after="0"/>
              <w:pStyle w:val="Compact"/>
            </w:pPr>
            <w:r>
              <w:rPr>
                <w:sz w:val="20"/>
                <w:szCs w:val="20"/>
              </w:rPr>
              <w:t xml:space="preserve">Mars-Odyssey</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4.8203</w:t>
            </w:r>
          </w:p>
        </w:tc>
        <w:tc>
          <w:tcPr>
            <w:tcW w:w="0" w:type="auto"/>
          </w:tcPr>
          <w:p>
            <w:pPr>
              <w:spacing w:line="240" w:lineRule="auto" w:before="0" w:after="0"/>
              <w:pStyle w:val="Compact"/>
            </w:pPr>
            <w:r>
              <w:rPr>
                <w:sz w:val="20"/>
                <w:szCs w:val="20"/>
              </w:rPr>
              <w:t xml:space="preserve">NASA Mars Odyssey (mars.nasa.gov): 1.3 m HGA X-band up to ~124 kbps direct-to-Earth; also UHF relay node for landers</w:t>
            </w:r>
          </w:p>
        </w:tc>
      </w:tr>
      <w:tr>
        <w:tc>
          <w:tcPr>
            <w:tcW w:w="0" w:type="auto"/>
          </w:tcPr>
          <w:p>
            <w:pPr>
              <w:spacing w:line="240" w:lineRule="auto" w:before="0" w:after="0"/>
              <w:pStyle w:val="Compact"/>
            </w:pPr>
            <w:r>
              <w:rPr>
                <w:sz w:val="20"/>
                <w:szCs w:val="20"/>
              </w:rPr>
              <w:t xml:space="preserve">Maven-relay-pass</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NASA Mars relay network (mars.nasa.gov/mars-relay): surface-asset UHF relay leg buffered through orbiter then DTE; representative two-hop latency [illustrative overhead]</w:t>
            </w:r>
          </w:p>
        </w:tc>
      </w:tr>
      <w:tr>
        <w:tc>
          <w:tcPr>
            <w:tcW w:w="0" w:type="auto"/>
          </w:tcPr>
          <w:p>
            <w:pPr>
              <w:spacing w:line="240" w:lineRule="auto" w:before="0" w:after="0"/>
              <w:pStyle w:val="Compact"/>
            </w:pPr>
            <w:r>
              <w:rPr>
                <w:sz w:val="20"/>
                <w:szCs w:val="20"/>
              </w:rPr>
              <w:t xml:space="preserve">Akatsuki-replay</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0.5306</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JAXA Akatsuki at superior-conjunction geometry; reduced rate during high-distance pass [illustrative geometry case]</w:t>
            </w:r>
          </w:p>
        </w:tc>
      </w:tr>
      <w:tr>
        <w:tc>
          <w:tcPr>
            <w:tcW w:w="0" w:type="auto"/>
          </w:tcPr>
          <w:p>
            <w:pPr>
              <w:spacing w:line="240" w:lineRule="auto" w:before="0" w:after="0"/>
              <w:pStyle w:val="Compact"/>
            </w:pPr>
            <w:r>
              <w:rPr>
                <w:sz w:val="20"/>
                <w:szCs w:val="20"/>
              </w:rPr>
              <w:t xml:space="preserve">Galileo-postfix</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Galileo post-anomaly recovered downlink with onboard data compression and arrayed DSN reception, effective ~1 kbps [illustrative effective-rate]</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ln_latency_hr</w:t>
            </w:r>
          </w:p>
        </w:tc>
        <w:tc>
          <w:tcPr>
            <w:tcW w:w="0" w:type="auto"/>
          </w:tcPr>
          <w:p>
            <w:pPr>
              <w:spacing w:line="240" w:lineRule="auto" w:before="0" w:after="0"/>
              <w:pStyle w:val="Compact"/>
            </w:pPr>
            <w:r>
              <w:rPr>
                <w:sz w:val="20"/>
                <w:szCs w:val="20"/>
              </w:rPr>
              <w:t xml:space="preserve">Natural log of representative one-way data-return latency in hours (light-time floor plus downlink and scheduling overhead)</w:t>
            </w:r>
          </w:p>
        </w:tc>
        <w:tc>
          <w:tcPr>
            <w:tcW w:w="0" w:type="auto"/>
          </w:tcPr>
          <w:p>
            <w:pPr>
              <w:spacing w:line="240" w:lineRule="auto" w:before="0" w:after="0"/>
              <w:pStyle w:val="Compact"/>
            </w:pPr>
            <w:r>
              <w:rPr>
                <w:sz w:val="20"/>
                <w:szCs w:val="20"/>
              </w:rPr>
              <w:t xml:space="preserve">Derived from documented per-mission OWLT and downlink figures in the source column</w:t>
            </w:r>
          </w:p>
        </w:tc>
      </w:tr>
      <w:tr>
        <w:tc>
          <w:tcPr>
            <w:tcW w:w="0" w:type="auto"/>
          </w:tcPr>
          <w:p>
            <w:pPr>
              <w:spacing w:line="240" w:lineRule="auto" w:before="0" w:after="0"/>
              <w:pStyle w:val="Compact"/>
            </w:pPr>
            <w:r>
              <w:rPr>
                <w:sz w:val="20"/>
                <w:szCs w:val="20"/>
              </w:rPr>
              <w:t xml:space="preserve">ln_earth_dist_au</w:t>
            </w:r>
          </w:p>
        </w:tc>
        <w:tc>
          <w:tcPr>
            <w:tcW w:w="0" w:type="auto"/>
          </w:tcPr>
          <w:p>
            <w:pPr>
              <w:spacing w:line="240" w:lineRule="auto" w:before="0" w:after="0"/>
              <w:pStyle w:val="Compact"/>
            </w:pPr>
            <w:r>
              <w:rPr>
                <w:sz w:val="20"/>
                <w:szCs w:val="20"/>
              </w:rPr>
              <w:t xml:space="preserve">Natural log of representative Earth-to-spacecraft distance in astronomical units</w:t>
            </w:r>
          </w:p>
        </w:tc>
        <w:tc>
          <w:tcPr>
            <w:tcW w:w="0" w:type="auto"/>
          </w:tcPr>
          <w:p>
            <w:pPr>
              <w:spacing w:line="240" w:lineRule="auto" w:before="0" w:after="0"/>
              <w:pStyle w:val="Compact"/>
            </w:pPr>
            <w:r>
              <w:rPr>
                <w:sz w:val="20"/>
                <w:szCs w:val="20"/>
              </w:rPr>
              <w:t xml:space="preserve">NASA/ESA/JAXA mission pages and press kits cited per row</w:t>
            </w:r>
          </w:p>
        </w:tc>
      </w:tr>
      <w:tr>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Natural log of representative downlink data rate in kilobits per second</w:t>
            </w:r>
          </w:p>
        </w:tc>
        <w:tc>
          <w:tcPr>
            <w:tcW w:w="0" w:type="auto"/>
          </w:tcPr>
          <w:p>
            <w:pPr>
              <w:spacing w:line="240" w:lineRule="auto" w:before="0" w:after="0"/>
              <w:pStyle w:val="Compact"/>
            </w:pPr>
            <w:r>
              <w:rPr>
                <w:sz w:val="20"/>
                <w:szCs w:val="20"/>
              </w:rPr>
              <w:t xml:space="preserve">Mission telecommunications documentation (DESCANSO monographs, JPL/JHUAPL/ESA mission pages) cited per row</w:t>
            </w:r>
          </w:p>
        </w:tc>
      </w:tr>
      <w:tr>
        <w:tc>
          <w:tcPr>
            <w:tcW w:w="0" w:type="auto"/>
          </w:tcPr>
          <w:p>
            <w:pPr>
              <w:spacing w:line="240" w:lineRule="auto" w:before="0" w:after="0"/>
              <w:pStyle w:val="Compact"/>
            </w:pPr>
            <w:r>
              <w:rPr>
                <w:sz w:val="20"/>
                <w:szCs w:val="20"/>
              </w:rPr>
              <w:t xml:space="preserve">antenna_m</w:t>
            </w:r>
          </w:p>
        </w:tc>
        <w:tc>
          <w:tcPr>
            <w:tcW w:w="0" w:type="auto"/>
          </w:tcPr>
          <w:p>
            <w:pPr>
              <w:spacing w:line="240" w:lineRule="auto" w:before="0" w:after="0"/>
              <w:pStyle w:val="Compact"/>
            </w:pPr>
            <w:r>
              <w:rPr>
                <w:sz w:val="20"/>
                <w:szCs w:val="20"/>
              </w:rPr>
              <w:t xml:space="preserve">High-gain antenna aperture diameter in meters (0 where the mission has no steerable HGA dish)</w:t>
            </w:r>
          </w:p>
        </w:tc>
        <w:tc>
          <w:tcPr>
            <w:tcW w:w="0" w:type="auto"/>
          </w:tcPr>
          <w:p>
            <w:pPr>
              <w:spacing w:line="240" w:lineRule="auto" w:before="0" w:after="0"/>
              <w:pStyle w:val="Compact"/>
            </w:pPr>
            <w:r>
              <w:rPr>
                <w:sz w:val="20"/>
                <w:szCs w:val="20"/>
              </w:rPr>
              <w:t xml:space="preserve">Mission spacecraft descriptions cited per row</w:t>
            </w:r>
          </w:p>
        </w:tc>
      </w:tr>
      <w:tr>
        <w:tc>
          <w:tcPr>
            <w:tcW w:w="0" w:type="auto"/>
          </w:tcPr>
          <w:p>
            <w:pPr>
              <w:spacing w:line="240" w:lineRule="auto" w:before="0" w:after="0"/>
              <w:pStyle w:val="Compact"/>
            </w:pPr>
            <w:r>
              <w:rPr>
                <w:sz w:val="20"/>
                <w:szCs w:val="20"/>
              </w:rPr>
              <w:t xml:space="preserve">relay</w:t>
            </w:r>
          </w:p>
        </w:tc>
        <w:tc>
          <w:tcPr>
            <w:tcW w:w="0" w:type="auto"/>
          </w:tcPr>
          <w:p>
            <w:pPr>
              <w:spacing w:line="240" w:lineRule="auto" w:before="0" w:after="0"/>
              <w:pStyle w:val="Compact"/>
            </w:pPr>
            <w:r>
              <w:rPr>
                <w:sz w:val="20"/>
                <w:szCs w:val="20"/>
              </w:rPr>
              <w:t xml:space="preserve">Indicator equal to 1 when primary downlink is routed through an orbiting relay rather than direct-to-Earth</w:t>
            </w:r>
          </w:p>
        </w:tc>
        <w:tc>
          <w:tcPr>
            <w:tcW w:w="0" w:type="auto"/>
          </w:tcPr>
          <w:p>
            <w:pPr>
              <w:spacing w:line="240" w:lineRule="auto" w:before="0" w:after="0"/>
              <w:pStyle w:val="Compact"/>
            </w:pPr>
            <w:r>
              <w:rPr>
                <w:sz w:val="20"/>
                <w:szCs w:val="20"/>
              </w:rPr>
              <w:t xml:space="preserve">Mission architecture documentation cited per row</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-0.8137</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-11.0182</w:t>
            </w:r>
          </w:p>
        </w:tc>
        <w:tc>
          <w:tcPr>
            <w:tcW w:w="0" w:type="auto"/>
          </w:tcPr>
          <w:p>
            <w:pPr>
              <w:spacing w:line="240" w:lineRule="auto" w:before="0" w:after="0"/>
              <w:pStyle w:val="Compact"/>
            </w:pPr>
            <w:r>
              <w:rPr>
                <w:sz w:val="20"/>
                <w:szCs w:val="20"/>
              </w:rPr>
              <w:t xml:space="preserve">3.121e-28</w:t>
            </w:r>
          </w:p>
        </w:tc>
        <w:tc>
          <w:tcPr>
            <w:tcW w:w="0" w:type="auto"/>
          </w:tcPr>
          <w:p>
            <w:pPr>
              <w:spacing w:line="240" w:lineRule="auto" w:before="0" w:after="0"/>
              <w:pStyle w:val="Compact"/>
            </w:pPr>
            <w:r>
              <w:rPr>
                <w:sz w:val="20"/>
                <w:szCs w:val="20"/>
              </w:rPr>
              <w:t xml:space="preserve">[-0.9584, -0.6689]</w:t>
            </w:r>
          </w:p>
        </w:tc>
      </w:tr>
      <w:tr>
        <w:tc>
          <w:tcPr>
            <w:tcW w:w="0" w:type="auto"/>
          </w:tcPr>
          <w:p>
            <w:pPr>
              <w:spacing w:line="240" w:lineRule="auto" w:before="0" w:after="0"/>
              <w:pStyle w:val="Compact"/>
            </w:pPr>
            <w:r>
              <w:rPr>
                <w:sz w:val="20"/>
                <w:szCs w:val="20"/>
              </w:rPr>
              <w:t xml:space="preserve">ln_earth_dist_au</w:t>
            </w:r>
          </w:p>
        </w:tc>
        <w:tc>
          <w:tcPr>
            <w:tcW w:w="0" w:type="auto"/>
          </w:tcPr>
          <w:p>
            <w:pPr>
              <w:spacing w:line="240" w:lineRule="auto" w:before="0" w:after="0"/>
              <w:pStyle w:val="Compact"/>
            </w:pPr>
            <w:r>
              <w:rPr>
                <w:sz w:val="20"/>
                <w:szCs w:val="20"/>
              </w:rPr>
              <w:t xml:space="preserve">0.7354</w:t>
            </w:r>
          </w:p>
        </w:tc>
        <w:tc>
          <w:tcPr>
            <w:tcW w:w="0" w:type="auto"/>
          </w:tcPr>
          <w:p>
            <w:pPr>
              <w:spacing w:line="240" w:lineRule="auto" w:before="0" w:after="0"/>
              <w:pStyle w:val="Compact"/>
            </w:pPr>
            <w:r>
              <w:rPr>
                <w:sz w:val="20"/>
                <w:szCs w:val="20"/>
              </w:rPr>
              <w:t xml:space="preserve">0.0523</w:t>
            </w:r>
          </w:p>
        </w:tc>
        <w:tc>
          <w:tcPr>
            <w:tcW w:w="0" w:type="auto"/>
          </w:tcPr>
          <w:p>
            <w:pPr>
              <w:spacing w:line="240" w:lineRule="auto" w:before="0" w:after="0"/>
              <w:pStyle w:val="Compact"/>
            </w:pPr>
            <w:r>
              <w:rPr>
                <w:sz w:val="20"/>
                <w:szCs w:val="20"/>
              </w:rPr>
              <w:t xml:space="preserve">14.0626</w:t>
            </w:r>
          </w:p>
        </w:tc>
        <w:tc>
          <w:tcPr>
            <w:tcW w:w="0" w:type="auto"/>
          </w:tcPr>
          <w:p>
            <w:pPr>
              <w:spacing w:line="240" w:lineRule="auto" w:before="0" w:after="0"/>
              <w:pStyle w:val="Compact"/>
            </w:pPr>
            <w:r>
              <w:rPr>
                <w:sz w:val="20"/>
                <w:szCs w:val="20"/>
              </w:rPr>
              <w:t xml:space="preserve">6.451e-45</w:t>
            </w:r>
          </w:p>
        </w:tc>
        <w:tc>
          <w:tcPr>
            <w:tcW w:w="0" w:type="auto"/>
          </w:tcPr>
          <w:p>
            <w:pPr>
              <w:spacing w:line="240" w:lineRule="auto" w:before="0" w:after="0"/>
              <w:pStyle w:val="Compact"/>
            </w:pPr>
            <w:r>
              <w:rPr>
                <w:sz w:val="20"/>
                <w:szCs w:val="20"/>
              </w:rPr>
              <w:t xml:space="preserve">[0.6329, 0.8379]</w:t>
            </w:r>
          </w:p>
        </w:tc>
      </w:tr>
      <w:tr>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-0.0207</w:t>
            </w:r>
          </w:p>
        </w:tc>
        <w:tc>
          <w:tcPr>
            <w:tcW w:w="0" w:type="auto"/>
          </w:tcPr>
          <w:p>
            <w:pPr>
              <w:spacing w:line="240" w:lineRule="auto" w:before="0" w:after="0"/>
              <w:pStyle w:val="Compact"/>
            </w:pPr>
            <w:r>
              <w:rPr>
                <w:sz w:val="20"/>
                <w:szCs w:val="20"/>
              </w:rPr>
              <w:t xml:space="preserve">0.0166</w:t>
            </w:r>
          </w:p>
        </w:tc>
        <w:tc>
          <w:tcPr>
            <w:tcW w:w="0" w:type="auto"/>
          </w:tcPr>
          <w:p>
            <w:pPr>
              <w:spacing w:line="240" w:lineRule="auto" w:before="0" w:after="0"/>
              <w:pStyle w:val="Compact"/>
            </w:pPr>
            <w:r>
              <w:rPr>
                <w:sz w:val="20"/>
                <w:szCs w:val="20"/>
              </w:rPr>
              <w:t xml:space="preserve">-1.246</w:t>
            </w:r>
          </w:p>
        </w:tc>
        <w:tc>
          <w:tcPr>
            <w:tcW w:w="0" w:type="auto"/>
          </w:tcPr>
          <w:p>
            <w:pPr>
              <w:spacing w:line="240" w:lineRule="auto" w:before="0" w:after="0"/>
              <w:pStyle w:val="Compact"/>
            </w:pPr>
            <w:r>
              <w:rPr>
                <w:sz w:val="20"/>
                <w:szCs w:val="20"/>
              </w:rPr>
              <w:t xml:space="preserve">0.2128</w:t>
            </w:r>
          </w:p>
        </w:tc>
        <w:tc>
          <w:tcPr>
            <w:tcW w:w="0" w:type="auto"/>
          </w:tcPr>
          <w:p>
            <w:pPr>
              <w:spacing w:line="240" w:lineRule="auto" w:before="0" w:after="0"/>
              <w:pStyle w:val="Compact"/>
            </w:pPr>
            <w:r>
              <w:rPr>
                <w:sz w:val="20"/>
                <w:szCs w:val="20"/>
              </w:rPr>
              <w:t xml:space="preserve">[-0.0534, 0.0119]</w:t>
            </w:r>
          </w:p>
        </w:tc>
      </w:tr>
      <w:tr>
        <w:tc>
          <w:tcPr>
            <w:tcW w:w="0" w:type="auto"/>
          </w:tcPr>
          <w:p>
            <w:pPr>
              <w:spacing w:line="240" w:lineRule="auto" w:before="0" w:after="0"/>
              <w:pStyle w:val="Compact"/>
            </w:pPr>
            <w:r>
              <w:rPr>
                <w:sz w:val="20"/>
                <w:szCs w:val="20"/>
              </w:rPr>
              <w:t xml:space="preserve">antenna_m</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-0.4609</w:t>
            </w:r>
          </w:p>
        </w:tc>
        <w:tc>
          <w:tcPr>
            <w:tcW w:w="0" w:type="auto"/>
          </w:tcPr>
          <w:p>
            <w:pPr>
              <w:spacing w:line="240" w:lineRule="auto" w:before="0" w:after="0"/>
              <w:pStyle w:val="Compact"/>
            </w:pPr>
            <w:r>
              <w:rPr>
                <w:sz w:val="20"/>
                <w:szCs w:val="20"/>
              </w:rPr>
              <w:t xml:space="preserve">0.6449</w:t>
            </w:r>
          </w:p>
        </w:tc>
        <w:tc>
          <w:tcPr>
            <w:tcW w:w="0" w:type="auto"/>
          </w:tcPr>
          <w:p>
            <w:pPr>
              <w:spacing w:line="240" w:lineRule="auto" w:before="0" w:after="0"/>
              <w:pStyle w:val="Compact"/>
            </w:pPr>
            <w:r>
              <w:rPr>
                <w:sz w:val="20"/>
                <w:szCs w:val="20"/>
              </w:rPr>
              <w:t xml:space="preserve">[-0.1326, 0.0821]</w:t>
            </w:r>
          </w:p>
        </w:tc>
      </w:tr>
      <w:tr>
        <w:tc>
          <w:tcPr>
            <w:tcW w:w="0" w:type="auto"/>
          </w:tcPr>
          <w:p>
            <w:pPr>
              <w:spacing w:line="240" w:lineRule="auto" w:before="0" w:after="0"/>
              <w:pStyle w:val="Compact"/>
            </w:pPr>
            <w:r>
              <w:rPr>
                <w:sz w:val="20"/>
                <w:szCs w:val="20"/>
              </w:rPr>
              <w:t xml:space="preserve">relay</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0.7533</w:t>
            </w:r>
          </w:p>
        </w:tc>
        <w:tc>
          <w:tcPr>
            <w:tcW w:w="0" w:type="auto"/>
          </w:tcPr>
          <w:p>
            <w:pPr>
              <w:spacing w:line="240" w:lineRule="auto" w:before="0" w:after="0"/>
              <w:pStyle w:val="Compact"/>
            </w:pPr>
            <w:r>
              <w:rPr>
                <w:sz w:val="20"/>
                <w:szCs w:val="20"/>
              </w:rPr>
              <w:t xml:space="preserve">0.4513</w:t>
            </w:r>
          </w:p>
        </w:tc>
        <w:tc>
          <w:tcPr>
            <w:tcW w:w="0" w:type="auto"/>
          </w:tcPr>
          <w:p>
            <w:pPr>
              <w:spacing w:line="240" w:lineRule="auto" w:before="0" w:after="0"/>
              <w:pStyle w:val="Compact"/>
            </w:pPr>
            <w:r>
              <w:rPr>
                <w:sz w:val="20"/>
                <w:szCs w:val="20"/>
              </w:rPr>
              <w:t xml:space="preserve">[-0.0899, 0.2021]</w:t>
            </w:r>
          </w:p>
        </w:tc>
      </w:tr>
    </w:tbl>
    <w:p>
      <w:pPr>
        <w:pStyle w:val="BodyText"/>
      </w:pPr>
      <w:r>
        <w:t xml:space="preserve">Fit: N = 28 R2 = 0.9798 R2_adj = 0.9763 F = 128.027 F_p = 2.302e-15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1" Target="https://doi.org/10.1016/j.actaastro.2019.03.069" TargetMode="External" /><Relationship Type="http://schemas.openxmlformats.org/officeDocument/2006/relationships/hyperlink" Id="rId77" Target="https://doi.org/10.1016/j.actaastro.2021.12.030" TargetMode="External" /><Relationship Type="http://schemas.openxmlformats.org/officeDocument/2006/relationships/hyperlink" Id="rId73" Target="https://doi.org/10.1016/j.actaastro.2023.01.040" TargetMode="External" /><Relationship Type="http://schemas.openxmlformats.org/officeDocument/2006/relationships/hyperlink" Id="rId75" Target="https://doi.org/10.1016/j.actaastro.2025.10.018"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19.03.069" TargetMode="External" /><Relationship Type="http://schemas.openxmlformats.org/officeDocument/2006/relationships/hyperlink" Id="rId77" Target="https://doi.org/10.1016/j.actaastro.2021.12.030" TargetMode="External" /><Relationship Type="http://schemas.openxmlformats.org/officeDocument/2006/relationships/hyperlink" Id="rId73" Target="https://doi.org/10.1016/j.actaastro.2023.01.040" TargetMode="External" /><Relationship Type="http://schemas.openxmlformats.org/officeDocument/2006/relationships/hyperlink" Id="rId75" Target="https://doi.org/10.1016/j.actaastro.2025.10.0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2026-06-22T20:32:27Z</dcterms:created>
  <dcterms:modified xsi:type="dcterms:W3CDTF">2026-06-22T20:32:27Z</dcterms:modified>
</cp:coreProperties>
</file>

<file path=docProps/custom.xml><?xml version="1.0" encoding="utf-8"?>
<Properties xmlns="http://schemas.openxmlformats.org/officeDocument/2006/custom-properties" xmlns:vt="http://schemas.openxmlformats.org/officeDocument/2006/docPropsVTypes"/>
</file>