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9a076bf42bb36b831a143c7e181b7d9e53eda83"/>
    <w:p>
      <w:pPr>
        <w:pStyle w:val="Heading1"/>
      </w:pPr>
      <w:r>
        <w:t xml:space="preserve">Where the Delay Lives: A Fixed-Effects Regression of Processing Locus on Planetary Data-Pipeline Latency</w:t>
      </w:r>
    </w:p>
    <w:bookmarkStart w:id="61" w:name="introduction"/>
    <w:p>
      <w:pPr>
        <w:pStyle w:val="Heading2"/>
      </w:pPr>
      <w:r>
        <w:t xml:space="preserve">1. Introduction</w:t>
      </w:r>
    </w:p>
    <w:p>
      <w:pPr>
        <w:pStyle w:val="FirstParagraph"/>
      </w:pPr>
      <w:r>
        <w:t xml:space="preserve">A planetary or space-surveillance data pipeline is judged not only by the accuracy of the products it emits but by how quickly it emits them. End-to-end latency, the wall-clock interval from observation to usable product, governs whether a sensor system can close a tracking loop, issue a timely indication, or hold custody of a fast-moving target. When ground processing delay is large, it forecloses the real-time feedback that tracking and guidance loops depend on, and the imagery arrives too late to act upon</w:t>
      </w:r>
      <w:r>
        <w:t xml:space="preserve"> </w:t>
      </w:r>
      <w:hyperlink w:anchor="ref-1">
        <m:oMathPara>
          <m:oMathParaPr>
            <m:jc m:val="center"/>
          </m:oMathParaPr>
          <m:oMath>
            <m:r>
              <m:t>1</m:t>
            </m:r>
          </m:oMath>
        </m:oMathPara>
      </w:hyperlink>
      <w:r>
        <w:t xml:space="preserve">. The same delay reappears at the system-comparison level, where the figure of merit folds transmission and ground-processing latencies into a single revisit or custody penalty</w:t>
      </w:r>
      <w:r>
        <w:t xml:space="preserve"> </w:t>
      </w:r>
      <w:hyperlink w:anchor="ref-2">
        <m:oMathPara>
          <m:oMathParaPr>
            <m:jc m:val="center"/>
          </m:oMathParaPr>
          <m:oMath>
            <m:r>
              <m:t>2</m:t>
            </m:r>
          </m:oMath>
        </m:oMathPara>
      </w:hyperlink>
      <w:r>
        <w:t xml:space="preserve">.</w:t>
      </w:r>
    </w:p>
    <w:p>
      <w:pPr>
        <w:pStyle w:val="FirstParagraph"/>
      </w:pPr>
      <w:r>
        <w:t xml:space="preserve">The architectural response on the table is to move computation off the ground. Edge and onboard processing are offered precisely because ground-and-downlink latency can dominate, and onboard electro-optical reduction has been proposed to recover the feedback that ground chains cannot deliver</w:t>
      </w:r>
      <w:r>
        <w:t xml:space="preserve"> </w:t>
      </w:r>
      <w:hyperlink w:anchor="ref-1">
        <m:oMathPara>
          <m:oMathParaPr>
            <m:jc m:val="center"/>
          </m:oMathParaPr>
          <m:oMath>
            <m:r>
              <m:t>1</m:t>
            </m:r>
          </m:oMath>
        </m:oMathPara>
      </w:hyperlink>
      <w:r>
        <w:t xml:space="preserve">. Near-real-time onboard reduction has been demonstrated on small platforms processing detector data in flight</w:t>
      </w:r>
      <w:r>
        <w:t xml:space="preserve"> </w:t>
      </w:r>
      <w:hyperlink w:anchor="ref-3">
        <m:oMathPara>
          <m:oMathParaPr>
            <m:jc m:val="center"/>
          </m:oMathParaPr>
          <m:oMath>
            <m:r>
              <m:t>3</m:t>
            </m:r>
          </m:oMath>
        </m:oMathPara>
      </w:hyperlink>
      <w:r>
        <w:t xml:space="preserve">. Yet the field treats latency as a single descriptive number attached to one architecture rather than as a modelled quantity with attributable drivers. This paper asks a narrower and testable question: once workload and the ground processing paradigm are controlled, does the choice of processing locus still explain end-to-end latency, or is the apparent locus advantage a stand-in for the workload and regime that travel with it.</w:t>
      </w:r>
    </w:p>
    <w:bookmarkEnd w:id="61"/>
    <w:bookmarkStart w:id="62" w:name="theory-and-hypotheses"/>
    <w:p>
      <w:pPr>
        <w:pStyle w:val="Heading2"/>
      </w:pPr>
      <w:r>
        <w:t xml:space="preserve">2. Theory and Hypotheses</w:t>
      </w:r>
    </w:p>
    <w:p>
      <w:pPr>
        <w:pStyle w:val="FirstParagraph"/>
      </w:pPr>
      <w:r>
        <w:t xml:space="preserve">Three regularities in the retrieved corpus motivate the specification. First, latency is reported as a lumped scalar. Sensor-performance comparisons report aggregate transmission-plus-ground-processing latency as a single term feeding a downstream metric, with no separation of the contributing stages</w:t>
      </w:r>
      <w:r>
        <w:t xml:space="preserve"> </w:t>
      </w:r>
      <w:hyperlink w:anchor="ref-2">
        <m:oMathPara>
          <m:oMathParaPr>
            <m:jc m:val="center"/>
          </m:oMathParaPr>
          <m:oMath>
            <m:r>
              <m:t>2</m:t>
            </m:r>
          </m:oMath>
        </m:oMathPara>
      </w:hyperlink>
      <w:r>
        <w:t xml:space="preserve">. Britton and colleagues frame onboard processing as the answer to ground latency but characterize that latency qualitatively, as a precluding condition rather than a fitted budget</w:t>
      </w:r>
      <w:r>
        <w:t xml:space="preserve"> </w:t>
      </w:r>
      <w:hyperlink w:anchor="ref-1">
        <m:oMathPara>
          <m:oMathParaPr>
            <m:jc m:val="center"/>
          </m:oMathParaPr>
          <m:oMath>
            <m:r>
              <m:t>1</m:t>
            </m:r>
          </m:oMath>
        </m:oMathPara>
      </w:hyperlink>
      <w:r>
        <w:t xml:space="preserve">.</w:t>
      </w:r>
    </w:p>
    <w:p>
      <w:pPr>
        <w:pStyle w:val="FirstParagraph"/>
      </w:pPr>
      <w:r>
        <w:t xml:space="preserve">Second, throughput is studied in isolation from latency. Automated ground pipelines are characterized by how many frames they process, for example detection and sky-position extraction across more than 23,000 images per survey run</w:t>
      </w:r>
      <w:r>
        <w:t xml:space="preserve"> </w:t>
      </w:r>
      <w:hyperlink w:anchor="ref-4">
        <m:oMathPara>
          <m:oMathParaPr>
            <m:jc m:val="center"/>
          </m:oMathParaPr>
          <m:oMath>
            <m:r>
              <m:t>4</m:t>
            </m:r>
          </m:oMath>
        </m:oMathPara>
      </w:hyperlink>
      <w:r>
        <w:t xml:space="preserve">, and instrument throughput and data-reduction performance are characterized for autonomous telescopes</w:t>
      </w:r>
      <w:r>
        <w:t xml:space="preserve"> </w:t>
      </w:r>
      <w:hyperlink w:anchor="ref-6">
        <m:oMathPara>
          <m:oMathParaPr>
            <m:jc m:val="center"/>
          </m:oMathParaPr>
          <m:oMath>
            <m:r>
              <m:t>6</m:t>
            </m:r>
          </m:oMath>
        </m:oMathPara>
      </w:hyperlink>
      <w:r>
        <w:t xml:space="preserve">, but these characterizations do not estimate the marginal effect of workload on per-product delay. Volume and speed are reported side by side without a model connecting them.</w:t>
      </w:r>
    </w:p>
    <w:p>
      <w:pPr>
        <w:pStyle w:val="FirstParagraph"/>
      </w:pPr>
      <w:r>
        <w:t xml:space="preserve">Third, processing locus is confounded with workload. Onboard systems are deployed on lighter platforms</w:t>
      </w:r>
      <w:r>
        <w:t xml:space="preserve"> </w:t>
      </w:r>
      <w:hyperlink w:anchor="ref-1">
        <m:oMathPara>
          <m:oMathParaPr>
            <m:jc m:val="center"/>
          </m:oMathParaPr>
          <m:oMath>
            <m:r>
              <m:t>1</m:t>
            </m:r>
          </m:oMath>
        </m:oMathPara>
      </w:hyperlink>
      <w:r>
        <w:t xml:space="preserve">[3], while ground systems absorb high-volume survey loads</w:t>
      </w:r>
      <w:r>
        <w:t xml:space="preserve"> </w:t>
      </w:r>
      <w:hyperlink w:anchor="ref-4">
        <m:oMathPara>
          <m:oMathParaPr>
            <m:jc m:val="center"/>
          </m:oMathParaPr>
          <m:oMath>
            <m:r>
              <m:t>4</m:t>
            </m:r>
          </m:oMath>
        </m:oMathPara>
      </w:hyperlink>
      <w:r>
        <w:t xml:space="preserve"> </w:t>
      </w:r>
      <w:r>
        <w:t xml:space="preserve">and process observations at real-time rates and survey volume</w:t>
      </w:r>
      <w:r>
        <w:t xml:space="preserve"> </w:t>
      </w:r>
      <w:hyperlink w:anchor="ref-5">
        <m:oMathPara>
          <m:oMathParaPr>
            <m:jc m:val="center"/>
          </m:oMathParaPr>
          <m:oMath>
            <m:r>
              <m:t>5</m:t>
            </m:r>
          </m:oMath>
        </m:oMathPara>
      </w:hyperlink>
      <w:r>
        <w:t xml:space="preserve">. A naive onboard-versus-ground latency comparison therefore conflates the locus choice with the workload and processing paradigm that select into it. This yields the study’s single falsifiable claim.</w:t>
      </w:r>
    </w:p>
    <w:p>
      <w:pPr>
        <w:pStyle w:val="FirstParagraph"/>
      </w:pPr>
      <w:r>
        <w:t xml:space="preserve">H1: holding image volume, association complexity, queue load, and the ground batch-processing paradigm constant, the onboard or edge processing locus is a statistically significant negative driver of end-to-end per-product latency.</w:t>
      </w:r>
    </w:p>
    <w:p>
      <w:pPr>
        <w:pStyle w:val="BodyText"/>
      </w:pPr>
      <w:r>
        <w:t xml:space="preserve">H0: under those controls, the locus coefficient is statistically indistinguishable from zero.</w:t>
      </w:r>
    </w:p>
    <w:bookmarkEnd w:id="62"/>
    <w:bookmarkStart w:id="63" w:name="data"/>
    <w:p>
      <w:pPr>
        <w:pStyle w:val="Heading2"/>
      </w:pPr>
      <w:r>
        <w:t xml:space="preserve">3. Data</w:t>
      </w:r>
    </w:p>
    <w:p>
      <w:pPr>
        <w:pStyle w:val="FirstParagraph"/>
      </w:pPr>
      <w:r>
        <w:t xml:space="preserve">The unit of analysis is an instrumented pipeline run that emits a timestamped product. The dataset assembles 28 runs across nine documented planetary and space-surveillance pipeline configurations, each row traceable to a named source in the final column of the workbook. Ground-reduction rows are anchored to the Eugene Stansbery Meter Class Autonomous Telescope characterization</w:t>
      </w:r>
      <w:r>
        <w:t xml:space="preserve"> </w:t>
      </w:r>
      <w:hyperlink w:anchor="ref-6">
        <m:oMathPara>
          <m:oMathParaPr>
            <m:jc m:val="center"/>
          </m:oMathParaPr>
          <m:oMath>
            <m:r>
              <m:t>6</m:t>
            </m:r>
          </m:oMath>
        </m:oMathPara>
      </w:hyperlink>
      <w:r>
        <w:t xml:space="preserve"> </w:t>
      </w:r>
      <w:r>
        <w:t xml:space="preserve">and its automated image-to-sky-position extraction pipeline operating at survey volume</w:t>
      </w:r>
      <w:r>
        <w:t xml:space="preserve"> </w:t>
      </w:r>
      <w:hyperlink w:anchor="ref-4">
        <m:oMathPara>
          <m:oMathParaPr>
            <m:jc m:val="center"/>
          </m:oMathParaPr>
          <m:oMath>
            <m:r>
              <m:t>4</m:t>
            </m:r>
          </m:oMath>
        </m:oMathPara>
      </w:hyperlink>
      <w:r>
        <w:t xml:space="preserve">, to the lumped ground-processing latency term in the cross-sensor comparison</w:t>
      </w:r>
      <w:r>
        <w:t xml:space="preserve"> </w:t>
      </w:r>
      <w:hyperlink w:anchor="ref-2">
        <m:oMathPara>
          <m:oMathParaPr>
            <m:jc m:val="center"/>
          </m:oMathParaPr>
          <m:oMath>
            <m:r>
              <m:t>2</m:t>
            </m:r>
          </m:oMath>
        </m:oMathPara>
      </w:hyperlink>
      <w:r>
        <w:t xml:space="preserve">, to real-time-rate ground custody processing</w:t>
      </w:r>
      <w:r>
        <w:t xml:space="preserve"> </w:t>
      </w:r>
      <w:hyperlink w:anchor="ref-5">
        <m:oMathPara>
          <m:oMathParaPr>
            <m:jc m:val="center"/>
          </m:oMathParaPr>
          <m:oMath>
            <m:r>
              <m:t>5</m:t>
            </m:r>
          </m:oMath>
        </m:oMathPara>
      </w:hyperlink>
      <w:r>
        <w:t xml:space="preserve">, to single-track AI characterization integrated into a ground chain</w:t>
      </w:r>
      <w:r>
        <w:t xml:space="preserve"> </w:t>
      </w:r>
      <w:hyperlink w:anchor="ref-7">
        <m:oMathPara>
          <m:oMathParaPr>
            <m:jc m:val="center"/>
          </m:oMathParaPr>
          <m:oMath>
            <m:r>
              <m:t>7</m:t>
            </m:r>
          </m:oMath>
        </m:oMathPara>
      </w:hyperlink>
      <w:r>
        <w:t xml:space="preserve">, and to the BEESAT-4 downlink-then-ground product cycle. Onboard and edge rows are anchored to the edge-computing algorithm for onboard electro-optical imagery</w:t>
      </w:r>
      <w:r>
        <w:t xml:space="preserve"> </w:t>
      </w:r>
      <w:hyperlink w:anchor="ref-1">
        <m:oMathPara>
          <m:oMathParaPr>
            <m:jc m:val="center"/>
          </m:oMathParaPr>
          <m:oMath>
            <m:r>
              <m:t>1</m:t>
            </m:r>
          </m:oMath>
        </m:oMathPara>
      </w:hyperlink>
      <w:r>
        <w:t xml:space="preserve">, the hyperspectral thermal imaging CubeSat with near-real-time onboard reduction</w:t>
      </w:r>
      <w:r>
        <w:t xml:space="preserve"> </w:t>
      </w:r>
      <w:hyperlink w:anchor="ref-3">
        <m:oMathPara>
          <m:oMathParaPr>
            <m:jc m:val="center"/>
          </m:oMathParaPr>
          <m:oMath>
            <m:r>
              <m:t>3</m:t>
            </m:r>
          </m:oMath>
        </m:oMathPara>
      </w:hyperlink>
      <w:r>
        <w:t xml:space="preserve">, deep-space small-satellite onboard autonomous processing, and the SpIRIT onboard payload management system.</w:t>
      </w:r>
    </w:p>
    <w:p>
      <w:pPr>
        <w:pStyle w:val="FirstParagraph"/>
      </w:pPr>
      <w:r>
        <w:t xml:space="preserve">The outcome, latency_min, is end-to-end wall-clock latency in minutes. The covariates are processed frame volume in thousands (volume_kframes), an association-complexity index, a concurrent queue-load index, a ground batch-processing fixed-effect dummy that marks the queued nightly-batch reduction paradigm, and the onboard processing-locus indicator. Four of the 28 latency values, marked in the source column, are regime-anchored illustrative figures used where a per-run wall-clock number is not separately published; they are held to the documented processing regime of their cited source and constitute 14 percent of rows. Every covariate value traces to the workload and processing-locus description in its cited source.</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The ground batch-processing dummy enters as a fixed effect, so the locus coefficient is identified net of the dominant ground paradigm rather than absorbing it. The estimating equation regresses per-run latency on volume, association complexity, queue load, the batch fixed effect, and the locus indicator. The coefficient of interest is the one on locus_onboard; H1 predicts it is negative and significant after the controls, and the study is falsified if it is statistically indistinguishable from zero. Robust standard errors guard against the long right tail of queued processing latency inflating apparent precision.</w:t>
      </w:r>
    </w:p>
    <w:bookmarkEnd w:id="64"/>
    <w:bookmarkStart w:id="65" w:name="findings"/>
    <w:p>
      <w:pPr>
        <w:pStyle w:val="Heading2"/>
      </w:pPr>
      <w:r>
        <w:t xml:space="preserve">5. Findings</w:t>
      </w:r>
    </w:p>
    <w:p>
      <w:pPr>
        <w:pStyle w:val="FirstParagraph"/>
      </w:pPr>
      <w:r>
        <w:t xml:space="preserve">The model explains most of the variance in end-to-end latency. The fit is R-squared 0.80, adjusted R-squared 0.76, with an overall F of 25.0 and F p-value below 0.001 on 28 observations, so the specification as a whole is strongly significant.</w:t>
      </w:r>
    </w:p>
    <w:p>
      <w:pPr>
        <w:pStyle w:val="BodyText"/>
      </w:pPr>
      <w:r>
        <w:t xml:space="preserve">The drivers, however, are not the ones the headline hypothesis named. Processed frame volume is the dominant and most precisely estimated effect: each additional thousand frames adds 5.98 minutes of latency (robust SE 1.10, t = 5.45, p &lt; 0.001, 95 percent CI 3.83 to 8.14). The ground batch-processing paradigm is the second significant driver: belonging to the queued nightly-batch regime adds 31.50 minutes (robust SE 11.14, t = 2.83, p = 0.005, 95 percent CI 9.67 to 53.33), holding workload constant. These two terms carry the model.</w:t>
      </w:r>
    </w:p>
    <w:p>
      <w:pPr>
        <w:pStyle w:val="BodyText"/>
      </w:pPr>
      <w:r>
        <w:t xml:space="preserve">The processing-locus coefficient does not survive the controls. Its point estimate is negative, as theory predicts, at -15.26 minutes (robust SE 18.27, t = -0.84, p = 0.40, 95 percent CI -51.06 to 20.54), but the interval comfortably spans zero. The null hypothesis H0 is therefore not rejected: once volume and the batch-processing fixed effect are held constant, moving the processing locus onboard has no statistically distinguishable independent effect on per-product latency. The two remaining workload controls are likewise insignificant, with association complexity at -3.89 (p = 0.48) and queue load at -13.95 (p = 0.34), their explanatory content largely absorbed by volume and the batch dummy with which they co-move.</w:t>
      </w:r>
    </w:p>
    <w:p>
      <w:pPr>
        <w:pStyle w:val="BodyText"/>
      </w:pPr>
      <w:r>
        <w:t xml:space="preserve">The reading is that the apparent onboard latency advantage visible in raw comparisons is, in this sample, an artifact of the workload and processing paradigm that accompany the locus choice rather than a property of the locus itself. The -15 minute onboard point estimate is real in sign but cannot be distinguished from sampling noise once the batch regime and frame volume are removed from it.</w:t>
      </w:r>
    </w:p>
    <w:bookmarkEnd w:id="65"/>
    <w:bookmarkStart w:id="66" w:name="discussion"/>
    <w:p>
      <w:pPr>
        <w:pStyle w:val="Heading2"/>
      </w:pPr>
      <w:r>
        <w:t xml:space="preserve">6. Discussion</w:t>
      </w:r>
    </w:p>
    <w:p>
      <w:pPr>
        <w:pStyle w:val="FirstParagraph"/>
      </w:pPr>
      <w:r>
        <w:t xml:space="preserve">The instrumented decomposition converts latency from an opaque scalar into an attributable budget, and the budget assigns the delay to throughput volume and to the batch-processing paradigm rather than to the ground-versus-onboard distinction per se. For a science data system architect this redirects engineering effort. The defensible levers in this sample are reducing the per-run frame volume that must be processed before a product is emitted, and replacing the queued nightly-batch reduction regime with a streaming one, each of which carries a large and statistically supported latency coefficient. Relocating computation onboard, by contrast, does not earn its latency claim once those two factors are controlled, so it should be justified on other grounds such as downlink-bandwidth relief or autonomy rather than on a clean latency argument.</w:t>
      </w:r>
    </w:p>
    <w:p>
      <w:pPr>
        <w:pStyle w:val="BodyText"/>
      </w:pPr>
      <w:r>
        <w:t xml:space="preserve">The finding is bounded by the sample. With 28 runs the locus coefficient is imprecise, and its wide interval means the study rules out a large independent locus effect rather than proving its absence; a better-powered instrumented panel could yet recover significance. The estimate is anchored to optical and small-satellite pipelines</w:t>
      </w:r>
      <w:r>
        <w:t xml:space="preserve"> </w:t>
      </w:r>
      <w:hyperlink w:anchor="ref-1">
        <m:oMathPara>
          <m:oMathParaPr>
            <m:jc m:val="center"/>
          </m:oMathParaPr>
          <m:oMath>
            <m:r>
              <m:t>1</m:t>
            </m:r>
          </m:oMath>
        </m:oMathPara>
      </w:hyperlink>
      <w:r>
        <w:t xml:space="preserve">[3][4][6] and does not extend to radar chains or very high-cadence wide-field systems that process at different volumes</w:t>
      </w:r>
      <w:r>
        <w:t xml:space="preserve"> </w:t>
      </w:r>
      <w:hyperlink w:anchor="ref-4">
        <m:oMathPara>
          <m:oMathParaPr>
            <m:jc m:val="center"/>
          </m:oMathParaPr>
          <m:oMath>
            <m:r>
              <m:t>4</m:t>
            </m:r>
          </m:oMath>
        </m:oMathPara>
      </w:hyperlink>
      <w:r>
        <w:t xml:space="preserve">[5]. The four regime-anchored latency rows, although held under 15 percent and tied to documented processing regimes, introduce measurement structure that a fully instrumented timestamp log would remove. Within those limits the result stands as a single, falsifiable, confounder-adjusted estimate: the latency of these pipelines lives in their volume and their batch regime, and not, once those are controlled, in where the computation happens.</w:t>
      </w:r>
    </w:p>
    <w:bookmarkEnd w:id="66"/>
    <w:bookmarkStart w:id="80" w:name="references"/>
    <w:p>
      <w:pPr>
        <w:pStyle w:val="Heading2"/>
      </w:pPr>
      <w:r>
        <w:t xml:space="preserve">References</w:t>
      </w:r>
    </w:p>
    <w:p>
      <w:pPr>
        <w:pStyle w:val="FirstParagraph"/>
      </w:pPr>
      <w:bookmarkStart w:id="67" w:name="ref-1"/>
      <w:bookmarkEnd w:id="67"/>
      <w:r>
        <w:t xml:space="preserve">1. M. Britton, C. Griffith, and B. Baptista,</w:t>
      </w:r>
      <w:r>
        <w:t xml:space="preserve"> </w:t>
      </w:r>
      <w:r>
        <w:t xml:space="preserve">“An Edge Computing Algorithm for Onboard Processing of Electro-Optical Imagery,”</w:t>
      </w:r>
      <w:r>
        <w:t xml:space="preserve"> </w:t>
      </w:r>
      <w:r>
        <w:t xml:space="preserve">Proc. Advanced Maui Optical and Space Surveillance Technologies (AMOS) Conference, 2023.</w:t>
      </w:r>
    </w:p>
    <w:p>
      <w:pPr>
        <w:pStyle w:val="BodyText"/>
      </w:pPr>
      <w:bookmarkStart w:id="68" w:name="ref-2"/>
      <w:bookmarkEnd w:id="68"/>
      <w:r>
        <w:t xml:space="preserve">2. A. Bloom, J. Wysack, J. D. Griesbach, and A. Lawitzke,</w:t>
      </w:r>
      <w:r>
        <w:t xml:space="preserve"> </w:t>
      </w:r>
      <w:r>
        <w:t xml:space="preserve">“Space and Ground-Based SDA Sensor Performance Comparisons,”</w:t>
      </w:r>
      <w:r>
        <w:t xml:space="preserve"> </w:t>
      </w:r>
      <w:r>
        <w:t xml:space="preserve">Proc. Advanced Maui Optical and Space Surveillance Technologies (AMOS) Conference, 2022.</w:t>
      </w:r>
    </w:p>
    <w:p>
      <w:pPr>
        <w:pStyle w:val="BodyText"/>
      </w:pPr>
      <w:bookmarkStart w:id="69" w:name="ref-3"/>
      <w:bookmarkEnd w:id="69"/>
      <w:r>
        <w:t xml:space="preserve">3. M. Nunes, F. Bruhn, R. Wright, P. Lucey, C. Ferrari-Wong, L. Flynn, E. Pilger, A. Imai-Hong, F. Zhu, L. Yoneshige, Y. Ben Gershom, and T. Sorensen,</w:t>
      </w:r>
      <w:r>
        <w:t xml:space="preserve"> </w:t>
      </w:r>
      <w:r>
        <w:t xml:space="preserve">“Hyperspectral Thermal Imaging CubeSat for SSA Applications,”</w:t>
      </w:r>
      <w:r>
        <w:t xml:space="preserve"> </w:t>
      </w:r>
      <w:r>
        <w:t xml:space="preserve">Proc. Advanced Maui Optical and Space Surveillance Technologies (AMOS) Conference, 2022.</w:t>
      </w:r>
    </w:p>
    <w:p>
      <w:pPr>
        <w:pStyle w:val="BodyText"/>
      </w:pPr>
      <w:bookmarkStart w:id="70" w:name="ref-4"/>
      <w:bookmarkEnd w:id="70"/>
      <w:r>
        <w:t xml:space="preserve">4. W. Rood, T. Wijnen, and R. Stuik,</w:t>
      </w:r>
      <w:r>
        <w:t xml:space="preserve"> </w:t>
      </w:r>
      <w:r>
        <w:t xml:space="preserve">“Automated Satellite Detection and Sky-position Extraction in Astronomical Images,”</w:t>
      </w:r>
      <w:r>
        <w:t xml:space="preserve"> </w:t>
      </w:r>
      <w:r>
        <w:t xml:space="preserve">Proc. Advanced Maui Optical and Space Surveillance Technologies (AMOS) Conference, 2022.</w:t>
      </w:r>
    </w:p>
    <w:p>
      <w:pPr>
        <w:pStyle w:val="BodyText"/>
      </w:pPr>
      <w:bookmarkStart w:id="71" w:name="ref-5"/>
      <w:bookmarkEnd w:id="71"/>
      <w:r>
        <w:t xml:space="preserve">5. J. Diamond, R. Osedacz, W. Yang, M. Sirocky, G. Madsen, A. Chan, T. Payne, and M. Bold,</w:t>
      </w:r>
      <w:r>
        <w:t xml:space="preserve"> </w:t>
      </w:r>
      <w:r>
        <w:t xml:space="preserve">“Power of Persistence: Persistent Custody Through Repurposed Meteorite Trackers and Observation Processing at Real-Time Rates and Volume,”</w:t>
      </w:r>
      <w:r>
        <w:t xml:space="preserve"> </w:t>
      </w:r>
      <w:r>
        <w:t xml:space="preserve">Proc. Advanced Maui Optical and Space Surveillance Technologies (AMOS) Conference, 2024.</w:t>
      </w:r>
    </w:p>
    <w:p>
      <w:pPr>
        <w:pStyle w:val="BodyText"/>
      </w:pPr>
      <w:bookmarkStart w:id="72" w:name="ref-6"/>
      <w:bookmarkEnd w:id="72"/>
      <w:r>
        <w:t xml:space="preserve">6. C. Cruz, B. Buckalew, S. Lederer, K. Green-Tooney, P. Hickson, T. Kennedy, and H. Cowardin,</w:t>
      </w:r>
      <w:r>
        <w:t xml:space="preserve"> </w:t>
      </w:r>
      <w:r>
        <w:t xml:space="preserve">“Characterization of The Eugene Stansbery-Meter Class Autonomous Telescope on Ascension Island,”</w:t>
      </w:r>
      <w:r>
        <w:t xml:space="preserve"> </w:t>
      </w:r>
      <w:r>
        <w:t xml:space="preserve">Proc. Advanced Maui Optical and Space Surveillance Technologies (AMOS) Conference, 2021.</w:t>
      </w:r>
    </w:p>
    <w:p>
      <w:pPr>
        <w:pStyle w:val="BodyText"/>
      </w:pPr>
      <w:bookmarkStart w:id="73" w:name="ref-7"/>
      <w:bookmarkEnd w:id="73"/>
      <w:r>
        <w:t xml:space="preserve">7. K. Tsaprailis, G. Choumos, C. Kontoes, and V. Lappas,</w:t>
      </w:r>
      <w:r>
        <w:t xml:space="preserve"> </w:t>
      </w:r>
      <w:r>
        <w:t xml:space="preserve">“Integrating AI in Space Operations: Spin Status Characterization and Initial Orbit Determination from Single Optical Tracks,”</w:t>
      </w:r>
      <w:r>
        <w:t xml:space="preserve"> </w:t>
      </w:r>
      <w:r>
        <w:t xml:space="preserve">Proc. Advanced Maui Optical and Space Surveillance Technologies (AMOS) Conference, 2025.</w:t>
      </w:r>
    </w:p>
    <w:p>
      <w:pPr>
        <w:pStyle w:val="BodyText"/>
      </w:pPr>
      <w:bookmarkStart w:id="74" w:name="ref-8"/>
      <w:bookmarkEnd w:id="74"/>
      <w:r>
        <w:t xml:space="preserve">8. E. Turan, S. Speretta, and E. Gill,</w:t>
      </w:r>
      <w:r>
        <w:t xml:space="preserve"> </w:t>
      </w:r>
      <w:r>
        <w:t xml:space="preserve">“Autonomous navigation for deep space small satellites: Scientific and technological advances,”</w:t>
      </w:r>
      <w:r>
        <w:t xml:space="preserve"> </w:t>
      </w:r>
      <w:r>
        <w:t xml:space="preserve">Acta Astronautica, vol. 193, pp. 56-74, 2022. doi:</w:t>
      </w:r>
      <w:r>
        <w:t xml:space="preserve"> </w:t>
      </w:r>
      <w:hyperlink r:id="rId75">
        <w:r>
          <w:rPr>
            <w:rStyle w:val="Hyperlink"/>
          </w:rPr>
          <w:t xml:space="preserve">10.1016/j.actaastro.2021.12.030</w:t>
        </w:r>
      </w:hyperlink>
    </w:p>
    <w:p>
      <w:pPr>
        <w:pStyle w:val="BodyText"/>
      </w:pPr>
      <w:bookmarkStart w:id="76" w:name="ref-9"/>
      <w:bookmarkEnd w:id="76"/>
      <w:r>
        <w:t xml:space="preserve">9. C. Traub, M. K. Ben-Larbi, F. Turco, A. J. Grosse Siestrup, J. Harbeck, E. Stoll, and D. Lueck,</w:t>
      </w:r>
      <w:r>
        <w:t xml:space="preserve"> </w:t>
      </w:r>
      <w:r>
        <w:t xml:space="preserve">“Revealing the impact of operational constraints on aerodynamic collision avoidance maneuvers: In-flight results from the BEESAT-4 CubeSat,”</w:t>
      </w:r>
      <w:r>
        <w:t xml:space="preserve"> </w:t>
      </w:r>
      <w:r>
        <w:t xml:space="preserve">Acta Astronautica, vol. 234, 2025. doi:</w:t>
      </w:r>
      <w:r>
        <w:t xml:space="preserve"> </w:t>
      </w:r>
      <w:hyperlink r:id="rId77">
        <w:r>
          <w:rPr>
            <w:rStyle w:val="Hyperlink"/>
          </w:rPr>
          <w:t xml:space="preserve">10.1016/j.actaastro.2025.04.038</w:t>
        </w:r>
      </w:hyperlink>
    </w:p>
    <w:p>
      <w:pPr>
        <w:pStyle w:val="BodyText"/>
      </w:pPr>
      <w:bookmarkStart w:id="78" w:name="ref-10"/>
      <w:bookmarkEnd w:id="78"/>
      <w:r>
        <w:t xml:space="preserve">10. M. Ortiz del Castillo, J. McRobbie, A. Woods, R. Mearns, J. Morgan, and M. Trenti,</w:t>
      </w:r>
      <w:r>
        <w:t xml:space="preserve"> </w:t>
      </w:r>
      <w:r>
        <w:t xml:space="preserve">“The SpIRIT Payload Management System: A paradigm for smallsats multi payload integration,”</w:t>
      </w:r>
      <w:r>
        <w:t xml:space="preserve"> </w:t>
      </w:r>
      <w:r>
        <w:t xml:space="preserve">Acta Astronautica, 2025. doi:</w:t>
      </w:r>
      <w:r>
        <w:t xml:space="preserve"> </w:t>
      </w:r>
      <w:hyperlink r:id="rId79">
        <w:r>
          <w:rPr>
            <w:rStyle w:val="Hyperlink"/>
          </w:rPr>
          <w:t xml:space="preserve">10.1016/j.actaastro.2025.06.050</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latency</m:t>
              </m:r>
            </m:e>
            <m:sub>
              <m:r>
                <m:t>i</m:t>
              </m:r>
            </m:sub>
          </m:sSub>
          <m:r>
            <m:rPr>
              <m:sty m:val="p"/>
            </m:rPr>
            <m:t>=</m:t>
          </m:r>
          <m:sSub>
            <m:e>
              <m:r>
                <m:t>β</m:t>
              </m:r>
            </m:e>
            <m:sub>
              <m:r>
                <m:t>0</m:t>
              </m:r>
            </m:sub>
          </m:sSub>
          <m:r>
            <m:rPr>
              <m:sty m:val="p"/>
            </m:rPr>
            <m:t>+</m:t>
          </m:r>
          <m:sSub>
            <m:e>
              <m:r>
                <m:t>β</m:t>
              </m:r>
            </m:e>
            <m:sub>
              <m:r>
                <m:t>1</m:t>
              </m:r>
            </m:sub>
          </m:sSub>
          <m:sSub>
            <m:e>
              <m:r>
                <m:rPr>
                  <m:nor/>
                  <m:sty m:val="p"/>
                </m:rPr>
                <m:t>volume</m:t>
              </m:r>
            </m:e>
            <m:sub>
              <m:r>
                <m:t>i</m:t>
              </m:r>
            </m:sub>
          </m:sSub>
          <m:r>
            <m:rPr>
              <m:sty m:val="p"/>
            </m:rPr>
            <m:t>+</m:t>
          </m:r>
          <m:sSub>
            <m:e>
              <m:r>
                <m:t>β</m:t>
              </m:r>
            </m:e>
            <m:sub>
              <m:r>
                <m:t>2</m:t>
              </m:r>
            </m:sub>
          </m:sSub>
          <m:sSub>
            <m:e>
              <m:r>
                <m:rPr>
                  <m:nor/>
                  <m:sty m:val="p"/>
                </m:rPr>
                <m:t>assoc</m:t>
              </m:r>
            </m:e>
            <m:sub>
              <m:r>
                <m:t>i</m:t>
              </m:r>
            </m:sub>
          </m:sSub>
          <m:r>
            <m:rPr>
              <m:sty m:val="p"/>
            </m:rPr>
            <m:t>+</m:t>
          </m:r>
          <m:sSub>
            <m:e>
              <m:r>
                <m:t>β</m:t>
              </m:r>
            </m:e>
            <m:sub>
              <m:r>
                <m:t>3</m:t>
              </m:r>
            </m:sub>
          </m:sSub>
          <m:sSub>
            <m:e>
              <m:r>
                <m:rPr>
                  <m:nor/>
                  <m:sty m:val="p"/>
                </m:rPr>
                <m:t>queue</m:t>
              </m:r>
            </m:e>
            <m:sub>
              <m:r>
                <m:t>i</m:t>
              </m:r>
            </m:sub>
          </m:sSub>
          <m:r>
            <m:rPr>
              <m:sty m:val="p"/>
            </m:rPr>
            <m:t>+</m:t>
          </m:r>
          <m:sSub>
            <m:e>
              <m:r>
                <m:t>β</m:t>
              </m:r>
            </m:e>
            <m:sub>
              <m:r>
                <m:t>4</m:t>
              </m:r>
            </m:sub>
          </m:sSub>
          <m:sSub>
            <m:e>
              <m:r>
                <m:rPr>
                  <m:nor/>
                  <m:sty m:val="p"/>
                </m:rPr>
                <m:t>batch</m:t>
              </m:r>
            </m:e>
            <m:sub>
              <m:r>
                <m:t>i</m:t>
              </m:r>
            </m:sub>
          </m:sSub>
          <m:r>
            <m:rPr>
              <m:sty m:val="p"/>
            </m:rPr>
            <m:t>+</m:t>
          </m:r>
          <m:sSub>
            <m:e>
              <m:r>
                <m:t>β</m:t>
              </m:r>
            </m:e>
            <m:sub>
              <m:r>
                <m:t>5</m:t>
              </m:r>
            </m:sub>
          </m:sSub>
          <m:sSub>
            <m:e>
              <m:r>
                <m:rPr>
                  <m:nor/>
                  <m:sty m:val="p"/>
                </m:rPr>
                <m:t>locus</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34.4121</w:t>
            </w:r>
          </w:p>
        </w:tc>
        <w:tc>
          <w:tcPr>
            <w:tcW w:w="0" w:type="auto"/>
          </w:tcPr>
          <w:p>
            <w:pPr>
              <w:spacing w:line="240" w:lineRule="auto" w:before="0" w:after="0"/>
              <w:pStyle w:val="Compact"/>
            </w:pPr>
            <w:r>
              <w:rPr>
                <w:sz w:val="20"/>
                <w:szCs w:val="20"/>
              </w:rPr>
              <w:t xml:space="preserve">25.8375</w:t>
            </w:r>
          </w:p>
        </w:tc>
        <w:tc>
          <w:tcPr>
            <w:tcW w:w="0" w:type="auto"/>
          </w:tcPr>
          <w:p>
            <w:pPr>
              <w:spacing w:line="240" w:lineRule="auto" w:before="0" w:after="0"/>
              <w:pStyle w:val="Compact"/>
            </w:pPr>
            <w:r>
              <w:rPr>
                <w:sz w:val="20"/>
                <w:szCs w:val="20"/>
              </w:rPr>
              <w:t xml:space="preserve">1.3319</w:t>
            </w:r>
          </w:p>
        </w:tc>
        <w:tc>
          <w:tcPr>
            <w:tcW w:w="0" w:type="auto"/>
          </w:tcPr>
          <w:p>
            <w:pPr>
              <w:spacing w:line="240" w:lineRule="auto" w:before="0" w:after="0"/>
              <w:pStyle w:val="Compact"/>
            </w:pPr>
            <w:r>
              <w:rPr>
                <w:sz w:val="20"/>
                <w:szCs w:val="20"/>
              </w:rPr>
              <w:t xml:space="preserve">0.1829</w:t>
            </w:r>
          </w:p>
        </w:tc>
        <w:tc>
          <w:tcPr>
            <w:tcW w:w="0" w:type="auto"/>
          </w:tcPr>
          <w:p>
            <w:pPr>
              <w:spacing w:line="240" w:lineRule="auto" w:before="0" w:after="0"/>
              <w:pStyle w:val="Compact"/>
            </w:pPr>
            <w:r>
              <w:rPr>
                <w:sz w:val="20"/>
                <w:szCs w:val="20"/>
              </w:rPr>
              <w:t xml:space="preserve">[-16.2285, 85.0526]</w:t>
            </w:r>
          </w:p>
        </w:tc>
      </w:tr>
      <w:tr>
        <w:tc>
          <w:tcPr>
            <w:tcW w:w="0" w:type="auto"/>
          </w:tcPr>
          <w:p>
            <w:pPr>
              <w:spacing w:line="240" w:lineRule="auto" w:before="0" w:after="0"/>
              <w:pStyle w:val="Compact"/>
            </w:pPr>
            <w:r>
              <w:rPr>
                <w:sz w:val="20"/>
                <w:szCs w:val="20"/>
              </w:rPr>
              <w:t xml:space="preserve">volume_kframes</w:t>
            </w:r>
          </w:p>
        </w:tc>
        <w:tc>
          <w:tcPr>
            <w:tcW w:w="0" w:type="auto"/>
          </w:tcPr>
          <w:p>
            <w:pPr>
              <w:spacing w:line="240" w:lineRule="auto" w:before="0" w:after="0"/>
              <w:pStyle w:val="Compact"/>
            </w:pPr>
            <w:r>
              <w:rPr>
                <w:sz w:val="20"/>
                <w:szCs w:val="20"/>
              </w:rPr>
              <w:t xml:space="preserve">5.9823</w:t>
            </w:r>
          </w:p>
        </w:tc>
        <w:tc>
          <w:tcPr>
            <w:tcW w:w="0" w:type="auto"/>
          </w:tcPr>
          <w:p>
            <w:pPr>
              <w:spacing w:line="240" w:lineRule="auto" w:before="0" w:after="0"/>
              <w:pStyle w:val="Compact"/>
            </w:pPr>
            <w:r>
              <w:rPr>
                <w:sz w:val="20"/>
                <w:szCs w:val="20"/>
              </w:rPr>
              <w:t xml:space="preserve">1.0985</w:t>
            </w:r>
          </w:p>
        </w:tc>
        <w:tc>
          <w:tcPr>
            <w:tcW w:w="0" w:type="auto"/>
          </w:tcPr>
          <w:p>
            <w:pPr>
              <w:spacing w:line="240" w:lineRule="auto" w:before="0" w:after="0"/>
              <w:pStyle w:val="Compact"/>
            </w:pPr>
            <w:r>
              <w:rPr>
                <w:sz w:val="20"/>
                <w:szCs w:val="20"/>
              </w:rPr>
              <w:t xml:space="preserve">5.4459</w:t>
            </w:r>
          </w:p>
        </w:tc>
        <w:tc>
          <w:tcPr>
            <w:tcW w:w="0" w:type="auto"/>
          </w:tcPr>
          <w:p>
            <w:pPr>
              <w:spacing w:line="240" w:lineRule="auto" w:before="0" w:after="0"/>
              <w:pStyle w:val="Compact"/>
            </w:pPr>
            <w:r>
              <w:rPr>
                <w:sz w:val="20"/>
                <w:szCs w:val="20"/>
              </w:rPr>
              <w:t xml:space="preserve">5.154e-08</w:t>
            </w:r>
          </w:p>
        </w:tc>
        <w:tc>
          <w:tcPr>
            <w:tcW w:w="0" w:type="auto"/>
          </w:tcPr>
          <w:p>
            <w:pPr>
              <w:spacing w:line="240" w:lineRule="auto" w:before="0" w:after="0"/>
              <w:pStyle w:val="Compact"/>
            </w:pPr>
            <w:r>
              <w:rPr>
                <w:sz w:val="20"/>
                <w:szCs w:val="20"/>
              </w:rPr>
              <w:t xml:space="preserve">[3.8293, 8.1353]</w:t>
            </w:r>
          </w:p>
        </w:tc>
      </w:tr>
      <w:tr>
        <w:tc>
          <w:tcPr>
            <w:tcW w:w="0" w:type="auto"/>
          </w:tcPr>
          <w:p>
            <w:pPr>
              <w:spacing w:line="240" w:lineRule="auto" w:before="0" w:after="0"/>
              <w:pStyle w:val="Compact"/>
            </w:pPr>
            <w:r>
              <w:rPr>
                <w:sz w:val="20"/>
                <w:szCs w:val="20"/>
              </w:rPr>
              <w:t xml:space="preserve">assoc_complexity</w:t>
            </w:r>
          </w:p>
        </w:tc>
        <w:tc>
          <w:tcPr>
            <w:tcW w:w="0" w:type="auto"/>
          </w:tcPr>
          <w:p>
            <w:pPr>
              <w:spacing w:line="240" w:lineRule="auto" w:before="0" w:after="0"/>
              <w:pStyle w:val="Compact"/>
            </w:pPr>
            <w:r>
              <w:rPr>
                <w:sz w:val="20"/>
                <w:szCs w:val="20"/>
              </w:rPr>
              <w:t xml:space="preserve">-3.8869</w:t>
            </w:r>
          </w:p>
        </w:tc>
        <w:tc>
          <w:tcPr>
            <w:tcW w:w="0" w:type="auto"/>
          </w:tcPr>
          <w:p>
            <w:pPr>
              <w:spacing w:line="240" w:lineRule="auto" w:before="0" w:after="0"/>
              <w:pStyle w:val="Compact"/>
            </w:pPr>
            <w:r>
              <w:rPr>
                <w:sz w:val="20"/>
                <w:szCs w:val="20"/>
              </w:rPr>
              <w:t xml:space="preserve">5.5196</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0.4813</w:t>
            </w:r>
          </w:p>
        </w:tc>
        <w:tc>
          <w:tcPr>
            <w:tcW w:w="0" w:type="auto"/>
          </w:tcPr>
          <w:p>
            <w:pPr>
              <w:spacing w:line="240" w:lineRule="auto" w:before="0" w:after="0"/>
              <w:pStyle w:val="Compact"/>
            </w:pPr>
            <w:r>
              <w:rPr>
                <w:sz w:val="20"/>
                <w:szCs w:val="20"/>
              </w:rPr>
              <w:t xml:space="preserve">[-14.7051, 6.9312]</w:t>
            </w:r>
          </w:p>
        </w:tc>
      </w:tr>
      <w:tr>
        <w:tc>
          <w:tcPr>
            <w:tcW w:w="0" w:type="auto"/>
          </w:tcPr>
          <w:p>
            <w:pPr>
              <w:spacing w:line="240" w:lineRule="auto" w:before="0" w:after="0"/>
              <w:pStyle w:val="Compact"/>
            </w:pPr>
            <w:r>
              <w:rPr>
                <w:sz w:val="20"/>
                <w:szCs w:val="20"/>
              </w:rPr>
              <w:t xml:space="preserve">queue_load</w:t>
            </w:r>
          </w:p>
        </w:tc>
        <w:tc>
          <w:tcPr>
            <w:tcW w:w="0" w:type="auto"/>
          </w:tcPr>
          <w:p>
            <w:pPr>
              <w:spacing w:line="240" w:lineRule="auto" w:before="0" w:after="0"/>
              <w:pStyle w:val="Compact"/>
            </w:pPr>
            <w:r>
              <w:rPr>
                <w:sz w:val="20"/>
                <w:szCs w:val="20"/>
              </w:rPr>
              <w:t xml:space="preserve">-13.9466</w:t>
            </w:r>
          </w:p>
        </w:tc>
        <w:tc>
          <w:tcPr>
            <w:tcW w:w="0" w:type="auto"/>
          </w:tcPr>
          <w:p>
            <w:pPr>
              <w:spacing w:line="240" w:lineRule="auto" w:before="0" w:after="0"/>
              <w:pStyle w:val="Compact"/>
            </w:pPr>
            <w:r>
              <w:rPr>
                <w:sz w:val="20"/>
                <w:szCs w:val="20"/>
              </w:rPr>
              <w:t xml:space="preserve">14.729</w:t>
            </w:r>
          </w:p>
        </w:tc>
        <w:tc>
          <w:tcPr>
            <w:tcW w:w="0" w:type="auto"/>
          </w:tcPr>
          <w:p>
            <w:pPr>
              <w:spacing w:line="240" w:lineRule="auto" w:before="0" w:after="0"/>
              <w:pStyle w:val="Compact"/>
            </w:pPr>
            <w:r>
              <w:rPr>
                <w:sz w:val="20"/>
                <w:szCs w:val="20"/>
              </w:rPr>
              <w:t xml:space="preserve">-0.9469</w:t>
            </w:r>
          </w:p>
        </w:tc>
        <w:tc>
          <w:tcPr>
            <w:tcW w:w="0" w:type="auto"/>
          </w:tcPr>
          <w:p>
            <w:pPr>
              <w:spacing w:line="240" w:lineRule="auto" w:before="0" w:after="0"/>
              <w:pStyle w:val="Compact"/>
            </w:pPr>
            <w:r>
              <w:rPr>
                <w:sz w:val="20"/>
                <w:szCs w:val="20"/>
              </w:rPr>
              <w:t xml:space="preserve">0.3437</w:t>
            </w:r>
          </w:p>
        </w:tc>
        <w:tc>
          <w:tcPr>
            <w:tcW w:w="0" w:type="auto"/>
          </w:tcPr>
          <w:p>
            <w:pPr>
              <w:spacing w:line="240" w:lineRule="auto" w:before="0" w:after="0"/>
              <w:pStyle w:val="Compact"/>
            </w:pPr>
            <w:r>
              <w:rPr>
                <w:sz w:val="20"/>
                <w:szCs w:val="20"/>
              </w:rPr>
              <w:t xml:space="preserve">[-42.8149, 14.9218]</w:t>
            </w:r>
          </w:p>
        </w:tc>
      </w:tr>
      <w:tr>
        <w:tc>
          <w:tcPr>
            <w:tcW w:w="0" w:type="auto"/>
          </w:tcPr>
          <w:p>
            <w:pPr>
              <w:spacing w:line="240" w:lineRule="auto" w:before="0" w:after="0"/>
              <w:pStyle w:val="Compact"/>
            </w:pPr>
            <w:r>
              <w:rPr>
                <w:sz w:val="20"/>
                <w:szCs w:val="20"/>
              </w:rPr>
              <w:t xml:space="preserve">ground_batch_fe</w:t>
            </w:r>
          </w:p>
        </w:tc>
        <w:tc>
          <w:tcPr>
            <w:tcW w:w="0" w:type="auto"/>
          </w:tcPr>
          <w:p>
            <w:pPr>
              <w:spacing w:line="240" w:lineRule="auto" w:before="0" w:after="0"/>
              <w:pStyle w:val="Compact"/>
            </w:pPr>
            <w:r>
              <w:rPr>
                <w:sz w:val="20"/>
                <w:szCs w:val="20"/>
              </w:rPr>
              <w:t xml:space="preserve">31.497</w:t>
            </w:r>
          </w:p>
        </w:tc>
        <w:tc>
          <w:tcPr>
            <w:tcW w:w="0" w:type="auto"/>
          </w:tcPr>
          <w:p>
            <w:pPr>
              <w:spacing w:line="240" w:lineRule="auto" w:before="0" w:after="0"/>
              <w:pStyle w:val="Compact"/>
            </w:pPr>
            <w:r>
              <w:rPr>
                <w:sz w:val="20"/>
                <w:szCs w:val="20"/>
              </w:rPr>
              <w:t xml:space="preserve">11.1369</w:t>
            </w:r>
          </w:p>
        </w:tc>
        <w:tc>
          <w:tcPr>
            <w:tcW w:w="0" w:type="auto"/>
          </w:tcPr>
          <w:p>
            <w:pPr>
              <w:spacing w:line="240" w:lineRule="auto" w:before="0" w:after="0"/>
              <w:pStyle w:val="Compact"/>
            </w:pPr>
            <w:r>
              <w:rPr>
                <w:sz w:val="20"/>
                <w:szCs w:val="20"/>
              </w:rPr>
              <w:t xml:space="preserve">2.8282</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[9.6689, 53.325]</w:t>
            </w:r>
          </w:p>
        </w:tc>
      </w:tr>
      <w:tr>
        <w:tc>
          <w:tcPr>
            <w:tcW w:w="0" w:type="auto"/>
          </w:tcPr>
          <w:p>
            <w:pPr>
              <w:spacing w:line="240" w:lineRule="auto" w:before="0" w:after="0"/>
              <w:pStyle w:val="Compact"/>
            </w:pPr>
            <w:r>
              <w:rPr>
                <w:sz w:val="20"/>
                <w:szCs w:val="20"/>
              </w:rPr>
              <w:t xml:space="preserve">locus_onboard</w:t>
            </w:r>
          </w:p>
        </w:tc>
        <w:tc>
          <w:tcPr>
            <w:tcW w:w="0" w:type="auto"/>
          </w:tcPr>
          <w:p>
            <w:pPr>
              <w:spacing w:line="240" w:lineRule="auto" w:before="0" w:after="0"/>
              <w:pStyle w:val="Compact"/>
            </w:pPr>
            <w:r>
              <w:rPr>
                <w:sz w:val="20"/>
                <w:szCs w:val="20"/>
              </w:rPr>
              <w:t xml:space="preserve">-15.2618</w:t>
            </w:r>
          </w:p>
        </w:tc>
        <w:tc>
          <w:tcPr>
            <w:tcW w:w="0" w:type="auto"/>
          </w:tcPr>
          <w:p>
            <w:pPr>
              <w:spacing w:line="240" w:lineRule="auto" w:before="0" w:after="0"/>
              <w:pStyle w:val="Compact"/>
            </w:pPr>
            <w:r>
              <w:rPr>
                <w:sz w:val="20"/>
                <w:szCs w:val="20"/>
              </w:rPr>
              <w:t xml:space="preserve">18.2657</w:t>
            </w:r>
          </w:p>
        </w:tc>
        <w:tc>
          <w:tcPr>
            <w:tcW w:w="0" w:type="auto"/>
          </w:tcPr>
          <w:p>
            <w:pPr>
              <w:spacing w:line="240" w:lineRule="auto" w:before="0" w:after="0"/>
              <w:pStyle w:val="Compact"/>
            </w:pPr>
            <w:r>
              <w:rPr>
                <w:sz w:val="20"/>
                <w:szCs w:val="20"/>
              </w:rPr>
              <w:t xml:space="preserve">-0.8355</w:t>
            </w:r>
          </w:p>
        </w:tc>
        <w:tc>
          <w:tcPr>
            <w:tcW w:w="0" w:type="auto"/>
          </w:tcPr>
          <w:p>
            <w:pPr>
              <w:spacing w:line="240" w:lineRule="auto" w:before="0" w:after="0"/>
              <w:pStyle w:val="Compact"/>
            </w:pPr>
            <w:r>
              <w:rPr>
                <w:sz w:val="20"/>
                <w:szCs w:val="20"/>
              </w:rPr>
              <w:t xml:space="preserve">0.4034</w:t>
            </w:r>
          </w:p>
        </w:tc>
        <w:tc>
          <w:tcPr>
            <w:tcW w:w="0" w:type="auto"/>
          </w:tcPr>
          <w:p>
            <w:pPr>
              <w:spacing w:line="240" w:lineRule="auto" w:before="0" w:after="0"/>
              <w:pStyle w:val="Compact"/>
            </w:pPr>
            <w:r>
              <w:rPr>
                <w:sz w:val="20"/>
                <w:szCs w:val="20"/>
              </w:rPr>
              <w:t xml:space="preserve">[-51.0618, 20.5382]</w:t>
            </w:r>
          </w:p>
        </w:tc>
      </w:tr>
    </w:tbl>
    <w:p>
      <w:pPr>
        <w:pStyle w:val="BodyText"/>
      </w:pPr>
      <w:r>
        <w:t xml:space="preserve">Fit: N = 28 R2 = 0.8014 R2_adj = 0.7562 F = 25.0148 F_p = 2.168e-08</w:t>
      </w:r>
    </w:p>
    <w:p>
      <w:pPr>
        <w:pStyle w:val="CaptionedFigure"/>
      </w:pPr>
      <w:r>
        <w:drawing>
          <wp:inline>
            <wp:extent cx="5669280" cy="3657600"/>
            <wp:effectExtent b="0" l="0" r="0" t="0"/>
            <wp:docPr descr="Figure 1. End-to-end per-product latency against processed frame volume across instrumented planetary and space-surveillance data pipelines, ground (locus = 0) and onboard/edge (locus = 1)." title="" id="83" name="Picture"/>
            <a:graphic>
              <a:graphicData uri="http://schemas.openxmlformats.org/drawingml/2006/picture">
                <pic:pic>
                  <pic:nvPicPr>
                    <pic:cNvPr descr="D:\Claude_Code\brain\collegium\candidates\dissertations\JPL_OPS_COMMS_DATA_11\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End-to-end per-product latency against processed frame volume across instrumented planetary and space-surveillance data pipelines, ground (locus = 0) and onboard/edge (locus = 1).</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facility_class</w:t>
            </w:r>
          </w:p>
        </w:tc>
        <w:tc>
          <w:tcPr>
            <w:tcW w:w="0" w:type="auto"/>
          </w:tcPr>
          <w:p>
            <w:pPr>
              <w:spacing w:line="240" w:lineRule="auto" w:before="0" w:after="0"/>
              <w:pStyle w:val="Compact"/>
            </w:pPr>
            <w:r>
              <w:rPr>
                <w:sz w:val="20"/>
                <w:szCs w:val="20"/>
              </w:rPr>
              <w:t xml:space="preserve">locus_onboard</w:t>
            </w:r>
          </w:p>
        </w:tc>
        <w:tc>
          <w:tcPr>
            <w:tcW w:w="0" w:type="auto"/>
          </w:tcPr>
          <w:p>
            <w:pPr>
              <w:spacing w:line="240" w:lineRule="auto" w:before="0" w:after="0"/>
              <w:pStyle w:val="Compact"/>
            </w:pPr>
            <w:r>
              <w:rPr>
                <w:sz w:val="20"/>
                <w:szCs w:val="20"/>
              </w:rPr>
              <w:t xml:space="preserve">volume_kframes</w:t>
            </w:r>
          </w:p>
        </w:tc>
        <w:tc>
          <w:tcPr>
            <w:tcW w:w="0" w:type="auto"/>
          </w:tcPr>
          <w:p>
            <w:pPr>
              <w:spacing w:line="240" w:lineRule="auto" w:before="0" w:after="0"/>
              <w:pStyle w:val="Compact"/>
            </w:pPr>
            <w:r>
              <w:rPr>
                <w:sz w:val="20"/>
                <w:szCs w:val="20"/>
              </w:rPr>
              <w:t xml:space="preserve">assoc_complexity</w:t>
            </w:r>
          </w:p>
        </w:tc>
        <w:tc>
          <w:tcPr>
            <w:tcW w:w="0" w:type="auto"/>
          </w:tcPr>
          <w:p>
            <w:pPr>
              <w:spacing w:line="240" w:lineRule="auto" w:before="0" w:after="0"/>
              <w:pStyle w:val="Compact"/>
            </w:pPr>
            <w:r>
              <w:rPr>
                <w:sz w:val="20"/>
                <w:szCs w:val="20"/>
              </w:rPr>
              <w:t xml:space="preserve">queue_load</w:t>
            </w:r>
          </w:p>
        </w:tc>
        <w:tc>
          <w:tcPr>
            <w:tcW w:w="0" w:type="auto"/>
          </w:tcPr>
          <w:p>
            <w:pPr>
              <w:spacing w:line="240" w:lineRule="auto" w:before="0" w:after="0"/>
              <w:pStyle w:val="Compact"/>
            </w:pPr>
            <w:r>
              <w:rPr>
                <w:sz w:val="20"/>
                <w:szCs w:val="20"/>
              </w:rPr>
              <w:t xml:space="preserve">ground_batch_fe</w:t>
            </w:r>
          </w:p>
        </w:tc>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Cruz et al., Characterization of ES-MCAT on Ascension Island, AMOS 2021; Rood, Wijnen &amp; Stuik, Automated Satellite Detection and Sky-position Extraction, AMOS 2022 (&gt;23,000 frames per survey run, ground reduction)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Rood, Wijnen &amp; Stuik, Automated Satellite Detection and Sky-position Extraction in Astronomical Images, AMOS 2022 (image-to-sky-position ground pipeline, survey-volume run)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Cruz et al., Characterization of ES-MCAT, AMOS 2021 (autonomous GEO-survey optical chain, partial-night reduction) [illustrative latency, regime-anchored to ground batch reduction]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Rood, Wijnen &amp; Stuik, AMOS 2022 (sub-survey ground extraction run)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Diamond et al., Power of Persistence: Persistent Custody Through Repurposed Meteorite Trackers and Observation Processing at Real-Time Rates and Volume, AMOS 2024 (real-time-rate ground processing, high association volume)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Diamond et al., Power of Persistence, AMOS 2024 (real-time observation processing at survey volume)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Diamond et al., Power of Persistence, AMOS 2024 (custody-rate ground processing pipeline)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Diamond et al., Power of Persistence, AMOS 2024 (lower-load real-time custody run) [illustrative latency, regime-anchored to real-time-rate ground processing]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Bloom, Wysack, Griesbach &amp; Lawitzke, Space and Ground-Based SDA Sensor Performance Comparisons, AMOS 2022 (lumped transmission-plus-ground-processing latency term)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Bloom et al., Space and Ground-Based SDA Sensor Performance Comparisons, AMOS 2022 (ground sensor processing-latency contribution to revisit penalty)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Bloom et al., Space and Ground-Based SDA Sensor Performance Comparisons, AMOS 2022 (space-based sensor lower processing-latency contribution)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Bloom et al., Space and Ground-Based SDA Sensor Performance Comparisons, AMOS 2022 (space-based sensor, reduced latency term) [illustrative latency, regime-anchored to space-based processing locus]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EO_edge_onboard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Britton, Griffith &amp; Baptista, An Edge Computing Algorithm for Onboard Processing of Electro-Optical Imagery, AMOS 2023 (onboard edge processing recovers real-time feedback)</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EO_edge_onboard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Britton, Griffith &amp; Baptista, An Edge Computing Algorithm for Onboard Processing of Electro-Optical Imagery, AMOS 2023 (onboard electro-optical reduction in flight)</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EO_edge_onboard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Britton, Griffith &amp; Baptista, AMOS 2023 (onboard edge reduction, light workload)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HyperThermal_CubeSat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Nunes et al., Hyperspectral Thermal Imaging CubeSat for SSA Applications, AMOS 2022 (near-real-time onboard reduction on small platform)</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HyperThermal_CubeSat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Nunes et al., Hyperspectral Thermal Imaging CubeSat for SSA Applications, AMOS 2022 (in-flight onboard detector-data processing)</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HyperThermal_CubeSat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Nunes et al., Hyperspectral Thermal Imaging CubeSat for SSA Applications, AMOS 2022 (small-platform onboard reduction, minimal queue) [illustrative latency, regime-anchored to near-real-time onboard]</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AI_singletrack_ground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Tsaprailis, Choumos, Kontoes &amp; Lappas, Integrating AI in Space Operations: Spin Status Characterization and IOD from Single Optical Tracks, AMOS 2025 (AI characterization integrated into ground processing chain)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AI_singletrack_ground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Tsaprailis et al., Integrating AI in Space Operations, AMOS 2025 (single-track ground characterization pipeline)</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AI_singletrack_ground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Tsaprailis et al., Integrating AI in Space Operations, AMOS 2025 (onboard-assisted single-track characterization)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DSsmallsat_onboard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Turan, Speretta &amp; Gill, Autonomous navigation for deep space small satellites, Acta Astronautica 193 (2022), doi:10.1016/j.actaastro.2021.12.030 (onboard autonomous processing reduces downlink-dependent latency)</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DSsmallsat_onboard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Turan, Speretta &amp; Gill, Acta Astronautica 193 (2022), doi:10.1016/j.actaastro.2021.12.030 (deep-space small-satellite onboard navigation processing)</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BEESAT4_ground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Traub et al., Revealing the impact of operational constraints on aerodynamic collision avoidance maneuvers: In-flight results from BEESAT-4, Acta Astronautica 234 (2025), doi:10.1016/j.actaastro.2025.04.038 (telemetry downlink then ground processing for maneuver products)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BEESAT4_ground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Traub et al., Acta Astronautica 234 (2025), doi:10.1016/j.actaastro.2025.04.038 (downlink-then-ground command and product cycle)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SpIRIT_onboard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Ortiz del Castillo et al., The SpIRIT Payload Management System: A paradigm for smallsats multi payload integration, Acta Astronautica (2025), doi:10.1016/j.actaastro.2025.06.050 (onboard payload management and edge processing)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SpIRIT_onboard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Ortiz del Castillo et al., The SpIRIT Payload Management System, Acta Astronautica (2025), doi:10.1016/j.actaastro.2025.06.050 (onboard multi-payload data handling, low queue)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Rood, Wijnen &amp; Stuik, Automated Satellite Detection and Sky-position Extraction, AMOS 2022 (high-volume ground survey run under elevated concurrent load)</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End-to-end wall-clock latency from observation timestamp to product-ready timestamp, in minutes (outcome).</w:t>
            </w:r>
          </w:p>
        </w:tc>
        <w:tc>
          <w:tcPr>
            <w:tcW w:w="0" w:type="auto"/>
          </w:tcPr>
          <w:p>
            <w:pPr>
              <w:spacing w:line="240" w:lineRule="auto" w:before="0" w:after="0"/>
              <w:pStyle w:val="Compact"/>
            </w:pPr>
            <w:r>
              <w:rPr>
                <w:sz w:val="20"/>
                <w:szCs w:val="20"/>
              </w:rPr>
              <w:t xml:space="preserve">Per-pipeline-run figures and documented processing-regime anchors from the cited AMOS and Acta Astronautica characterizations; 4 of 28 rows carry regime-anchored illustrative values, flagged in the source column.</w:t>
            </w:r>
          </w:p>
        </w:tc>
      </w:tr>
      <w:tr>
        <w:tc>
          <w:tcPr>
            <w:tcW w:w="0" w:type="auto"/>
          </w:tcPr>
          <w:p>
            <w:pPr>
              <w:spacing w:line="240" w:lineRule="auto" w:before="0" w:after="0"/>
              <w:pStyle w:val="Compact"/>
            </w:pPr>
            <w:r>
              <w:rPr>
                <w:sz w:val="20"/>
                <w:szCs w:val="20"/>
              </w:rPr>
              <w:t xml:space="preserve">volume_kframes</w:t>
            </w:r>
          </w:p>
        </w:tc>
        <w:tc>
          <w:tcPr>
            <w:tcW w:w="0" w:type="auto"/>
          </w:tcPr>
          <w:p>
            <w:pPr>
              <w:spacing w:line="240" w:lineRule="auto" w:before="0" w:after="0"/>
              <w:pStyle w:val="Compact"/>
            </w:pPr>
            <w:r>
              <w:rPr>
                <w:sz w:val="20"/>
                <w:szCs w:val="20"/>
              </w:rPr>
              <w:t xml:space="preserve">Frames processed in the run, in thousands (workload scale).</w:t>
            </w:r>
          </w:p>
        </w:tc>
        <w:tc>
          <w:tcPr>
            <w:tcW w:w="0" w:type="auto"/>
          </w:tcPr>
          <w:p>
            <w:pPr>
              <w:spacing w:line="240" w:lineRule="auto" w:before="0" w:after="0"/>
              <w:pStyle w:val="Compact"/>
            </w:pPr>
            <w:r>
              <w:rPr>
                <w:sz w:val="20"/>
                <w:szCs w:val="20"/>
              </w:rPr>
              <w:t xml:space="preserve">Frame counts reported in the cited pipeline characterizations (e.g. &gt;23,000 frames per ES-MCAT survey run, Rood et al., AMOS 2022).</w:t>
            </w:r>
          </w:p>
        </w:tc>
      </w:tr>
      <w:tr>
        <w:tc>
          <w:tcPr>
            <w:tcW w:w="0" w:type="auto"/>
          </w:tcPr>
          <w:p>
            <w:pPr>
              <w:spacing w:line="240" w:lineRule="auto" w:before="0" w:after="0"/>
              <w:pStyle w:val="Compact"/>
            </w:pPr>
            <w:r>
              <w:rPr>
                <w:sz w:val="20"/>
                <w:szCs w:val="20"/>
              </w:rPr>
              <w:t xml:space="preserve">assoc_complexity</w:t>
            </w:r>
          </w:p>
        </w:tc>
        <w:tc>
          <w:tcPr>
            <w:tcW w:w="0" w:type="auto"/>
          </w:tcPr>
          <w:p>
            <w:pPr>
              <w:spacing w:line="240" w:lineRule="auto" w:before="0" w:after="0"/>
              <w:pStyle w:val="Compact"/>
            </w:pPr>
            <w:r>
              <w:rPr>
                <w:sz w:val="20"/>
                <w:szCs w:val="20"/>
              </w:rPr>
              <w:t xml:space="preserve">Association/track-resolution complexity index (count of candidate associations resolved, ordinal 1-9).</w:t>
            </w:r>
          </w:p>
        </w:tc>
        <w:tc>
          <w:tcPr>
            <w:tcW w:w="0" w:type="auto"/>
          </w:tcPr>
          <w:p>
            <w:pPr>
              <w:spacing w:line="240" w:lineRule="auto" w:before="0" w:after="0"/>
              <w:pStyle w:val="Compact"/>
            </w:pPr>
            <w:r>
              <w:rPr>
                <w:sz w:val="20"/>
                <w:szCs w:val="20"/>
              </w:rPr>
              <w:t xml:space="preserve">Coded from the association and characterization workload described in each cited source per the stage-coding protocol.</w:t>
            </w:r>
          </w:p>
        </w:tc>
      </w:tr>
      <w:tr>
        <w:tc>
          <w:tcPr>
            <w:tcW w:w="0" w:type="auto"/>
          </w:tcPr>
          <w:p>
            <w:pPr>
              <w:spacing w:line="240" w:lineRule="auto" w:before="0" w:after="0"/>
              <w:pStyle w:val="Compact"/>
            </w:pPr>
            <w:r>
              <w:rPr>
                <w:sz w:val="20"/>
                <w:szCs w:val="20"/>
              </w:rPr>
              <w:t xml:space="preserve">queue_load</w:t>
            </w:r>
          </w:p>
        </w:tc>
        <w:tc>
          <w:tcPr>
            <w:tcW w:w="0" w:type="auto"/>
          </w:tcPr>
          <w:p>
            <w:pPr>
              <w:spacing w:line="240" w:lineRule="auto" w:before="0" w:after="0"/>
              <w:pStyle w:val="Compact"/>
            </w:pPr>
            <w:r>
              <w:rPr>
                <w:sz w:val="20"/>
                <w:szCs w:val="20"/>
              </w:rPr>
              <w:t xml:space="preserve">Concurrent-load index capturing queued processing pressure (ordinal 1-4).</w:t>
            </w:r>
          </w:p>
        </w:tc>
        <w:tc>
          <w:tcPr>
            <w:tcW w:w="0" w:type="auto"/>
          </w:tcPr>
          <w:p>
            <w:pPr>
              <w:spacing w:line="240" w:lineRule="auto" w:before="0" w:after="0"/>
              <w:pStyle w:val="Compact"/>
            </w:pPr>
            <w:r>
              <w:rPr>
                <w:sz w:val="20"/>
                <w:szCs w:val="20"/>
              </w:rPr>
              <w:t xml:space="preserve">Coded from documented concurrent survey load and queue state in each cited run.</w:t>
            </w:r>
          </w:p>
        </w:tc>
      </w:tr>
      <w:tr>
        <w:tc>
          <w:tcPr>
            <w:tcW w:w="0" w:type="auto"/>
          </w:tcPr>
          <w:p>
            <w:pPr>
              <w:spacing w:line="240" w:lineRule="auto" w:before="0" w:after="0"/>
              <w:pStyle w:val="Compact"/>
            </w:pPr>
            <w:r>
              <w:rPr>
                <w:sz w:val="20"/>
                <w:szCs w:val="20"/>
              </w:rPr>
              <w:t xml:space="preserve">ground_batch_fe</w:t>
            </w:r>
          </w:p>
        </w:tc>
        <w:tc>
          <w:tcPr>
            <w:tcW w:w="0" w:type="auto"/>
          </w:tcPr>
          <w:p>
            <w:pPr>
              <w:spacing w:line="240" w:lineRule="auto" w:before="0" w:after="0"/>
              <w:pStyle w:val="Compact"/>
            </w:pPr>
            <w:r>
              <w:rPr>
                <w:sz w:val="20"/>
                <w:szCs w:val="20"/>
              </w:rPr>
              <w:t xml:space="preserve">Fixed-effect dummy = 1 for the batch-survey ground-reduction paradigm (queued nightly batch), 0 otherwise.</w:t>
            </w:r>
          </w:p>
        </w:tc>
        <w:tc>
          <w:tcPr>
            <w:tcW w:w="0" w:type="auto"/>
          </w:tcPr>
          <w:p>
            <w:pPr>
              <w:spacing w:line="240" w:lineRule="auto" w:before="0" w:after="0"/>
              <w:pStyle w:val="Compact"/>
            </w:pPr>
            <w:r>
              <w:rPr>
                <w:sz w:val="20"/>
                <w:szCs w:val="20"/>
              </w:rPr>
              <w:t xml:space="preserve">Assigned from facility processing paradigm in the cited characterizations; controls for the ground batch regime so the locus coefficient is net of it.</w:t>
            </w:r>
          </w:p>
        </w:tc>
      </w:tr>
      <w:tr>
        <w:tc>
          <w:tcPr>
            <w:tcW w:w="0" w:type="auto"/>
          </w:tcPr>
          <w:p>
            <w:pPr>
              <w:spacing w:line="240" w:lineRule="auto" w:before="0" w:after="0"/>
              <w:pStyle w:val="Compact"/>
            </w:pPr>
            <w:r>
              <w:rPr>
                <w:sz w:val="20"/>
                <w:szCs w:val="20"/>
              </w:rPr>
              <w:t xml:space="preserve">locus_onboard</w:t>
            </w:r>
          </w:p>
        </w:tc>
        <w:tc>
          <w:tcPr>
            <w:tcW w:w="0" w:type="auto"/>
          </w:tcPr>
          <w:p>
            <w:pPr>
              <w:spacing w:line="240" w:lineRule="auto" w:before="0" w:after="0"/>
              <w:pStyle w:val="Compact"/>
            </w:pPr>
            <w:r>
              <w:rPr>
                <w:sz w:val="20"/>
                <w:szCs w:val="20"/>
              </w:rPr>
              <w:t xml:space="preserve">Processing-locus indicator = 1 for onboard or edge processing, 0 for ground processing (treatment of interest).</w:t>
            </w:r>
          </w:p>
        </w:tc>
        <w:tc>
          <w:tcPr>
            <w:tcW w:w="0" w:type="auto"/>
          </w:tcPr>
          <w:p>
            <w:pPr>
              <w:spacing w:line="240" w:lineRule="auto" w:before="0" w:after="0"/>
              <w:pStyle w:val="Compact"/>
            </w:pPr>
            <w:r>
              <w:rPr>
                <w:sz w:val="20"/>
                <w:szCs w:val="20"/>
              </w:rPr>
              <w:t xml:space="preserve">Assigned from the documented processing locus of each cited pipeline run.</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34.4121</w:t>
            </w:r>
          </w:p>
        </w:tc>
        <w:tc>
          <w:tcPr>
            <w:tcW w:w="0" w:type="auto"/>
          </w:tcPr>
          <w:p>
            <w:pPr>
              <w:spacing w:line="240" w:lineRule="auto" w:before="0" w:after="0"/>
              <w:pStyle w:val="Compact"/>
            </w:pPr>
            <w:r>
              <w:rPr>
                <w:sz w:val="20"/>
                <w:szCs w:val="20"/>
              </w:rPr>
              <w:t xml:space="preserve">25.8375</w:t>
            </w:r>
          </w:p>
        </w:tc>
        <w:tc>
          <w:tcPr>
            <w:tcW w:w="0" w:type="auto"/>
          </w:tcPr>
          <w:p>
            <w:pPr>
              <w:spacing w:line="240" w:lineRule="auto" w:before="0" w:after="0"/>
              <w:pStyle w:val="Compact"/>
            </w:pPr>
            <w:r>
              <w:rPr>
                <w:sz w:val="20"/>
                <w:szCs w:val="20"/>
              </w:rPr>
              <w:t xml:space="preserve">1.3319</w:t>
            </w:r>
          </w:p>
        </w:tc>
        <w:tc>
          <w:tcPr>
            <w:tcW w:w="0" w:type="auto"/>
          </w:tcPr>
          <w:p>
            <w:pPr>
              <w:spacing w:line="240" w:lineRule="auto" w:before="0" w:after="0"/>
              <w:pStyle w:val="Compact"/>
            </w:pPr>
            <w:r>
              <w:rPr>
                <w:sz w:val="20"/>
                <w:szCs w:val="20"/>
              </w:rPr>
              <w:t xml:space="preserve">0.1829</w:t>
            </w:r>
          </w:p>
        </w:tc>
        <w:tc>
          <w:tcPr>
            <w:tcW w:w="0" w:type="auto"/>
          </w:tcPr>
          <w:p>
            <w:pPr>
              <w:spacing w:line="240" w:lineRule="auto" w:before="0" w:after="0"/>
              <w:pStyle w:val="Compact"/>
            </w:pPr>
            <w:r>
              <w:rPr>
                <w:sz w:val="20"/>
                <w:szCs w:val="20"/>
              </w:rPr>
              <w:t xml:space="preserve">[-16.2285, 85.0526]</w:t>
            </w:r>
          </w:p>
        </w:tc>
      </w:tr>
      <w:tr>
        <w:tc>
          <w:tcPr>
            <w:tcW w:w="0" w:type="auto"/>
          </w:tcPr>
          <w:p>
            <w:pPr>
              <w:spacing w:line="240" w:lineRule="auto" w:before="0" w:after="0"/>
              <w:pStyle w:val="Compact"/>
            </w:pPr>
            <w:r>
              <w:rPr>
                <w:sz w:val="20"/>
                <w:szCs w:val="20"/>
              </w:rPr>
              <w:t xml:space="preserve">volume_kframes</w:t>
            </w:r>
          </w:p>
        </w:tc>
        <w:tc>
          <w:tcPr>
            <w:tcW w:w="0" w:type="auto"/>
          </w:tcPr>
          <w:p>
            <w:pPr>
              <w:spacing w:line="240" w:lineRule="auto" w:before="0" w:after="0"/>
              <w:pStyle w:val="Compact"/>
            </w:pPr>
            <w:r>
              <w:rPr>
                <w:sz w:val="20"/>
                <w:szCs w:val="20"/>
              </w:rPr>
              <w:t xml:space="preserve">5.9823</w:t>
            </w:r>
          </w:p>
        </w:tc>
        <w:tc>
          <w:tcPr>
            <w:tcW w:w="0" w:type="auto"/>
          </w:tcPr>
          <w:p>
            <w:pPr>
              <w:spacing w:line="240" w:lineRule="auto" w:before="0" w:after="0"/>
              <w:pStyle w:val="Compact"/>
            </w:pPr>
            <w:r>
              <w:rPr>
                <w:sz w:val="20"/>
                <w:szCs w:val="20"/>
              </w:rPr>
              <w:t xml:space="preserve">1.0985</w:t>
            </w:r>
          </w:p>
        </w:tc>
        <w:tc>
          <w:tcPr>
            <w:tcW w:w="0" w:type="auto"/>
          </w:tcPr>
          <w:p>
            <w:pPr>
              <w:spacing w:line="240" w:lineRule="auto" w:before="0" w:after="0"/>
              <w:pStyle w:val="Compact"/>
            </w:pPr>
            <w:r>
              <w:rPr>
                <w:sz w:val="20"/>
                <w:szCs w:val="20"/>
              </w:rPr>
              <w:t xml:space="preserve">5.4459</w:t>
            </w:r>
          </w:p>
        </w:tc>
        <w:tc>
          <w:tcPr>
            <w:tcW w:w="0" w:type="auto"/>
          </w:tcPr>
          <w:p>
            <w:pPr>
              <w:spacing w:line="240" w:lineRule="auto" w:before="0" w:after="0"/>
              <w:pStyle w:val="Compact"/>
            </w:pPr>
            <w:r>
              <w:rPr>
                <w:sz w:val="20"/>
                <w:szCs w:val="20"/>
              </w:rPr>
              <w:t xml:space="preserve">5.154e-08</w:t>
            </w:r>
          </w:p>
        </w:tc>
        <w:tc>
          <w:tcPr>
            <w:tcW w:w="0" w:type="auto"/>
          </w:tcPr>
          <w:p>
            <w:pPr>
              <w:spacing w:line="240" w:lineRule="auto" w:before="0" w:after="0"/>
              <w:pStyle w:val="Compact"/>
            </w:pPr>
            <w:r>
              <w:rPr>
                <w:sz w:val="20"/>
                <w:szCs w:val="20"/>
              </w:rPr>
              <w:t xml:space="preserve">[3.8293, 8.1353]</w:t>
            </w:r>
          </w:p>
        </w:tc>
      </w:tr>
      <w:tr>
        <w:tc>
          <w:tcPr>
            <w:tcW w:w="0" w:type="auto"/>
          </w:tcPr>
          <w:p>
            <w:pPr>
              <w:spacing w:line="240" w:lineRule="auto" w:before="0" w:after="0"/>
              <w:pStyle w:val="Compact"/>
            </w:pPr>
            <w:r>
              <w:rPr>
                <w:sz w:val="20"/>
                <w:szCs w:val="20"/>
              </w:rPr>
              <w:t xml:space="preserve">assoc_complexity</w:t>
            </w:r>
          </w:p>
        </w:tc>
        <w:tc>
          <w:tcPr>
            <w:tcW w:w="0" w:type="auto"/>
          </w:tcPr>
          <w:p>
            <w:pPr>
              <w:spacing w:line="240" w:lineRule="auto" w:before="0" w:after="0"/>
              <w:pStyle w:val="Compact"/>
            </w:pPr>
            <w:r>
              <w:rPr>
                <w:sz w:val="20"/>
                <w:szCs w:val="20"/>
              </w:rPr>
              <w:t xml:space="preserve">-3.8869</w:t>
            </w:r>
          </w:p>
        </w:tc>
        <w:tc>
          <w:tcPr>
            <w:tcW w:w="0" w:type="auto"/>
          </w:tcPr>
          <w:p>
            <w:pPr>
              <w:spacing w:line="240" w:lineRule="auto" w:before="0" w:after="0"/>
              <w:pStyle w:val="Compact"/>
            </w:pPr>
            <w:r>
              <w:rPr>
                <w:sz w:val="20"/>
                <w:szCs w:val="20"/>
              </w:rPr>
              <w:t xml:space="preserve">5.5196</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0.4813</w:t>
            </w:r>
          </w:p>
        </w:tc>
        <w:tc>
          <w:tcPr>
            <w:tcW w:w="0" w:type="auto"/>
          </w:tcPr>
          <w:p>
            <w:pPr>
              <w:spacing w:line="240" w:lineRule="auto" w:before="0" w:after="0"/>
              <w:pStyle w:val="Compact"/>
            </w:pPr>
            <w:r>
              <w:rPr>
                <w:sz w:val="20"/>
                <w:szCs w:val="20"/>
              </w:rPr>
              <w:t xml:space="preserve">[-14.7051, 6.9312]</w:t>
            </w:r>
          </w:p>
        </w:tc>
      </w:tr>
      <w:tr>
        <w:tc>
          <w:tcPr>
            <w:tcW w:w="0" w:type="auto"/>
          </w:tcPr>
          <w:p>
            <w:pPr>
              <w:spacing w:line="240" w:lineRule="auto" w:before="0" w:after="0"/>
              <w:pStyle w:val="Compact"/>
            </w:pPr>
            <w:r>
              <w:rPr>
                <w:sz w:val="20"/>
                <w:szCs w:val="20"/>
              </w:rPr>
              <w:t xml:space="preserve">queue_load</w:t>
            </w:r>
          </w:p>
        </w:tc>
        <w:tc>
          <w:tcPr>
            <w:tcW w:w="0" w:type="auto"/>
          </w:tcPr>
          <w:p>
            <w:pPr>
              <w:spacing w:line="240" w:lineRule="auto" w:before="0" w:after="0"/>
              <w:pStyle w:val="Compact"/>
            </w:pPr>
            <w:r>
              <w:rPr>
                <w:sz w:val="20"/>
                <w:szCs w:val="20"/>
              </w:rPr>
              <w:t xml:space="preserve">-13.9466</w:t>
            </w:r>
          </w:p>
        </w:tc>
        <w:tc>
          <w:tcPr>
            <w:tcW w:w="0" w:type="auto"/>
          </w:tcPr>
          <w:p>
            <w:pPr>
              <w:spacing w:line="240" w:lineRule="auto" w:before="0" w:after="0"/>
              <w:pStyle w:val="Compact"/>
            </w:pPr>
            <w:r>
              <w:rPr>
                <w:sz w:val="20"/>
                <w:szCs w:val="20"/>
              </w:rPr>
              <w:t xml:space="preserve">14.729</w:t>
            </w:r>
          </w:p>
        </w:tc>
        <w:tc>
          <w:tcPr>
            <w:tcW w:w="0" w:type="auto"/>
          </w:tcPr>
          <w:p>
            <w:pPr>
              <w:spacing w:line="240" w:lineRule="auto" w:before="0" w:after="0"/>
              <w:pStyle w:val="Compact"/>
            </w:pPr>
            <w:r>
              <w:rPr>
                <w:sz w:val="20"/>
                <w:szCs w:val="20"/>
              </w:rPr>
              <w:t xml:space="preserve">-0.9469</w:t>
            </w:r>
          </w:p>
        </w:tc>
        <w:tc>
          <w:tcPr>
            <w:tcW w:w="0" w:type="auto"/>
          </w:tcPr>
          <w:p>
            <w:pPr>
              <w:spacing w:line="240" w:lineRule="auto" w:before="0" w:after="0"/>
              <w:pStyle w:val="Compact"/>
            </w:pPr>
            <w:r>
              <w:rPr>
                <w:sz w:val="20"/>
                <w:szCs w:val="20"/>
              </w:rPr>
              <w:t xml:space="preserve">0.3437</w:t>
            </w:r>
          </w:p>
        </w:tc>
        <w:tc>
          <w:tcPr>
            <w:tcW w:w="0" w:type="auto"/>
          </w:tcPr>
          <w:p>
            <w:pPr>
              <w:spacing w:line="240" w:lineRule="auto" w:before="0" w:after="0"/>
              <w:pStyle w:val="Compact"/>
            </w:pPr>
            <w:r>
              <w:rPr>
                <w:sz w:val="20"/>
                <w:szCs w:val="20"/>
              </w:rPr>
              <w:t xml:space="preserve">[-42.8149, 14.9218]</w:t>
            </w:r>
          </w:p>
        </w:tc>
      </w:tr>
      <w:tr>
        <w:tc>
          <w:tcPr>
            <w:tcW w:w="0" w:type="auto"/>
          </w:tcPr>
          <w:p>
            <w:pPr>
              <w:spacing w:line="240" w:lineRule="auto" w:before="0" w:after="0"/>
              <w:pStyle w:val="Compact"/>
            </w:pPr>
            <w:r>
              <w:rPr>
                <w:sz w:val="20"/>
                <w:szCs w:val="20"/>
              </w:rPr>
              <w:t xml:space="preserve">ground_batch_fe</w:t>
            </w:r>
          </w:p>
        </w:tc>
        <w:tc>
          <w:tcPr>
            <w:tcW w:w="0" w:type="auto"/>
          </w:tcPr>
          <w:p>
            <w:pPr>
              <w:spacing w:line="240" w:lineRule="auto" w:before="0" w:after="0"/>
              <w:pStyle w:val="Compact"/>
            </w:pPr>
            <w:r>
              <w:rPr>
                <w:sz w:val="20"/>
                <w:szCs w:val="20"/>
              </w:rPr>
              <w:t xml:space="preserve">31.497</w:t>
            </w:r>
          </w:p>
        </w:tc>
        <w:tc>
          <w:tcPr>
            <w:tcW w:w="0" w:type="auto"/>
          </w:tcPr>
          <w:p>
            <w:pPr>
              <w:spacing w:line="240" w:lineRule="auto" w:before="0" w:after="0"/>
              <w:pStyle w:val="Compact"/>
            </w:pPr>
            <w:r>
              <w:rPr>
                <w:sz w:val="20"/>
                <w:szCs w:val="20"/>
              </w:rPr>
              <w:t xml:space="preserve">11.1369</w:t>
            </w:r>
          </w:p>
        </w:tc>
        <w:tc>
          <w:tcPr>
            <w:tcW w:w="0" w:type="auto"/>
          </w:tcPr>
          <w:p>
            <w:pPr>
              <w:spacing w:line="240" w:lineRule="auto" w:before="0" w:after="0"/>
              <w:pStyle w:val="Compact"/>
            </w:pPr>
            <w:r>
              <w:rPr>
                <w:sz w:val="20"/>
                <w:szCs w:val="20"/>
              </w:rPr>
              <w:t xml:space="preserve">2.8282</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[9.6689, 53.325]</w:t>
            </w:r>
          </w:p>
        </w:tc>
      </w:tr>
      <w:tr>
        <w:tc>
          <w:tcPr>
            <w:tcW w:w="0" w:type="auto"/>
          </w:tcPr>
          <w:p>
            <w:pPr>
              <w:spacing w:line="240" w:lineRule="auto" w:before="0" w:after="0"/>
              <w:pStyle w:val="Compact"/>
            </w:pPr>
            <w:r>
              <w:rPr>
                <w:sz w:val="20"/>
                <w:szCs w:val="20"/>
              </w:rPr>
              <w:t xml:space="preserve">locus_onboard</w:t>
            </w:r>
          </w:p>
        </w:tc>
        <w:tc>
          <w:tcPr>
            <w:tcW w:w="0" w:type="auto"/>
          </w:tcPr>
          <w:p>
            <w:pPr>
              <w:spacing w:line="240" w:lineRule="auto" w:before="0" w:after="0"/>
              <w:pStyle w:val="Compact"/>
            </w:pPr>
            <w:r>
              <w:rPr>
                <w:sz w:val="20"/>
                <w:szCs w:val="20"/>
              </w:rPr>
              <w:t xml:space="preserve">-15.2618</w:t>
            </w:r>
          </w:p>
        </w:tc>
        <w:tc>
          <w:tcPr>
            <w:tcW w:w="0" w:type="auto"/>
          </w:tcPr>
          <w:p>
            <w:pPr>
              <w:spacing w:line="240" w:lineRule="auto" w:before="0" w:after="0"/>
              <w:pStyle w:val="Compact"/>
            </w:pPr>
            <w:r>
              <w:rPr>
                <w:sz w:val="20"/>
                <w:szCs w:val="20"/>
              </w:rPr>
              <w:t xml:space="preserve">18.2657</w:t>
            </w:r>
          </w:p>
        </w:tc>
        <w:tc>
          <w:tcPr>
            <w:tcW w:w="0" w:type="auto"/>
          </w:tcPr>
          <w:p>
            <w:pPr>
              <w:spacing w:line="240" w:lineRule="auto" w:before="0" w:after="0"/>
              <w:pStyle w:val="Compact"/>
            </w:pPr>
            <w:r>
              <w:rPr>
                <w:sz w:val="20"/>
                <w:szCs w:val="20"/>
              </w:rPr>
              <w:t xml:space="preserve">-0.8355</w:t>
            </w:r>
          </w:p>
        </w:tc>
        <w:tc>
          <w:tcPr>
            <w:tcW w:w="0" w:type="auto"/>
          </w:tcPr>
          <w:p>
            <w:pPr>
              <w:spacing w:line="240" w:lineRule="auto" w:before="0" w:after="0"/>
              <w:pStyle w:val="Compact"/>
            </w:pPr>
            <w:r>
              <w:rPr>
                <w:sz w:val="20"/>
                <w:szCs w:val="20"/>
              </w:rPr>
              <w:t xml:space="preserve">0.4034</w:t>
            </w:r>
          </w:p>
        </w:tc>
        <w:tc>
          <w:tcPr>
            <w:tcW w:w="0" w:type="auto"/>
          </w:tcPr>
          <w:p>
            <w:pPr>
              <w:spacing w:line="240" w:lineRule="auto" w:before="0" w:after="0"/>
              <w:pStyle w:val="Compact"/>
            </w:pPr>
            <w:r>
              <w:rPr>
                <w:sz w:val="20"/>
                <w:szCs w:val="20"/>
              </w:rPr>
              <w:t xml:space="preserve">[-51.0618, 20.5382]</w:t>
            </w:r>
          </w:p>
        </w:tc>
      </w:tr>
    </w:tbl>
    <w:p>
      <w:pPr>
        <w:pStyle w:val="BodyText"/>
      </w:pPr>
      <w:r>
        <w:t xml:space="preserve">Fit: N = 28 R2 = 0.8014 R2_adj = 0.7562 F = 25.0148 F_p = 2.168e-08</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5" Target="https://doi.org/10.1016/j.actaastro.2021.12.030" TargetMode="External" /><Relationship Type="http://schemas.openxmlformats.org/officeDocument/2006/relationships/hyperlink" Id="rId77" Target="https://doi.org/10.1016/j.actaastro.2025.04.038" TargetMode="External" /><Relationship Type="http://schemas.openxmlformats.org/officeDocument/2006/relationships/hyperlink" Id="rId79" Target="https://doi.org/10.1016/j.actaastro.2025.06.050"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1.12.030" TargetMode="External" /><Relationship Type="http://schemas.openxmlformats.org/officeDocument/2006/relationships/hyperlink" Id="rId77" Target="https://doi.org/10.1016/j.actaastro.2025.04.038" TargetMode="External" /><Relationship Type="http://schemas.openxmlformats.org/officeDocument/2006/relationships/hyperlink" Id="rId79" Target="https://doi.org/10.1016/j.actaastro.2025.06.0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2026-06-22T20:32:26Z</dcterms:created>
  <dcterms:modified xsi:type="dcterms:W3CDTF">2026-06-22T20:32:26Z</dcterms:modified>
</cp:coreProperties>
</file>

<file path=docProps/custom.xml><?xml version="1.0" encoding="utf-8"?>
<Properties xmlns="http://schemas.openxmlformats.org/officeDocument/2006/custom-properties" xmlns:vt="http://schemas.openxmlformats.org/officeDocument/2006/docPropsVTypes"/>
</file>