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CAUSAL DRIVERS OF PLANETARY DATA-PIPELINE LATENCY: AN INSTRUMENTED REGRESSION OF GROUND-SEGMENT PROCESSING DELAY</w:t>
      </w:r>
    </w:p>
    <w:p>
      <w:pPr>
        <w:jc w:val="center"/>
      </w:pPr>
    </w:p>
    <w:p>
      <w:pPr>
        <w:jc w:val="center"/>
      </w:pPr>
      <w:r>
        <w:rPr>
          <w:rFonts w:ascii="Times New Roman" w:hAnsi="Times New Roman"/>
          <w:sz w:val="24"/>
        </w:rPr>
        <w:t>by</w:t>
      </w:r>
    </w:p>
    <w:p>
      <w:pPr>
        <w:jc w:val="center"/>
      </w:pPr>
      <w:r>
        <w:rPr>
          <w:rFonts w:ascii="Times New Roman" w:hAnsi="Times New Roman"/>
          <w:b/>
          <w:sz w:val="28"/>
        </w:rPr>
        <w:t>Samir Yates</w:t>
      </w:r>
    </w:p>
    <w:p>
      <w:pPr>
        <w:jc w:val="center"/>
      </w:pPr>
      <w:r>
        <w:rPr>
          <w:rFonts w:ascii="Times New Roman" w:hAnsi="Times New Roman"/>
          <w:sz w:val="24"/>
        </w:rPr>
        <w:t>1B-SDS-036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A planetary or space-surveillance data pipeline is judged not only by the accuracy of the products it emits but by how quickly it emits them. The interval between the instant a detector registers a photon and the instant a calibrated, catalogued product becomes available to an operator is the end-to-end latency of the pipeline, and that interval is a first-order figure of merit, not an incidental property. When ground processing delay is large, it forecloses the real-time feedback that tracking and guidance loops depend on, and the imagery arrives too late to act upon</w:t>
      </w:r>
      <w:r>
        <w:t xml:space="preserve"> </w:t>
      </w:r>
      <w:hyperlink w:anchor="ref-1">
        <w:r>
          <w:rPr>
            <w:rStyle w:val="Hyperlink"/>
          </w:rPr>
          <w:t xml:space="preserve">[1]</w:t>
        </w:r>
      </w:hyperlink>
      <w:r>
        <w:t xml:space="preserve">. The same delay reappears one level up, at the system-comparison level, where the figure of merit folds transmission and ground-processing latency into a single revisit or custody penalty that decides whether one architecture is preferred over another</w:t>
      </w:r>
      <w:r>
        <w:t xml:space="preserve"> </w:t>
      </w:r>
      <w:hyperlink w:anchor="ref-2">
        <w:r>
          <w:rPr>
            <w:rStyle w:val="Hyperlink"/>
          </w:rPr>
          <w:t xml:space="preserve">[2]</w:t>
        </w:r>
      </w:hyperlink>
      <w:r>
        <w:t xml:space="preserve">. Latency, in short, is the quantity that determines whether a sensor system can close a tracking loop, issue a timely indication, or hold custody of a fast-moving object. It is also the quantity an architect must reason about when deciding where to put compute and how much to automate.</w:t>
      </w:r>
    </w:p>
    <w:p>
      <w:pPr>
        <w:pStyle w:val="BodyText"/>
        <w:spacing w:line="480" w:lineRule="auto"/>
        <w:ind w:firstLine="720"/>
      </w:pPr>
      <w:r>
        <w:t xml:space="preserve">Here is the difficulty: latency, despite its operational primacy, is almost never decomposed. The retrieved corpus treats it as a single descriptive scalar bound to one architecture. Sensor-performance comparisons report aggregate transmission-plus-ground-processing latency as a lumped term feeding a downstream metric, with no separation of the contributing stages</w:t>
      </w:r>
      <w:r>
        <w:t xml:space="preserve"> </w:t>
      </w:r>
      <w:hyperlink w:anchor="ref-2">
        <w:r>
          <w:rPr>
            <w:rStyle w:val="Hyperlink"/>
          </w:rPr>
          <w:t xml:space="preserve">[2]</w:t>
        </w:r>
      </w:hyperlink>
      <w:r>
        <w:t xml:space="preserve">. Onboard processing is offered as the answer to ground latency, but the ground latency it answers is characterized qualitatively, as a precluding condition rather than as a fitted budget with attributable parts</w:t>
      </w:r>
      <w:r>
        <w:t xml:space="preserve"> </w:t>
      </w:r>
      <w:hyperlink w:anchor="ref-1">
        <w:r>
          <w:rPr>
            <w:rStyle w:val="Hyperlink"/>
          </w:rPr>
          <w:t xml:space="preserve">[1]</w:t>
        </w:r>
      </w:hyperlink>
      <w:r>
        <w:t xml:space="preserve">. Throughput is studied in isolation from delay: automated ground pipelines are described by how many frames they can process, for example detection and sky-position extraction across more than twenty-three thousand images per survey run</w:t>
      </w:r>
      <w:r>
        <w:t xml:space="preserve"> </w:t>
      </w:r>
      <w:hyperlink w:anchor="ref-4">
        <w:r>
          <w:rPr>
            <w:rStyle w:val="Hyperlink"/>
          </w:rPr>
          <w:t xml:space="preserve">[4]</w:t>
        </w:r>
      </w:hyperlink>
      <w:r>
        <w:t xml:space="preserve">, and instrument throughput and data-reduction performance are characterized for autonomous telescopes</w:t>
      </w:r>
      <w:r>
        <w:t xml:space="preserve"> </w:t>
      </w:r>
      <w:hyperlink w:anchor="ref-6">
        <w:r>
          <w:rPr>
            <w:rStyle w:val="Hyperlink"/>
          </w:rPr>
          <w:t xml:space="preserve">[6]</w:t>
        </w:r>
      </w:hyperlink>
      <w:r>
        <w:t xml:space="preserve">, yet neither characterization estimates the marginal effect of workload on per-product delay. Volume and speed are reported side by side, without a model that connects them. The literature has a great deal to say about how fast a given pipeline is. It says almost nothing, in a confounder-adjusted sense, about why.</w:t>
      </w:r>
    </w:p>
    <w:p>
      <w:pPr>
        <w:pStyle w:val="BodyText"/>
        <w:spacing w:line="480" w:lineRule="auto"/>
        <w:ind w:firstLine="720"/>
      </w:pPr>
      <w:r>
        <w:t xml:space="preserve">This is the problem the dissertation addresses. It is a measurement and inference problem first. Only after that is it an engineering problem. The field possesses many descriptive latency numbers and many demonstrations of throughput, but it does not possess an identified decomposition that says, for a fixed workload, which design choices actually drive the delay an operator observes. Without such a decomposition, the question that every science data system architect must answer, namely where the delay lives and therefore where engineering effort should be spent, is answered by intuition and by whichever single-architecture number a vendor happens to publish.</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The stakes of getting this wrong are concrete. They sharpen at the two operating regimes that bracket NASA’s data systems: the ground-segment regime that processes survey imagery into catalogued tracks, and the deep-space regime that returns mission data across interplanetary distances.</w:t>
      </w:r>
    </w:p>
    <w:p>
      <w:pPr>
        <w:pStyle w:val="BodyText"/>
        <w:spacing w:line="480" w:lineRule="auto"/>
        <w:ind w:firstLine="720"/>
      </w:pPr>
      <w:r>
        <w:t xml:space="preserve">In the ground-segment regime, the architectural responses on the table are expensive and increasingly preferred on the strength of unverified latency claims. Moving computation off the ground, onto an edge node or onboard a platform, is proposed precisely because ground-and-downlink latency can dominate, and onboard electro-optical reduction has been advanced to recover the feedback that ground chains cannot deliver</w:t>
      </w:r>
      <w:r>
        <w:t xml:space="preserve"> </w:t>
      </w:r>
      <w:hyperlink w:anchor="ref-1">
        <w:r>
          <w:rPr>
            <w:rStyle w:val="Hyperlink"/>
          </w:rPr>
          <w:t xml:space="preserve">[1]</w:t>
        </w:r>
      </w:hyperlink>
      <w:r>
        <w:t xml:space="preserve">. Near-real-time onboard reduction has already been demonstrated on small platforms processing detector data in flight</w:t>
      </w:r>
      <w:r>
        <w:t xml:space="preserve"> </w:t>
      </w:r>
      <w:hyperlink w:anchor="ref-3">
        <w:r>
          <w:rPr>
            <w:rStyle w:val="Hyperlink"/>
          </w:rPr>
          <w:t xml:space="preserve">[3]</w:t>
        </w:r>
      </w:hyperlink>
      <w:r>
        <w:t xml:space="preserve">. Pushing volume the other way, ground systems now ingest and reduce tens of thousands of frames per run</w:t>
      </w:r>
      <w:r>
        <w:t xml:space="preserve"> </w:t>
      </w:r>
      <w:hyperlink w:anchor="ref-4">
        <w:r>
          <w:rPr>
            <w:rStyle w:val="Hyperlink"/>
          </w:rPr>
          <w:t xml:space="preserve">[4]</w:t>
        </w:r>
      </w:hyperlink>
      <w:r>
        <w:t xml:space="preserve"> </w:t>
      </w:r>
      <w:r>
        <w:t xml:space="preserve">and process observations into custody at real-time rates and survey volume</w:t>
      </w:r>
      <w:r>
        <w:t xml:space="preserve"> </w:t>
      </w:r>
      <w:hyperlink w:anchor="ref-5">
        <w:r>
          <w:rPr>
            <w:rStyle w:val="Hyperlink"/>
          </w:rPr>
          <w:t xml:space="preserve">[5]</w:t>
        </w:r>
      </w:hyperlink>
      <w:r>
        <w:t xml:space="preserve">. Each of these moves trades one latency component for another and consumes scarce engineering budget, yet the field offers no model that quantifies, for a given workload, how much latency each move actually buys. An architect who relocates a reduction stage onboard in pursuit of a latency gain that is in fact an artifact of the lighter workload that travels with onboard deployment has spent that budget on a benefit the data do not support.</w:t>
      </w:r>
    </w:p>
    <w:p>
      <w:pPr>
        <w:pStyle w:val="BodyText"/>
        <w:spacing w:line="480" w:lineRule="auto"/>
        <w:ind w:firstLine="720"/>
      </w:pPr>
      <w:r>
        <w:t xml:space="preserve">In the deep-space regime, where the Eugene Stansbery Meter Class Autonomous Telescope chain gives way to the Deep Space Network and its international peers, the same misattribution carries program-level cost. As the volume of returned planetary data grows and as the Network contends with more simultaneous customers, latency competes with throughput as the binding constraint on mission value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A planner deciding among a larger antenna, a faster downlink mode, a relay topology, or simply an acceptance of the physics of distance needs to know which of these levers moves the outcome and by how much. Mission telecommunications design has long recognized that the link budget degrades with the inverse square of range, forcing lower downlink rates precisely where the one-way light-time floor is already highest</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so the compressible and incompressible components of latency tend to compound rather than offset. The danger for NASA and JPL is symmetric across both regimes: in the absence of an identified decomposition, capital flows toward the lever that is most visible in raw comparisons rather than the lever that survives a control for confounding workload and geometry. The dissertation’s purpose is to give architects and planners a defensible, source-traceable basis for that allocation, converting latency from an opaque scalar into an attributable budget.</w:t>
      </w:r>
    </w:p>
    <w:bookmarkEnd w:id="62"/>
    <w:bookmarkStart w:id="63" w:name="the-gap-between-two-literatures"/>
    <w:p>
      <w:pPr>
        <w:pStyle w:val="Heading2"/>
        <w:spacing w:line="480" w:lineRule="auto"/>
      </w:pPr>
      <w:r>
        <w:t xml:space="preserve">1.3 The Gap Between Two Literatures</w:t>
      </w:r>
    </w:p>
    <w:p>
      <w:pPr>
        <w:pStyle w:val="FirstParagraph"/>
        <w:spacing w:line="480" w:lineRule="auto"/>
      </w:pPr>
      <w:r>
        <w:t xml:space="preserve">Two mature literatures bear on this problem. Neither has been brought into contact with the other, and the contribution of this dissertation sits in the space between them.</w:t>
      </w:r>
    </w:p>
    <w:p>
      <w:pPr>
        <w:pStyle w:val="BodyText"/>
        <w:spacing w:line="480" w:lineRule="auto"/>
        <w:ind w:firstLine="720"/>
      </w:pPr>
      <w:r>
        <w:t xml:space="preserve">The first is the space-systems and ground-segment domain literature. It is rich, operational, and engineering-grounded. It documents instrument throughput and reduction performance for autonomous telescopes</w:t>
      </w:r>
      <w:r>
        <w:t xml:space="preserve"> </w:t>
      </w:r>
      <w:hyperlink w:anchor="ref-6">
        <w:r>
          <w:rPr>
            <w:rStyle w:val="Hyperlink"/>
          </w:rPr>
          <w:t xml:space="preserve">[6]</w:t>
        </w:r>
      </w:hyperlink>
      <w:r>
        <w:t xml:space="preserve">, automated detection and sky-position extraction at survey volume</w:t>
      </w:r>
      <w:r>
        <w:t xml:space="preserve"> </w:t>
      </w:r>
      <w:hyperlink w:anchor="ref-4">
        <w:r>
          <w:rPr>
            <w:rStyle w:val="Hyperlink"/>
          </w:rPr>
          <w:t xml:space="preserve">[4]</w:t>
        </w:r>
      </w:hyperlink>
      <w:r>
        <w:t xml:space="preserve">, real-time-rate custody processing</w:t>
      </w:r>
      <w:r>
        <w:t xml:space="preserve"> </w:t>
      </w:r>
      <w:hyperlink w:anchor="ref-5">
        <w:r>
          <w:rPr>
            <w:rStyle w:val="Hyperlink"/>
          </w:rPr>
          <w:t xml:space="preserve">[5]</w:t>
        </w:r>
      </w:hyperlink>
      <w:r>
        <w:t xml:space="preserve">, the integration of artificial-intelligence methods into the processing chain to characterize objects from single optical tracks</w:t>
      </w:r>
      <w:r>
        <w:t xml:space="preserve"> </w:t>
      </w:r>
      <w:hyperlink w:anchor="ref-7">
        <w:r>
          <w:rPr>
            <w:rStyle w:val="Hyperlink"/>
          </w:rPr>
          <w:t xml:space="preserve">[7]</w:t>
        </w:r>
      </w:hyperlink>
      <w:r>
        <w:t xml:space="preserve">, and the onboard and edge architectures proposed to escape ground delay</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On the deep-space side it documents the telecommunications design of specific missions</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the assessment of relay network topologies for Earth-Mars communication</w:t>
      </w:r>
      <w:r>
        <w:t xml:space="preserve"> </w:t>
      </w:r>
      <w:hyperlink w:anchor="ref-15">
        <w:r>
          <w:rPr>
            <w:rStyle w:val="Hyperlink"/>
          </w:rPr>
          <w:t xml:space="preserve">[15]</w:t>
        </w:r>
      </w:hyperlink>
      <w:r>
        <w:t xml:space="preserve">, agent-based approaches to distributed mission management</w:t>
      </w:r>
      <w:r>
        <w:t xml:space="preserve"> </w:t>
      </w:r>
      <w:hyperlink w:anchor="ref-16">
        <w:r>
          <w:rPr>
            <w:rStyle w:val="Hyperlink"/>
          </w:rPr>
          <w:t xml:space="preserve">[16]</w:t>
        </w:r>
      </w:hyperlink>
      <w:r>
        <w:t xml:space="preserve">, and autonomous onboard processing for deep-space small satellites</w:t>
      </w:r>
      <w:r>
        <w:t xml:space="preserve"> </w:t>
      </w:r>
      <w:hyperlink w:anchor="ref-8">
        <w:r>
          <w:rPr>
            <w:rStyle w:val="Hyperlink"/>
          </w:rPr>
          <w:t xml:space="preserve">[8]</w:t>
        </w:r>
      </w:hyperlink>
      <w:r>
        <w:t xml:space="preserve">. This literature knows the systems intimately. What it does not do is treat latency as an estimand. It reports latency descriptively, demonstrates capability, and characterizes throughput, but it does not specify an outcome variable, a vector of covariates, and an identification strategy that would isolate the marginal effect of a design choice on delay while holding confounders fixed.</w:t>
      </w:r>
    </w:p>
    <w:p>
      <w:pPr>
        <w:pStyle w:val="BodyText"/>
        <w:spacing w:line="480" w:lineRule="auto"/>
        <w:ind w:firstLine="720"/>
      </w:pPr>
      <w:r>
        <w:t xml:space="preserve">The second is the applied-econometric method literature on causal estimation from observational data: the regression of an outcome on a treatment indicator and a vector of controls, the use of fixed effects to absorb a dominant regime so that the coefficient of interest is identified net of it, heteroskedasticity-robust inference to keep standard errors honest under a long-tailed outcome, and the log-linear specification that renders coefficients as elasticities. These tools are standard, well understood, and routinely applied to problems in economics and the policy sciences. They have not been applied to pipeline latency. No retrieved source in the space-systems corpus provides an identification strategy for the latency question; the demonstrations are engineering demonstrations, not causal estimates, and none decomposes end-to-end latency into attributable contributions while controlling for confounding workload or geometry.</w:t>
      </w:r>
    </w:p>
    <w:p>
      <w:pPr>
        <w:pStyle w:val="BodyText"/>
        <w:spacing w:line="480" w:lineRule="auto"/>
        <w:ind w:firstLine="720"/>
      </w:pPr>
      <w:r>
        <w:t xml:space="preserve">The gap is therefore not a missing system and not a missing method. Both exist. What is missing is the meeting: the two have never met on this problem. The domain literature supplies the substantive question and the instrumented data; the method literature supplies the estimator and the inferential discipline. What is absent, and what this dissertation supplies, is the join: a missing estimand made estimable by importing observational-causal machinery into a domain that has treated latency as a number to report rather than a quantity to model. The principal threat to that join is confounding, because processing locus is not randomly assigned. Onboard systems are deployed on lighter platforms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w:t>
      </w:r>
      <w:r>
        <w:t xml:space="preserve">while ground systems absorb high-volume survey loads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so a naive onboard-versus-ground comparison conflates the locus choice with the workload and processing paradigm that select into it. The same logic governs the deep-space cross-section, where distance, downlink rate, aperture, and architecture co-move across mission classes. Closing the gap means specifying the controls that break this confounding and reporting the coefficient of interest conditional on them, which is exactly what the econometric literature was built to do and exactly what the domain literature has not done.</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dissertation advances one contribution, stated as a single falsifiable claim and tested by the sign and significance of one coefficient in a pre-specified regression. The claim concerns where the delay lives once confounders are controlled, and it is deliberately narrow so that it can be decisively rejected.</w:t>
      </w:r>
    </w:p>
    <w:p>
      <w:pPr>
        <w:pStyle w:val="BodyText"/>
        <w:spacing w:line="480" w:lineRule="auto"/>
        <w:ind w:firstLine="720"/>
      </w:pPr>
      <w:r>
        <w:t xml:space="preserve">In the ground-segment regime, the unit of analysis is an instrumented pipeline run that emits a timestamped product, and the outcome is end-to-end wall-clock latency. The estimating equation regresses per-run latency on processed frame volume, an association-complexity index, a concurrent queue-load index, a ground batch-processing fixed effect that marks the queued nightly-batch reduction paradigm, and an onboard processing-locus indicator. The coefficient of interest is the one on the locus indicator. The hypotheses are exact:</w:t>
      </w:r>
    </w:p>
    <w:p>
      <w:pPr>
        <w:pStyle w:val="BodyText"/>
        <w:spacing w:line="480" w:lineRule="auto"/>
        <w:ind w:firstLine="720"/>
      </w:pPr>
      <w:r>
        <w:rPr>
          <w:b/>
          <w:bCs/>
        </w:rPr>
        <w:t xml:space="preserve">H0 (null).</w:t>
      </w:r>
      <w:r>
        <w:t xml:space="preserve"> </w:t>
      </w:r>
      <w:r>
        <w:t xml:space="preserve">Holding image volume, association complexity, queue load, and the ground batch-processing paradigm constant, the onboard or edge processing-locus indicator has no effect on end-to-end per-product latency; its coefficient is statistically indistinguishable from zero.</w:t>
      </w:r>
    </w:p>
    <w:p>
      <w:pPr>
        <w:pStyle w:val="BodyText"/>
        <w:spacing w:line="480" w:lineRule="auto"/>
        <w:ind w:firstLine="720"/>
      </w:pPr>
      <w:r>
        <w:rPr>
          <w:b/>
          <w:bCs/>
        </w:rPr>
        <w:t xml:space="preserve">H1 (alternative).</w:t>
      </w:r>
      <w:r>
        <w:t xml:space="preserve"> </w:t>
      </w:r>
      <w:r>
        <w:t xml:space="preserve">Holding those covariates constant, the processing-locus indicator is a statistically significant negative driver of end-to-end per-product latency.</w:t>
      </w:r>
    </w:p>
    <w:p>
      <w:pPr>
        <w:pStyle w:val="BodyText"/>
        <w:spacing w:line="480" w:lineRule="auto"/>
        <w:ind w:firstLine="720"/>
      </w:pPr>
      <w:r>
        <w:t xml:space="preserve">The contribution is the identified decomposition itself, not a presumption about which way the test will fall. The decision rule is a single coefficient test, not a basket of exploratory correlations, and the study is falsified as designed if the locus coefficient cannot be distinguished from zero after the specified controls and robustness checks. That this discipline has teeth is established by the empirical result the dissertation reports: in the assembled sample the locus coefficient is negative in sign, as theory predicts, but its interval comfortably spans zero, so H0 is not rejected; the explained variance is carried instead by processed frame volume and by the batch-processing fixed effect, each of which earns a large and statistically supported latency coefficient. The apparent onboard latency advantage visible in raw comparisons is, in this sample, an artifact of the workload and paradigm that accompany the locus choice rather than a property of the locus itself.</w:t>
      </w:r>
    </w:p>
    <w:p>
      <w:pPr>
        <w:pStyle w:val="BodyText"/>
        <w:spacing w:line="480" w:lineRule="auto"/>
        <w:ind w:firstLine="720"/>
      </w:pPr>
      <w:r>
        <w:t xml:space="preserve">The deep-space companion analysis applies the identical inferential posture to a cross-section of planetary and deep-space missions, estimating a log-linear regression of representative data-return latency on Earth-spacecraft distance, downlink data rate, antenna aperture, and a relay-architecture indicator. Its falsifiable claims are again stated as coefficient tests: that the elasticity of latency with respect to distance is positive and large, reflecting the incompressible light-time floor, and that the elasticity with respect to downlink rate is negative. The result mirrors the ground-segment finding in structure. The distance elasticity dominates and is decisive, while the engineering levers a planner can purchase exert only second-order influence once distance is held fixed. Across both regimes, then, the single substantive contribution is the same and is doubly demonstrated: a confounder-adjusted decomposition that reassigns latency away from the design lever the literature foregrounds, processing locus in the ground segment and purchasable link engineering in deep space, and toward the workload, paradigm, and geometry that the raw comparisons had silently absorbed. The contribution converts latency from an opaque scalar into an attributable budget and, in doing so, redirects engineering effort toward the levers that the data, not the intuition, support.</w:t>
      </w:r>
    </w:p>
    <w:bookmarkEnd w:id="64"/>
    <w:bookmarkStart w:id="65" w:name="scope-and-boundaries"/>
    <w:p>
      <w:pPr>
        <w:pStyle w:val="Heading2"/>
        <w:spacing w:line="480" w:lineRule="auto"/>
      </w:pPr>
      <w:r>
        <w:t xml:space="preserve">1.5 Scope and Boundaries</w:t>
      </w:r>
    </w:p>
    <w:p>
      <w:pPr>
        <w:pStyle w:val="FirstParagraph"/>
        <w:spacing w:line="480" w:lineRule="auto"/>
      </w:pPr>
      <w:r>
        <w:t xml:space="preserve">Three boundaries delimit the claims and are stated here so that later chapters can hold to them. First, the estimates are anchored to optical and small-satellite ground pipelines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w:t>
      </w:r>
      <w:r>
        <w:t xml:space="preserve">and to a cross-section of documented planetary missions; they do not extend to radar chains or to very high-cadence wide-field systems that process at materially different volumes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and the supported workload and distance ranges are reported rather than extrapolated beyond. Second, the outcomes are instrumented and source-traceable but partly representative rather than continuously logged, so a small minority of latency values, held below a fifteen percent ceiling and tied to the documented processing regime of their cited source, introduce measurement structure that a fully instrumented timestamp log would remove. Third, the samples are modest, so the null findings on the foregrounded levers rule out a large independent effect rather than proving its absence; a better-powered instrumented panel could yet recover significance, and the dissertation says so explicitly rather than overclaiming. These boundaries do not weaken the contribution. They define the conditions under which a single, falsifiable, confounder-adjusted estimate is honestly supported.</w:t>
      </w:r>
    </w:p>
    <w:bookmarkEnd w:id="65"/>
    <w:bookmarkStart w:id="66" w:name="roadmap"/>
    <w:p>
      <w:pPr>
        <w:pStyle w:val="Heading2"/>
        <w:spacing w:line="480" w:lineRule="auto"/>
      </w:pPr>
      <w:r>
        <w:t xml:space="preserve">1.6 Roadmap</w:t>
      </w:r>
    </w:p>
    <w:p>
      <w:pPr>
        <w:pStyle w:val="FirstParagraph"/>
        <w:spacing w:line="480" w:lineRule="auto"/>
      </w:pPr>
      <w:r>
        <w:t xml:space="preserve">The remainder of the dissertation proceeds as follows. Chapter 2 reviews the two literatures whose separation defines the gap, the space-systems and ground-segment domain corpus on one side and the observational-causal method corpus on the other, and establishes the missing estimand precisely. Chapter 3 sets out the qualitative stage-coding protocol that decomposes each pipeline run into ordered stages, ingest, calibration and reduction, detection and extraction, association, and estimation, and fixes the timestamp and covariate definitions before any estimation, so that the quantitative covariates are well defined and measurement error is bounded. Chapter 4 specifies the ground-segment regression, its identification strategy, the matched-window robustness design that differences out fixed pipeline characteristics, and the heteroskedasticity-robust inference and per-stage residual decomposition that keep the single coefficient test honest, then reports the finding that volume and the batch paradigm, not locus, drive ground latency. Chapter 5 specifies and estimates the deep-space log-linear companion analysis, reporting the dominance of the distance elasticity and the second-order role of purchasable link engineering. Chapter 6 synthesizes the two regimes into a single attributable-budget account of pipeline latency, draws the architectural and program-planning implications for NASA and JPL, restates the threats to validity and the boundaries of Section 1.5, and identifies the panel-data extensions that would sharpen the estimates the present samples leave imprecise.</w:t>
      </w:r>
    </w:p>
    <w:bookmarkEnd w:id="66"/>
    <w:bookmarkEnd w:id="67"/>
    <w:bookmarkStart w:id="84" w:name="chapter-2.-literature-review"/>
    <w:p>
      <w:pPr>
        <w:pStyle w:val="Heading1"/>
        <w:spacing w:line="480" w:lineRule="auto"/>
      </w:pPr>
      <w:r>
        <w:t xml:space="preserve">Chapter 2. Literature Review</w:t>
      </w:r>
    </w:p>
    <w:bookmarkStart w:id="68" w:name="Xf2f088cd504ec772bce9e87ea41befa885d614e"/>
    <w:p>
      <w:pPr>
        <w:pStyle w:val="Heading2"/>
        <w:spacing w:line="480" w:lineRule="auto"/>
      </w:pPr>
      <w:r>
        <w:t xml:space="preserve">2.1 Orientation: Two Literatures That Have Not Met</w:t>
      </w:r>
    </w:p>
    <w:p>
      <w:pPr>
        <w:pStyle w:val="FirstParagraph"/>
        <w:spacing w:line="480" w:lineRule="auto"/>
      </w:pPr>
      <w:r>
        <w:t xml:space="preserve">The central claim of this dissertation is methodological as much as empirical. It is that a quantity treated across the space-surveillance and planetary-science engineering record as a descriptive figure of merit, the end-to-end latency of a science data pipeline, is in fact an estimable causal object, and that the apparatus for estimating it already exists, fully developed, in a separate scholarly tradition that the engineering record does not cite. The dissertation sits at the seam between those two traditions. The purpose of this chapter is to map each of them on its own terms, to show that they have evolved in parallel without contact, and to locate precisely the gap that their non-meeting has left open.</w:t>
      </w:r>
    </w:p>
    <w:p>
      <w:pPr>
        <w:pStyle w:val="BodyText"/>
        <w:spacing w:line="480" w:lineRule="auto"/>
        <w:ind w:firstLine="720"/>
      </w:pPr>
      <w:r>
        <w:t xml:space="preserve">The first literature is the domain-technical record of how planetary and space-surveillance data pipelines are built, instrumented, and characterized. It is overwhelmingly a conference and mission-report literature, anchored in the Advanced Maui Optical and Space Surveillance Technologies proceedings and in the mission-telecommunications monograph series, and it reports latency as a performance number attached to a specific architecture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 The second literature is the cliometric and econometric methodology of instrumented regression, the discipline of taking a outcome that varies across observed units, specifying a structural equation for it, controlling for the confounders that select units into their treatment condition, and reporting an identified coefficient with a standard error and a falsifiable decision rule. The domain literature owns the phenomenon and the data; the methodological literature owns the inferential machinery. Neither has been brought to bear on the other. This chapter reviews both, synthesizes the friction between them, and states the gap that the dissertation’s two empirical papers were written to close.</w:t>
      </w:r>
    </w:p>
    <w:p>
      <w:pPr>
        <w:pStyle w:val="BodyText"/>
        <w:spacing w:line="480" w:lineRule="auto"/>
        <w:ind w:firstLine="720"/>
      </w:pPr>
      <w:r>
        <w:t xml:space="preserve">The seam matters operationally, not merely scholastically. Latency is the binding constraint on a sensor system’s ability to close a tracking loop, issue a timely indication, or hold custody of a fast-moving target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When the figure is reported as an opaque scalar, an architect deciding where to place compute, how much to automate, or what to move onboard has no defensible basis for the decision beyond the single number a vendor happened to publish for a single configuration. Converting the scalar into an attributable, confounder-adjusted budget is therefore not an academic refinement; it is the difference between an engineering decision grounded in evidence and one grounded in the workload that happened to travel with whichever architecture was measured.</w:t>
      </w:r>
    </w:p>
    <w:bookmarkEnd w:id="68"/>
    <w:bookmarkStart w:id="73" w:name="X3a59d98888a9b9afb903ece4188e58bb44f8969"/>
    <w:p>
      <w:pPr>
        <w:pStyle w:val="Heading2"/>
        <w:spacing w:line="480" w:lineRule="auto"/>
      </w:pPr>
      <w:r>
        <w:t xml:space="preserve">2.2 The Domain-Technical Literature on Pipeline Latency</w:t>
      </w:r>
    </w:p>
    <w:bookmarkStart w:id="69" w:name="X96f992276bab8fb65ebe80ac7c532a2ef58b131"/>
    <w:p>
      <w:pPr>
        <w:pStyle w:val="Heading3"/>
        <w:spacing w:line="480" w:lineRule="auto"/>
      </w:pPr>
      <w:r>
        <w:t xml:space="preserve">2.2.1 Latency as a Lumped Scalar Performance Figure</w:t>
      </w:r>
    </w:p>
    <w:p>
      <w:pPr>
        <w:pStyle w:val="FirstParagraph"/>
        <w:spacing w:line="480" w:lineRule="auto"/>
      </w:pPr>
      <w:r>
        <w:t xml:space="preserve">The defining feature of the domain literature is that it reports latency as a single descriptive quantity rather than as a modelled one. The clearest case is the cross-sensor performance comparison of Bloom and colleagues, in which transmission latency and ground-processing latency are folded together into one lumped term that feeds a downstream revisit or custody figure of merit</w:t>
      </w:r>
      <w:r>
        <w:t xml:space="preserve"> </w:t>
      </w:r>
      <w:hyperlink w:anchor="ref-2">
        <w:r>
          <w:rPr>
            <w:rStyle w:val="Hyperlink"/>
          </w:rPr>
          <w:t xml:space="preserve">[2]</w:t>
        </w:r>
      </w:hyperlink>
      <w:r>
        <w:t xml:space="preserve">. The lumping is not incidental to the analysis; it is the analysis. The contributing stages are never separated, so the reader cannot recover how much of the reported delay belongs to the link, how much to the queue, and how much to computation. Latency enters as a penalty and exits as a number. The internal structure that would let an architect act on it is collapsed before it reaches the page.</w:t>
      </w:r>
    </w:p>
    <w:p>
      <w:pPr>
        <w:pStyle w:val="BodyText"/>
        <w:spacing w:line="480" w:lineRule="auto"/>
        <w:ind w:firstLine="720"/>
      </w:pPr>
      <w:r>
        <w:t xml:space="preserve">The same treatment recurs in the onboard-processing literature, where ground latency is invoked qualitatively as a problem to be escaped rather than quantitatively as a budget to be apportioned. Britton and colleagues frame onboard electro-optical reduction explicitly as the answer to ground-and-downlink latency, motivating an edge-computing algorithm by the observation that ground processing delay forecloses the real-time feedback on which tracking and guidance loops depend</w:t>
      </w:r>
      <w:r>
        <w:t xml:space="preserve"> </w:t>
      </w:r>
      <w:hyperlink w:anchor="ref-1">
        <w:r>
          <w:rPr>
            <w:rStyle w:val="Hyperlink"/>
          </w:rPr>
          <w:t xml:space="preserve">[1]</w:t>
        </w:r>
      </w:hyperlink>
      <w:r>
        <w:t xml:space="preserve">. The framing is correct and important, but the latency it invokes is a precluding condition, a thing large enough to be worth escaping, never a fitted magnitude with an attributable source. The decision to move computation off the ground is justified by a qualitative claim about a quantity that is never modelled.</w:t>
      </w:r>
    </w:p>
    <w:p>
      <w:pPr>
        <w:pStyle w:val="BodyText"/>
        <w:spacing w:line="480" w:lineRule="auto"/>
        <w:ind w:firstLine="720"/>
      </w:pPr>
      <w:r>
        <w:t xml:space="preserve">This pattern, latency as lumped scalar, persists across the more recent operational record. Diamond and colleagues demonstrate observation processing at real-time rates and survey volume, reporting that a repurposed meteorite-tracker network can sustain persistent custody</w:t>
      </w:r>
      <w:r>
        <w:t xml:space="preserve"> </w:t>
      </w:r>
      <w:hyperlink w:anchor="ref-5">
        <w:r>
          <w:rPr>
            <w:rStyle w:val="Hyperlink"/>
          </w:rPr>
          <w:t xml:space="preserve">[5]</w:t>
        </w:r>
      </w:hyperlink>
      <w:r>
        <w:t xml:space="preserve">, but the achievement is characterized as a rate-and-volume capability rather than as a decomposition of where the residual delay lives. The non-traditional-data-collection work of Aristoff and colleagues likewise improves geosynchronous space-situational awareness through a global network of heterogeneous sensors, treating timeliness as a system property to be delivered rather than a coefficient to be estimated</w:t>
      </w:r>
      <w:r>
        <w:t xml:space="preserve"> </w:t>
      </w:r>
      <w:hyperlink w:anchor="ref-18">
        <w:r>
          <w:rPr>
            <w:rStyle w:val="Hyperlink"/>
          </w:rPr>
          <w:t xml:space="preserve">[18]</w:t>
        </w:r>
      </w:hyperlink>
      <w:r>
        <w:t xml:space="preserve">. In each case the engineering is sophisticated and the latency claim is real. But the claim is descriptive: this system achieves this latency. None of these reports asks the comparative-static question that the methodological literature is built to answer, namely how much latency would change if one design variable moved while the others were held fixed.</w:t>
      </w:r>
    </w:p>
    <w:bookmarkEnd w:id="69"/>
    <w:bookmarkStart w:id="70" w:name="X925b1ede5f8096e31203996e46b39845eef450e"/>
    <w:p>
      <w:pPr>
        <w:pStyle w:val="Heading3"/>
        <w:spacing w:line="480" w:lineRule="auto"/>
      </w:pPr>
      <w:r>
        <w:t xml:space="preserve">2.2.2 Throughput Characterized in Isolation From Latency</w:t>
      </w:r>
    </w:p>
    <w:p>
      <w:pPr>
        <w:pStyle w:val="FirstParagraph"/>
        <w:spacing w:line="480" w:lineRule="auto"/>
      </w:pPr>
      <w:r>
        <w:t xml:space="preserve">A second and closely related regularity is that the domain literature studies throughput, the volume of frames a pipeline can process, in isolation from latency, the time per product. The two are reported side by side without a model connecting them. Rood and colleagues characterize an automated satellite-detection and sky-position-extraction pipeline by the count of images it processes, on the order of tens of thousands of frames per survey run</w:t>
      </w:r>
      <w:r>
        <w:t xml:space="preserve"> </w:t>
      </w:r>
      <w:hyperlink w:anchor="ref-4">
        <w:r>
          <w:rPr>
            <w:rStyle w:val="Hyperlink"/>
          </w:rPr>
          <w:t xml:space="preserve">[4]</w:t>
        </w:r>
      </w:hyperlink>
      <w:r>
        <w:t xml:space="preserve">. Cruz and colleagues characterize the optical-system throughput and data-reduction performance of the Eugene Stansbery Meter Class Autonomous Telescope, documenting how much the instrument can push through its reduction chain</w:t>
      </w:r>
      <w:r>
        <w:t xml:space="preserve"> </w:t>
      </w:r>
      <w:hyperlink w:anchor="ref-6">
        <w:r>
          <w:rPr>
            <w:rStyle w:val="Hyperlink"/>
          </w:rPr>
          <w:t xml:space="preserve">[6]</w:t>
        </w:r>
      </w:hyperlink>
      <w:r>
        <w:t xml:space="preserve">. The ultrafast wide-field telescope of Ploner and colleagues is presented expressly as a high-volume debris-detection-and-tracking instrument, its value framed in terms of survey rate</w:t>
      </w:r>
      <w:r>
        <w:t xml:space="preserve"> </w:t>
      </w:r>
      <w:hyperlink w:anchor="ref-22">
        <w:r>
          <w:rPr>
            <w:rStyle w:val="Hyperlink"/>
          </w:rPr>
          <w:t xml:space="preserve">[22]</w:t>
        </w:r>
      </w:hyperlink>
      <w:r>
        <w:t xml:space="preserve">. These are careful throughput characterizations. They establish that volume is a first-order axis of pipeline behavior.</w:t>
      </w:r>
    </w:p>
    <w:p>
      <w:pPr>
        <w:pStyle w:val="BodyText"/>
        <w:spacing w:line="480" w:lineRule="auto"/>
        <w:ind w:firstLine="720"/>
      </w:pPr>
      <w:r>
        <w:t xml:space="preserve">What they do not do is estimate the marginal effect of that volume on per-product delay. Throughput tells the reader how many frames cross the pipeline; it does not tell the reader how many additional minutes a product waits when an additional thousand frames join the run. The connection between volume and delay is the kind of relationship that an instrumented regression exists to quantify, and it is precisely the relationship the throughput literature leaves implicit. The first empirical paper of this dissertation recovers exactly that missing coefficient, finding processed frame volume to be the dominant and most precisely estimated driver of end-to-end latency, with each additional thousand frames adding measurable wall-clock delay. That finding was available in principle from the data the throughput literature already collects; it was simply never estimated, because the literature’s instruments report counts rather than coefficients.</w:t>
      </w:r>
    </w:p>
    <w:bookmarkEnd w:id="70"/>
    <w:bookmarkStart w:id="71" w:name="X7e079e1705f6fd8825f12638c62024b809b8ff5"/>
    <w:p>
      <w:pPr>
        <w:pStyle w:val="Heading3"/>
        <w:spacing w:line="480" w:lineRule="auto"/>
      </w:pPr>
      <w:r>
        <w:t xml:space="preserve">2.2.3 Engineering Demonstration Without an Identification Strategy</w:t>
      </w:r>
    </w:p>
    <w:p>
      <w:pPr>
        <w:pStyle w:val="FirstParagraph"/>
        <w:spacing w:line="480" w:lineRule="auto"/>
      </w:pPr>
      <w:r>
        <w:t xml:space="preserve">A third regularity completes the picture: where the domain literature does compare architectures, it does so through engineering demonstration rather than through causal identification. The integration of artificial-intelligence methods into the processing chain by Tsaprailis and colleagues, characterizing spin status and performing initial orbit determination from single optical tracks, is a demonstration that a more capable chain can extract more from less data</w:t>
      </w:r>
      <w:r>
        <w:t xml:space="preserve"> </w:t>
      </w:r>
      <w:hyperlink w:anchor="ref-7">
        <w:r>
          <w:rPr>
            <w:rStyle w:val="Hyperlink"/>
          </w:rPr>
          <w:t xml:space="preserve">[7]</w:t>
        </w:r>
      </w:hyperlink>
      <w:r>
        <w:t xml:space="preserve">. The hyperspectral thermal-imaging CubeSat of Nunes and colleagues demonstrates near-real-time onboard reduction of detector data in flight on a small platform</w:t>
      </w:r>
      <w:r>
        <w:t xml:space="preserve"> </w:t>
      </w:r>
      <w:hyperlink w:anchor="ref-3">
        <w:r>
          <w:rPr>
            <w:rStyle w:val="Hyperlink"/>
          </w:rPr>
          <w:t xml:space="preserve">[3]</w:t>
        </w:r>
      </w:hyperlink>
      <w:r>
        <w:t xml:space="preserve">. The SpIRIT payload management system demonstrates a paradigm for multi-payload onboard integration</w:t>
      </w:r>
      <w:r>
        <w:t xml:space="preserve"> </w:t>
      </w:r>
      <w:hyperlink w:anchor="ref-10">
        <w:r>
          <w:rPr>
            <w:rStyle w:val="Hyperlink"/>
          </w:rPr>
          <w:t xml:space="preserve">[10]</w:t>
        </w:r>
      </w:hyperlink>
      <w:r>
        <w:t xml:space="preserve">, and the deep-space autonomous-navigation survey of Turan and colleagues catalogues the scientific and technological advances that make onboard processing feasible at all</w:t>
      </w:r>
      <w:r>
        <w:t xml:space="preserve"> </w:t>
      </w:r>
      <w:hyperlink w:anchor="ref-8">
        <w:r>
          <w:rPr>
            <w:rStyle w:val="Hyperlink"/>
          </w:rPr>
          <w:t xml:space="preserve">[8]</w:t>
        </w:r>
      </w:hyperlink>
      <w:r>
        <w:t xml:space="preserve">. Each is a genuine advance. None is a causal estimate.</w:t>
      </w:r>
    </w:p>
    <w:p>
      <w:pPr>
        <w:pStyle w:val="BodyText"/>
        <w:spacing w:line="480" w:lineRule="auto"/>
        <w:ind w:firstLine="720"/>
      </w:pPr>
      <w:r>
        <w:t xml:space="preserve">The distinction is consequential. A demonstration shows that a configuration can achieve an outcome; an identification strategy shows that a design variable causes the outcome after the confounders that travel with that variable have been removed. The onboard-processing demonstrations are deployed, almost without exception, on lighter workloads than the high-volume ground surveys to which they are implicitly compared</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10">
        <w:r>
          <w:rPr>
            <w:rStyle w:val="Hyperlink"/>
          </w:rPr>
          <w:t xml:space="preserve">[10]</w:t>
        </w:r>
      </w:hyperlink>
      <w:r>
        <w:t xml:space="preserve">. A naive juxtaposition of onboard and ground latencies therefore conflates the locus of computation with the workload and processing regime that select into that locus. The domain literature contains no source that breaks this confound. It demonstrates that onboard systems are fast. It does not establish that they are fast because they are onboard rather than because they carry light loads. The second regularity, throughput without latency, and the third, demonstration without identification, are two faces of the same omission: the literature collects the variables an instrumented regression would need, and then declines to run the regression.</w:t>
      </w:r>
    </w:p>
    <w:bookmarkEnd w:id="71"/>
    <w:bookmarkStart w:id="72" w:name="X8325528c06386f2bc998509377a600b5537340a"/>
    <w:p>
      <w:pPr>
        <w:pStyle w:val="Heading3"/>
        <w:spacing w:line="480" w:lineRule="auto"/>
      </w:pPr>
      <w:r>
        <w:t xml:space="preserve">2.2.4 The Adjacent Ground-Segment and Sensor-Systems Literature</w:t>
      </w:r>
    </w:p>
    <w:p>
      <w:pPr>
        <w:pStyle w:val="FirstParagraph"/>
        <w:spacing w:line="480" w:lineRule="auto"/>
      </w:pPr>
      <w:r>
        <w:t xml:space="preserve">Surrounding the core latency reports is a broad band of ground-segment and sensor-systems work that supplies the stage structure and the workload covariates the dissertation’s coding protocol requires, again without ever modelling latency causally. The adaptation of planetary-science observational facilities for space-situational awareness, exemplified by Bland and the Desert Fireball Network team, shows how an existing reduction chain is repurposed, exposing the stage boundaries, ingest, calibration, detection, association, estimation, at which an instrumented study can place its timestamps</w:t>
      </w:r>
      <w:r>
        <w:t xml:space="preserve"> </w:t>
      </w:r>
      <w:hyperlink w:anchor="ref-19">
        <w:r>
          <w:rPr>
            <w:rStyle w:val="Hyperlink"/>
          </w:rPr>
          <w:t xml:space="preserve">[19]</w:t>
        </w:r>
      </w:hyperlink>
      <w:r>
        <w:t xml:space="preserve">. The adaptive-optics control literature, from the single-device processing-and-control architecture of Zovaro and colleagues</w:t>
      </w:r>
      <w:r>
        <w:t xml:space="preserve"> </w:t>
      </w:r>
      <w:hyperlink w:anchor="ref-23">
        <w:r>
          <w:rPr>
            <w:rStyle w:val="Hyperlink"/>
          </w:rPr>
          <w:t xml:space="preserve">[23]</w:t>
        </w:r>
      </w:hyperlink>
      <w:r>
        <w:t xml:space="preserve"> </w:t>
      </w:r>
      <w:r>
        <w:t xml:space="preserve">to the packet-switching networks for adaptive-optics systems of Eager</w:t>
      </w:r>
      <w:r>
        <w:t xml:space="preserve"> </w:t>
      </w:r>
      <w:hyperlink w:anchor="ref-24">
        <w:r>
          <w:rPr>
            <w:rStyle w:val="Hyperlink"/>
          </w:rPr>
          <w:t xml:space="preserve">[24]</w:t>
        </w:r>
      </w:hyperlink>
      <w:r>
        <w:t xml:space="preserve">, documents the real-time processing constraints under which front-end image correction operates, establishing that some pipeline stages are themselves latency-critical control loops rather than batch reductions.</w:t>
      </w:r>
    </w:p>
    <w:p>
      <w:pPr>
        <w:pStyle w:val="BodyText"/>
        <w:spacing w:line="480" w:lineRule="auto"/>
        <w:ind w:firstLine="720"/>
      </w:pPr>
      <w:r>
        <w:t xml:space="preserve">Vision-based navigation and its sensor faults, treated by Gallon and colleagues through simulation and dataset development</w:t>
      </w:r>
      <w:r>
        <w:t xml:space="preserve"> </w:t>
      </w:r>
      <w:hyperlink w:anchor="ref-28">
        <w:r>
          <w:rPr>
            <w:rStyle w:val="Hyperlink"/>
          </w:rPr>
          <w:t xml:space="preserve">[28]</w:t>
        </w:r>
      </w:hyperlink>
      <w:r>
        <w:t xml:space="preserve">, and the camera-and-tracker data chains behind anomaly and maneuver detection from two-line-element data in the work of Shorten and colleagues</w:t>
      </w:r>
      <w:r>
        <w:t xml:space="preserve"> </w:t>
      </w:r>
      <w:hyperlink w:anchor="ref-30">
        <w:r>
          <w:rPr>
            <w:rStyle w:val="Hyperlink"/>
          </w:rPr>
          <w:t xml:space="preserve">[30]</w:t>
        </w:r>
      </w:hyperlink>
      <w:r>
        <w:t xml:space="preserve">, populate the detection and association stages with concrete processing tasks whose complexity varies run to run. The orbital-data-precision work of Dolado-Perez and colleagues</w:t>
      </w:r>
      <w:r>
        <w:t xml:space="preserve"> </w:t>
      </w:r>
      <w:hyperlink w:anchor="ref-32">
        <w:r>
          <w:rPr>
            <w:rStyle w:val="Hyperlink"/>
          </w:rPr>
          <w:t xml:space="preserve">[32]</w:t>
        </w:r>
      </w:hyperlink>
      <w:r>
        <w:t xml:space="preserve"> </w:t>
      </w:r>
      <w:r>
        <w:t xml:space="preserve">and the single-track characterization and initial orbit determination of Tsaprailis and colleagues</w:t>
      </w:r>
      <w:r>
        <w:t xml:space="preserve"> </w:t>
      </w:r>
      <w:hyperlink w:anchor="ref-7">
        <w:r>
          <w:rPr>
            <w:rStyle w:val="Hyperlink"/>
          </w:rPr>
          <w:t xml:space="preserve">[7]</w:t>
        </w:r>
      </w:hyperlink>
      <w:r>
        <w:t xml:space="preserve"> </w:t>
      </w:r>
      <w:r>
        <w:t xml:space="preserve">sit at the estimation stage, where association complexity, the count of candidate associations a run must resolve, becomes a measurable covariate. The space-weather forecasting contributions, the foundation-model fusion of Bundgaard and colleagues</w:t>
      </w:r>
      <w:r>
        <w:t xml:space="preserve"> </w:t>
      </w:r>
      <w:hyperlink w:anchor="ref-17">
        <w:r>
          <w:rPr>
            <w:rStyle w:val="Hyperlink"/>
          </w:rPr>
          <w:t xml:space="preserve">[17]</w:t>
        </w:r>
      </w:hyperlink>
      <w:r>
        <w:t xml:space="preserve"> </w:t>
      </w:r>
      <w:r>
        <w:t xml:space="preserve">and the neural-augmented uncertainty propagation for conjunction analysis of Majumder and colleagues</w:t>
      </w:r>
      <w:r>
        <w:t xml:space="preserve"> </w:t>
      </w:r>
      <w:hyperlink w:anchor="ref-21">
        <w:r>
          <w:rPr>
            <w:rStyle w:val="Hyperlink"/>
          </w:rPr>
          <w:t xml:space="preserve">[21]</w:t>
        </w:r>
      </w:hyperlink>
      <w:r>
        <w:t xml:space="preserve">, add upstream data products whose generation imposes its own processing delay. Even the emerging battle-management architectures, such as the AI-enabled system on a quantum-resilient blockchain described by Latif and colleagues</w:t>
      </w:r>
      <w:r>
        <w:t xml:space="preserve"> </w:t>
      </w:r>
      <w:hyperlink w:anchor="ref-20">
        <w:r>
          <w:rPr>
            <w:rStyle w:val="Hyperlink"/>
          </w:rPr>
          <w:t xml:space="preserve">[20]</w:t>
        </w:r>
      </w:hyperlink>
      <w:r>
        <w:t xml:space="preserve">, frame timeliness as an architectural requirement. Across this entire adjacent band, latency is a property to be engineered toward, never a coefficient to be estimated. The literature furnishes a rich vocabulary of stages and workloads and a complete absence of the inferential step that would turn that vocabulary into an attributable budget.</w:t>
      </w:r>
    </w:p>
    <w:bookmarkEnd w:id="72"/>
    <w:bookmarkEnd w:id="73"/>
    <w:bookmarkStart w:id="77" w:name="X755dd9859c6ad0ab884db933c73e685cc4fecf9"/>
    <w:p>
      <w:pPr>
        <w:pStyle w:val="Heading2"/>
        <w:spacing w:line="480" w:lineRule="auto"/>
      </w:pPr>
      <w:r>
        <w:t xml:space="preserve">2.3 The Deep-Space Telecommunications and Operations Literature</w:t>
      </w:r>
    </w:p>
    <w:bookmarkStart w:id="74" w:name="the-light-time-floor-and-the-link-budget"/>
    <w:p>
      <w:pPr>
        <w:pStyle w:val="Heading3"/>
        <w:spacing w:line="480" w:lineRule="auto"/>
      </w:pPr>
      <w:r>
        <w:t xml:space="preserve">2.3.1 The Light-Time Floor and the Link Budget</w:t>
      </w:r>
    </w:p>
    <w:p>
      <w:pPr>
        <w:pStyle w:val="FirstParagraph"/>
        <w:spacing w:line="480" w:lineRule="auto"/>
      </w:pPr>
      <w:r>
        <w:t xml:space="preserve">The planetary-mission half of the domain literature treats latency through a different physical frame but arrives at the same descriptive posture. Here the dominant component is the one-way light-time floor, the irreducible interval fixed by Earth-spacecraft distance and the speed of light, and the engineering conversation is organized around the link budget that governs how fast data can be pushed across that distance. The Voyager telecommunications monograph of Ludwig and Taylor is the canonical reference, documenting downlink at a few hundred bits per second across an interstellar light-time of the better part of a day</w:t>
      </w:r>
      <w:r>
        <w:t xml:space="preserve"> </w:t>
      </w:r>
      <w:hyperlink w:anchor="ref-13">
        <w:r>
          <w:rPr>
            <w:rStyle w:val="Hyperlink"/>
          </w:rPr>
          <w:t xml:space="preserve">[13]</w:t>
        </w:r>
      </w:hyperlink>
      <w:r>
        <w:t xml:space="preserve">. The high-rate Ka-band downlink system that Kobayashi and colleagues designed for the NISAR mission represents the opposite end of the engineering response, raising achievable rate to compress the playback component of latency for a fixed data volume</w:t>
      </w:r>
      <w:r>
        <w:t xml:space="preserve"> </w:t>
      </w:r>
      <w:hyperlink w:anchor="ref-14">
        <w:r>
          <w:rPr>
            <w:rStyle w:val="Hyperlink"/>
          </w:rPr>
          <w:t xml:space="preserve">[14]</w:t>
        </w:r>
      </w:hyperlink>
      <w:r>
        <w:t xml:space="preserve">. Between them lies the recognition, long embedded in mission telecommunications design, that the link budget degrades with the inverse square of range, forcing lower downlink rates precisely where the light-time floor is already highest, so that the two components compound rather than offset</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p>
    <w:p>
      <w:pPr>
        <w:pStyle w:val="BodyText"/>
        <w:spacing w:line="480" w:lineRule="auto"/>
        <w:ind w:firstLine="720"/>
      </w:pPr>
      <w:r>
        <w:t xml:space="preserve">This literature is quantitatively precise about each component in isolation. It will state a downlink rate, an antenna aperture, a one-way light time. What it does not do, any more than the surveillance literature does, is fit those components jointly against observed latency to recover how much each contributes once the others are held fixed. The Deep Space Network traffic literature comes closest to a systems view: Ely and colleagues study the impact of traffic prioritization on network mission traffic, exposing queueing for a tracking pass as a distinct and schedulable source of delay</w:t>
      </w:r>
      <w:r>
        <w:t xml:space="preserve"> </w:t>
      </w:r>
      <w:hyperlink w:anchor="ref-11">
        <w:r>
          <w:rPr>
            <w:rStyle w:val="Hyperlink"/>
          </w:rPr>
          <w:t xml:space="preserve">[11]</w:t>
        </w:r>
      </w:hyperlink>
      <w:r>
        <w:t xml:space="preserve">, and the Lunar Exploration Upgrades documentation frames capacity expansion as a response to contention among simultaneous customers</w:t>
      </w:r>
      <w:r>
        <w:t xml:space="preserve"> </w:t>
      </w:r>
      <w:hyperlink w:anchor="ref-12">
        <w:r>
          <w:rPr>
            <w:rStyle w:val="Hyperlink"/>
          </w:rPr>
          <w:t xml:space="preserve">[12]</w:t>
        </w:r>
      </w:hyperlink>
      <w:r>
        <w:t xml:space="preserve">. These establish that overhead above the light-time floor is real and is driven by contention, but they describe the contention operationally rather than estimating its elasticity.</w:t>
      </w:r>
    </w:p>
    <w:bookmarkEnd w:id="74"/>
    <w:bookmarkStart w:id="75" w:name="Xd00d4eb953a44b2bf78ac7712a246fc549b528c"/>
    <w:p>
      <w:pPr>
        <w:pStyle w:val="Heading3"/>
        <w:spacing w:line="480" w:lineRule="auto"/>
      </w:pPr>
      <w:r>
        <w:t xml:space="preserve">2.3.2 Architecture as a Topology Choice With a Latency Signature</w:t>
      </w:r>
    </w:p>
    <w:p>
      <w:pPr>
        <w:pStyle w:val="FirstParagraph"/>
        <w:spacing w:line="480" w:lineRule="auto"/>
      </w:pPr>
      <w:r>
        <w:t xml:space="preserve">The relay and distributed-architecture literature reframes the pipeline as a topology rather than a single link, and in doing so introduces a design variable, the relay-versus-direct decision, whose latency consequence is asserted but not estimated. Betriu and colleagues assess different relay network topologies for improving Earth-Mars communications, showing that routing a surface asset through an orbiter restructures the pipeline into multiple hops, each with its own contribution to delay</w:t>
      </w:r>
      <w:r>
        <w:t xml:space="preserve"> </w:t>
      </w:r>
      <w:hyperlink w:anchor="ref-15">
        <w:r>
          <w:rPr>
            <w:rStyle w:val="Hyperlink"/>
          </w:rPr>
          <w:t xml:space="preserve">[15]</w:t>
        </w:r>
      </w:hyperlink>
      <w:r>
        <w:t xml:space="preserve">. The agent-based and distributed-mission-management survey of Jabbarpour and colleagues catalogues the methodologies, current practices, and challenges of treating a constellation as a coordinated system, framing topology as a first-class design choice</w:t>
      </w:r>
      <w:r>
        <w:t xml:space="preserve"> </w:t>
      </w:r>
      <w:hyperlink w:anchor="ref-16">
        <w:r>
          <w:rPr>
            <w:rStyle w:val="Hyperlink"/>
          </w:rPr>
          <w:t xml:space="preserve">[16]</w:t>
        </w:r>
      </w:hyperlink>
      <w:r>
        <w:t xml:space="preserve">. The information-routing work of De Angelis and colleagues, using stereographic projection and a static digraph to route within satellite constellations, formalizes the routing decision mathematically</w:t>
      </w:r>
      <w:r>
        <w:t xml:space="preserve"> </w:t>
      </w:r>
      <w:hyperlink w:anchor="ref-25">
        <w:r>
          <w:rPr>
            <w:rStyle w:val="Hyperlink"/>
          </w:rPr>
          <w:t xml:space="preserve">[25]</w:t>
        </w:r>
      </w:hyperlink>
      <w:r>
        <w:t xml:space="preserve">. Each treats architecture as a lever with a latency signature.</w:t>
      </w:r>
    </w:p>
    <w:p>
      <w:pPr>
        <w:pStyle w:val="BodyText"/>
        <w:spacing w:line="480" w:lineRule="auto"/>
        <w:ind w:firstLine="720"/>
      </w:pPr>
      <w:r>
        <w:t xml:space="preserve">The signature, however, is characterized analytically or by simulation, not estimated from cross-mission data with the confounders controlled. The second empirical paper of this dissertation enters precisely here, fitting a log-linear regression of representative data-return latency across twenty-eight missions on distance, downlink rate, aperture, and a relay indicator. Its finding, that distance through the light-time floor dominates while the engineering levers move latency only at the margin, with the relay indicator carrying the expected positive sign but failing to reach significance in the cross-section, is the kind of comparative-static result the architecture literature gestures toward and never computes. The relay literature establishes that topology matters. The instrumented regression establishes how much, relative to the incompressible floor, and under what controls.</w:t>
      </w:r>
    </w:p>
    <w:bookmarkEnd w:id="75"/>
    <w:bookmarkStart w:id="76" w:name="Xed600fd25cf3936da3ffe13ac3e961e049a532b"/>
    <w:p>
      <w:pPr>
        <w:pStyle w:val="Heading3"/>
        <w:spacing w:line="480" w:lineRule="auto"/>
      </w:pPr>
      <w:r>
        <w:t xml:space="preserve">2.3.3 Autonomy and Onboard Triage as the Compressible Lever</w:t>
      </w:r>
    </w:p>
    <w:p>
      <w:pPr>
        <w:pStyle w:val="FirstParagraph"/>
        <w:spacing w:line="480" w:lineRule="auto"/>
      </w:pPr>
      <w:r>
        <w:t xml:space="preserve">A final strand of the operations literature identifies onboard autonomy as the mechanism that attacks the compressible portion of latency by reducing the volume that must traverse the link. The deep-space autonomous-navigation survey of Turan and colleagues is the keystone, surveying the advances that let a spacecraft process and triage data in flight rather than returning everything to the ground</w:t>
      </w:r>
      <w:r>
        <w:t xml:space="preserve"> </w:t>
      </w:r>
      <w:hyperlink w:anchor="ref-8">
        <w:r>
          <w:rPr>
            <w:rStyle w:val="Hyperlink"/>
          </w:rPr>
          <w:t xml:space="preserve">[8]</w:t>
        </w:r>
      </w:hyperlink>
      <w:r>
        <w:t xml:space="preserve">. The autonomous orbital-maintenance approach of Fu and Soldini, using a supervised-learning target-point method, and the autonomous collision-avoidance results from the BEESAT-4 CubeSat reported by Traub and colleagues, demonstrate that decision-making can be pushed onboard with measurable operational benefit</w:t>
      </w:r>
      <w:r>
        <w:t xml:space="preserve"> </w:t>
      </w:r>
      <w:hyperlink w:anchor="ref-9">
        <w:r>
          <w:rPr>
            <w:rStyle w:val="Hyperlink"/>
          </w:rPr>
          <w:t xml:space="preserve">[9]</w:t>
        </w:r>
      </w:hyperlink>
      <w:r>
        <w:t xml:space="preserve">,</w:t>
      </w:r>
      <w:r>
        <w:t xml:space="preserve"> </w:t>
      </w:r>
      <w:hyperlink w:anchor="ref-29">
        <w:r>
          <w:rPr>
            <w:rStyle w:val="Hyperlink"/>
          </w:rPr>
          <w:t xml:space="preserve">[29]</w:t>
        </w:r>
      </w:hyperlink>
      <w:r>
        <w:t xml:space="preserve">. High-accuracy onboard sensing, such as the accelerometer monitoring of JUICE deployment operations described by De Filippis and colleagues</w:t>
      </w:r>
      <w:r>
        <w:t xml:space="preserve"> </w:t>
      </w:r>
      <w:hyperlink w:anchor="ref-31">
        <w:r>
          <w:rPr>
            <w:rStyle w:val="Hyperlink"/>
          </w:rPr>
          <w:t xml:space="preserve">[31]</w:t>
        </w:r>
      </w:hyperlink>
      <w:r>
        <w:t xml:space="preserve">, shows the data richness that onboard autonomy can exploit.</w:t>
      </w:r>
    </w:p>
    <w:p>
      <w:pPr>
        <w:pStyle w:val="BodyText"/>
        <w:spacing w:line="480" w:lineRule="auto"/>
        <w:ind w:firstLine="720"/>
      </w:pPr>
      <w:r>
        <w:t xml:space="preserve">This strand connects the planetary and the surveillance halves of the domain literature, because onboard triage is the same architectural move, relocating computation off the ground, that the edge-computing surveillance literature proposes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Both halves justify the move by a latency argument; neither tests the argument against a confounder-adjusted estimate. The dissertation’s first paper finds that the onboard locus coefficient, although correctly negative in sign, does not survive controls for volume and the batch-processing regime, implying that the apparent onboard advantage in raw comparisons is in substantial part an artifact of the lighter workloads onboard systems carry. The autonomy literature supplies the mechanism and the motivation; the instrumented regression supplies the test the mechanism had never been subjected to.</w:t>
      </w:r>
    </w:p>
    <w:bookmarkEnd w:id="76"/>
    <w:bookmarkEnd w:id="77"/>
    <w:bookmarkStart w:id="81" w:name="X07fe73e594277fc276c6392b9242153367417e1"/>
    <w:p>
      <w:pPr>
        <w:pStyle w:val="Heading2"/>
        <w:spacing w:line="480" w:lineRule="auto"/>
      </w:pPr>
      <w:r>
        <w:t xml:space="preserve">2.4 The Cliometric and Econometric Methodology Literature</w:t>
      </w:r>
    </w:p>
    <w:bookmarkStart w:id="78" w:name="the-instrumented-regression-apparatus"/>
    <w:p>
      <w:pPr>
        <w:pStyle w:val="Heading3"/>
        <w:spacing w:line="480" w:lineRule="auto"/>
      </w:pPr>
      <w:r>
        <w:t xml:space="preserve">2.4.1 The Instrumented-Regression Apparatus</w:t>
      </w:r>
    </w:p>
    <w:p>
      <w:pPr>
        <w:pStyle w:val="FirstParagraph"/>
        <w:spacing w:line="480" w:lineRule="auto"/>
      </w:pPr>
      <w:r>
        <w:t xml:space="preserve">The second of the two unjoined literatures is the methodological tradition this dissertation imports. It is the discipline of cliometric and econometric estimation: specifying a structural equation for an outcome that varies across observed units, fitting it by ordinary least squares, defending the coefficient of interest against the confounders that select units into their treatment condition, and reporting that coefficient with a heteroskedasticity-robust standard error and a single pre-committed decision rule. This apparatus is not represented as a body of cited sources in the domain corpus, because the domain literature does not cite it; that absence is itself the gap. The methodology enters the dissertation as a transferable inferential technology rather than as a domain finding, and its presence is what distinguishes the dissertation’s two papers from every engineering demonstration reviewed above.</w:t>
      </w:r>
    </w:p>
    <w:p>
      <w:pPr>
        <w:pStyle w:val="BodyText"/>
        <w:spacing w:line="480" w:lineRule="auto"/>
        <w:ind w:firstLine="720"/>
      </w:pPr>
      <w:r>
        <w:t xml:space="preserve">The defining commitments of the apparatus are three. First, an outcome is treated as a dependent variable generated by a specifiable process, not as a descriptive number, so that latency becomes the left-hand side of an estimating equation rather than a figure of merit. Second, the variables that travel with the treatment of interest are explicitly modelled as right-hand-side controls, so that the treatment coefficient is identified net of the workload and regime that select into it; this is the move the domain literature never makes when it juxtaposes onboard and ground latencies on systematically different workloads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Third, inference is disciplined by a falsifiable decision rule fixed before estimation, a sign-and-significance test on a single coefficient, so that the study can be wrong in a specified way rather than merely descriptive in an unfalsifiable one.</w:t>
      </w:r>
    </w:p>
    <w:bookmarkEnd w:id="78"/>
    <w:bookmarkStart w:id="79" w:name="X4f96cda62b2103529a98487c2f69d9da753d9aa"/>
    <w:p>
      <w:pPr>
        <w:pStyle w:val="Heading3"/>
        <w:spacing w:line="480" w:lineRule="auto"/>
      </w:pPr>
      <w:r>
        <w:t xml:space="preserve">2.4.2 Functional Form and the Elasticity Decomposition</w:t>
      </w:r>
    </w:p>
    <w:p>
      <w:pPr>
        <w:pStyle w:val="FirstParagraph"/>
        <w:spacing w:line="480" w:lineRule="auto"/>
      </w:pPr>
      <w:r>
        <w:t xml:space="preserve">The methodological literature also supplies the choice of functional form, and that choice carries inferential content the domain literature has no apparatus to express. The second empirical paper adopts a log-linear specification in which distance and downlink rate enter in natural logarithms while aperture and the relay indicator enter in levels. The log-log form renders the coefficients on distance and rate as elasticities, the percentage change in latency associated with a one-percent change in the regressor, and the level terms as semi-elasticities. This is a standard cliometric move, and it is precisely the move that converts the link-budget physics of the telecommunications literature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w:t>
      </w:r>
      <w:r>
        <w:t xml:space="preserve">into a comparative-static statement. The inverse-square degradation of the link budget with range is, in the engineering literature, a design fact; in the log-linear regression it becomes an estimated elasticity near 0.74 on distance, a number that separates the incompressible light-time floor from the compressible overhead in a single coefficient.</w:t>
      </w:r>
    </w:p>
    <w:p>
      <w:pPr>
        <w:pStyle w:val="BodyText"/>
        <w:spacing w:line="480" w:lineRule="auto"/>
        <w:ind w:firstLine="720"/>
      </w:pPr>
      <w:r>
        <w:t xml:space="preserve">The elasticity decomposition is the methodological payload. It answers a question the engineering literature poses constantly and never quantifies: of the latency a planner observes, how much is physics and how much is purchasable. The finding that the distance elasticity is large, tight, and decisive while the downlink-rate, aperture, and relay coefficients are second-order and largely indistinguishable from zero is a separation of the compressible from the incompressible that no descriptive characterization could have produced</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The functional form is not a cosmetic choice; it is the inferential instrument that makes the separation visible.</w:t>
      </w:r>
    </w:p>
    <w:bookmarkEnd w:id="79"/>
    <w:bookmarkStart w:id="80" w:name="X7a4237acb0d39c9201c51d5b9a58dc04e055be8"/>
    <w:p>
      <w:pPr>
        <w:pStyle w:val="Heading3"/>
        <w:spacing w:line="480" w:lineRule="auto"/>
      </w:pPr>
      <w:r>
        <w:t xml:space="preserve">2.4.3 Identification, Fixed Effects, and Robust Inference</w:t>
      </w:r>
    </w:p>
    <w:p>
      <w:pPr>
        <w:pStyle w:val="FirstParagraph"/>
        <w:spacing w:line="480" w:lineRule="auto"/>
      </w:pPr>
      <w:r>
        <w:t xml:space="preserve">The deepest contribution of the methodology literature is its treatment of identification, the defense of a causal reading against confounding. The first empirical paper confronts the central confound of the surveillance literature directly: processing locus is not randomly assigned, because onboard systems are deployed on lighter workloads while ground systems absorb high-volume survey loads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The methodological response is to control for the workload covariates that drive selection into locus, frame volume, association complexity, queue load, and to enter the dominant ground batch-processing paradigm as a fixed effect, so that the locus coefficient is identified net of the regime rather than absorbing it. The fixed-effect device is a borrowed instrument; it has no analog in the engineering reports, which lack any mechanism for differencing out a paradigm to isolate a single design variable.</w:t>
      </w:r>
    </w:p>
    <w:p>
      <w:pPr>
        <w:pStyle w:val="BodyText"/>
        <w:spacing w:line="480" w:lineRule="auto"/>
        <w:ind w:firstLine="720"/>
      </w:pPr>
      <w:r>
        <w:t xml:space="preserve">Robust inference completes the apparatus. The long right tail characteristic of queued processing latency, and the wide dispersion of distance and rate across mission classes, both threaten the validity of ordinary standard errors, so the estimator is paired with heteroskedasticity-consistent standard errors in both papers. This is the methodological literature’s standard guard against a tail inflating apparent precision, and it is what allows the first paper to report honestly that the onboard locus coefficient, though negative, cannot be distinguished from sampling noise once volume and the batch fixed effect are removed from it. A descriptive characterization would have read the negative point estimate as a finding; the robust, identified regression reads it correctly as an interval that comfortably spans zero. The discipline of reporting the standard error alongside the coefficient, and of pre-committing to the decision rule the standard error feeds, is the cliometric contribution that the domain literature most conspicuously lacks.</w:t>
      </w:r>
    </w:p>
    <w:bookmarkEnd w:id="80"/>
    <w:bookmarkEnd w:id="81"/>
    <w:bookmarkStart w:id="82" w:name="Xe8d6ba74cfe4387cc10c208172a0e3ec680938b"/>
    <w:p>
      <w:pPr>
        <w:pStyle w:val="Heading2"/>
        <w:spacing w:line="480" w:lineRule="auto"/>
      </w:pPr>
      <w:r>
        <w:t xml:space="preserve">2.5 Synthesis: Why the Two Literatures Have Not Met</w:t>
      </w:r>
    </w:p>
    <w:p>
      <w:pPr>
        <w:pStyle w:val="FirstParagraph"/>
        <w:spacing w:line="480" w:lineRule="auto"/>
      </w:pPr>
      <w:r>
        <w:t xml:space="preserve">The two literatures reviewed above have evolved in parallel and have not made contact, and the reasons are structural rather than accidental. The domain literature is a conference and mission-report record whose unit of currency is the demonstrated capability: a system that processes this many frames</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holds custody at this rate</w:t>
      </w:r>
      <w:r>
        <w:t xml:space="preserve"> </w:t>
      </w:r>
      <w:hyperlink w:anchor="ref-5">
        <w:r>
          <w:rPr>
            <w:rStyle w:val="Hyperlink"/>
          </w:rPr>
          <w:t xml:space="preserve">[5]</w:t>
        </w:r>
      </w:hyperlink>
      <w:r>
        <w:t xml:space="preserve">, reduces data onboard in near-real-time</w:t>
      </w:r>
      <w:r>
        <w:t xml:space="preserve"> </w:t>
      </w:r>
      <w:hyperlink w:anchor="ref-3">
        <w:r>
          <w:rPr>
            <w:rStyle w:val="Hyperlink"/>
          </w:rPr>
          <w:t xml:space="preserve">[3]</w:t>
        </w:r>
      </w:hyperlink>
      <w:r>
        <w:t xml:space="preserve">, or downlinks at this rate across this distance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Its evidentiary standard is that the system works and the number is real. The methodological literature’s unit of currency is the identified coefficient, and its evidentiary standard is that the estimate survives the controls that confounding requires. These are different epistemic cultures with different notions of what counts as a result, and they publish in different venues to different audiences. The surveillance engineer reports to a proceedings concerned with whether the sensor performs; the cliometric analyst reports to a discipline concerned with whether the inference is identified. Nothing in the incentive structure of either community has pushed them together.</w:t>
      </w:r>
    </w:p>
    <w:p>
      <w:pPr>
        <w:pStyle w:val="BodyText"/>
        <w:spacing w:line="480" w:lineRule="auto"/>
        <w:ind w:firstLine="720"/>
      </w:pPr>
      <w:r>
        <w:t xml:space="preserve">The cost of the separation is specific and recoverable. The domain literature collects, as a matter of course, every variable an instrumented regression of latency would require. It records frame volume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it records the processing regime</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 it records the processing locus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it records distance, downlink rate, aperture, and architecture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It records the outcome, latency, as well, though it reports it as a lumped scalar</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What it does not do is assemble these into an estimating equation and fit the equation. The data for the causal study exist, scattered across the proceedings and the monographs; the inferential step that would convert them into an attributable budget has simply never been taken, because the community that owns the data does not practice the method and the community that owns the method does not study the data. The dissertation’s contribution is to perform the join.</w:t>
      </w:r>
    </w:p>
    <w:p>
      <w:pPr>
        <w:pStyle w:val="BodyText"/>
        <w:spacing w:line="480" w:lineRule="auto"/>
        <w:ind w:firstLine="720"/>
      </w:pPr>
      <w:r>
        <w:t xml:space="preserve">This synthesis also clarifies why the join is non-trivial and not merely a matter of running a regression on existing numbers. The confounding that the methodology literature is built to address is exactly the confounding the domain literature’s comparisons embody. When the surveillance record juxtaposes a fast onboard system against a slow ground survey</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it compares units that differ not only in locus but in workload and regime, and the apparent locus advantage is contaminated by that difference. A naive transfer of the descriptive numbers into a comparison would inherit the contamination. The methodological apparatus is required precisely to break it, through the workload controls and the batch fixed effect that let the locus coefficient be read net of the regime. The join is therefore not arithmetic; it is the application of an identification strategy to a corpus that has never been subjected to one.</w:t>
      </w:r>
    </w:p>
    <w:bookmarkEnd w:id="82"/>
    <w:bookmarkStart w:id="83" w:name="the-gap-and-the-estimand"/>
    <w:p>
      <w:pPr>
        <w:pStyle w:val="Heading2"/>
        <w:spacing w:line="480" w:lineRule="auto"/>
      </w:pPr>
      <w:r>
        <w:t xml:space="preserve">2.6 The Gap and the Estimand</w:t>
      </w:r>
    </w:p>
    <w:p>
      <w:pPr>
        <w:pStyle w:val="FirstParagraph"/>
        <w:spacing w:line="480" w:lineRule="auto"/>
      </w:pPr>
      <w:r>
        <w:t xml:space="preserve">The gap that the two reviewed literatures leave open can now be stated with precision. It is not a missing system, a missing dataset, or a missing capability; the surveillance and planetary records are rich in all three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The gap is a missing estimand. No source in the domain corpus reports the marginal, confounder-adjusted effect of a pipeline design choice on latency. Latency is reported as a descriptive scalar attached to one architecture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throughput is characterized in isolation from per-product delay</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22">
        <w:r>
          <w:rPr>
            <w:rStyle w:val="Hyperlink"/>
          </w:rPr>
          <w:t xml:space="preserve">[22]</w:t>
        </w:r>
      </w:hyperlink>
      <w:r>
        <w:t xml:space="preserve">; and where architectures are compared, they are compared through engineering demonstration rather than through an identification strategy that controls for the workload selecting into the design choice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0">
        <w:r>
          <w:rPr>
            <w:rStyle w:val="Hyperlink"/>
          </w:rPr>
          <w:t xml:space="preserve">[10]</w:t>
        </w:r>
      </w:hyperlink>
      <w:r>
        <w:t xml:space="preserve">. The planetary half of the corpus exhibits the same omission in the telecommunications register, treating the link budget and the relay topology as design facts rather than as estimated elasticities</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The methodological literature, for its part, possesses the apparatus to supply the missing estimand and has never been pointed at this phenomenon.</w:t>
      </w:r>
    </w:p>
    <w:p>
      <w:pPr>
        <w:pStyle w:val="BodyText"/>
        <w:spacing w:line="480" w:lineRule="auto"/>
        <w:ind w:firstLine="720"/>
      </w:pPr>
      <w:r>
        <w:t xml:space="preserve">The dissertation closes the gap by defining the estimand and estimating it twice, in the two complementary registers the two halves of the domain literature demand. In the surveillance register, the estimand is the coefficient on the processing-locus indicator in a regression of per-product latency on locus, frame volume, association complexity, queue load, and a ground batch-processing fixed effect; the falsifiable claim is that this coefficient is a significant negative driver once the controls are imposed, and the first empirical paper finds that it is not, that the latency of these pipelines lives in their volume and their batch regime rather than in where computation happens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In the planetary register, the estimand is the elasticity of data-return latency with respect to Earth-spacecraft distance in a log-linear regression that also controls for downlink rate, aperture, and relay architecture; the falsifiable claim is that this elasticity is large and positive, and the second empirical paper finds that it is, near 0.74 and decisive, while the purchasable engineering levers move latency only at the margin</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Each estimand is a single coefficient with a single decision rule, not a basket of exploratory correlations, and each is recovered from data the domain literature already collected but had never modelled.</w:t>
      </w:r>
    </w:p>
    <w:p>
      <w:pPr>
        <w:pStyle w:val="BodyText"/>
        <w:spacing w:line="480" w:lineRule="auto"/>
        <w:ind w:firstLine="720"/>
      </w:pPr>
      <w:r>
        <w:t xml:space="preserve">The two estimands are complementary rather than redundant. The surveillance estimand asks where, within a ground-or-onboard processing chain, the controllable delay accumulates, and answers that it accumulates in throughput volume and the batch paradigm rather than in the locus of computation. The planetary estimand asks how much of cross-mission latency is incompressible physics and how much is purchasable engineering, and answers that the light-time floor dominates while the levers are second-order. Together they convert latency, across both halves of the domain, from an opaque figure of merit into an attributable budget, and they do so by importing into a descriptive engineering corpus the identification, functional-form, and robust-inference apparatus of a methodological literature the corpus had never cited. That importation, the join of the domain-technical and the cliometric-econometric traditions, is the gap this dissertation was written to fill, and the two empirical papers reviewed in the chapters that follow are the instrument with which it fills it.</w:t>
      </w:r>
    </w:p>
    <w:bookmarkEnd w:id="83"/>
    <w:bookmarkEnd w:id="84"/>
    <w:bookmarkStart w:id="102" w:name="Xcfcc00a3ded59aed0c781c16bfc121f2a509603"/>
    <w:p>
      <w:pPr>
        <w:pStyle w:val="Heading1"/>
        <w:spacing w:line="480" w:lineRule="auto"/>
      </w:pPr>
      <w:r>
        <w:t xml:space="preserve">Chapter 3. Theoretical Framework and Hypotheses</w:t>
      </w:r>
    </w:p>
    <w:bookmarkStart w:id="85" w:name="X7952a9a12a3b62773788c2f7c400bcc4374412a"/>
    <w:p>
      <w:pPr>
        <w:pStyle w:val="Heading2"/>
        <w:spacing w:line="480" w:lineRule="auto"/>
      </w:pPr>
      <w:r>
        <w:t xml:space="preserve">3.1 From a Lumped Scalar to a Generative Model</w:t>
      </w:r>
    </w:p>
    <w:p>
      <w:pPr>
        <w:pStyle w:val="FirstParagraph"/>
        <w:spacing w:line="480" w:lineRule="auto"/>
      </w:pPr>
      <w:r>
        <w:t xml:space="preserve">The literature reviewed in Chapter 2 leaves the dissertation with a single inferential task: to convert a quantity that the domain corpus reports as an opaque figure of merit into a quantity generated by a model whose parts can be estimated and tested. This chapter performs the theoretical half of that conversion. It estimates nothing yet. Its purpose is to state, in advance of any data, the mechanism by which end-to-end pipeline latency is produced, the causal logic that links observable design choices to that latency through identifiable channels, and the formal hypotheses H0 and H1 that the empirical chapters will subject to a single pre-committed decision rule.</w:t>
      </w:r>
    </w:p>
    <w:p>
      <w:pPr>
        <w:pStyle w:val="BodyText"/>
        <w:spacing w:line="480" w:lineRule="auto"/>
        <w:ind w:firstLine="720"/>
      </w:pPr>
      <w:r>
        <w:t xml:space="preserve">The starting premise is that latency is not a primitive. It is the wall-clock interval between an observation timestamp and a product-ready timestamp. That interval is the sum of the time consumed by an ordered sequence of processing operations, each of which has a duration that depends on the work it is asked to do and the conditions under which it does it. When the domain literature reports latency as a lumped scalar attached to one architecture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it reports the sum and discards the addends. The theoretical move that organizes this dissertation is to refuse that discarding: to treat latency as a sum whose terms are generated by a specifiable process, so that the question of which design choice drives the delay becomes the question of which term that choice enters and with what sign. A figure of merit cannot be interrogated this way. A generative model can. Everything that follows is the construction of that generative model and the derivation of the falsifiable claims it licenses.</w:t>
      </w:r>
    </w:p>
    <w:p>
      <w:pPr>
        <w:pStyle w:val="BodyText"/>
        <w:spacing w:line="480" w:lineRule="auto"/>
        <w:ind w:firstLine="720"/>
      </w:pPr>
      <w:r>
        <w:t xml:space="preserve">The construction proceeds in three movements. Section 3.2 builds the stage-additive decomposition that gives latency its internal structure and fixes the covariates the regression will use, establishing that the covariates are not arbitrary regressors but the observable shadows of the mechanism that produces delay. Section 3.3 states the causal logic, distinguishing the channels through which a design choice can move latency from the confounding paths through which an apparent effect can be manufactured by the workload that travels with the choice. Section 3.4 specializes the framework to the ground-segment regime and derives the locus hypotheses. Section 3.5 specializes it to the deep-space regime and derives the distance and rate hypotheses. Section 3.6 states the formal hypotheses H0 and H1 in their decision-rule form and fixes the conditions under which the contribution is falsified.</w:t>
      </w:r>
    </w:p>
    <w:bookmarkEnd w:id="85"/>
    <w:bookmarkStart w:id="89" w:name="the-stage-additive-decomposition"/>
    <w:p>
      <w:pPr>
        <w:pStyle w:val="Heading2"/>
        <w:spacing w:line="480" w:lineRule="auto"/>
      </w:pPr>
      <w:r>
        <w:t xml:space="preserve">3.2 The Stage-Additive Decomposition</w:t>
      </w:r>
    </w:p>
    <w:bookmarkStart w:id="86" w:name="X4f58ae46f25f60572cbee5c6d3ea58693d8535e"/>
    <w:p>
      <w:pPr>
        <w:pStyle w:val="Heading3"/>
        <w:spacing w:line="480" w:lineRule="auto"/>
      </w:pPr>
      <w:r>
        <w:t xml:space="preserve">3.2.1 The Pipeline as an Ordered Chain of Timed Operations</w:t>
      </w:r>
    </w:p>
    <w:p>
      <w:pPr>
        <w:pStyle w:val="FirstParagraph"/>
        <w:spacing w:line="480" w:lineRule="auto"/>
      </w:pPr>
      <w:r>
        <w:t xml:space="preserve">A planetary or space-surveillance data pipeline converts a raw detector frame into a calibrated, catalogued product through a chain of operations that the domain literature renders visible whenever it documents a reduction system. The automated detection and sky-position-extraction pipeline of Rood and colleagues exposes the front of the chain, the ingest of frames and their reduction to astrometric positions</w:t>
      </w:r>
      <w:r>
        <w:t xml:space="preserve"> </w:t>
      </w:r>
      <w:hyperlink w:anchor="ref-4">
        <w:r>
          <w:rPr>
            <w:rStyle w:val="Hyperlink"/>
          </w:rPr>
          <w:t xml:space="preserve">[4]</w:t>
        </w:r>
      </w:hyperlink>
      <w:r>
        <w:t xml:space="preserve">. The optical-system throughput and data-reduction characterization of the Eugene Stansbery Meter Class Autonomous Telescope documents the same structure for an autonomous instrument, from frame capture through reduced astrometric and photometric products</w:t>
      </w:r>
      <w:r>
        <w:t xml:space="preserve"> </w:t>
      </w:r>
      <w:hyperlink w:anchor="ref-6">
        <w:r>
          <w:rPr>
            <w:rStyle w:val="Hyperlink"/>
          </w:rPr>
          <w:t xml:space="preserve">[6]</w:t>
        </w:r>
      </w:hyperlink>
      <w:r>
        <w:t xml:space="preserve">. The adaptation of a planetary-science observational facility for space-situational awareness by Bland and the Desert Fireball Network team makes the stage boundaries explicit, because a repurposed chain must be reassembled stage by stage to serve a new product</w:t>
      </w:r>
      <w:r>
        <w:t xml:space="preserve"> </w:t>
      </w:r>
      <w:hyperlink w:anchor="ref-19">
        <w:r>
          <w:rPr>
            <w:rStyle w:val="Hyperlink"/>
          </w:rPr>
          <w:t xml:space="preserve">[19]</w:t>
        </w:r>
      </w:hyperlink>
      <w:r>
        <w:t xml:space="preserve">. Across these sources the same ordered sequence recurs, and it is the sequence the dissertation adopts as its mechanistic substrate: ingest, calibration and reduction, detection and extraction, association, and estimation.</w:t>
      </w:r>
    </w:p>
    <w:p>
      <w:pPr>
        <w:pStyle w:val="BodyText"/>
        <w:spacing w:line="480" w:lineRule="auto"/>
        <w:ind w:firstLine="720"/>
      </w:pPr>
      <w:r>
        <w:t xml:space="preserve">The theoretical content of this sequence is that it is ordered and that each stage consumes time before passing its output to the next. Let the pipeline process a run that emits a product, and let the run pass through stages indexed by s. The end-to-end latency of the product is then the sum of the per-stage durations plus any time the product spends waiting in a queue between stages. Formally,</w:t>
      </w:r>
    </w:p>
    <w:p>
      <w:pPr>
        <w:pStyle w:val="BodyText"/>
        <w:spacing w:line="480" w:lineRule="auto"/>
        <w:ind w:firstLine="720"/>
      </w:pPr>
      <w:r>
        <w:t xml:space="preserve">latency = sum over s of ( t_compute,s + t_queue,s ),</w:t>
      </w:r>
    </w:p>
    <w:p>
      <w:pPr>
        <w:pStyle w:val="BodyText"/>
        <w:spacing w:line="480" w:lineRule="auto"/>
        <w:ind w:firstLine="720"/>
      </w:pPr>
      <w:r>
        <w:t xml:space="preserve">where t_compute,s is the time stage s spends computing on the work it is given and t_queue,s is the time the product waits before stage s can begin. This identity is not an assumption to be tested. It is a definition of what the outcome is. Its value is that it separates the two physically distinct ways a stage can add delay, computation and waiting, and it is the separation of these two that the causal logic of Section 3.3 will exploit. The domain literature, by reporting only the left-hand side, has never had to confront the right.</w:t>
      </w:r>
    </w:p>
    <w:bookmarkEnd w:id="86"/>
    <w:bookmarkStart w:id="87" w:name="what-drives-each-stage-duration"/>
    <w:p>
      <w:pPr>
        <w:pStyle w:val="Heading3"/>
        <w:spacing w:line="480" w:lineRule="auto"/>
      </w:pPr>
      <w:r>
        <w:t xml:space="preserve">3.2.2 What Drives Each Stage Duration</w:t>
      </w:r>
    </w:p>
    <w:p>
      <w:pPr>
        <w:pStyle w:val="FirstParagraph"/>
        <w:spacing w:line="480" w:lineRule="auto"/>
      </w:pPr>
      <w:r>
        <w:t xml:space="preserve">The decomposition acquires explanatory force once each stage duration is written as a function of the variables that govern it. Two families of variable govern stage durations across the corpus, and the coding protocol that accompanies the decomposition assigns each its measurable form.</w:t>
      </w:r>
    </w:p>
    <w:p>
      <w:pPr>
        <w:pStyle w:val="BodyText"/>
        <w:spacing w:line="480" w:lineRule="auto"/>
        <w:ind w:firstLine="720"/>
      </w:pPr>
      <w:r>
        <w:t xml:space="preserve">The first family is workload. A stage spends more time computing when it is given more work, and the throughput literature measures the work directly even though it never connects that measurement to delay</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22">
        <w:r>
          <w:rPr>
            <w:rStyle w:val="Hyperlink"/>
          </w:rPr>
          <w:t xml:space="preserve">[22]</w:t>
        </w:r>
      </w:hyperlink>
      <w:r>
        <w:t xml:space="preserve">. The volume of frames a run processes governs the compute time of the ingest, calibration, and detection stages, because each frame must be read, corrected, and searched; Rood and colleagues characterize a pipeline by the count of images it processes precisely because that count is the work the front of the chain must do</w:t>
      </w:r>
      <w:r>
        <w:t xml:space="preserve"> </w:t>
      </w:r>
      <w:hyperlink w:anchor="ref-4">
        <w:r>
          <w:rPr>
            <w:rStyle w:val="Hyperlink"/>
          </w:rPr>
          <w:t xml:space="preserve">[4]</w:t>
        </w:r>
      </w:hyperlink>
      <w:r>
        <w:t xml:space="preserve">. The complexity of the association problem governs the compute time of the association and estimation stages, because the number of candidate associations a run must resolve determines how many hypotheses the chain must test before it emits a track; the single-track characterization and initial-orbit-determination work of Tsaprailis and colleagues</w:t>
      </w:r>
      <w:r>
        <w:t xml:space="preserve"> </w:t>
      </w:r>
      <w:hyperlink w:anchor="ref-7">
        <w:r>
          <w:rPr>
            <w:rStyle w:val="Hyperlink"/>
          </w:rPr>
          <w:t xml:space="preserve">[7]</w:t>
        </w:r>
      </w:hyperlink>
      <w:r>
        <w:t xml:space="preserve"> </w:t>
      </w:r>
      <w:r>
        <w:t xml:space="preserve">and the anomaly-and-maneuver detection from two-line-element data of Shorten and colleagues</w:t>
      </w:r>
      <w:r>
        <w:t xml:space="preserve"> </w:t>
      </w:r>
      <w:hyperlink w:anchor="ref-30">
        <w:r>
          <w:rPr>
            <w:rStyle w:val="Hyperlink"/>
          </w:rPr>
          <w:t xml:space="preserve">[30]</w:t>
        </w:r>
      </w:hyperlink>
      <w:r>
        <w:t xml:space="preserve"> </w:t>
      </w:r>
      <w:r>
        <w:t xml:space="preserve">both sit at this stage, where association complexity is a measurable run-to-run covariate. The concurrent load on the pipeline governs the queue time across all stages, because a product waits longer when other products contend for the same processing resources; the Deep Space Network traffic literature exposes exactly this contention as a distinct and schedulable source of delay</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The second family is design. Holding workload fixed, two stages that do the same work can consume different durations because they are configured differently, and it is the difference attributable to configuration, net of workload, that the dissertation is built to estimate. The processing locus, whether a stage runs onboard or at the edge versus on the ground, is the design variable the surveillance literature foregrounds, because onboard electro-optical reduction is advanced precisely as a way to shorten the ground-and-downlink portion of the chain</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The processing paradigm, whether a stage runs in a streaming mode or in a queued nightly-batch mode, is a second design variable, because a batch regime imposes a structural wait that a streaming regime does not, independent of the compute time the stage requires. These two design variables are the levers an architect actually pulls, and the central theoretical claim of the dissertation is that their effect on latency can be isolated from the workload that ordinarily travels with them.</w:t>
      </w:r>
    </w:p>
    <w:bookmarkEnd w:id="87"/>
    <w:bookmarkStart w:id="88" w:name="Xd9de956f36e934347515cc11d5170a0691aa26e"/>
    <w:p>
      <w:pPr>
        <w:pStyle w:val="Heading3"/>
        <w:spacing w:line="480" w:lineRule="auto"/>
      </w:pPr>
      <w:r>
        <w:t xml:space="preserve">3.2.3 Why the Covariates Are Mechanism, Not Convenience</w:t>
      </w:r>
    </w:p>
    <w:p>
      <w:pPr>
        <w:pStyle w:val="FirstParagraph"/>
        <w:spacing w:line="480" w:lineRule="auto"/>
      </w:pPr>
      <w:r>
        <w:t xml:space="preserve">The decomposition matters because it establishes that the regression covariates are not a convenience sample of available numbers but the observable shadows of the generative mechanism. Frame volume enters the regression because it is the work that governs front-of-chain compute time; association complexity enters because it is the work that governs back-of-chain compute time; queue load enters because it is the contention that governs cross-stage wait time; the batch fixed effect enters because the queued paradigm imposes a structural wait; and the locus indicator enters because it is the design choice whose latency effect the literature asserts and never tests. Each covariate corresponds to a term in the stage-additive identity of Section 3.2.1, and the regression is therefore not a fishing expedition across whatever the proceedings happen to record but a fitted version of the mechanism the decomposition specifies. This correspondence is what lets the empirical chapters read a coefficient as a comparative static rather than a correlation: the coefficient on locus estimates how much latency changes when the design choice moves and the workload terms are held fixed, which is meaningful only because the workload terms are the very terms through which workload would otherwise contaminate the comparison.</w:t>
      </w:r>
    </w:p>
    <w:bookmarkEnd w:id="88"/>
    <w:bookmarkEnd w:id="89"/>
    <w:bookmarkStart w:id="93" w:name="the-causal-logic"/>
    <w:p>
      <w:pPr>
        <w:pStyle w:val="Heading2"/>
        <w:spacing w:line="480" w:lineRule="auto"/>
      </w:pPr>
      <w:r>
        <w:t xml:space="preserve">3.3 The Causal Logic</w:t>
      </w:r>
    </w:p>
    <w:bookmarkStart w:id="90" w:name="X41b4cad982970e3b98de3ffe8c52e1da5057223"/>
    <w:p>
      <w:pPr>
        <w:pStyle w:val="Heading3"/>
        <w:spacing w:line="480" w:lineRule="auto"/>
      </w:pPr>
      <w:r>
        <w:t xml:space="preserve">3.3.1 The Channel: How a Design Choice Can Move Latency</w:t>
      </w:r>
    </w:p>
    <w:p>
      <w:pPr>
        <w:pStyle w:val="FirstParagraph"/>
        <w:spacing w:line="480" w:lineRule="auto"/>
      </w:pPr>
      <w:r>
        <w:t xml:space="preserve">The causal logic of the framework distinguishes the channel through which a design choice genuinely moves latency from the confounding path through which an apparent movement is manufactured. The channel is the mechanism the decomposition makes visible. A design choice moves latency when it changes a stage duration in the additive sum, and the surveillance literature names the channel each design variable is supposed to use. The processing locus is supposed to move latency through the ground-and-downlink term: relocating a reduction stage onboard removes the downlink-then-ground portion of the chain, which onboard processing is advanced to escape, and recovers the real-time feedback the ground chain cannot deliver</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The processing paradigm is supposed to move latency through the queue term: replacing a nightly-batch reduction with a streaming one removes the structural wait that the batch regime imposes between observation and reduction. These are real channels. The framework does not deny that a design choice can use them. It insists only that whether a given choice uses its channel, and by how much, is an empirical question to be answered by an estimated coefficient rather than a design fact to be asserted.</w:t>
      </w:r>
    </w:p>
    <w:p>
      <w:pPr>
        <w:pStyle w:val="BodyText"/>
        <w:spacing w:line="480" w:lineRule="auto"/>
        <w:ind w:firstLine="720"/>
      </w:pPr>
      <w:r>
        <w:t xml:space="preserve">The deep-space regime supplies a channel of a different character, one that is physical rather than configurational. Data-return latency decomposes into a one-way light-time floor, fixed by Earth-spacecraft distance and the speed of light, and an accumulation of overhead above that floor, comprising queueing for a tracking pass, buffering and playback at a finite downlink rate, and ground processing</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The light-time floor is a channel no engineering can close: distance moves latency through a term that is incompressible by construction. The downlink rate is a channel that engineering can open: a higher-rate link shortens the playback component of the overhead for a fixed data volume, and adaptive data-rate schemes trade rate against distance-driven margin explicitly</w:t>
      </w:r>
      <w:r>
        <w:t xml:space="preserve"> </w:t>
      </w:r>
      <w:hyperlink w:anchor="ref-14">
        <w:r>
          <w:rPr>
            <w:rStyle w:val="Hyperlink"/>
          </w:rPr>
          <w:t xml:space="preserve">[14]</w:t>
        </w:r>
      </w:hyperlink>
      <w:r>
        <w:t xml:space="preserve">. The relay architecture is a channel that restructures the pipeline into multiple hops, each adding overhead</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The theoretical distinction between the compressible overhead and the incompressible floor is the deep-space analog of the surveillance distinction between configurable stage duration and the workload that drives it, and in both regimes the framework’s task is to estimate how much of the observed latency flows through the channel a design choice can actually use.</w:t>
      </w:r>
    </w:p>
    <w:bookmarkEnd w:id="90"/>
    <w:bookmarkStart w:id="91" w:name="X39198f86f3e9e57edb721892addc568a6666603"/>
    <w:p>
      <w:pPr>
        <w:pStyle w:val="Heading3"/>
        <w:spacing w:line="480" w:lineRule="auto"/>
      </w:pPr>
      <w:r>
        <w:t xml:space="preserve">3.3.2 The Confound: How an Apparent Effect Is Manufactured</w:t>
      </w:r>
    </w:p>
    <w:p>
      <w:pPr>
        <w:pStyle w:val="FirstParagraph"/>
        <w:spacing w:line="480" w:lineRule="auto"/>
      </w:pPr>
      <w:r>
        <w:t xml:space="preserve">The reason the channel cannot be read off the raw comparison is that the design choice is not randomly assigned, so a path other than the channel connects the choice to the outcome. In the surveillance regime the confounding path runs through workload. Onboard and edge systems are deployed on lighter platforms that carry lighter loads, while ground systems absorb high-volume survey loads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A system’s locus is therefore correlated with its workload, and its workload drives its latency through the compute and queue terms of the decomposition. When the raw comparison juxtaposes a fast onboard system against a slow ground survey, the speed difference it attributes to the locus is in part the speed difference the lighter onboard workload would have produced regardless of locus. The apparent locus effect is manufactured by the workload that selects into locus, and a naive transfer of the descriptive numbers into a comparison inherits the manufacture. This is the precise sense in which the join Chapter 2 described is non-trivial: the confounding the domain comparisons embody is exactly the confounding the methodological apparatus is built to break.</w:t>
      </w:r>
    </w:p>
    <w:p>
      <w:pPr>
        <w:pStyle w:val="BodyText"/>
        <w:spacing w:line="480" w:lineRule="auto"/>
        <w:ind w:firstLine="720"/>
      </w:pPr>
      <w:r>
        <w:t xml:space="preserve">The framework breaks it by conditioning. If the regression includes the workload covariates that constitute the confounding path, frame volume, association complexity, and queue load, then the coefficient on locus estimates the latency difference between onboard and ground configurations that process the same volume, resolve the same association complexity, and face the same contention. The confounding path is held fixed by construction, so the only path that remains open between locus and latency is the channel, the ground-and-downlink term the locus choice is supposed to use. The conditional locus coefficient is therefore an estimate of the channel effect purged of the confound, which is exactly the estimand the literature lacks. The same logic governs the batch paradigm: entering it as a fixed effect holds the dominant regime constant, so the locus coefficient is identified net of the regime rather than absorbing it, and the regime’s own structural wait is attributed to the regime rather than to the locus with which it co-moves.</w:t>
      </w:r>
    </w:p>
    <w:bookmarkEnd w:id="91"/>
    <w:bookmarkStart w:id="92" w:name="X9fc0a0fe50742a1362df4258185e15ccb4f8057"/>
    <w:p>
      <w:pPr>
        <w:pStyle w:val="Heading3"/>
        <w:spacing w:line="480" w:lineRule="auto"/>
      </w:pPr>
      <w:r>
        <w:t xml:space="preserve">3.3.3 The Residual Threats the Logic Must Acknowledge</w:t>
      </w:r>
    </w:p>
    <w:p>
      <w:pPr>
        <w:pStyle w:val="FirstParagraph"/>
        <w:spacing w:line="480" w:lineRule="auto"/>
      </w:pPr>
      <w:r>
        <w:t xml:space="preserve">Conditioning breaks the confounding path only to the extent that the path is fully modelled, and the causal logic is honest about the residual threats this leaves. Three matter. First, the compute-versus-queue distinction of Section 3.2.1 warns that end-to-end latency conflates computation with waiting, so a locus coefficient could in principle absorb queue delay that the queue-load covariate fails to capture; the framework’s response is a per-stage residual decomposition that tests whether the locus effect, if any, is concentrated in the stages theory predicts rather than smeared across queueing the controls missed. Second, automation level and locus are correlated in practice, because the onboard and AI-integrated chains that relocate computation also tend to automate it</w:t>
      </w:r>
      <w:r>
        <w:t xml:space="preserve"> </w:t>
      </w:r>
      <w:hyperlink w:anchor="ref-1">
        <w:r>
          <w:rPr>
            <w:rStyle w:val="Hyperlink"/>
          </w:rPr>
          <w:t xml:space="preserve">[1]</w:t>
        </w:r>
      </w:hyperlink>
      <w:r>
        <w:t xml:space="preserve">,</w:t>
      </w:r>
      <w:r>
        <w:t xml:space="preserve"> </w:t>
      </w:r>
      <w:hyperlink w:anchor="ref-7">
        <w:r>
          <w:rPr>
            <w:rStyle w:val="Hyperlink"/>
          </w:rPr>
          <w:t xml:space="preserve">[7]</w:t>
        </w:r>
      </w:hyperlink>
      <w:r>
        <w:t xml:space="preserve">, so a locus coefficient could carry an automation effect; the framework’s response is to report the locus coefficient with and without an automation control, exposing any collinearity rather than concealing it. Third, the long right tail characteristic of queued processing latency threatens the inference itself, because ordinary standard errors can read a tail as precision; the framework’s response is heteroskedasticity-robust standard errors and a survival-style cross-check on the latency distribution, so the decision rule is not corrupted by the tail. These responses are stated here, before estimation, because the causal logic is only as credible as its acknowledgment of what conditioning does not fix.</w:t>
      </w:r>
    </w:p>
    <w:bookmarkEnd w:id="92"/>
    <w:bookmarkEnd w:id="93"/>
    <w:bookmarkStart w:id="96" w:name="Xe1c18605348813c5859bfbcc95720cc327bcf0f"/>
    <w:p>
      <w:pPr>
        <w:pStyle w:val="Heading2"/>
        <w:spacing w:line="480" w:lineRule="auto"/>
      </w:pPr>
      <w:r>
        <w:t xml:space="preserve">3.4 Specialization to the Ground-Segment Regime</w:t>
      </w:r>
    </w:p>
    <w:bookmarkStart w:id="94" w:name="the-estimating-mechanism"/>
    <w:p>
      <w:pPr>
        <w:pStyle w:val="Heading3"/>
        <w:spacing w:line="480" w:lineRule="auto"/>
      </w:pPr>
      <w:r>
        <w:t xml:space="preserve">3.4.1 The Estimating Mechanism</w:t>
      </w:r>
    </w:p>
    <w:p>
      <w:pPr>
        <w:pStyle w:val="FirstParagraph"/>
        <w:spacing w:line="480" w:lineRule="auto"/>
      </w:pPr>
      <w:r>
        <w:t xml:space="preserve">In the ground-segment regime the framework specializes to a unit of analysis that is an instrumented pipeline run emitting a timestamped product, an outcome that is the run’s end-to-end wall-clock latency, and a set of covariates that are the observable shadows of the stage-additive mechanism. The generative model of Section 3.2 implies that the run’s latency is increasing in the work the run is given, through the compute terms governed by frame volume and association complexity, and increasing in the contention the run faces, through the queue terms governed by queue load and by the structural wait of the batch paradigm, and that, conditional on all of these, the latency may differ between onboard and ground configurations only through the ground-and-downlink channel the locus choice is supposed to use. The estimating equation that fits this mechanism regresses per-run latency on the onboard-or-edge locus indicator, processed frame volume, an association-complexity index, a concurrent queue-load index, and a ground batch-processing fixed effect, with the locus coefficient as the coefficient of interest.</w:t>
      </w:r>
    </w:p>
    <w:bookmarkEnd w:id="94"/>
    <w:bookmarkStart w:id="95" w:name="X8e3a502aab5ba85841acb11247bfae502f4a87a"/>
    <w:p>
      <w:pPr>
        <w:pStyle w:val="Heading3"/>
        <w:spacing w:line="480" w:lineRule="auto"/>
      </w:pPr>
      <w:r>
        <w:t xml:space="preserve">3.4.2 The Theoretical Prediction and Its Vulnerability</w:t>
      </w:r>
    </w:p>
    <w:p>
      <w:pPr>
        <w:pStyle w:val="FirstParagraph"/>
        <w:spacing w:line="480" w:lineRule="auto"/>
      </w:pPr>
      <w:r>
        <w:t xml:space="preserve">The theory predicts the sign of the locus coefficient. If the ground-and-downlink channel carries genuine weight, then relocating computation onboard removes the downlink-then-ground portion of the chain, and the conditional locus coefficient is negative: an onboard configuration emits its product sooner than an otherwise identical ground configuration processing the same workload under the same paradigm. This is the prediction the surveillance literature’s qualitative framing implies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The framework’s distinctive contribution is to make the prediction vulnerable. Because the prediction is a sign-and-significance claim on a single conditional coefficient, it can fail in a specified way: the coefficient can be negative in sign yet statistically indistinguishable from zero, which would mean that once volume and the batch regime are held fixed, the ground-and-downlink channel carries no weight the data can detect, and the apparent onboard advantage in raw comparisons was the workload confound of Section 3.3.2 rather than a property of the locus. The framework does not presume which way the test falls. It presumes only that the test is decisive. Chapter 4 reports that in the assembled sample the locus coefficient is indeed negative but its interval comfortably spans zero, so the channel prediction fails its own test and the delay is reassigned to the volume and the batch paradigm the controls expose as the actual drivers.</w:t>
      </w:r>
    </w:p>
    <w:bookmarkEnd w:id="95"/>
    <w:bookmarkEnd w:id="96"/>
    <w:bookmarkStart w:id="100" w:name="specialization-to-the-deep-space-regime"/>
    <w:p>
      <w:pPr>
        <w:pStyle w:val="Heading2"/>
        <w:spacing w:line="480" w:lineRule="auto"/>
      </w:pPr>
      <w:r>
        <w:t xml:space="preserve">3.5 Specialization to the Deep-Space Regime</w:t>
      </w:r>
    </w:p>
    <w:bookmarkStart w:id="97" w:name="the-estimating-mechanism-1"/>
    <w:p>
      <w:pPr>
        <w:pStyle w:val="Heading3"/>
        <w:spacing w:line="480" w:lineRule="auto"/>
      </w:pPr>
      <w:r>
        <w:t xml:space="preserve">3.5.1 The Estimating Mechanism</w:t>
      </w:r>
    </w:p>
    <w:p>
      <w:pPr>
        <w:pStyle w:val="FirstParagraph"/>
        <w:spacing w:line="480" w:lineRule="auto"/>
      </w:pPr>
      <w:r>
        <w:t xml:space="preserve">In the deep-space regime the unit of analysis is a documented planetary or deep-space mission, the outcome is the mission’s representative one-way data-return latency, and the covariates are the channels of Section 3.3.1: Earth-spacecraft distance, downlink data rate, antenna aperture, and a relay-architecture indicator. The generative model here is the two-part decomposition of latency into the incompressible light-time floor and the compressible overhead. Because the floor scales with distance through the speed of light and the overhead scales with the engineering variables through the link budget, the mechanism is naturally multiplicative rather than additive, and the framework adopts a log-linear specification in which distance and downlink rate enter in natural logarithms while aperture and the relay indicator enter in levels. The log-log form renders the distance and rate coefficients as elasticities, the percentage change in latency associated with a one-percent change in the regressor, which is the functional form that converts the link-budget physics of the telecommunications literature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w:t>
      </w:r>
      <w:r>
        <w:t xml:space="preserve">into a comparative-static statement the engineering record never makes.</w:t>
      </w:r>
    </w:p>
    <w:bookmarkEnd w:id="97"/>
    <w:bookmarkStart w:id="98" w:name="X9e74194b67a4c52d68088078877b4da64128032"/>
    <w:p>
      <w:pPr>
        <w:pStyle w:val="Heading3"/>
        <w:spacing w:line="480" w:lineRule="auto"/>
      </w:pPr>
      <w:r>
        <w:t xml:space="preserve">3.5.2 The Theoretical Predictions and Their Vulnerability</w:t>
      </w:r>
    </w:p>
    <w:p>
      <w:pPr>
        <w:pStyle w:val="FirstParagraph"/>
        <w:spacing w:line="480" w:lineRule="auto"/>
      </w:pPr>
      <w:r>
        <w:t xml:space="preserve">The theory predicts two coefficients. The first is the distance elasticity, predicted to be positive and large, because the light-time floor is the dominant component of deep-space latency and grows monotonically from the inner planets to the interstellar probes; an elasticity below unity is consistent with the floor being the leading but not the sole term, since the overhead above the floor does not scale exactly with distance. The second is the downlink-rate elasticity, predicted to be negative, because a higher-rate link shortens the playback component of the overhead for a fixed data volume</w:t>
      </w:r>
      <w:r>
        <w:t xml:space="preserve"> </w:t>
      </w:r>
      <w:hyperlink w:anchor="ref-14">
        <w:r>
          <w:rPr>
            <w:rStyle w:val="Hyperlink"/>
          </w:rPr>
          <w:t xml:space="preserve">[14]</w:t>
        </w:r>
      </w:hyperlink>
      <w:r>
        <w:t xml:space="preserve">. Both predictions are vulnerable in the same way the ground-segment prediction is: each is a sign-and-significance claim on a single conditional coefficient, and each can fail if the channel it names carries no weight the cross-section can detect once the other channels are held fixed. Chapter 5 reports that the distance elasticity is large, tight, and decisive, confirming the floor’s dominance, while the downlink-rate elasticity carries the predicted negative sign but does not reach significance, and the aperture and relay coefficients are second-order. The deep-space result therefore mirrors the ground-segment result in structure: the channel the literature foregrounds as purchasable, the link engineering, moves latency only at the margin once the incompressible driver is held fixed, just as the locus moves ground latency only within sampling noise once volume and the batch regime are held fixed.</w:t>
      </w:r>
    </w:p>
    <w:bookmarkEnd w:id="98"/>
    <w:bookmarkStart w:id="99" w:name="X0f8dba4a692e58e6de3f3e5aa4b68ca442d2bc2"/>
    <w:p>
      <w:pPr>
        <w:pStyle w:val="Heading3"/>
        <w:spacing w:line="480" w:lineRule="auto"/>
      </w:pPr>
      <w:r>
        <w:t xml:space="preserve">3.5.3 Why the Two Specializations Share One Framework</w:t>
      </w:r>
    </w:p>
    <w:p>
      <w:pPr>
        <w:pStyle w:val="FirstParagraph"/>
        <w:spacing w:line="480" w:lineRule="auto"/>
      </w:pPr>
      <w:r>
        <w:t xml:space="preserve">The two regimes are not two unrelated studies but two specializations of one framework, and the theoretical unity is worth stating because it is the source of the dissertation’s single contribution. In both regimes latency is a sum of an incompressible or workload-driven component and a configurable component, in both regimes the design lever the literature foregrounds is the configurable component, and in both regimes the framework conditions on the component that confounds the lever so that the lever’s coefficient is read net of the confound. The surveillance locus and the deep-space link engineering are the same kind of object: a design choice whose latency claim is asserted from raw comparisons and whose conditional effect, once the dominant driver is held fixed, is second-order. The framework predicts, before the data, that the dominant driver in each regime, throughput volume and the batch paradigm on the ground, the light-time floor in deep space, will absorb the explanatory weight the foregrounded lever was assumed to carry. That this prediction is borne out in both regimes, through two independent coefficient tests on two independent datasets, is what converts a pair of empirical findings into a single theoretical claim about where latency lives.</w:t>
      </w:r>
    </w:p>
    <w:bookmarkEnd w:id="99"/>
    <w:bookmarkEnd w:id="100"/>
    <w:bookmarkStart w:id="101" w:name="the-formal-hypotheses"/>
    <w:p>
      <w:pPr>
        <w:pStyle w:val="Heading2"/>
        <w:spacing w:line="480" w:lineRule="auto"/>
      </w:pPr>
      <w:r>
        <w:t xml:space="preserve">3.6 The Formal Hypotheses</w:t>
      </w:r>
    </w:p>
    <w:p>
      <w:pPr>
        <w:pStyle w:val="FirstParagraph"/>
        <w:spacing w:line="480" w:lineRule="auto"/>
      </w:pPr>
      <w:r>
        <w:t xml:space="preserve">The framework reduces to a pair of formal hypotheses stated as a sign-and-significance test on a single coefficient, fixed before estimation, so that the contribution can be decisively rejected. The hypotheses are stated here in their ground-segment form, because the ground-segment locus coefficient is the primary estimand of the dissertation; the deep-space hypotheses derived in Section 3.5.2 carry the identical logical structure on the distance and rate elasticities and are tested by the same rule.</w:t>
      </w:r>
    </w:p>
    <w:p>
      <w:pPr>
        <w:pStyle w:val="BodyText"/>
        <w:spacing w:line="480" w:lineRule="auto"/>
        <w:ind w:firstLine="720"/>
      </w:pPr>
      <w:r>
        <w:t xml:space="preserve">Let the estimating equation for the ground-segment regime regress per-run end-to-end latency on the onboard processing-locus indicator, processed frame volume, association complexity, queue load, and the ground batch-processing fixed effect, and let beta_locus denote the coefficient on the locus indicator. The formal hypotheses are the following.</w:t>
      </w:r>
    </w:p>
    <w:p>
      <w:pPr>
        <w:pStyle w:val="BodyText"/>
        <w:spacing w:line="480" w:lineRule="auto"/>
        <w:ind w:firstLine="720"/>
      </w:pPr>
      <w:r>
        <w:rPr>
          <w:b/>
          <w:bCs/>
        </w:rPr>
        <w:t xml:space="preserve">H0 (null).</w:t>
      </w:r>
      <w:r>
        <w:t xml:space="preserve"> </w:t>
      </w:r>
      <w:r>
        <w:t xml:space="preserve">Holding processed frame volume, association complexity, queue load, and the ground batch-processing paradigm constant, the onboard or edge processing-locus indicator has no effect on end-to-end per-product latency. The coefficient beta_locus is statistically indistinguishable from zero at the pre-registered significance level: beta_locus = 0.</w:t>
      </w:r>
    </w:p>
    <w:p>
      <w:pPr>
        <w:pStyle w:val="BodyText"/>
        <w:spacing w:line="480" w:lineRule="auto"/>
        <w:ind w:firstLine="720"/>
      </w:pPr>
      <w:r>
        <w:rPr>
          <w:b/>
          <w:bCs/>
        </w:rPr>
        <w:t xml:space="preserve">H1 (alternative).</w:t>
      </w:r>
      <w:r>
        <w:t xml:space="preserve"> </w:t>
      </w:r>
      <w:r>
        <w:t xml:space="preserve">Holding those covariates constant, the processing-locus indicator is a statistically significant negative driver of end-to-end per-product latency. The coefficient beta_locus is negative and distinguishable from zero at the pre-registered significance level: beta_locus &lt; 0.</w:t>
      </w:r>
    </w:p>
    <w:p>
      <w:pPr>
        <w:pStyle w:val="BodyText"/>
        <w:spacing w:line="480" w:lineRule="auto"/>
        <w:ind w:firstLine="720"/>
      </w:pPr>
      <w:r>
        <w:t xml:space="preserve">The decision rule is a single coefficient test under heteroskedasticity-robust standard errors, not a basket of exploratory correlations. H1 is the alternative the surveillance literature’s qualitative framing implies, namely that the onboard locus genuinely shortens the chain through the ground-and-downlink channel once the workload confound is conditioned away. H0 is the null that the channel carries no detectable weight after that conditioning, so that the apparent onboard advantage in raw comparisons is the workload and paradigm that travel with the locus rather than the locus itself. The contribution of the dissertation is the identified decomposition that makes this a decidable question, and the contribution is falsified as designed if, on the instrumented data, the locus coefficient cannot be distinguished from zero after the specified controls and robustness checks, which is the per-stage residual decomposition, the automation-control comparison, and the survival-tail cross-check of Section 3.3.3. The theoretical framework’s value does not depend on which way the test falls. It depends on the test being honest, vulnerable, and tied to a mechanism the decomposition has made explicit, so that whichever hypothesis survives, the surviving claim is an attributable statement about where the delay lives rather than another descriptive number about how fast one architecture ran.</w:t>
      </w:r>
    </w:p>
    <w:bookmarkEnd w:id="101"/>
    <w:bookmarkEnd w:id="102"/>
    <w:bookmarkStart w:id="119" w:name="chapter-4.-data-and-measurement"/>
    <w:p>
      <w:pPr>
        <w:pStyle w:val="Heading1"/>
        <w:spacing w:line="480" w:lineRule="auto"/>
      </w:pPr>
      <w:r>
        <w:t xml:space="preserve">Chapter 4. Data and Measurement</w:t>
      </w:r>
    </w:p>
    <w:bookmarkStart w:id="103" w:name="purpose-and-scope-of-the-chapter"/>
    <w:p>
      <w:pPr>
        <w:pStyle w:val="Heading2"/>
        <w:spacing w:line="480" w:lineRule="auto"/>
      </w:pPr>
      <w:r>
        <w:t xml:space="preserve">4.1 Purpose and Scope of the Chapter</w:t>
      </w:r>
    </w:p>
    <w:p>
      <w:pPr>
        <w:pStyle w:val="FirstParagraph"/>
        <w:spacing w:line="480" w:lineRule="auto"/>
      </w:pPr>
      <w:r>
        <w:t xml:space="preserve">This chapter specifies the empirical foundation on which the dissertation’s two estimating papers rest. Its task is descriptive and definitional rather than inferential: it names the real datasets, identifies their authoritative sources, fixes the unit of analysis in each study, and documents how every variable is constructed from primary records before any coefficient is estimated. The estimation logic itself, the identification strategy, and the robustness apparatus are deferred to Chapter 5. What follows here is the measurement contract that the later inference must honor. The central commitment of that contract is traceability: each row of each dataset, and each variable on that row, can be carried back to a named, citable source document, so that a reader can in principle reconstruct the analytic table without privileged access to proprietary telemetry.</w:t>
      </w:r>
    </w:p>
    <w:p>
      <w:pPr>
        <w:pStyle w:val="BodyText"/>
        <w:spacing w:line="480" w:lineRule="auto"/>
        <w:ind w:firstLine="720"/>
      </w:pPr>
      <w:r>
        <w:t xml:space="preserve">The dissertation comprises two empirical studies that share a single dependent construct, end-to-end pipeline latency, but measure it at two different scales of the planetary data system. The first study, treated in Section 4.2, instruments the ground-segment processing chain and asks where in that chain the wall-clock delay accumulates. The second study, treated in Section 4.3, steps back to the full mission pipeline and asks how the interval from spacecraft measurement to ground product is governed by distance and link engineering. The two share a measurement philosophy, described in Section 4.5, and a common reproducibility runner, described in Section 4.6. Throughout, latency is the quantity of interest, and the chapter’s discipline is to define that quantity precisely enough that its drivers can be attributed rather than merely observed.</w:t>
      </w:r>
    </w:p>
    <w:bookmarkEnd w:id="103"/>
    <w:bookmarkStart w:id="109" w:name="X80976181f19d942b9a529a835a0ce01ca405a2a"/>
    <w:p>
      <w:pPr>
        <w:pStyle w:val="Heading2"/>
        <w:spacing w:line="480" w:lineRule="auto"/>
      </w:pPr>
      <w:r>
        <w:t xml:space="preserve">4.2 Study One: The Ground-Segment Processing-Locus Dataset</w:t>
      </w:r>
    </w:p>
    <w:bookmarkStart w:id="104" w:name="authoritative-sources"/>
    <w:p>
      <w:pPr>
        <w:pStyle w:val="Heading3"/>
        <w:spacing w:line="480" w:lineRule="auto"/>
      </w:pPr>
      <w:r>
        <w:t xml:space="preserve">4.2.1 Authoritative sources</w:t>
      </w:r>
    </w:p>
    <w:p>
      <w:pPr>
        <w:pStyle w:val="FirstParagraph"/>
        <w:spacing w:line="480" w:lineRule="auto"/>
      </w:pPr>
      <w:r>
        <w:t xml:space="preserve">The first study assembles a cross-configuration dataset of twenty-eight instrumented pipeline runs drawn from nine documented planetary and space-surveillance processing configurations. The dataset is anchored to the open conference and journal record rather than to any single proprietary log, which is a deliberate design choice: every configuration represented in the table corresponds to a published characterization of a real processing chain, so the latency outcome and its covariates are defined against documents a reader can retrieve.</w:t>
      </w:r>
    </w:p>
    <w:p>
      <w:pPr>
        <w:pStyle w:val="BodyText"/>
        <w:spacing w:line="480" w:lineRule="auto"/>
        <w:ind w:firstLine="720"/>
      </w:pPr>
      <w:r>
        <w:t xml:space="preserve">The primary ground anchor is the Eugene Stansbery Meter Class Autonomous Telescope (ES-MCAT) on Ascension Island, a NASA Orbital Debris Program Office facility whose optical-system throughput and data-reduction chain are characterized in the retrieved instrument paper</w:t>
      </w:r>
      <w:r>
        <w:t xml:space="preserve"> </w:t>
      </w:r>
      <w:hyperlink w:anchor="ref-6">
        <w:r>
          <w:rPr>
            <w:rStyle w:val="Hyperlink"/>
          </w:rPr>
          <w:t xml:space="preserve">[6]</w:t>
        </w:r>
      </w:hyperlink>
      <w:r>
        <w:t xml:space="preserve">. ES-MCAT is the load-bearing source for the ground-reduction rows because it is an autonomous, NASA-operated instrument whose processing chain produces timestamped detector frames and timestamped reduced astrometric and photometric products, the two anchors the latency construct requires. The automated image-to-sky-position extraction pipeline that operates on survey-volume frames complements that anchor by documenting the detection and extraction stages at scale, processing more than twenty-three thousand images per survey run</w:t>
      </w:r>
      <w:r>
        <w:t xml:space="preserve"> </w:t>
      </w:r>
      <w:hyperlink w:anchor="ref-4">
        <w:r>
          <w:rPr>
            <w:rStyle w:val="Hyperlink"/>
          </w:rPr>
          <w:t xml:space="preserve">[4]</w:t>
        </w:r>
      </w:hyperlink>
      <w:r>
        <w:t xml:space="preserve">. To these the dataset adds the lumped transmission-plus-ground-processing latency term reported in the cross-sensor performance comparison</w:t>
      </w:r>
      <w:r>
        <w:t xml:space="preserve"> </w:t>
      </w:r>
      <w:hyperlink w:anchor="ref-2">
        <w:r>
          <w:rPr>
            <w:rStyle w:val="Hyperlink"/>
          </w:rPr>
          <w:t xml:space="preserve">[2]</w:t>
        </w:r>
      </w:hyperlink>
      <w:r>
        <w:t xml:space="preserve">, the real-time-rate persistent-custody processing chain that operates at survey volume</w:t>
      </w:r>
      <w:r>
        <w:t xml:space="preserve"> </w:t>
      </w:r>
      <w:hyperlink w:anchor="ref-5">
        <w:r>
          <w:rPr>
            <w:rStyle w:val="Hyperlink"/>
          </w:rPr>
          <w:t xml:space="preserve">[5]</w:t>
        </w:r>
      </w:hyperlink>
      <w:r>
        <w:t xml:space="preserve">, the single-track artificial-intelligence characterization integrated into a ground processing chain</w:t>
      </w:r>
      <w:r>
        <w:t xml:space="preserve"> </w:t>
      </w:r>
      <w:hyperlink w:anchor="ref-7">
        <w:r>
          <w:rPr>
            <w:rStyle w:val="Hyperlink"/>
          </w:rPr>
          <w:t xml:space="preserve">[7]</w:t>
        </w:r>
      </w:hyperlink>
      <w:r>
        <w:t xml:space="preserve">, and the downlink-then-ground product cycle of the BEESAT-4 CubeSat</w:t>
      </w:r>
      <w:r>
        <w:t xml:space="preserve"> </w:t>
      </w:r>
      <w:hyperlink w:anchor="ref-9">
        <w:r>
          <w:rPr>
            <w:rStyle w:val="Hyperlink"/>
          </w:rPr>
          <w:t xml:space="preserve">[9]</w:t>
        </w:r>
      </w:hyperlink>
      <w:r>
        <w:t xml:space="preserve">.</w:t>
      </w:r>
    </w:p>
    <w:p>
      <w:pPr>
        <w:pStyle w:val="BodyText"/>
        <w:spacing w:line="480" w:lineRule="auto"/>
        <w:ind w:firstLine="720"/>
      </w:pPr>
      <w:r>
        <w:t xml:space="preserve">The onboard and edge configurations that supply the contrast rows are anchored to four further sources: the edge-computing algorithm for onboard processing of electro-optical imagery</w:t>
      </w:r>
      <w:r>
        <w:t xml:space="preserve"> </w:t>
      </w:r>
      <w:hyperlink w:anchor="ref-1">
        <w:r>
          <w:rPr>
            <w:rStyle w:val="Hyperlink"/>
          </w:rPr>
          <w:t xml:space="preserve">[1]</w:t>
        </w:r>
      </w:hyperlink>
      <w:r>
        <w:t xml:space="preserve">, the hyperspectral thermal imaging CubeSat that performs near-real-time onboard reduction of detector data in flight</w:t>
      </w:r>
      <w:r>
        <w:t xml:space="preserve"> </w:t>
      </w:r>
      <w:hyperlink w:anchor="ref-3">
        <w:r>
          <w:rPr>
            <w:rStyle w:val="Hyperlink"/>
          </w:rPr>
          <w:t xml:space="preserve">[3]</w:t>
        </w:r>
      </w:hyperlink>
      <w:r>
        <w:t xml:space="preserve">, the deep-space small-satellite literature documenting onboard autonomous processing</w:t>
      </w:r>
      <w:r>
        <w:t xml:space="preserve"> </w:t>
      </w:r>
      <w:hyperlink w:anchor="ref-8">
        <w:r>
          <w:rPr>
            <w:rStyle w:val="Hyperlink"/>
          </w:rPr>
          <w:t xml:space="preserve">[8]</w:t>
        </w:r>
      </w:hyperlink>
      <w:r>
        <w:t xml:space="preserve">, and the SpIRIT onboard payload management system</w:t>
      </w:r>
      <w:r>
        <w:t xml:space="preserve"> </w:t>
      </w:r>
      <w:hyperlink w:anchor="ref-10">
        <w:r>
          <w:rPr>
            <w:rStyle w:val="Hyperlink"/>
          </w:rPr>
          <w:t xml:space="preserve">[10]</w:t>
        </w:r>
      </w:hyperlink>
      <w:r>
        <w:t xml:space="preserve">. No access-restricted source is required for any row; all nine configurations are described in the open record.</w:t>
      </w:r>
    </w:p>
    <w:bookmarkEnd w:id="104"/>
    <w:bookmarkStart w:id="105" w:name="unit-of-analysis"/>
    <w:p>
      <w:pPr>
        <w:pStyle w:val="Heading3"/>
        <w:spacing w:line="480" w:lineRule="auto"/>
      </w:pPr>
      <w:r>
        <w:t xml:space="preserve">4.2.2 Unit of analysis</w:t>
      </w:r>
    </w:p>
    <w:p>
      <w:pPr>
        <w:pStyle w:val="FirstParagraph"/>
        <w:spacing w:line="480" w:lineRule="auto"/>
      </w:pPr>
      <w:r>
        <w:t xml:space="preserve">The unit of analysis in Study One is the individual instrumented pipeline run that emits a timestamped product. A run is the operationally meaningful processing episode that converts a batch of raw detector frames into one or more reduced, catalogued products, and the row in the analytic table records the wall-clock and workload attributes of that episode. This choice of unit is consequential and deliberate. Latency is a property of a processing episode, not of an instrument in the abstract. The same chain run under a light survey load and under a heavy one produces materially different delays, so the run, and not the facility, is the entity to which the outcome and covariates attach. The dataset contains twenty-eight such runs distributed across the nine configurations, with every row traceable to a named source in the final column of the workbook.</w:t>
      </w:r>
    </w:p>
    <w:bookmarkEnd w:id="105"/>
    <w:bookmarkStart w:id="106" w:name="construction-of-the-outcome-variable"/>
    <w:p>
      <w:pPr>
        <w:pStyle w:val="Heading3"/>
        <w:spacing w:line="480" w:lineRule="auto"/>
      </w:pPr>
      <w:r>
        <w:t xml:space="preserve">4.2.3 Construction of the outcome variable</w:t>
      </w:r>
    </w:p>
    <w:p>
      <w:pPr>
        <w:pStyle w:val="FirstParagraph"/>
        <w:spacing w:line="480" w:lineRule="auto"/>
      </w:pPr>
      <w:r>
        <w:t xml:space="preserve">The dependent variable, denoted latency_min, is end-to-end wall-clock latency expressed in minutes, defined as the interval from the observation timestamp to the product-ready timestamp of the run. The construction rule fixes both endpoints before estimation so that the measured quantity is invariant to analyst discretion. The observation timestamp is the moment the detector frame is acquired, and the product-ready timestamp is the moment the reduced astrometric or photometric product is available for downstream use. For the ES-MCAT-anchored rows the interval spans the full ingest, calibration and reduction, detection and extraction, and association sequence documented for that instrument class</w:t>
      </w:r>
      <w:r>
        <w:t xml:space="preserve"> </w:t>
      </w:r>
      <w:hyperlink w:anchor="ref-6">
        <w:r>
          <w:rPr>
            <w:rStyle w:val="Hyperlink"/>
          </w:rPr>
          <w:t xml:space="preserve">[6]</w:t>
        </w:r>
      </w:hyperlink>
      <w:r>
        <w:t xml:space="preserve"> </w:t>
      </w:r>
      <w:r>
        <w:t xml:space="preserve">and its extraction pipeline</w:t>
      </w:r>
      <w:r>
        <w:t xml:space="preserve"> </w:t>
      </w:r>
      <w:hyperlink w:anchor="ref-4">
        <w:r>
          <w:rPr>
            <w:rStyle w:val="Hyperlink"/>
          </w:rPr>
          <w:t xml:space="preserve">[4]</w:t>
        </w:r>
      </w:hyperlink>
      <w:r>
        <w:t xml:space="preserve">; for the onboard rows it spans the in-flight reduction sequence documented for the corresponding platform</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p>
    <w:p>
      <w:pPr>
        <w:pStyle w:val="BodyText"/>
        <w:spacing w:line="480" w:lineRule="auto"/>
        <w:ind w:firstLine="720"/>
      </w:pPr>
      <w:r>
        <w:t xml:space="preserve">Of the twenty-eight latency values, twenty-four are constructed directly from per-run wall-clock figures or processing-rate figures reported in the cited sources. The remaining four are regime-anchored illustrative figures, used where a per-run wall-clock number is not separately published in the source. These four cells are flagged explicitly in the source column, are held to the documented processing regime of their cited source rather than invented freely, and constitute fourteen percent of the rows, below the fifteen percent ceiling the dissertation imposes on illustrative cells. The chapter is explicit about this measurement structure rather than concealing it, because the four flagged rows are a known source of measurement noise that the robustness analysis in Chapter 5 must address; a fully instrumented timestamp log would remove them, and their presence is a limitation of working from the published record rather than from raw telemetry.</w:t>
      </w:r>
    </w:p>
    <w:bookmarkEnd w:id="106"/>
    <w:bookmarkStart w:id="107" w:name="construction-of-the-covariates"/>
    <w:p>
      <w:pPr>
        <w:pStyle w:val="Heading3"/>
        <w:spacing w:line="480" w:lineRule="auto"/>
      </w:pPr>
      <w:r>
        <w:t xml:space="preserve">4.2.4 Construction of the covariates</w:t>
      </w:r>
    </w:p>
    <w:p>
      <w:pPr>
        <w:pStyle w:val="FirstParagraph"/>
        <w:spacing w:line="480" w:lineRule="auto"/>
      </w:pPr>
      <w:r>
        <w:t xml:space="preserve">The right-hand-side variables are constructed from the workload and processing-locus descriptions in the cited sources, each value traceable to its source row.</w:t>
      </w:r>
    </w:p>
    <w:p>
      <w:pPr>
        <w:pStyle w:val="BodyText"/>
        <w:spacing w:line="480" w:lineRule="auto"/>
        <w:ind w:firstLine="720"/>
      </w:pPr>
      <w:r>
        <w:t xml:space="preserve">The processing-locus indicator, locus_onboard, is the binary covariate of theoretical interest. It takes the value one for configurations that perform reduction onboard or at the edge</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10">
        <w:r>
          <w:rPr>
            <w:rStyle w:val="Hyperlink"/>
          </w:rPr>
          <w:t xml:space="preserve">[10]</w:t>
        </w:r>
      </w:hyperlink>
      <w:r>
        <w:t xml:space="preserve"> </w:t>
      </w:r>
      <w:r>
        <w:t xml:space="preserve">and zero for configurations that reduce on the ground</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9">
        <w:r>
          <w:rPr>
            <w:rStyle w:val="Hyperlink"/>
          </w:rPr>
          <w:t xml:space="preserve">[9]</w:t>
        </w:r>
      </w:hyperlink>
      <w:r>
        <w:t xml:space="preserve">. The locus assignment for each row is read directly from the architectural description of its source and is not inferred from latency, which would induce circularity; the coding protocol assigns locus from where the source states the computation occurs.</w:t>
      </w:r>
    </w:p>
    <w:p>
      <w:pPr>
        <w:pStyle w:val="BodyText"/>
        <w:spacing w:line="480" w:lineRule="auto"/>
        <w:ind w:firstLine="720"/>
      </w:pPr>
      <w:r>
        <w:t xml:space="preserve">Processed frame volume, volume_kframes, is the count of frames processed in the run expressed in thousands. It is constructed from the throughput figures reported in the source, most directly the more-than-twenty-three-thousand-image survey run documented for the automated extraction pipeline</w:t>
      </w:r>
      <w:r>
        <w:t xml:space="preserve"> </w:t>
      </w:r>
      <w:hyperlink w:anchor="ref-4">
        <w:r>
          <w:rPr>
            <w:rStyle w:val="Hyperlink"/>
          </w:rPr>
          <w:t xml:space="preserve">[4]</w:t>
        </w:r>
      </w:hyperlink>
      <w:r>
        <w:t xml:space="preserve"> </w:t>
      </w:r>
      <w:r>
        <w:t xml:space="preserve">and the instrument throughput characterized for the autonomous telescope</w:t>
      </w:r>
      <w:r>
        <w:t xml:space="preserve"> </w:t>
      </w:r>
      <w:hyperlink w:anchor="ref-6">
        <w:r>
          <w:rPr>
            <w:rStyle w:val="Hyperlink"/>
          </w:rPr>
          <w:t xml:space="preserve">[6]</w:t>
        </w:r>
      </w:hyperlink>
      <w:r>
        <w:t xml:space="preserve">. Expressing volume in thousands of frames rather than raw counts keeps the regression coefficient on an interpretable per-thousand-frame scale.</w:t>
      </w:r>
    </w:p>
    <w:p>
      <w:pPr>
        <w:pStyle w:val="BodyText"/>
        <w:spacing w:line="480" w:lineRule="auto"/>
        <w:ind w:firstLine="720"/>
      </w:pPr>
      <w:r>
        <w:t xml:space="preserve">The association-complexity index counts the candidate associations the run must resolve, constructed from the association and track-formation descriptions in the real-time-rate custody source</w:t>
      </w:r>
      <w:r>
        <w:t xml:space="preserve"> </w:t>
      </w:r>
      <w:hyperlink w:anchor="ref-5">
        <w:r>
          <w:rPr>
            <w:rStyle w:val="Hyperlink"/>
          </w:rPr>
          <w:t xml:space="preserve">[5]</w:t>
        </w:r>
      </w:hyperlink>
      <w:r>
        <w:t xml:space="preserve"> </w:t>
      </w:r>
      <w:r>
        <w:t xml:space="preserve">and the single-track characterization source</w:t>
      </w:r>
      <w:r>
        <w:t xml:space="preserve"> </w:t>
      </w:r>
      <w:hyperlink w:anchor="ref-7">
        <w:r>
          <w:rPr>
            <w:rStyle w:val="Hyperlink"/>
          </w:rPr>
          <w:t xml:space="preserve">[7]</w:t>
        </w:r>
      </w:hyperlink>
      <w:r>
        <w:t xml:space="preserve">. The concurrent queue-load index captures the simultaneous processing load on the chain during the run, constructed from the concurrency descriptions in the survey-volume and persistent-custody sources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Both indices are ordinal constructions read from the documented operating regime of each configuration rather than continuous measurements, a fact the measurement-error discussion in Chapter 5 treats directly.</w:t>
      </w:r>
    </w:p>
    <w:p>
      <w:pPr>
        <w:pStyle w:val="BodyText"/>
        <w:spacing w:line="480" w:lineRule="auto"/>
        <w:ind w:firstLine="720"/>
      </w:pPr>
      <w:r>
        <w:t xml:space="preserve">The ground batch-processing dummy is a fixed-effect indicator that marks configurations operating under the queued nightly-batch reduction paradigm, as distinct from streaming or real-time reduction. It is constructed from the processing-paradigm description in each source: the queued nightly-batch survey reduction documented for the ground extraction pipeline</w:t>
      </w:r>
      <w:r>
        <w:t xml:space="preserve"> </w:t>
      </w:r>
      <w:hyperlink w:anchor="ref-4">
        <w:r>
          <w:rPr>
            <w:rStyle w:val="Hyperlink"/>
          </w:rPr>
          <w:t xml:space="preserve">[4]</w:t>
        </w:r>
      </w:hyperlink>
      <w:r>
        <w:t xml:space="preserve"> </w:t>
      </w:r>
      <w:r>
        <w:t xml:space="preserve">and the instrument characterization</w:t>
      </w:r>
      <w:r>
        <w:t xml:space="preserve"> </w:t>
      </w:r>
      <w:hyperlink w:anchor="ref-6">
        <w:r>
          <w:rPr>
            <w:rStyle w:val="Hyperlink"/>
          </w:rPr>
          <w:t xml:space="preserve">[6]</w:t>
        </w:r>
      </w:hyperlink>
      <w:r>
        <w:t xml:space="preserve"> </w:t>
      </w:r>
      <w:r>
        <w:t xml:space="preserve">takes the value one, while the real-time-rate processing documented for the persistent-custody chain</w:t>
      </w:r>
      <w:r>
        <w:t xml:space="preserve"> </w:t>
      </w:r>
      <w:hyperlink w:anchor="ref-5">
        <w:r>
          <w:rPr>
            <w:rStyle w:val="Hyperlink"/>
          </w:rPr>
          <w:t xml:space="preserve">[5]</w:t>
        </w:r>
      </w:hyperlink>
      <w:r>
        <w:t xml:space="preserve"> </w:t>
      </w:r>
      <w:r>
        <w:t xml:space="preserve">takes the value zero. This dummy is the analytic device that lets the locus coefficient be identified net of the dominant ground paradigm rather than absorbing it, and its construction from the source paradigm description is therefore central to the study’s identification claim.</w:t>
      </w:r>
    </w:p>
    <w:bookmarkEnd w:id="107"/>
    <w:bookmarkStart w:id="108" w:name="measurement-summary-for-study-one"/>
    <w:p>
      <w:pPr>
        <w:pStyle w:val="Heading3"/>
        <w:spacing w:line="480" w:lineRule="auto"/>
      </w:pPr>
      <w:r>
        <w:t xml:space="preserve">4.2.5 Measurement summary for Study One</w:t>
      </w:r>
    </w:p>
    <w:p>
      <w:pPr>
        <w:pStyle w:val="FirstParagraph"/>
        <w:spacing w:line="480" w:lineRule="auto"/>
      </w:pPr>
      <w:r>
        <w:t xml:space="preserve">In summary, Study One measures, at the level of the individual instrumented run, an end-to-end latency outcome in minutes against a vector comprising a processing-locus indicator, a frame-volume covariate in thousands, an association-complexity index, a queue-load index, and a ground-batch-processing fixed effect. Every variable is constructed from the published characterization of a real processing chain, and the four illustrative latency cells are flagged at the row level. The measurement design converts the latency of a planetary ground segment from an opaque scalar attached to one architecture into an attributable quantity defined consistently across nine configurations.</w:t>
      </w:r>
    </w:p>
    <w:bookmarkEnd w:id="108"/>
    <w:bookmarkEnd w:id="109"/>
    <w:bookmarkStart w:id="115" w:name="X1254cf158201004efb2ef6c353e4fced2009a82"/>
    <w:p>
      <w:pPr>
        <w:pStyle w:val="Heading2"/>
        <w:spacing w:line="480" w:lineRule="auto"/>
      </w:pPr>
      <w:r>
        <w:t xml:space="preserve">4.3 Study Two: The Cross-Mission Data-Return Latency Dataset</w:t>
      </w:r>
    </w:p>
    <w:bookmarkStart w:id="110" w:name="authoritative-sources-1"/>
    <w:p>
      <w:pPr>
        <w:pStyle w:val="Heading3"/>
        <w:spacing w:line="480" w:lineRule="auto"/>
      </w:pPr>
      <w:r>
        <w:t xml:space="preserve">4.3.1 Authoritative sources</w:t>
      </w:r>
    </w:p>
    <w:p>
      <w:pPr>
        <w:pStyle w:val="FirstParagraph"/>
        <w:spacing w:line="480" w:lineRule="auto"/>
      </w:pPr>
      <w:r>
        <w:t xml:space="preserve">The second study assembles a cross-section of twenty-eight planetary and deep-space missions operated by NASA, the European Space Agency, and the Japan Aerospace Exploration Agency, spanning targets from Mercury to the interstellar medium. The dataset is built from mission press kits, the official NASA, ESA, and JAXA mission pages, and the DESCANSO deep-space telecommunications monograph series, with the documented source for each row recorded in the final column of the dataset. This sourcing strategy mirrors the open-record discipline of Study One: the mission telecommunications parameters that drive latency are published engineering facts, and the dataset’s role is to assemble them into a consistent cross-section rather than to generate new measurements.</w:t>
      </w:r>
    </w:p>
    <w:p>
      <w:pPr>
        <w:pStyle w:val="BodyText"/>
        <w:spacing w:line="480" w:lineRule="auto"/>
        <w:ind w:firstLine="720"/>
      </w:pPr>
      <w:r>
        <w:t xml:space="preserve">Three anchor missions illustrate the firmness of the sourcing. Voyager 1 transmits at one hundred sixty bits per second with a one-way light time near twenty-two and a half hours at a distance of one hundred sixty-four astronomical units, parameters documented in the DESCANSO Voyager telecommunications monograph</w:t>
      </w:r>
      <w:r>
        <w:t xml:space="preserve"> </w:t>
      </w:r>
      <w:hyperlink w:anchor="ref-13">
        <w:r>
          <w:rPr>
            <w:rStyle w:val="Hyperlink"/>
          </w:rPr>
          <w:t xml:space="preserve">[13]</w:t>
        </w:r>
      </w:hyperlink>
      <w:r>
        <w:t xml:space="preserve">. New Horizons returned its Pluto encounter data at one to two kilobits per second with a flyby light time of about four hours and twenty-five minutes. Cassini downlinked at thirty-three to one hundred forty kilobits per second through a four-meter high-gain antenna at Saturn. The high-rate Ka-band downlink engineering that bounds the achievable-rate end of the cross-section is documented in the NISAR downlink-system characterization</w:t>
      </w:r>
      <w:r>
        <w:t xml:space="preserve"> </w:t>
      </w:r>
      <w:hyperlink w:anchor="ref-14">
        <w:r>
          <w:rPr>
            <w:rStyle w:val="Hyperlink"/>
          </w:rPr>
          <w:t xml:space="preserve">[14]</w:t>
        </w:r>
      </w:hyperlink>
      <w:r>
        <w:t xml:space="preserve">, and the relay-topology channel is documented in the Earth-Mars relay-network assessment</w:t>
      </w:r>
      <w:r>
        <w:t xml:space="preserve"> </w:t>
      </w:r>
      <w:hyperlink w:anchor="ref-15">
        <w:r>
          <w:rPr>
            <w:rStyle w:val="Hyperlink"/>
          </w:rPr>
          <w:t xml:space="preserve">[15]</w:t>
        </w:r>
      </w:hyperlink>
      <w:r>
        <w:t xml:space="preserve">. The Deep Space Network traffic and upgrade context that frames the scheduling-overhead component is documented in the traffic-prioritization and lunar-exploration-upgrade technical reports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bookmarkEnd w:id="110"/>
    <w:bookmarkStart w:id="111" w:name="unit-of-analysis-1"/>
    <w:p>
      <w:pPr>
        <w:pStyle w:val="Heading3"/>
        <w:spacing w:line="480" w:lineRule="auto"/>
      </w:pPr>
      <w:r>
        <w:t xml:space="preserve">4.3.2 Unit of analysis</w:t>
      </w:r>
    </w:p>
    <w:p>
      <w:pPr>
        <w:pStyle w:val="FirstParagraph"/>
        <w:spacing w:line="480" w:lineRule="auto"/>
      </w:pPr>
      <w:r>
        <w:t xml:space="preserve">The unit of analysis in Study Two is the individual planetary or deep-space mission, represented by a single cross-sectional row of representative operating parameters. Each mission contributes one observation characterized by a representative Earth-spacecraft distance, a representative downlink data rate, a representative high-gain antenna aperture, a relay-architecture indicator, and a representative one-way data-return latency. The word representative is load-bearing. It is a measurement commitment, not a hedge. Because a mission’s instantaneous distance and rate vary over its operational arc, each row fixes a characteristic operating point documented in the cited source, and the study is therefore explicitly a cross-mission structural analysis rather than a within-mission dynamic one. This scoping is stated plainly so that the estimates are read as describing cross-mission structure, not operational time series.</w:t>
      </w:r>
    </w:p>
    <w:bookmarkEnd w:id="111"/>
    <w:bookmarkStart w:id="112" w:name="construction-of-the-outcome-variable-1"/>
    <w:p>
      <w:pPr>
        <w:pStyle w:val="Heading3"/>
        <w:spacing w:line="480" w:lineRule="auto"/>
      </w:pPr>
      <w:r>
        <w:t xml:space="preserve">4.3.3 Construction of the outcome variable</w:t>
      </w:r>
    </w:p>
    <w:p>
      <w:pPr>
        <w:pStyle w:val="FirstParagraph"/>
        <w:spacing w:line="480" w:lineRule="auto"/>
      </w:pPr>
      <w:r>
        <w:t xml:space="preserve">The dependent variable is the representative one-way data-return latency, denoted L and expressed in hours, and it enters the regression in natural logarithm. Its construction is the most theoretically structured measurement in the dissertation, because latency in a deep-space pipeline decomposes into two physically distinct parts that the construction must respect. The first part is the one-way light-time floor, fixed by the Earth-spacecraft distance and the speed of light, which no ground-segment or onboard engineering can reduce. The second is the overhead above that floor: queueing for a tracking pass, buffering and playback at a finite downlink rate, and ground processing.</w:t>
      </w:r>
    </w:p>
    <w:p>
      <w:pPr>
        <w:pStyle w:val="BodyText"/>
        <w:spacing w:line="480" w:lineRule="auto"/>
        <w:ind w:firstLine="720"/>
      </w:pPr>
      <w:r>
        <w:t xml:space="preserve">The outcome is therefore constructed from the documented one-way light-time floor of each mission together with the downlink and scheduling overhead reported for that mission. For the firmly sourced anchors the light-time component is read directly: Voyager 1’s near-twenty-two-and-a-half-hour light time at one hundred sixty-four astronomical units</w:t>
      </w:r>
      <w:r>
        <w:t xml:space="preserve"> </w:t>
      </w:r>
      <w:hyperlink w:anchor="ref-13">
        <w:r>
          <w:rPr>
            <w:rStyle w:val="Hyperlink"/>
          </w:rPr>
          <w:t xml:space="preserve">[13]</w:t>
        </w:r>
      </w:hyperlink>
      <w:r>
        <w:t xml:space="preserve"> </w:t>
      </w:r>
      <w:r>
        <w:t xml:space="preserve">and New Horizons’ roughly four-hour-and-twenty-five-minute flyby light time are documented values, and the overhead is added from the mission’s reported downlink configuration. Where a single published overhead figure was genuinely unobtainable, the cell is flagged illustrative; such cells affect four of the twenty-eight rows and remain below the fifteen percent ceiling, the same discipline applied in Study One. The logarithmic outcome specification partially absorbs the modest measurement noise these four flagged cells introduce, a property the discussion of statistical-conclusion validity in Chapter 5 revisits.</w:t>
      </w:r>
    </w:p>
    <w:bookmarkEnd w:id="112"/>
    <w:bookmarkStart w:id="113" w:name="construction-of-the-covariates-1"/>
    <w:p>
      <w:pPr>
        <w:pStyle w:val="Heading3"/>
        <w:spacing w:line="480" w:lineRule="auto"/>
      </w:pPr>
      <w:r>
        <w:t xml:space="preserve">4.3.4 Construction of the covariates</w:t>
      </w:r>
    </w:p>
    <w:p>
      <w:pPr>
        <w:pStyle w:val="FirstParagraph"/>
        <w:spacing w:line="480" w:lineRule="auto"/>
      </w:pPr>
      <w:r>
        <w:t xml:space="preserve">The four documented drivers are constructed as follows, with the functional form of each fixed at the measurement stage so that the later elasticity interpretation is unambiguous.</w:t>
      </w:r>
    </w:p>
    <w:p>
      <w:pPr>
        <w:pStyle w:val="BodyText"/>
        <w:spacing w:line="480" w:lineRule="auto"/>
        <w:ind w:firstLine="720"/>
      </w:pPr>
      <w:r>
        <w:t xml:space="preserve">Earth-spacecraft distance, denoted D and expressed in astronomical units, is the representative distance of the mission at its characteristic operating point, read from the cited mission source. It enters the regression in natural logarithm, so its coefficient is an elasticity. Distance is the variable through which the incompressible light-time floor enters the model, and its construction in astronomical units, the natural unit of interplanetary range, keeps the cross-section comparable from the inner planets to the interstellar probes.</w:t>
      </w:r>
    </w:p>
    <w:p>
      <w:pPr>
        <w:pStyle w:val="BodyText"/>
        <w:spacing w:line="480" w:lineRule="auto"/>
        <w:ind w:firstLine="720"/>
      </w:pPr>
      <w:r>
        <w:t xml:space="preserve">Downlink data rate, denoted R and expressed in kilobits per second, is the representative achievable rate of the mission’s link, read from the cited source. The anchor values span the full dynamic range of the cross-section, from Voyager 1’s one hundred sixty bits per second</w:t>
      </w:r>
      <w:r>
        <w:t xml:space="preserve"> </w:t>
      </w:r>
      <w:hyperlink w:anchor="ref-13">
        <w:r>
          <w:rPr>
            <w:rStyle w:val="Hyperlink"/>
          </w:rPr>
          <w:t xml:space="preserve">[13]</w:t>
        </w:r>
      </w:hyperlink>
      <w:r>
        <w:t xml:space="preserve"> </w:t>
      </w:r>
      <w:r>
        <w:t xml:space="preserve">through New Horizons’ one to two kilobits per second to Cassini’s thirty-three to one hundred forty kilobits per second and the high-rate Ka-band regime documented for NISAR</w:t>
      </w:r>
      <w:r>
        <w:t xml:space="preserve"> </w:t>
      </w:r>
      <w:hyperlink w:anchor="ref-14">
        <w:r>
          <w:rPr>
            <w:rStyle w:val="Hyperlink"/>
          </w:rPr>
          <w:t xml:space="preserve">[14]</w:t>
        </w:r>
      </w:hyperlink>
      <w:r>
        <w:t xml:space="preserve">. Rate enters in natural logarithm so that its coefficient is also an elasticity, allowing the latency response to a proportional change in rate to be read directly.</w:t>
      </w:r>
    </w:p>
    <w:p>
      <w:pPr>
        <w:pStyle w:val="BodyText"/>
        <w:spacing w:line="480" w:lineRule="auto"/>
        <w:ind w:firstLine="720"/>
      </w:pPr>
      <w:r>
        <w:t xml:space="preserve">High-gain antenna aperture, denoted A and expressed in meters, is the diameter of the mission’s high-gain dish, read from the cited source; the four-meter Cassini high-gain antenna is a representative anchor. Aperture enters in levels rather than logarithm, so its coefficient is a semi-elasticity. The relay-architecture indicator, denoted Relay, is a binary covariate taking the value one when the mission routes its data through an orbiter or relay rather than transmitting direct-to-Earth, constructed from the architectural description in the cited source and the relay-topology literature</w:t>
      </w:r>
      <w:r>
        <w:t xml:space="preserve"> </w:t>
      </w:r>
      <w:hyperlink w:anchor="ref-15">
        <w:r>
          <w:rPr>
            <w:rStyle w:val="Hyperlink"/>
          </w:rPr>
          <w:t xml:space="preserve">[15]</w:t>
        </w:r>
      </w:hyperlink>
      <w:r>
        <w:t xml:space="preserve">. It enters in levels, so its coefficient is likewise a semi-elasticity. A representative onboard-storage figure is recorded for each mission as a descriptive field, documenting the buffering capacity that mediates the playback component, although it is not a regressor in the parsimonious specification.</w:t>
      </w:r>
    </w:p>
    <w:bookmarkEnd w:id="113"/>
    <w:bookmarkStart w:id="114" w:name="measurement-summary-for-study-two"/>
    <w:p>
      <w:pPr>
        <w:pStyle w:val="Heading3"/>
        <w:spacing w:line="480" w:lineRule="auto"/>
      </w:pPr>
      <w:r>
        <w:t xml:space="preserve">4.3.5 Measurement summary for Study Two</w:t>
      </w:r>
    </w:p>
    <w:p>
      <w:pPr>
        <w:pStyle w:val="FirstParagraph"/>
        <w:spacing w:line="480" w:lineRule="auto"/>
      </w:pPr>
      <w:r>
        <w:t xml:space="preserve">In summary, Study Two measures, at the level of the individual mission, a representative one-way data-return latency in hours against a parsimonious vector of four documented drivers: Earth distance in astronomical units and downlink rate in kilobits per second, both entering in logarithm as elasticities, and antenna aperture in meters and a relay indicator, both entering in levels as semi-elasticities. The specification is held to four drivers across twenty-eight observations to keep each coefficient defensible against its documented sources and to avoid overfitting. As in Study One, four illustrative cells are flagged at the row level, and every other value traces to a named mission source.</w:t>
      </w:r>
    </w:p>
    <w:bookmarkEnd w:id="114"/>
    <w:bookmarkEnd w:id="115"/>
    <w:bookmarkStart w:id="116" w:name="correspondence-between-the-two-datasets"/>
    <w:p>
      <w:pPr>
        <w:pStyle w:val="Heading2"/>
        <w:spacing w:line="480" w:lineRule="auto"/>
      </w:pPr>
      <w:r>
        <w:t xml:space="preserve">4.4 Correspondence Between the Two Datasets</w:t>
      </w:r>
    </w:p>
    <w:p>
      <w:pPr>
        <w:pStyle w:val="FirstParagraph"/>
        <w:spacing w:line="480" w:lineRule="auto"/>
      </w:pPr>
      <w:r>
        <w:t xml:space="preserve">The two datasets are distinct in unit, scale, and source corpus, yet they are deliberately commensurable in their dependent construct, and the chapter states the correspondence so that the dissertation reads as one measurement program rather than two unrelated tables. Both measure end-to-end latency, the wall-clock interval from a measurement event to a usable product, and both decompose that latency into an attributable budget. Study One operates inside the ground segment, where the relevant clock runs in minutes and the drivers are workload and processing paradigm; Study Two operates across the full mission pipeline, where the relevant clock runs in hours and the dominant driver is the physics of distance. The symmetry is intentional. Study One asks whether moving computation changes ground latency once workload is controlled, and Study Two asks whether buying link engineering changes mission latency once distance is controlled. In both, the measurement design is built to separate the compressible component that engineering can move from the component that the operating regime or the speed of light imposes.</w:t>
      </w:r>
    </w:p>
    <w:p>
      <w:pPr>
        <w:pStyle w:val="BodyText"/>
        <w:spacing w:line="480" w:lineRule="auto"/>
        <w:ind w:firstLine="720"/>
      </w:pPr>
      <w:r>
        <w:t xml:space="preserve">A further point of correspondence is the shared treatment of illustrative cells. Each dataset contains exactly four flagged cells, each below the fifteen percent ceiling, each held to a documented regime rather than freely chosen, and each disclosed at the row level. This common rule is a single measurement standard applied across both studies, and it is the reason the two tables can be read against a common reproducibility standard in Section 4.6.</w:t>
      </w:r>
    </w:p>
    <w:bookmarkEnd w:id="116"/>
    <w:bookmarkStart w:id="117" w:name="X40ce72515acf264dcee7bfdb9931c6b22d3616d"/>
    <w:p>
      <w:pPr>
        <w:pStyle w:val="Heading2"/>
        <w:spacing w:line="480" w:lineRule="auto"/>
      </w:pPr>
      <w:r>
        <w:t xml:space="preserve">4.5 Measurement Philosophy and Provenance Discipline</w:t>
      </w:r>
    </w:p>
    <w:p>
      <w:pPr>
        <w:pStyle w:val="FirstParagraph"/>
        <w:spacing w:line="480" w:lineRule="auto"/>
      </w:pPr>
      <w:r>
        <w:t xml:space="preserve">The governing principle across both datasets is source-level provenance. Every covariate definition and every outcome value traces to a cited document, and the final column of each workbook records that document for the row. Provenance is maintained at the paper or mission level, recording authorship, venue, and year for each definition, so that a reviewer can audit any cell against its source without privileged access. This discipline is what distinguishes the dissertation’s datasets from the single-architecture latency numbers that populate the prior literature, where a figure of merit is reported as an opaque scalar attached to one system with no separation of its contributing components</w:t>
      </w:r>
      <w:r>
        <w:t xml:space="preserve"> </w:t>
      </w:r>
      <w:hyperlink w:anchor="ref-2">
        <w:r>
          <w:rPr>
            <w:rStyle w:val="Hyperlink"/>
          </w:rPr>
          <w:t xml:space="preserve">[2]</w:t>
        </w:r>
      </w:hyperlink>
      <w:r>
        <w:t xml:space="preserve">.</w:t>
      </w:r>
    </w:p>
    <w:p>
      <w:pPr>
        <w:pStyle w:val="BodyText"/>
        <w:spacing w:line="480" w:lineRule="auto"/>
        <w:ind w:firstLine="720"/>
      </w:pPr>
      <w:r>
        <w:t xml:space="preserve">Three measurement commitments follow from the provenance principle. First, endpoints and definitions are fixed before estimation. The observation and product-ready timestamps that bound the Study One outcome, and the light-time floor and overhead decomposition that build the Study Two outcome, are defined by rule rather than by analyst choice, which limits the measurement error that would otherwise attenuate the coefficients. Second, the locus and paradigm covariates in Study One are read from the architectural description of each source, never inferred from the latency value, so that the regressor of interest is not contaminated by the outcome. Third, illustrative cells are flagged rather than smoothed over, so that their contribution to measurement noise is visible to the inference stage and can be bounded rather than assumed away.</w:t>
      </w:r>
    </w:p>
    <w:p>
      <w:pPr>
        <w:pStyle w:val="BodyText"/>
        <w:spacing w:line="480" w:lineRule="auto"/>
        <w:ind w:firstLine="720"/>
      </w:pPr>
      <w:r>
        <w:t xml:space="preserve">The provenance discipline also bounds the studies’ external reach, and the chapter records that boundary as a measurement fact rather than deferring it entirely to the validity discussion. The Study One configurations are optical and small-satellite pipelines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so the measured workload range does not extend to radar chains or to very high-cadence wide-field systems that process at different volumes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The Study Two cross-section is a representative-parameter table rather than a continuously logged operational series, so it characterizes cross-mission structure and not within-mission dynamics. These are properties of the data as constructed, and naming them here keeps the later inference honest about what the measurement can and cannot support.</w:t>
      </w:r>
    </w:p>
    <w:bookmarkEnd w:id="117"/>
    <w:bookmarkStart w:id="118" w:name="reproducibility-of-the-analytic-record"/>
    <w:p>
      <w:pPr>
        <w:pStyle w:val="Heading2"/>
        <w:spacing w:line="480" w:lineRule="auto"/>
      </w:pPr>
      <w:r>
        <w:t xml:space="preserve">4.6 Reproducibility of the Analytic Record</w:t>
      </w:r>
    </w:p>
    <w:p>
      <w:pPr>
        <w:pStyle w:val="FirstParagraph"/>
        <w:spacing w:line="480" w:lineRule="auto"/>
      </w:pPr>
      <w:r>
        <w:t xml:space="preserve">Both datasets are designed to be re-estimable from the workbook and configuration without manual intervention. The estimator and its standard errors are computed through a shared runner used across the dissertation’s empirical papers, so the reported numbers are reproducible from the dataset and the stored configuration rather than assembled by hand. This shared-runner discipline matters for measurement because it forecloses the silent analyst choices that would otherwise creep between the table and the coefficient: the same code reads each workbook, applies the same logarithmic transforms where the construction calls for them, and produces the same heteroskedasticity-robust standard errors for both studies. The final source column in each workbook is therefore not a courtesy annotation but the audit key, linking each estimated coefficient back through the runner to the documented record from which the row was built.</w:t>
      </w:r>
    </w:p>
    <w:p>
      <w:pPr>
        <w:pStyle w:val="BodyText"/>
        <w:spacing w:line="480" w:lineRule="auto"/>
        <w:ind w:firstLine="720"/>
      </w:pPr>
      <w:r>
        <w:t xml:space="preserve">The reproducibility commitment closes the measurement contract. A reader holding the two workbooks and the shared configuration can reconstruct the analytic tables, verify each cell against its named source, identify the four flagged illustrative cells in each study, and regenerate the coefficients that Chapter 5 then interprets. With the datasets, units of analysis, and variable constructions fixed in this chapter, the dissertation proceeds to identification and estimation, where the single falsifiable claim of each study is tested against the data assembled here.</w:t>
      </w:r>
    </w:p>
    <w:bookmarkEnd w:id="118"/>
    <w:bookmarkEnd w:id="119"/>
    <w:bookmarkStart w:id="125" w:name="chapter-5.-methods-and-identification"/>
    <w:p>
      <w:pPr>
        <w:pStyle w:val="Heading1"/>
        <w:spacing w:line="480" w:lineRule="auto"/>
      </w:pPr>
      <w:r>
        <w:t xml:space="preserve">Chapter 5. Methods and Identification</w:t>
      </w:r>
    </w:p>
    <w:bookmarkStart w:id="120" w:name="purpose-and-scope-of-the-chapter-1"/>
    <w:p>
      <w:pPr>
        <w:pStyle w:val="Heading2"/>
        <w:spacing w:line="480" w:lineRule="auto"/>
      </w:pPr>
      <w:r>
        <w:t xml:space="preserve">5.1 Purpose and Scope of the Chapter</w:t>
      </w:r>
    </w:p>
    <w:p>
      <w:pPr>
        <w:pStyle w:val="FirstParagraph"/>
        <w:spacing w:line="480" w:lineRule="auto"/>
      </w:pPr>
      <w:r>
        <w:t xml:space="preserve">The empirical claim of this dissertation is narrow and falsifiable: holding workload and the dominant processing paradigm constant, the design choices that planetary and space-surveillance pipelines actually make do not all earn their reputed effect on end-to-end latency, and the ones that do can be identified and ranked. To defend that claim I require a method that converts an opaque scalar, the wall-clock interval from observation to usable product, into an attributable budget with coefficients that survive confounding controls. This chapter specifies the estimators that produce those coefficients, the identification strategy that licenses a causal reading of them, and the threats to validity that could undermine that reading together with the bound placed on each. The two empirical papers that anchor the dissertation share a single estimation architecture by design, and this chapter states that shared architecture once rather than twice. The first paper estimates a fixed-effects regression of processing locus on ground-segment latency; the second estimates a log-linear elasticity model of cross-mission data-return turnaround. Both are cross-sectional ordinary-least-squares specifications with heteroskedasticity-robust inference, both are deliberately parsimonious against their sample size, and both are committed in advance to a sign-and-significance decision rule rather than to exploratory correlation hunting.</w:t>
      </w:r>
    </w:p>
    <w:p>
      <w:pPr>
        <w:pStyle w:val="BodyText"/>
        <w:spacing w:line="480" w:lineRule="auto"/>
        <w:ind w:firstLine="720"/>
      </w:pPr>
      <w:r>
        <w:t xml:space="preserve">The chapter proceeds in four movements. Section 5.2 fixes the unit of analysis, the outcome construction, and the covariate definitions, because identification in an observational design begins with measurement discipline, not with the estimator. Section 5.3 specifies the estimators. Section 5.4 sets out the identification strategy, distinguishing what the controls buy from what they cannot buy. Section 5.5 enumerates the threats to validity under the four standard headings and states how each is bounded.</w:t>
      </w:r>
    </w:p>
    <w:bookmarkEnd w:id="120"/>
    <w:bookmarkStart w:id="121" w:name="unit-of-analysis-outcome-and-covariates"/>
    <w:p>
      <w:pPr>
        <w:pStyle w:val="Heading2"/>
        <w:spacing w:line="480" w:lineRule="auto"/>
      </w:pPr>
      <w:r>
        <w:t xml:space="preserve">5.2 Unit of Analysis, Outcome, and Covariates</w:t>
      </w:r>
    </w:p>
    <w:p>
      <w:pPr>
        <w:pStyle w:val="FirstParagraph"/>
        <w:spacing w:line="480" w:lineRule="auto"/>
      </w:pPr>
      <w:r>
        <w:t xml:space="preserve">The two studies operate at two different but commensurable units of analysis, and the commensurability is deliberate. In the ground-segment study the unit is the instrumented pipeline run that emits a timestamped product; in the cross-mission study the unit is the mission pipeline characterized by a representative data-return cycle. In both cases the outcome is a latency, a wall-clock duration, and in both cases that duration is anchored to documented timestamps or to documented light-time and overhead figures rather than asserted. The ground study assembles twenty-eight runs across nine documented pipeline configurations, with every row traceable to a named source. The cross-mission study assembles twenty-eight planetary and deep-space missions spanning Mercury to the interstellar medium, again with a per-row source column. The shared sample size of twenty-eight is not a coincidence of convenience; it reflects a common decision to keep the design parsimonious, with a small fixed set of theoretically motivated covariates, so that each coefficient remains defensible against the specific source that supplies its data rather than being one weakly identified term among many.</w:t>
      </w:r>
    </w:p>
    <w:p>
      <w:pPr>
        <w:pStyle w:val="BodyText"/>
        <w:spacing w:line="480" w:lineRule="auto"/>
        <w:ind w:firstLine="720"/>
      </w:pPr>
      <w:r>
        <w:t xml:space="preserve">Outcome construction is the first identification decision. In the ground study the outcome, latency in minutes, is the end-to-end interval from observation to product-ready, and the stage-coding protocol fixes the timestamp definitions, the start anchor and the end anchor, before any estimation is run. This ordering matters: if the analyst were free to redefine where a stage begins after seeing the residuals, the coefficients would absorb that researcher degree of freedom. By committing the timestamp definitions in advance the study limits measurement error to the structure documented in the cited characterizations of the same instrument class</w:t>
      </w:r>
      <w:r>
        <w:t xml:space="preserve"> </w:t>
      </w:r>
      <w:hyperlink w:anchor="ref-6">
        <w:r>
          <w:rPr>
            <w:rStyle w:val="Hyperlink"/>
          </w:rPr>
          <w:t xml:space="preserve">[6]</w:t>
        </w:r>
      </w:hyperlink>
      <w:r>
        <w:t xml:space="preserve"> </w:t>
      </w:r>
      <w:r>
        <w:t xml:space="preserve">and its automated extraction pipeline</w:t>
      </w:r>
      <w:r>
        <w:t xml:space="preserve"> </w:t>
      </w:r>
      <w:hyperlink w:anchor="ref-4">
        <w:r>
          <w:rPr>
            <w:rStyle w:val="Hyperlink"/>
          </w:rPr>
          <w:t xml:space="preserve">[4]</w:t>
        </w:r>
      </w:hyperlink>
      <w:r>
        <w:t xml:space="preserve">. In the cross-mission study the outcome, latency in hours, is built from the documented one-way light-time floor together with the downlink and scheduling overhead reported for each mission, with firmly sourced anchors such as the Voyager 160-bit-per-second downlink at a light time near twenty-two and a half hours</w:t>
      </w:r>
      <w:r>
        <w:t xml:space="preserve"> </w:t>
      </w:r>
      <w:hyperlink w:anchor="ref-13">
        <w:r>
          <w:rPr>
            <w:rStyle w:val="Hyperlink"/>
          </w:rPr>
          <w:t xml:space="preserve">[13]</w:t>
        </w:r>
      </w:hyperlink>
      <w:r>
        <w:t xml:space="preserve"> </w:t>
      </w:r>
      <w:r>
        <w:t xml:space="preserve">and the Cassini Ka-band and X-band downlink through a four-meter high-gain antenna</w:t>
      </w:r>
      <w:r>
        <w:t xml:space="preserve"> </w:t>
      </w:r>
      <w:hyperlink w:anchor="ref-3">
        <w:r>
          <w:rPr>
            <w:rStyle w:val="Hyperlink"/>
          </w:rPr>
          <w:t xml:space="preserve">[3]</w:t>
        </w:r>
      </w:hyperlink>
      <w:r>
        <w:t xml:space="preserve">. In both studies a minority of cells, four of twenty-eight in each, are flagged as regime-anchored or illustrative where a per-run or per-mission wall-clock number is not separately published; these are held to the documented processing regime or telecommunications design of their cited source, are disclosed in the source column, and constitute fourteen percent of rows, below a pre-committed fifteen-percent ceiling. The bound on this practice is treated as a measurement-error threat in Section 5.5 rather than hidden.</w:t>
      </w:r>
    </w:p>
    <w:p>
      <w:pPr>
        <w:pStyle w:val="BodyText"/>
        <w:spacing w:line="480" w:lineRule="auto"/>
        <w:ind w:firstLine="720"/>
      </w:pPr>
      <w:r>
        <w:t xml:space="preserve">The covariates are chosen to capture exactly the confounders that theory says select into the design choice under test. In the ground study the regressors are processed frame volume in thousands, an association-complexity index, a concurrent queue-load index, a ground batch-processing fixed-effect dummy that marks the queued nightly-batch reduction paradigm, and the onboard processing-locus indicator whose coefficient is the object of the test. The batch dummy is the methodological pivot: it enters as a fixed effect so that the locus coefficient is identified net of the dominant ground paradigm rather than silently absorbing it. In the cross-mission study the regressors are the natural logarithm of Earth-spacecraft distance, the natural logarithm of downlink data rate, antenna aperture in levels, and a relay-architecture indicator in levels. Distance and rate enter in logs so that their coefficients read as elasticities and the light-time floor, which scales with distance, is represented in the functional form that the physics implies</w:t>
      </w:r>
      <w:r>
        <w:t xml:space="preserve"> </w:t>
      </w:r>
      <w:hyperlink w:anchor="ref-3">
        <w:r>
          <w:rPr>
            <w:rStyle w:val="Hyperlink"/>
          </w:rPr>
          <w:t xml:space="preserve">[3]</w:t>
        </w:r>
      </w:hyperlink>
      <w:r>
        <w:t xml:space="preserve">[4]. Every covariate value in both studies traces to the workload, processing-locus, geometric, or telecommunications description in its cited source, which is what makes the regressors well defined as opposed to nominal.</w:t>
      </w:r>
    </w:p>
    <w:bookmarkEnd w:id="121"/>
    <w:bookmarkStart w:id="122" w:name="estimators"/>
    <w:p>
      <w:pPr>
        <w:pStyle w:val="Heading2"/>
        <w:spacing w:line="480" w:lineRule="auto"/>
      </w:pPr>
      <w:r>
        <w:t xml:space="preserve">5.3 Estimators</w:t>
      </w:r>
    </w:p>
    <w:p>
      <w:pPr>
        <w:pStyle w:val="FirstParagraph"/>
        <w:spacing w:line="480" w:lineRule="auto"/>
      </w:pPr>
      <w:r>
        <w:t xml:space="preserve">Both papers are estimated by ordinary least squares with heteroskedasticity-consistent (HC1) standard errors. The choice of OLS is not a default. It is defensible on three grounds. First, the estimand in each case is a conditional mean effect, the marginal change in latency associated with a unit change in a design covariate holding the others fixed, and OLS recovers exactly that under the identification assumptions stated in Section 5.4. Second, with twenty-eight observations and a small covariate set, a more elaborate estimator would purchase flexibility the data cannot support and would invite overfitting; the parsimony is a feature of an identification-first design, not a limitation conceded reluctantly. Third, OLS coefficients are transparent and reproducible from the dataset and configuration, which matters for a dissertation whose contribution is a source-traceable decomposition rather than a black-box predictor.</w:t>
      </w:r>
    </w:p>
    <w:p>
      <w:pPr>
        <w:pStyle w:val="BodyText"/>
        <w:spacing w:line="480" w:lineRule="auto"/>
        <w:ind w:firstLine="720"/>
      </w:pPr>
      <w:r>
        <w:t xml:space="preserve">Robust standard errors are not optional here, and the reason is specific to latency data. Processing latency has a long right tail. It is generated by queued and batch-mode processing in which a product can wait far longer than the median behind concurrent load. Under that tail the homoskedasticity assumption of classical OLS inference fails, and classical standard errors would understate sampling variability and inflate apparent significance. HC1 errors are therefore pre-committed in both papers precisely so that the single sign-and-significance decision on the coefficient of interest is made under honest uncertainty. This is a deliberate guard against a Type I error on the headline claim: it is more conservative to admit wide intervals than to manufacture precision the tail does not support.</w:t>
      </w:r>
    </w:p>
    <w:p>
      <w:pPr>
        <w:pStyle w:val="BodyText"/>
        <w:spacing w:line="480" w:lineRule="auto"/>
        <w:ind w:firstLine="720"/>
      </w:pPr>
      <w:r>
        <w:t xml:space="preserve">The functional forms differ between the two papers, and the difference is itself an identification choice rather than a stylistic one. The ground study is linear in levels, because the question is the additive minutes of latency that a given design feature contributes to a budget, and an additive budget is the object the architect needs. The cross-mission study is log-linear on distance and rate, because the question is an elasticity, the percentage change in latency per percentage change in a geometric or link variable, and because the light-time floor multiplies rather than adds across orders of magnitude in distance. Aperture and the relay indicator enter the cross-mission model in levels, so their coefficients are semi-elasticities, the proportional change in latency for a one-unit change in the regressor. The estimator and its standard errors in the cross-mission paper are computed through a shared runner used across the dissertation’s empirical papers, so the reported numbers are reproducible from the dataset and configuration without manual intervention. The ground study reports the full inferential apparatus: an overall fit of R-squared 0.80, adjusted R-squared 0.76, an F-statistic of 25.0 with a p-value below 0.001 on twenty-eight observations. The cross-mission study reports R-squared 0.980, adjusted R-squared 0.976, and a joint F of 128.0 with a p-value near 2.3e-15. These fit statistics are not the contribution; they establish only that the specifications as wholes are strongly significant, leaving the per-coefficient identification to the strategy below.</w:t>
      </w:r>
    </w:p>
    <w:p>
      <w:pPr>
        <w:pStyle w:val="BodyText"/>
        <w:spacing w:line="480" w:lineRule="auto"/>
        <w:ind w:firstLine="720"/>
      </w:pPr>
      <w:r>
        <w:t xml:space="preserve">As pre-committed robustness layers the ground study specifies several checks that the headline OLS does not by itself deliver. A per-stage residual decomposition tests whether the estimated effect is concentrated in the stages theory predicts rather than smeared across the pipeline, which guards against a coefficient that fits the aggregate while contradicting the mechanism. Survival-style modelling of the latency distribution checks robustness to the long right tail, since a single estimator can be sensitive to tail observations that a duration model handles natively. The locus coefficient is also reported with and without an automation control, so that any collinearity between automation level and locus is exposed rather than concealed. These are not separate estimators competing for the headline; they are stress tests of the one OLS estimate that carries the falsifiable claim.</w:t>
      </w:r>
    </w:p>
    <w:bookmarkEnd w:id="122"/>
    <w:bookmarkStart w:id="123" w:name="identification-strategy"/>
    <w:p>
      <w:pPr>
        <w:pStyle w:val="Heading2"/>
        <w:spacing w:line="480" w:lineRule="auto"/>
      </w:pPr>
      <w:r>
        <w:t xml:space="preserve">5.4 Identification Strategy</w:t>
      </w:r>
    </w:p>
    <w:p>
      <w:pPr>
        <w:pStyle w:val="FirstParagraph"/>
        <w:spacing w:line="480" w:lineRule="auto"/>
      </w:pPr>
      <w:r>
        <w:t xml:space="preserve">The central identification problem is that the design choices under test are not randomly assigned. In the ground study, processing locus is chosen jointly with workload: onboard and edge systems are deployed on lighter platforms</w:t>
      </w:r>
      <w:r>
        <w:t xml:space="preserve"> </w:t>
      </w:r>
      <w:hyperlink w:anchor="ref-1">
        <w:r>
          <w:rPr>
            <w:rStyle w:val="Hyperlink"/>
          </w:rPr>
          <w:t xml:space="preserve">[1]</w:t>
        </w:r>
      </w:hyperlink>
      <w:r>
        <w:t xml:space="preserve">[3], while ground systems absorb high-volume survey loads</w:t>
      </w:r>
      <w:r>
        <w:t xml:space="preserve"> </w:t>
      </w:r>
      <w:hyperlink w:anchor="ref-4">
        <w:r>
          <w:rPr>
            <w:rStyle w:val="Hyperlink"/>
          </w:rPr>
          <w:t xml:space="preserve">[4]</w:t>
        </w:r>
      </w:hyperlink>
      <w:r>
        <w:t xml:space="preserve"> </w:t>
      </w:r>
      <w:r>
        <w:t xml:space="preserve">and process observations at real-time rates and survey volume</w:t>
      </w:r>
      <w:r>
        <w:t xml:space="preserve"> </w:t>
      </w:r>
      <w:hyperlink w:anchor="ref-5">
        <w:r>
          <w:rPr>
            <w:rStyle w:val="Hyperlink"/>
          </w:rPr>
          <w:t xml:space="preserve">[5]</w:t>
        </w:r>
      </w:hyperlink>
      <w:r>
        <w:t xml:space="preserve">. A naive comparison of onboard and ground latencies would therefore conflate the locus choice with the workload and processing paradigm that select into it, and any apparent onboard advantage could be a stand-in for the lighter load that travels with onboard deployment. The identification strategy responds by conditioning on exactly those selection drivers. Volume, association complexity, and queue load enter as explicit controls, and the queued nightly-batch reduction paradigm enters as a fixed effect, so that the locus coefficient is estimated within the space of runs that share a processing regime and a workload profile. Under the selection-on-observables assumption, that locus is as good as randomly assigned conditional on workload and the batch regime, the conditional locus coefficient identifies the marginal effect of relocating computation, net of the confounders that theory names.</w:t>
      </w:r>
    </w:p>
    <w:p>
      <w:pPr>
        <w:pStyle w:val="BodyText"/>
        <w:spacing w:line="480" w:lineRule="auto"/>
        <w:ind w:firstLine="720"/>
      </w:pPr>
      <w:r>
        <w:t xml:space="preserve">The strategy is honest about what this assumption can and cannot deliver. It delivers a confounder-adjusted estimate, and the result reported in the ground paper is that the locus coefficient, negative in sign at the point estimate as theory predicts but with an interval that comfortably spans zero, is not statistically distinguishable from zero once volume and the batch fixed effect are held constant. The null is not rejected. The correct reading, which the chapter states plainly, is that the study rules out a large independent locus effect in this sample rather than proving the absence of any locus effect. With twenty-eight runs the estimate is imprecise, and a better-powered instrumented panel could yet recover significance. This is the disciplined conclusion of a selection-on-observables design: the apparent onboard advantage in raw comparisons is, in this sample, an artifact of the workload and paradigm that accompany the locus choice rather than a property of the locus itself, but the design bounds the effect rather than nullifying it. As a robustness layer beyond pure cross-section the design also envisions within-pipeline configuration changes, the same chain run under different loci on matched workload windows, to difference out fixed pipeline characteristics and tighten identification where matched windows exist.</w:t>
      </w:r>
    </w:p>
    <w:p>
      <w:pPr>
        <w:pStyle w:val="BodyText"/>
        <w:spacing w:line="480" w:lineRule="auto"/>
        <w:ind w:firstLine="720"/>
      </w:pPr>
      <w:r>
        <w:t xml:space="preserve">In the cross-mission study the identification logic is different in kind because one regressor is genuinely exogenous. Earth-spacecraft distance, and the one-way light-time floor it imposes, is fixed by orbital mechanics and the speed of light, and no ground-segment or onboard engineering can reduce it. Distance is therefore not selected by the operator in the way locus is; it is imposed by the mission’s target body. This gives the distance elasticity an unusually clean causal interpretation, and the estimated value of 0.735, with a standard error of 0.052 and a p-value below 0.001, identifies the dominant and incompressible component of data-return latency. The estimated elasticity below unity is itself informative: it is consistent with the floor being the leading but not the sole component, because overhead above the floor does not scale exactly with distance. The engineering levers in the same model, downlink rate, aperture, and relay topology, are the variables an operator can purchase, and conditioning on distance isolates their second-order influence. The downlink-rate elasticity carries the predicted negative sign at minus 0.021 but does not reach significance at a p-value of 0.213, while aperture and the relay indicator are likewise not distinguishable from zero. The identification claim here is asymmetric, and the chapter states it plainly: the distance channel is cleanly identified because it is exogenous, whereas the engineering channels are conditionally estimated and thinly populated, so the design supports a strong claim about the incompressible floor and only a bounded claim about the purchasable levers.</w:t>
      </w:r>
    </w:p>
    <w:p>
      <w:pPr>
        <w:pStyle w:val="BodyText"/>
        <w:spacing w:line="480" w:lineRule="auto"/>
        <w:ind w:firstLine="720"/>
      </w:pPr>
      <w:r>
        <w:t xml:space="preserve">Taken together the two studies form a complementary identification design across the pipeline. The ground study identifies where the delay lives inside the ground segment, attributing it to throughput volume and the batch paradigm rather than to processing locus, and the cross-mission study identifies how much of the data-return interval is incompressible physics rather than purchasable engineering. Neither study claims more than its design licenses, and the chapter’s separation of clean from conditional identification is the safeguard against overclaiming.</w:t>
      </w:r>
    </w:p>
    <w:bookmarkEnd w:id="123"/>
    <w:bookmarkStart w:id="124" w:name="threats-to-validity-and-their-bounds"/>
    <w:p>
      <w:pPr>
        <w:pStyle w:val="Heading2"/>
        <w:spacing w:line="480" w:lineRule="auto"/>
      </w:pPr>
      <w:r>
        <w:t xml:space="preserve">5.5 Threats to Validity and Their Bounds</w:t>
      </w:r>
    </w:p>
    <w:p>
      <w:pPr>
        <w:pStyle w:val="FirstParagraph"/>
        <w:spacing w:line="480" w:lineRule="auto"/>
      </w:pPr>
      <w:r>
        <w:t xml:space="preserve">The credibility of the causal reading rests on confronting the standard threats explicitly and bounding each rather than gesturing at them. I treat the four established categories in turn.</w:t>
      </w:r>
    </w:p>
    <w:p>
      <w:pPr>
        <w:pStyle w:val="BodyText"/>
        <w:spacing w:line="480" w:lineRule="auto"/>
        <w:ind w:firstLine="720"/>
      </w:pPr>
      <w:r>
        <w:rPr>
          <w:b/>
          <w:bCs/>
        </w:rPr>
        <w:t xml:space="preserve">Internal validity.</w:t>
      </w:r>
      <w:r>
        <w:t xml:space="preserve"> </w:t>
      </w:r>
      <w:r>
        <w:t xml:space="preserve">The principal internal threat is residual confounding, because the design choices under test are not randomly assigned. In the ground study the matched-window logic and the explicit volume, complexity, and queue controls, together with the batch fixed effect, are the primary response, but residual confounding from unmodelled queue dynamics remains possible. The queue_state covariate and the survival-tail robustness check are the dedicated probes for it, and the per-stage residual decomposition further tests whether the estimated effect sits in the stages the mechanism predicts. The bound is therefore explicit: the design conditions on the named selection drivers and stress-tests the residual, but it cannot rule out an unobserved confounder that co-moves with locus and is orthogonal to the modelled workload, and the chapter does not claim it can. In the cross-mission study the exogeneity of distance largely removes the confounding threat for the dominant coefficient, since distance is imposed rather than chosen, which is why that coefficient bears the weight of the causal claim while the engineering coefficients are read only as conditional associations.</w:t>
      </w:r>
    </w:p>
    <w:p>
      <w:pPr>
        <w:pStyle w:val="BodyText"/>
        <w:spacing w:line="480" w:lineRule="auto"/>
        <w:ind w:firstLine="720"/>
      </w:pPr>
      <w:r>
        <w:rPr>
          <w:b/>
          <w:bCs/>
        </w:rPr>
        <w:t xml:space="preserve">External validity.</w:t>
      </w:r>
      <w:r>
        <w:t xml:space="preserve"> </w:t>
      </w:r>
      <w:r>
        <w:t xml:space="preserve">The estimates are anchored to specific instrument and mission classes and do not automatically transfer. The ground study is anchored to a geostationary-survey autonomous optical instrument</w:t>
      </w:r>
      <w:r>
        <w:t xml:space="preserve"> </w:t>
      </w:r>
      <w:hyperlink w:anchor="ref-6">
        <w:r>
          <w:rPr>
            <w:rStyle w:val="Hyperlink"/>
          </w:rPr>
          <w:t xml:space="preserve">[6]</w:t>
        </w:r>
      </w:hyperlink>
      <w:r>
        <w:t xml:space="preserve"> </w:t>
      </w:r>
      <w:r>
        <w:t xml:space="preserve">and its automated extraction pipeline</w:t>
      </w:r>
      <w:r>
        <w:t xml:space="preserve"> </w:t>
      </w:r>
      <w:hyperlink w:anchor="ref-4">
        <w:r>
          <w:rPr>
            <w:rStyle w:val="Hyperlink"/>
          </w:rPr>
          <w:t xml:space="preserve">[4]</w:t>
        </w:r>
      </w:hyperlink>
      <w:r>
        <w:t xml:space="preserve">, so the estimated locus and volume effects may not carry to radar chains or to high-cadence wide-field systems that process at very different volumes</w:t>
      </w:r>
      <w:r>
        <w:t xml:space="preserve"> </w:t>
      </w:r>
      <w:hyperlink w:anchor="ref-4">
        <w:r>
          <w:rPr>
            <w:rStyle w:val="Hyperlink"/>
          </w:rPr>
          <w:t xml:space="preserve">[4]</w:t>
        </w:r>
      </w:hyperlink>
      <w:r>
        <w:t xml:space="preserve">[5]. The study bounds this by reporting the workload range over which the estimate is supported and refusing to extrapolate beyond it. The cross-mission study spans NASA, ESA, and JAXA missions from the inner planets to the interstellar medium, which is a wide support for the distance elasticity but a thin one for the relay and aperture channels, so the external claim is correspondingly strong for the floor and weak for the levers. In both cases the bound is the same in spirit: report the range of support and decline to generalize past it.</w:t>
      </w:r>
    </w:p>
    <w:p>
      <w:pPr>
        <w:pStyle w:val="BodyText"/>
        <w:spacing w:line="480" w:lineRule="auto"/>
        <w:ind w:firstLine="720"/>
      </w:pPr>
      <w:r>
        <w:rPr>
          <w:b/>
          <w:bCs/>
        </w:rPr>
        <w:t xml:space="preserve">Construct validity.</w:t>
      </w:r>
      <w:r>
        <w:t xml:space="preserve"> </w:t>
      </w:r>
      <w:r>
        <w:t xml:space="preserve">The outcome construct, end-to-end latency, conflates queuing with computation, and the danger is attributing queue delay to the design choice under test. The ground study guards this with the per-stage residual decomposition, which separates the queuing component from the computational component so that the batch and volume terms, rather than the locus term, absorb the queue delay they generate. Automation level and locus are correlated in practice</w:t>
      </w:r>
      <w:r>
        <w:t xml:space="preserve"> </w:t>
      </w:r>
      <w:hyperlink w:anchor="ref-1">
        <w:r>
          <w:rPr>
            <w:rStyle w:val="Hyperlink"/>
          </w:rPr>
          <w:t xml:space="preserve">[1]</w:t>
        </w:r>
      </w:hyperlink>
      <w:r>
        <w:t xml:space="preserve">[7], so the specification reports the locus coefficient with and without an automation control to expose any collinearity rather than conceal it. In the cross-mission study the outcome is a representative latency rather than a continuously logged operational series, so the construct captures cross-mission structure rather than within-mission dynamics, and the chapter states that limitation as a construct boundary rather than a flaw to be papered over.</w:t>
      </w:r>
    </w:p>
    <w:p>
      <w:pPr>
        <w:pStyle w:val="BodyText"/>
        <w:spacing w:line="480" w:lineRule="auto"/>
        <w:ind w:firstLine="720"/>
      </w:pPr>
      <w:r>
        <w:rPr>
          <w:b/>
          <w:bCs/>
        </w:rPr>
        <w:t xml:space="preserve">Statistical-conclusion validity.</w:t>
      </w:r>
      <w:r>
        <w:t xml:space="preserve"> </w:t>
      </w:r>
      <w:r>
        <w:t xml:space="preserve">The long right tail of processing and data-return latency can inflate apparent significance under ordinary least squares, which is the most direct threat to an honest sign-and-significance decision. The pre-committed HC1 robust standard errors in both papers and the survival-model cross-check in the ground study are the response, and they are committed before estimation so that they cannot be selectively applied after seeing which inference they favor. The bound this places on the headline is visible in the results themselves: the ground study reports a locus interval that spans zero and declines to reject the null, and the cross-mission study reports a downlink-rate coefficient that carries the right sign but cannot be distinguished from zero, both of which are the honest output of conservative inference rather than a search for a significant story. The four flagged measurement cells in each dataset are the final statistical-conclusion consideration; held below fifteen percent and tied to documented regimes, they introduce measurement structure that a fully instrumented timestamp or tracking-pass log would remove, and the log specification in the cross-mission study partially absorbs their noise. The bound is disclosure plus a ceiling: the cells are named in the source column, capped in proportion, and identified as the first target for a future fully instrumented panel.</w:t>
      </w:r>
    </w:p>
    <w:p>
      <w:pPr>
        <w:pStyle w:val="BodyText"/>
        <w:spacing w:line="480" w:lineRule="auto"/>
        <w:ind w:firstLine="720"/>
      </w:pPr>
      <w:r>
        <w:t xml:space="preserve">Across all four headings the governing principle is the same. Each threat is named, the design response is stated, and the residual that the response cannot eliminate is acknowledged and bounded rather than denied. That posture, conditioning on the confounders theory names, leaning on the one genuinely exogenous regressor for the strongest claim, and pre-committing the conservative inference that keeps the decision honest, is what allows the dissertation to read its surviving coefficients causally while reporting its null and insignificant coefficients as exactly that.</w:t>
      </w:r>
    </w:p>
    <w:bookmarkEnd w:id="124"/>
    <w:bookmarkEnd w:id="125"/>
    <w:bookmarkStart w:id="141" w:name="chapter-6.-results"/>
    <w:p>
      <w:pPr>
        <w:pStyle w:val="Heading1"/>
        <w:spacing w:line="480" w:lineRule="auto"/>
      </w:pPr>
      <w:r>
        <w:t xml:space="preserve">Chapter 6. Results</w:t>
      </w:r>
    </w:p>
    <w:p>
      <w:pPr>
        <w:pStyle w:val="FirstParagraph"/>
        <w:spacing w:line="480" w:lineRule="auto"/>
      </w:pPr>
      <w:r>
        <w:t xml:space="preserve">This chapter presents and interprets the estimated findings of the two empirical studies that together constitute the quantitative core of this dissertation. The first study, reported in Section 6.2, instruments a planetary-class ground processing chain and fits a fixed-effects regression of per-run end-to-end latency on processing locus, workload volume, association complexity, queue load, and the ground batch-processing paradigm. The second study, reported in Section 6.3, broadens the unit of analysis from a single instrumented pipeline to a cross-section of twenty-eight planetary and deep-space missions and fits a log-linear regression of data-return latency on Earth distance, downlink rate, antenna aperture, and relay architecture. Both estimators were run through the shared computational runner described in Chapter 5, so every coefficient, standard error, and fit statistic reported below is reproducible from the deposited dataset and configuration without manual intervention. The tables, the estimating formulas in full algebraic form, and the diagnostic plots are reproduced in Appendix A; this chapter reports the numbers in prose and interprets them.</w:t>
      </w:r>
    </w:p>
    <w:p>
      <w:pPr>
        <w:pStyle w:val="BodyText"/>
        <w:spacing w:line="480" w:lineRule="auto"/>
        <w:ind w:firstLine="720"/>
      </w:pPr>
      <w:r>
        <w:t xml:space="preserve">A single organizing logic runs through both studies. Each was built around one falsifiable claim about where the latency of a planetary data pipeline actually originates, and each was designed so that the claim could be rejected cleanly if the instrumented data did not support it. The two studies attack the question from opposite ends of the pipeline. The first asks where, within the ground segment, the processing delay lives, and whether moving computation off the ground is an independent driver of that delay once workload is controlled. The second asks, across the entire observation-to-product chain of a deep-space mission, what share of the delay is compressible by engineering investment and what share is fixed by the physics of distance. The results of the two studies converge on a common conclusion that is developed in Chapter 7: the dominant drivers of planetary data-pipeline latency are workload volume and the irreducible structural regime of the pipeline, while the architectural choices that practitioners most often invoke as latency remedies exert effects that this evidence cannot distinguish from zero.</w:t>
      </w:r>
    </w:p>
    <w:bookmarkStart w:id="126" w:name="overview-of-the-estimated-models"/>
    <w:p>
      <w:pPr>
        <w:pStyle w:val="Heading2"/>
        <w:spacing w:line="480" w:lineRule="auto"/>
      </w:pPr>
      <w:r>
        <w:t xml:space="preserve">6.1 Overview of the Estimated Models</w:t>
      </w:r>
    </w:p>
    <w:p>
      <w:pPr>
        <w:pStyle w:val="FirstParagraph"/>
        <w:spacing w:line="480" w:lineRule="auto"/>
      </w:pPr>
      <w:r>
        <w:t xml:space="preserve">Both models were estimated by ordinary least squares with heteroskedasticity-robust standard errors of the HC1 form. The choice of robust standard errors was pre-committed in the design of each study rather than adopted after inspecting residuals, because the latency outcome in each case carries a long right tail. Queued processing in the ground study and the wide dispersion of distance across mission classes in the cross-mission study both generate the kind of non-constant error variance that would render conventional ordinary least squares standard errors optimistic. Reporting HC1 standard errors keeps the single hypothesis decision in each study honest against that tail, at the documented cost of somewhat wider intervals on the marginal coefficients.</w:t>
      </w:r>
    </w:p>
    <w:p>
      <w:pPr>
        <w:pStyle w:val="BodyText"/>
        <w:spacing w:line="480" w:lineRule="auto"/>
        <w:ind w:firstLine="720"/>
      </w:pPr>
      <w:r>
        <w:t xml:space="preserve">Each model is estimated on twenty-eight observations. This is a deliberately small and deliberately parsimonious specification in both cases. The ground study fits five regressors plus a constant; the cross-mission study fits four regressors plus a constant. Holding the regressor count low against twenty-eight observations is a defense against overfitting and a discipline that forces every coefficient to be defensible against the documented sources behind each row. The cost of that discipline is statistical power, and the consequences of limited power are visible and openly reported in the marginal coefficients of both models. The studies are powered to detect the dominant driver in each pipeline; they are not powered to resolve the second-order architectural effects with precision, and the chapter says so wherever that limitation bites.</w:t>
      </w:r>
    </w:p>
    <w:p>
      <w:pPr>
        <w:pStyle w:val="BodyText"/>
        <w:spacing w:line="480" w:lineRule="auto"/>
        <w:ind w:firstLine="720"/>
      </w:pPr>
      <w:r>
        <w:t xml:space="preserve">The interpretive standard applied throughout this chapter is that a coefficient is treated as a supported driver only when its sign matches theory and its p-value clears the conventional five percent threshold under robust standard errors. A coefficient whose sign matches theory but whose interval spans zero is reported as directionally consistent but statistically indistinguishable from no effect, and is not advanced as a finding. This standard is applied symmetrically to the hypotheses each study was designed to test and to the control variables, so that a control which happens to be significant is reported that way and a hypothesized driver which fails to clear the threshold is reported as a non-rejection of the null rather than quietly reinterpreted.</w:t>
      </w:r>
    </w:p>
    <w:bookmarkEnd w:id="126"/>
    <w:bookmarkStart w:id="133" w:name="X77eba753a81026bae8858c6442609a85f9e02eb"/>
    <w:p>
      <w:pPr>
        <w:pStyle w:val="Heading2"/>
        <w:spacing w:line="480" w:lineRule="auto"/>
      </w:pPr>
      <w:r>
        <w:t xml:space="preserve">6.2 Study One: Processing Locus and Ground-Segment Latency</w:t>
      </w:r>
    </w:p>
    <w:bookmarkStart w:id="127" w:name="model-fit"/>
    <w:p>
      <w:pPr>
        <w:pStyle w:val="Heading3"/>
        <w:spacing w:line="480" w:lineRule="auto"/>
      </w:pPr>
      <w:r>
        <w:t xml:space="preserve">6.2.1 Model Fit</w:t>
      </w:r>
    </w:p>
    <w:p>
      <w:pPr>
        <w:pStyle w:val="FirstParagraph"/>
        <w:spacing w:line="480" w:lineRule="auto"/>
      </w:pPr>
      <w:r>
        <w:t xml:space="preserve">The first study fits per-run end-to-end latency, measured in minutes, on processed frame volume in thousands, an association-complexity index, a concurrent queue-load index, a ground batch-processing fixed-effect dummy, and an onboard processing-locus indicator, across twenty-eight instrumented pipeline runs drawn from nine documented planetary and space-surveillance configurations.</w:t>
      </w:r>
    </w:p>
    <w:p>
      <w:pPr>
        <w:pStyle w:val="BodyText"/>
        <w:spacing w:line="480" w:lineRule="auto"/>
        <w:ind w:firstLine="720"/>
      </w:pPr>
      <w:r>
        <w:t xml:space="preserve">The specification explains the great majority of the variance in end-to-end latency. The coefficient of determination is 0.801, and the adjusted coefficient of determination, which penalizes the five-regressor specification for its degrees of freedom, is 0.756. The overall F-statistic is 25.01 with a p-value of 2.17 times ten to the negative eighth, so the joint null that all slope coefficients are zero is rejected decisively. The model as a whole is strongly significant, and roughly eighty percent of the run-to-run variation in latency is accounted for by the five covariates together. This is a well-fitting model by the standards of an instrumented cross-section, and it establishes that the covariates chosen from the qualitative stage-coding protocol do capture the structure of the latency variation. The interpretive work of the study, however, is in the decomposition of that explained variance across the individual drivers, because the headline hypothesis concerned one specific covariate and the fit statistic alone does not adjudicate it.</w:t>
      </w:r>
    </w:p>
    <w:bookmarkEnd w:id="127"/>
    <w:bookmarkStart w:id="128" w:name="X4d74f6061240676e90abebd9fd5ed3d2d8bda2a"/>
    <w:p>
      <w:pPr>
        <w:pStyle w:val="Heading3"/>
        <w:spacing w:line="480" w:lineRule="auto"/>
      </w:pPr>
      <w:r>
        <w:t xml:space="preserve">6.2.2 The Dominant Driver: Processed Frame Volume</w:t>
      </w:r>
    </w:p>
    <w:p>
      <w:pPr>
        <w:pStyle w:val="FirstParagraph"/>
        <w:spacing w:line="480" w:lineRule="auto"/>
      </w:pPr>
      <w:r>
        <w:t xml:space="preserve">Processed frame volume is the dominant and most precisely estimated effect in the model. The coefficient on volume measured in thousands of frames is 5.9823 minutes per thousand frames, with a robust standard error of 1.0985, yielding a p-value indistinguishable from zero at the reported precision. The implied t-ratio of roughly 5.4 places the estimate well beyond any conventional significance threshold and makes volume the single covariate in the model whose effect is established with high confidence.</w:t>
      </w:r>
    </w:p>
    <w:p>
      <w:pPr>
        <w:pStyle w:val="BodyText"/>
        <w:spacing w:line="480" w:lineRule="auto"/>
        <w:ind w:firstLine="720"/>
      </w:pPr>
      <w:r>
        <w:t xml:space="preserve">The substantive reading is direct. Holding the processing locus, the association complexity, the queue load, and the batch-processing regime constant, each additional thousand frames that the pipeline must process before it can emit a product adds very nearly six minutes to the end-to-end latency of that product. In operational terms this is a large effect. Automated ground pipelines of the class anchoring this study process detection and sky-position extraction across more than twenty-three thousand images in a survey run</w:t>
      </w:r>
      <w:r>
        <w:t xml:space="preserve"> </w:t>
      </w:r>
      <w:hyperlink w:anchor="ref-4">
        <w:r>
          <w:rPr>
            <w:rStyle w:val="Hyperlink"/>
          </w:rPr>
          <w:t xml:space="preserve">[4]</w:t>
        </w:r>
      </w:hyperlink>
      <w:r>
        <w:t xml:space="preserve">, so the volume covariate ranges across the full span over which a survey-scale reduction load accumulates, and the linear coefficient implies that the volume term alone can account for the difference between a near-immediate product and one delayed by a substantial fraction of an hour. The precision of the estimate, with a standard error under one-fifth of the point estimate, means this is not a fragile result; it is the firm structural finding of the study. Latency in these pipelines scales with the quantity of imagery that must be reduced before a product is ready, and that scaling is the largest single lever in the model.</w:t>
      </w:r>
    </w:p>
    <w:bookmarkEnd w:id="128"/>
    <w:bookmarkStart w:id="129" w:name="X83a95b850db46a850b08d3ccf339a9b6808b74a"/>
    <w:p>
      <w:pPr>
        <w:pStyle w:val="Heading3"/>
        <w:spacing w:line="480" w:lineRule="auto"/>
      </w:pPr>
      <w:r>
        <w:t xml:space="preserve">6.2.3 The Second Significant Driver: The Ground Batch-Processing Regime</w:t>
      </w:r>
    </w:p>
    <w:p>
      <w:pPr>
        <w:pStyle w:val="FirstParagraph"/>
        <w:spacing w:line="480" w:lineRule="auto"/>
      </w:pPr>
      <w:r>
        <w:t xml:space="preserve">The ground batch-processing paradigm is the second statistically significant driver. The fixed-effect dummy that marks membership in the queued nightly-batch reduction regime carries a coefficient of 31.497 minutes, with a robust standard error of 11.1369 and a p-value of 0.0047. The estimate clears the five percent threshold and indeed the one percent threshold, so the batch-regime effect is a supported finding rather than a directional suggestion.</w:t>
      </w:r>
    </w:p>
    <w:p>
      <w:pPr>
        <w:pStyle w:val="BodyText"/>
        <w:spacing w:line="480" w:lineRule="auto"/>
        <w:ind w:firstLine="720"/>
      </w:pPr>
      <w:r>
        <w:t xml:space="preserve">The interpretation is that, holding workload constant, a run that belongs to the queued nightly-batch reduction paradigm carries roughly thirty-one and a half additional minutes of latency relative to a run that does not, purely on account of the regime it sits within. This is the structural penalty of deferring reduction into a queued batch rather than processing in a streaming fashion. The result is consequential because the batch dummy was deliberately entered as a fixed effect precisely so that the locus coefficient would be identified net of the dominant ground paradigm rather than silently absorbing it. The fact that the batch effect emerges as large and significant in its own right confirms that the paradigm is not a nuisance term to be controlled away but a first-order driver of the latency the study set out to explain. Together, volume and the batch regime carry the model: one captures how much imagery must be reduced, the other captures the queuing discipline under which that reduction occurs, and these two terms account for the bulk of the explained variance.</w:t>
      </w:r>
    </w:p>
    <w:bookmarkEnd w:id="129"/>
    <w:bookmarkStart w:id="130" w:name="the-hypothesized-driver-processing-locus"/>
    <w:p>
      <w:pPr>
        <w:pStyle w:val="Heading3"/>
        <w:spacing w:line="480" w:lineRule="auto"/>
      </w:pPr>
      <w:r>
        <w:t xml:space="preserve">6.2.4 The Hypothesized Driver: Processing Locus</w:t>
      </w:r>
    </w:p>
    <w:p>
      <w:pPr>
        <w:pStyle w:val="FirstParagraph"/>
        <w:spacing w:line="480" w:lineRule="auto"/>
      </w:pPr>
      <w:r>
        <w:t xml:space="preserve">The study was designed around a single falsifiable claim, stated as H1, that holding image volume, association complexity, queue load, and the ground batch-processing paradigm constant, the onboard or edge processing locus is a statistically significant negative driver of end-to-end per-product latency. The corresponding null, H0, holds that under those controls the locus coefficient is statistically indistinguishable from zero.</w:t>
      </w:r>
    </w:p>
    <w:p>
      <w:pPr>
        <w:pStyle w:val="BodyText"/>
        <w:spacing w:line="480" w:lineRule="auto"/>
        <w:ind w:firstLine="720"/>
      </w:pPr>
      <w:r>
        <w:t xml:space="preserve">The processing-locus coefficient does not survive the controls. Its point estimate is -15.2618 minutes, with a robust standard error of 18.2657 and a p-value of 0.4034. The sign is negative, exactly as theory and H1 predicted. The magnitude is not trivial either, since a fifteen-minute reduction would be operationally meaningful if it could be relied upon. But the standard error is larger than the point estimate itself, the t-ratio is approximately -0.84, and the interval comfortably spans zero. The null hypothesis H0 is therefore not rejected. Once frame volume and the batch-processing fixed effect are held constant, moving the processing locus onboard has no statistically distinguishable independent effect on per-product latency in this sample.</w:t>
      </w:r>
    </w:p>
    <w:p>
      <w:pPr>
        <w:pStyle w:val="BodyText"/>
        <w:spacing w:line="480" w:lineRule="auto"/>
        <w:ind w:firstLine="720"/>
      </w:pPr>
      <w:r>
        <w:t xml:space="preserve">The careful statement of this result matters for the integrity of the dissertation’s single-estimand design. The study does not find that onboard processing has no latency benefit. It finds that the data cannot distinguish the onboard latency benefit from sampling noise once the confounding workload and regime variables are removed. The negative fifteen-minute point estimate is real in sign and consistent with the qualitative literature that frames onboard reduction as a remedy for ground latency</w:t>
      </w:r>
      <w:r>
        <w:t xml:space="preserve"> </w:t>
      </w:r>
      <w:hyperlink w:anchor="ref-1">
        <w:r>
          <w:rPr>
            <w:rStyle w:val="Hyperlink"/>
          </w:rPr>
          <w:t xml:space="preserve">[1]</w:t>
        </w:r>
      </w:hyperlink>
      <w:r>
        <w:t xml:space="preserve">[3], but with the precision available in twenty-eight runs it cannot be told apart from zero. The reading developed at length in the study’s own discussion, and carried forward into Chapter 7, is that the apparent onboard latency advantage visible in raw architecture-to-architecture comparisons is, in this sample, largely an artifact of the lighter workloads and the non-batch regimes that accompany the onboard locus rather than a property of the locus itself. Onboard systems are deployed on lighter platforms</w:t>
      </w:r>
      <w:r>
        <w:t xml:space="preserve"> </w:t>
      </w:r>
      <w:hyperlink w:anchor="ref-1">
        <w:r>
          <w:rPr>
            <w:rStyle w:val="Hyperlink"/>
          </w:rPr>
          <w:t xml:space="preserve">[1]</w:t>
        </w:r>
      </w:hyperlink>
      <w:r>
        <w:t xml:space="preserve">[3], while ground systems absorb high-volume survey loads</w:t>
      </w:r>
      <w:r>
        <w:t xml:space="preserve"> </w:t>
      </w:r>
      <w:hyperlink w:anchor="ref-4">
        <w:r>
          <w:rPr>
            <w:rStyle w:val="Hyperlink"/>
          </w:rPr>
          <w:t xml:space="preserve">[4]</w:t>
        </w:r>
      </w:hyperlink>
      <w:r>
        <w:t xml:space="preserve"> </w:t>
      </w:r>
      <w:r>
        <w:t xml:space="preserve">and process observations at real-time rates and survey volume</w:t>
      </w:r>
      <w:r>
        <w:t xml:space="preserve"> </w:t>
      </w:r>
      <w:hyperlink w:anchor="ref-5">
        <w:r>
          <w:rPr>
            <w:rStyle w:val="Hyperlink"/>
          </w:rPr>
          <w:t xml:space="preserve">[5]</w:t>
        </w:r>
      </w:hyperlink>
      <w:r>
        <w:t xml:space="preserve">; the locus choice travels with the workload and paradigm that select into it, and the fixed-effects specification was built precisely to separate the three. When they are separated, the locus effect dissolves into its interval.</w:t>
      </w:r>
    </w:p>
    <w:bookmarkEnd w:id="130"/>
    <w:bookmarkStart w:id="131" w:name="the-remaining-controls"/>
    <w:p>
      <w:pPr>
        <w:pStyle w:val="Heading3"/>
        <w:spacing w:line="480" w:lineRule="auto"/>
      </w:pPr>
      <w:r>
        <w:t xml:space="preserve">6.2.5 The Remaining Controls</w:t>
      </w:r>
    </w:p>
    <w:p>
      <w:pPr>
        <w:pStyle w:val="FirstParagraph"/>
        <w:spacing w:line="480" w:lineRule="auto"/>
      </w:pPr>
      <w:r>
        <w:t xml:space="preserve">The two remaining workload controls are also statistically insignificant, and their behavior is consistent with the volume and batch terms having absorbed the explanatory content with which they co-move. Association complexity carries a coefficient of -3.8869 with a robust standard error of 5.5196 and a p-value of 0.4813. Queue load carries a coefficient of -13.9466 with a robust standard error of 14.729 and a p-value of 0.3437. Neither approaches significance, and both have point estimates smaller than their standard errors.</w:t>
      </w:r>
    </w:p>
    <w:p>
      <w:pPr>
        <w:pStyle w:val="BodyText"/>
        <w:spacing w:line="480" w:lineRule="auto"/>
        <w:ind w:firstLine="720"/>
      </w:pPr>
      <w:r>
        <w:t xml:space="preserve">Two observations are in order. First, the negative sign on association complexity is mildly counterintuitive, since one might expect resolving more candidate associations to add rather than subtract latency, but the coefficient is so imprecise that its sign carries no inferential weight; the estimate is statistically indistinguishable from zero and is reported that way. Second, the queue-load coefficient, although also insignificant, has a magnitude comparable to the locus coefficient, which underscores the degree to which concurrent load, queuing discipline, and processing locus are entangled in this small sample. The model’s intercept, the constant, is 34.4121 with a robust standard error of 25.8375 and a p-value of 0.1829, and is not separately interpretable as a driver. The pattern across the controls reinforces the central decomposition rather than complicating it: the latency that the model explains is carried by how much imagery is processed and by whether the pipeline runs in a queued batch regime, and the remaining covariates, including the hypothesized locus term, do not add distinguishable independent explanatory power once those two are in the model.</w:t>
      </w:r>
    </w:p>
    <w:bookmarkEnd w:id="131"/>
    <w:bookmarkStart w:id="132" w:name="summary-of-study-one"/>
    <w:p>
      <w:pPr>
        <w:pStyle w:val="Heading3"/>
        <w:spacing w:line="480" w:lineRule="auto"/>
      </w:pPr>
      <w:r>
        <w:t xml:space="preserve">6.2.6 Summary of Study One</w:t>
      </w:r>
    </w:p>
    <w:p>
      <w:pPr>
        <w:pStyle w:val="FirstParagraph"/>
        <w:spacing w:line="480" w:lineRule="auto"/>
      </w:pPr>
      <w:r>
        <w:t xml:space="preserve">The first study delivers a clean and, for its primary hypothesis, negative result. The model is strongly significant overall and explains about eighty percent of the variance in latency. Within that explained variance, two drivers are statistically supported: processed frame volume, at very nearly six minutes per thousand frames with high precision, and the queued nightly-batch reduction regime, at roughly thirty-one and a half minutes with a p-value below one percent. The hypothesized driver, the onboard processing locus, carries the theory-predicted negative sign at a point estimate of about fifteen minutes but cannot be distinguished from zero, so H0 is not rejected. The instrumented decomposition therefore reassigns the ground-segment latency budget away from the ground-versus-onboard distinction and toward throughput volume and the batch-processing paradigm. For a science data system architect this is an actionable redirection of engineering effort, developed fully in the discussion of Chapter 7: the defensible levers in this sample are reducing the per-run frame volume that must be processed before a product is emitted and replacing the queued batch regime with a streaming one, while relocating computation onboard should be justified on grounds other than a clean latency argument, such as downlink-bandwidth relief or autonomy.</w:t>
      </w:r>
    </w:p>
    <w:bookmarkEnd w:id="132"/>
    <w:bookmarkEnd w:id="133"/>
    <w:bookmarkStart w:id="139" w:name="X8b27171a8d717c46f65d4ee1dd2f4814b3ab287"/>
    <w:p>
      <w:pPr>
        <w:pStyle w:val="Heading2"/>
        <w:spacing w:line="480" w:lineRule="auto"/>
      </w:pPr>
      <w:r>
        <w:t xml:space="preserve">6.3 Study Two: Distance and Cross-Mission Data-Return Latency</w:t>
      </w:r>
    </w:p>
    <w:bookmarkStart w:id="134" w:name="model-fit-1"/>
    <w:p>
      <w:pPr>
        <w:pStyle w:val="Heading3"/>
        <w:spacing w:line="480" w:lineRule="auto"/>
      </w:pPr>
      <w:r>
        <w:t xml:space="preserve">6.3.1 Model Fit</w:t>
      </w:r>
    </w:p>
    <w:p>
      <w:pPr>
        <w:pStyle w:val="FirstParagraph"/>
        <w:spacing w:line="480" w:lineRule="auto"/>
      </w:pPr>
      <w:r>
        <w:t xml:space="preserve">The second study widens the aperture from one instrumented ground chain to the full observation-to-product pipeline of an entire mission, and from one facility to a cross-section of twenty-eight planetary and deep-space missions operated by NASA, ESA, and JAXA, spanning Mercury to the interstellar medium. The outcome is data-return latency in hours, entered in natural logarithm; the regressors are the natural logarithm of Earth-spacecraft distance in astronomical units, the natural logarithm of downlink data rate in kilobits per second, antenna aperture in meters, and a relay-architecture indicator. The log-log form on distance and rate renders their coefficients elasticities; aperture and the relay indicator enter in levels and their coefficients are semi-elasticities.</w:t>
      </w:r>
    </w:p>
    <w:p>
      <w:pPr>
        <w:pStyle w:val="BodyText"/>
        <w:spacing w:line="480" w:lineRule="auto"/>
        <w:ind w:firstLine="720"/>
      </w:pPr>
      <w:r>
        <w:t xml:space="preserve">The model fits the cross-mission variation extremely closely. The coefficient of determination is 0.980, and the adjusted coefficient of determination is 0.976, so even after penalizing the four-regressor specification the model accounts for more than ninety-seven percent of the variance in log latency. The joint F-statistic is 128.03 with a p-value of 2.30 times ten to the negative fifteenth, significant far beyond any conventional threshold. The fit is very high. It is not, however, a sign of overfitting, and the reason is worth stating plainly. The latency of a deep-space mission is dominated by a single physical quantity, the one-way light time, which is itself a near-deterministic function of Earth-spacecraft distance. A regression of latency on distance is therefore expected to fit well because it is partly recovering a physical identity, and the high coefficient of determination is the empirical signature of that floor rather than evidence of an overspecified model. The substantive question is how the explained variance is apportioned across distance and the engineering levers, and it is the coefficients, not the fit, that answer it.</w:t>
      </w:r>
    </w:p>
    <w:bookmarkEnd w:id="134"/>
    <w:bookmarkStart w:id="135" w:name="Xbce4c7ecfa94d1407ae71763907a4ac80bc0805"/>
    <w:p>
      <w:pPr>
        <w:pStyle w:val="Heading3"/>
        <w:spacing w:line="480" w:lineRule="auto"/>
      </w:pPr>
      <w:r>
        <w:t xml:space="preserve">6.3.2 The Dominant and Decisive Driver: Earth Distance</w:t>
      </w:r>
    </w:p>
    <w:p>
      <w:pPr>
        <w:pStyle w:val="FirstParagraph"/>
        <w:spacing w:line="480" w:lineRule="auto"/>
      </w:pPr>
      <w:r>
        <w:t xml:space="preserve">The distance elasticity is the dominant and decisive result of the second study. The coefficient on the natural logarithm of Earth-spacecraft distance is 0.7354, with a robust standard error of 0.0523 and a p-value indistinguishable from zero at the reported precision. The implied t-ratio of roughly fourteen places this far beyond any conventional significance threshold, making it the most precisely identified coefficient in either study.</w:t>
      </w:r>
    </w:p>
    <w:p>
      <w:pPr>
        <w:pStyle w:val="BodyText"/>
        <w:spacing w:line="480" w:lineRule="auto"/>
        <w:ind w:firstLine="720"/>
      </w:pPr>
      <w:r>
        <w:t xml:space="preserve">Interpreted as an elasticity, the estimate states that a one percent increase in Earth-spacecraft distance is associated with approximately a 0.74 percent increase in data-return latency, holding downlink rate, antenna aperture, and relay architecture fixed. This strongly supports the first hypothesis of the study, H1, that the distance elasticity is positive and large, reflecting the one-way light-time floor. The grip of distance tightens monotonically from the inner planets out to the interstellar probes, exactly as the light-time physics demands. The estimated elasticity sits below unity, at about three-quarters, and that detail is itself informative rather than a defect. If latency were composed of nothing but the light-time floor, the elasticity of latency with respect to distance would approach one. An elasticity meaningfully below one is consistent with the floor being the leading but not the sole component of latency, since the overhead that accumulates above the floor, the queuing for a tracking pass, the buffering and playback at a finite downlink rate, and the ground processing, does not scale exactly in proportion to distance. The coefficient thus carries two messages at once: distance governs the pipeline, and it governs a floor over which a smaller, less distance-coupled overhead is layered.</w:t>
      </w:r>
    </w:p>
    <w:bookmarkEnd w:id="135"/>
    <w:bookmarkStart w:id="136" w:name="X5a04cf6f9169c1ac2b0ac6a7985d144f19374eb"/>
    <w:p>
      <w:pPr>
        <w:pStyle w:val="Heading3"/>
        <w:spacing w:line="480" w:lineRule="auto"/>
      </w:pPr>
      <w:r>
        <w:t xml:space="preserve">6.3.3 The First Engineering Lever: Downlink Rate</w:t>
      </w:r>
    </w:p>
    <w:p>
      <w:pPr>
        <w:pStyle w:val="FirstParagraph"/>
        <w:spacing w:line="480" w:lineRule="auto"/>
      </w:pPr>
      <w:r>
        <w:t xml:space="preserve">The downlink-rate elasticity carries the predicted negative sign but does not reach significance. The coefficient on the natural logarithm of downlink rate is -0.0207, with a robust standard error of 0.0166 and a p-value of 0.2128. The direction matches the study’s second hypothesis, H2, that holding distance, aperture, and architecture fixed, the elasticity of latency with respect to downlink rate is negative. The point estimate implies that a tenfold increase in downlink rate is associated with roughly a five percent reduction in latency. But the cross-section cannot distinguish this effect from zero at conventional levels: the standard error is comparable in magnitude to the coefficient, the t-ratio is about -1.25, and the interval spans zero.</w:t>
      </w:r>
    </w:p>
    <w:p>
      <w:pPr>
        <w:pStyle w:val="BodyText"/>
        <w:spacing w:line="480" w:lineRule="auto"/>
        <w:ind w:firstLine="720"/>
      </w:pPr>
      <w:r>
        <w:t xml:space="preserve">The practical reading, carried into the discussion of Chapter 7, is that downlink rate matters most for throughput rather than for the latency floor, which distance has already pinned. This is a coherent and physically sensible result rather than a null without content. Higher-rate Ka-band and arrayed-reception architectures shorten the playback component of latency for a fixed data volume</w:t>
      </w:r>
      <w:r>
        <w:t xml:space="preserve"> </w:t>
      </w:r>
      <w:hyperlink w:anchor="ref-4">
        <w:r>
          <w:rPr>
            <w:rStyle w:val="Hyperlink"/>
          </w:rPr>
          <w:t xml:space="preserve">[4]</w:t>
        </w:r>
      </w:hyperlink>
      <w:r>
        <w:t xml:space="preserve">, so a negative elasticity is exactly what the link-budget theory predicts; the study confirms the sign while declining to claim a magnitude it cannot resolve. H2 is therefore directionally consistent with the evidence but not statistically established in this cross-section, and it is reported that way rather than overstated.</w:t>
      </w:r>
    </w:p>
    <w:bookmarkEnd w:id="136"/>
    <w:bookmarkStart w:id="137" w:name="Xadac5b56ea5eb412e473f480db10e9ef70c702f"/>
    <w:p>
      <w:pPr>
        <w:pStyle w:val="Heading3"/>
        <w:spacing w:line="480" w:lineRule="auto"/>
      </w:pPr>
      <w:r>
        <w:t xml:space="preserve">6.3.4 The Remaining Engineering Levers: Aperture and Relay Architecture</w:t>
      </w:r>
    </w:p>
    <w:p>
      <w:pPr>
        <w:pStyle w:val="FirstParagraph"/>
        <w:spacing w:line="480" w:lineRule="auto"/>
      </w:pPr>
      <w:r>
        <w:t xml:space="preserve">The two remaining engineering levers are not statistically distinguishable from zero. Antenna aperture enters with a coefficient of -0.0253, a robust standard error of 0.0548, and a p-value of 0.6449. The relay-architecture indicator enters with a coefficient of 0.0561, a robust standard error of 0.0745, and a p-value of 0.4513.</w:t>
      </w:r>
    </w:p>
    <w:p>
      <w:pPr>
        <w:pStyle w:val="BodyText"/>
        <w:spacing w:line="480" w:lineRule="auto"/>
        <w:ind w:firstLine="720"/>
      </w:pPr>
      <w:r>
        <w:t xml:space="preserve">Both estimates are imprecise, and neither rivals distance as a driver of latency once distance and rate are controlled. The aperture coefficient is negative, which is the expected direction since a larger high-gain dish raises achievable rate for a given distance and ground asset and so should shorten the playback component, but the estimate is small and swamped by its standard error. The relay coefficient is positive, consistent with the intuition that a multi-hop architecture, in which a surface asset routes through an orbiter rather than transmitting direct-to-Earth, adds overhead to the pipeline</w:t>
      </w:r>
      <w:r>
        <w:t xml:space="preserve"> </w:t>
      </w:r>
      <w:hyperlink w:anchor="ref-5">
        <w:r>
          <w:rPr>
            <w:rStyle w:val="Hyperlink"/>
          </w:rPr>
          <w:t xml:space="preserve">[5]</w:t>
        </w:r>
      </w:hyperlink>
      <w:r>
        <w:t xml:space="preserve">[6], but it too is imprecise. The thinness of the relay and aperture channels in this cross-section is the proximate reason for their imprecision; relay and large-aperture configurations are sparsely populated among the twenty-eight missions, and the study openly attributes the wide intervals to that sparseness rather than to a claim that these levers are truly inert. The honest statement is that, in this sample, neither aperture nor architecture can be shown to move latency once the light-time floor and the downlink rate are accounted for. The model’s intercept, the constant, is -0.8137 with a robust standard error of 0.0738 and a p-value indistinguishable from zero; it anchors the log-latency scale and is not interpreted as a driver.</w:t>
      </w:r>
    </w:p>
    <w:bookmarkEnd w:id="137"/>
    <w:bookmarkStart w:id="138" w:name="summary-of-study-two"/>
    <w:p>
      <w:pPr>
        <w:pStyle w:val="Heading3"/>
        <w:spacing w:line="480" w:lineRule="auto"/>
      </w:pPr>
      <w:r>
        <w:t xml:space="preserve">6.3.5 Summary of Study Two</w:t>
      </w:r>
    </w:p>
    <w:p>
      <w:pPr>
        <w:pStyle w:val="FirstParagraph"/>
        <w:spacing w:line="480" w:lineRule="auto"/>
      </w:pPr>
      <w:r>
        <w:t xml:space="preserve">The second study delivers a sharply structured result. The model explains more than ninety-seven percent of the variance in log latency and is jointly significant far beyond any conventional threshold. Within that explained variance, one driver dominates decisively: the elasticity of latency with respect to Earth distance is 0.7354 with a standard error of 0.0523 and a p-value below 0.001, supporting H1 and locating the bulk of cross-mission latency variation in the irreducible light-time floor. The downlink-rate elasticity is correctly signed and negative at -0.0207 but does not reach significance, so H2 is directionally consistent but not established. Antenna aperture and the relay indicator are both insignificant, their coefficients small relative to their standard errors in a cross-section that populates those channels thinly. The decomposition that the study set out to produce is therefore achieved: it separates the compressible from the incompressible components of pipeline latency and finds that the incompressible component, distance, accounts for nearly all of the explained variation, while the levers that programs actually purchase move latency only at the margin once distance is held fixed.</w:t>
      </w:r>
    </w:p>
    <w:bookmarkEnd w:id="138"/>
    <w:bookmarkEnd w:id="139"/>
    <w:bookmarkStart w:id="140" w:name="synthesis-of-the-two-studies"/>
    <w:p>
      <w:pPr>
        <w:pStyle w:val="Heading2"/>
        <w:spacing w:line="480" w:lineRule="auto"/>
      </w:pPr>
      <w:r>
        <w:t xml:space="preserve">6.4 Synthesis of the Two Studies</w:t>
      </w:r>
    </w:p>
    <w:p>
      <w:pPr>
        <w:pStyle w:val="FirstParagraph"/>
        <w:spacing w:line="480" w:lineRule="auto"/>
      </w:pPr>
      <w:r>
        <w:t xml:space="preserve">The two studies were estimated on different units of analysis, the instrumented ground-processing run and the whole-mission pipeline, yet they return findings of the same shape, and the convergence is the principal empirical contribution of this chapter. In each study the model fits well, in each study a structural driver dominates, and in each study the architectural choice that practitioners most often invoke as a latency remedy fails to clear the significance threshold once the structural driver is controlled.</w:t>
      </w:r>
    </w:p>
    <w:p>
      <w:pPr>
        <w:pStyle w:val="BodyText"/>
        <w:spacing w:line="480" w:lineRule="auto"/>
        <w:ind w:firstLine="720"/>
      </w:pPr>
      <w:r>
        <w:t xml:space="preserve">In the ground-segment study the dominant drivers are processed frame volume, at 5.9823 minutes per thousand frames with a p-value indistinguishable from zero, and the queued batch-processing regime, at 31.497 minutes with a p-value of 0.0047, while the onboard processing locus, the hypothesized remedy, carries a theory-consistent negative coefficient of -15.2618 minutes that cannot be distinguished from zero, with a p-value of 0.4034. In the cross-mission study the dominant driver is the distance elasticity at 0.7354 with a p-value below 0.001, while the engineering levers that planners purchase, downlink rate at -0.0207, aperture at -0.0253, and relay architecture at 0.0561, all fail to reach significance. The two studies thus agree that planetary data-pipeline latency is governed by the quantity of data that must traverse the pipeline and by the structural regime of the pipeline, whether a queued batch discipline on the ground or the light-time floor in deep space, and that the relocation or re-architecting choices commonly proposed as remedies are second-order at best in the evidence available here.</w:t>
      </w:r>
    </w:p>
    <w:p>
      <w:pPr>
        <w:pStyle w:val="BodyText"/>
        <w:spacing w:line="480" w:lineRule="auto"/>
        <w:ind w:firstLine="720"/>
      </w:pPr>
      <w:r>
        <w:t xml:space="preserve">This convergence is reported here as the result; its interpretation, its limits, and its implications for science data system design are developed in Chapter 7. Two caveats are nonetheless stated plainly so that the findings are not over-read. First, both models rest on twenty-eight observations, and the non-rejections in each, the locus term in the ground study and the rate, aperture, and relay terms in the cross-mission study, are statements that the data rule out large independent effects rather than proofs that those effects are absent; a better-powered instrumented panel could yet recover significance for any of them. Second, a minority of rows in each dataset, four of twenty-eight in each, are regime-anchored illustrative latency figures held to the documented processing regime of their cited source, and although each is below the fifteen percent ceiling and traceable to a named source, they introduce measurement structure that a fully instrumented timestamp log would remove. Within those bounds the two studies stand as a pair of single, falsifiable, confounder-adjusted estimates whose consistent message is that the latency of these pipelines lives in their volume and their structural regime, and not, once those are controlled, in where the computation happens or in the engineering levers ordinarily purchased to fight it.</w:t>
      </w:r>
    </w:p>
    <w:bookmarkEnd w:id="140"/>
    <w:bookmarkEnd w:id="141"/>
    <w:bookmarkStart w:id="157" w:name="X21322cb5e29cbf4eb576afddcad42f86ace4e0d"/>
    <w:p>
      <w:pPr>
        <w:pStyle w:val="Heading1"/>
        <w:spacing w:line="480" w:lineRule="auto"/>
      </w:pPr>
      <w:r>
        <w:t xml:space="preserve">Chapter 7. Discussion and Governance Implications</w:t>
      </w:r>
    </w:p>
    <w:bookmarkStart w:id="142" w:name="what-the-two-studies-together-establish"/>
    <w:p>
      <w:pPr>
        <w:pStyle w:val="Heading2"/>
        <w:spacing w:line="480" w:lineRule="auto"/>
      </w:pPr>
      <w:r>
        <w:t xml:space="preserve">7.1 What the Two Studies Together Establish</w:t>
      </w:r>
    </w:p>
    <w:p>
      <w:pPr>
        <w:pStyle w:val="FirstParagraph"/>
        <w:spacing w:line="480" w:lineRule="auto"/>
      </w:pPr>
      <w:r>
        <w:t xml:space="preserve">This dissertation set out to convert pipeline latency from an opaque scalar, reported once per architecture and asserted rather than measured, into an attributable budget that a science data system architect can defend against a sponsor, a review board, or a competing design. The two empirical chapters approached that goal from opposite ends of the planetary data chain, and their findings now combine into a single, coherent governance picture that is more useful than either result in isolation.</w:t>
      </w:r>
    </w:p>
    <w:p>
      <w:pPr>
        <w:pStyle w:val="BodyText"/>
        <w:spacing w:line="480" w:lineRule="auto"/>
        <w:ind w:firstLine="720"/>
      </w:pPr>
      <w:r>
        <w:t xml:space="preserve">The first study instrumented the ground-segment processing chain and asked whether the choice of processing locus, onboard or edge versus ground, drives end-to-end per-product latency once workload and processing paradigm are controlled. The headline result is a clean failure to reject the null. The locus coefficient carries the theoretically predicted negative sign, at roughly fifteen minutes of apparent onboard advantage, but its confidence interval comfortably spans zero. The explanatory weight of the model instead loads onto processed frame volume, at about six minutes of added latency per additional thousand frames, and onto the queued nightly-batch reduction paradigm, at roughly thirty-one minutes of penalty for membership in that regime. The delay, in other words, lives in how much data the pipeline must chew before it emits a product and in whether it chews that data in a queued batch or a stream, not in the physical place where the computation happens.</w:t>
      </w:r>
    </w:p>
    <w:p>
      <w:pPr>
        <w:pStyle w:val="BodyText"/>
        <w:spacing w:line="480" w:lineRule="auto"/>
        <w:ind w:firstLine="720"/>
      </w:pPr>
      <w:r>
        <w:t xml:space="preserve">The second study moved up the chain to the mission level and asked what governs the data-return latency of a deep-space pipeline across twenty-eight missions spanning Mercury to the interstellar medium. Here the dominant driver is the one variable no operations budget can touch: Earth-spacecraft distance, entering through the irreducible one-way light-time floor, with a distance elasticity near 0.74 estimated tightly and significant well beyond conventional thresholds. The engineering levers that programs actually purchase, downlink rate, antenna aperture, and relay topology, all move latency only at the margin once distance is held fixed, and none of the three reaches significance in the cross-section.</w:t>
      </w:r>
    </w:p>
    <w:p>
      <w:pPr>
        <w:pStyle w:val="BodyText"/>
        <w:spacing w:line="480" w:lineRule="auto"/>
        <w:ind w:firstLine="720"/>
      </w:pPr>
      <w:r>
        <w:t xml:space="preserve">Read side by side, the two chapters deliver a consistent and somewhat sobering message to program management. In both the ground segment and the deep-space link, the latency driver that intuition reaches for first, where to put the compute in the first study, and which engineering upgrade to buy in the second, is not the driver the data identify. The ground study redirects attention from locus to volume and batch regime</w:t>
      </w:r>
      <w:r>
        <w:t xml:space="preserve"> </w:t>
      </w:r>
      <w:hyperlink w:anchor="ref-1">
        <w:r>
          <w:rPr>
            <w:rStyle w:val="Hyperlink"/>
          </w:rPr>
          <w:t xml:space="preserve">[1]</w:t>
        </w:r>
      </w:hyperlink>
      <w:r>
        <w:t xml:space="preserve">[2][4][5]. The mission study redirects attention from purchasable link engineering to the physics of distance and to the data volume that must cross the link</w:t>
      </w:r>
      <w:r>
        <w:t xml:space="preserve"> </w:t>
      </w:r>
      <w:hyperlink w:anchor="ref-3">
        <w:r>
          <w:rPr>
            <w:rStyle w:val="Hyperlink"/>
          </w:rPr>
          <w:t xml:space="preserve">[3]</w:t>
        </w:r>
      </w:hyperlink>
      <w:r>
        <w:t xml:space="preserve">[4][7]. The common thread is volume. In the ground segment, frame volume per run is the single most precisely estimated effect; in the deep-space pipeline, the highest-leverage compressible quantity is the volume that must traverse the light-time floor. A decomposition that began as two separate regressions converges on one actionable lever, and that convergence is the central contribution this chapter asks NASA program management and JPL decision-making to absorb.</w:t>
      </w:r>
    </w:p>
    <w:bookmarkEnd w:id="142"/>
    <w:bookmarkStart w:id="146" w:name="implications-for-nasa-program-management"/>
    <w:p>
      <w:pPr>
        <w:pStyle w:val="Heading2"/>
        <w:spacing w:line="480" w:lineRule="auto"/>
      </w:pPr>
      <w:r>
        <w:t xml:space="preserve">7.2 Implications for NASA Program Management</w:t>
      </w:r>
    </w:p>
    <w:bookmarkStart w:id="143" w:name="X98d3dfef45fe6149cc9833f4aa939238aa067e5"/>
    <w:p>
      <w:pPr>
        <w:pStyle w:val="Heading3"/>
        <w:spacing w:line="480" w:lineRule="auto"/>
      </w:pPr>
      <w:r>
        <w:t xml:space="preserve">7.2.1 Spend Engineering Effort Where the Coefficient Is</w:t>
      </w:r>
    </w:p>
    <w:p>
      <w:pPr>
        <w:pStyle w:val="FirstParagraph"/>
        <w:spacing w:line="480" w:lineRule="auto"/>
      </w:pPr>
      <w:r>
        <w:t xml:space="preserve">The first and most direct managerial implication is that latency investment should be governed by an estimated budget rather than by architectural fashion. The ground study makes this concrete. A program office facing a latency shortfall in a survey-class processing chain has, in this sample, two statistically supported levers and one that does not earn its keep on latency grounds. The supported levers are reducing the per-run frame volume that must be processed before a usable product is emitted, and replacing the queued nightly-batch reduction regime with a streaming one. Each of these carries a large, significant coefficient in the fitted model</w:t>
      </w:r>
      <w:r>
        <w:t xml:space="preserve"> </w:t>
      </w:r>
      <w:hyperlink w:anchor="ref-1">
        <w:r>
          <w:rPr>
            <w:rStyle w:val="Hyperlink"/>
          </w:rPr>
          <w:t xml:space="preserve">[1]</w:t>
        </w:r>
      </w:hyperlink>
      <w:r>
        <w:t xml:space="preserve">[2][4][5]. The lever that does not survive the controls is relocating computation onboard. Its point estimate is negative, consistent with the qualitative case that onboard advocates make</w:t>
      </w:r>
      <w:r>
        <w:t xml:space="preserve"> </w:t>
      </w:r>
      <w:hyperlink w:anchor="ref-1">
        <w:r>
          <w:rPr>
            <w:rStyle w:val="Hyperlink"/>
          </w:rPr>
          <w:t xml:space="preserve">[1]</w:t>
        </w:r>
      </w:hyperlink>
      <w:r>
        <w:t xml:space="preserve">[3], but it cannot be distinguished from sampling noise once volume and the batch fixed effect are removed from it.</w:t>
      </w:r>
    </w:p>
    <w:p>
      <w:pPr>
        <w:pStyle w:val="BodyText"/>
        <w:spacing w:line="480" w:lineRule="auto"/>
        <w:ind w:firstLine="720"/>
      </w:pPr>
      <w:r>
        <w:t xml:space="preserve">This does not mean onboard or edge processing is a poor investment. It means the justification should rest where its case is sound: downlink-bandwidth relief, autonomy, and reduction of the volume that must cross the link, rather than a clean latency argument the data do not support. The distinction matters for governance because a program that funds an onboard processor expecting a latency dividend, and writes a latency requirement against that expectation, has mispriced its own roadmap. The defensible framing is that onboard processing earns its place by shrinking volume, and volume is the variable that the ground study shows actually moves latency. The benefit is real but it flows through the volume channel, not through the locus channel, and a requirements document that names the mechanism correctly will allocate verification effort correctly.</w:t>
      </w:r>
    </w:p>
    <w:bookmarkEnd w:id="143"/>
    <w:bookmarkStart w:id="144" w:name="Xe0ad80c0d56dddf2f40814fcf6c48275c42ce34"/>
    <w:p>
      <w:pPr>
        <w:pStyle w:val="Heading3"/>
        <w:spacing w:line="480" w:lineRule="auto"/>
      </w:pPr>
      <w:r>
        <w:t xml:space="preserve">7.2.2 Treat Deep-Space Latency Requirements as Largely Exogenous</w:t>
      </w:r>
    </w:p>
    <w:p>
      <w:pPr>
        <w:pStyle w:val="FirstParagraph"/>
        <w:spacing w:line="480" w:lineRule="auto"/>
      </w:pPr>
      <w:r>
        <w:t xml:space="preserve">The mission study carries an equally direct implication for how program management writes and negotiates latency requirements for deep-space missions. Because the dominant driver of data-return latency is distance, and distance is fixed by the target body and the mission trajectory, the latency floor for a deep-space pipeline is largely exogenous to ground engineering</w:t>
      </w:r>
      <w:r>
        <w:t xml:space="preserve"> </w:t>
      </w:r>
      <w:hyperlink w:anchor="ref-3">
        <w:r>
          <w:rPr>
            <w:rStyle w:val="Hyperlink"/>
          </w:rPr>
          <w:t xml:space="preserve">[3]</w:t>
        </w:r>
      </w:hyperlink>
      <w:r>
        <w:t xml:space="preserve">[4]. A Mars surface asset will live with a latency measured in minutes; an outer-planet or interstellar pipeline will live with one measured in hours or the better part of a day, and no feasible investment in apertures or downlink modes changes that order of magnitude. The estimated distance elasticity near 0.74, tight and highly significant, quantifies what mission designers have long known qualitatively, and it does so in a form that can anchor a requirements trade.</w:t>
      </w:r>
    </w:p>
    <w:p>
      <w:pPr>
        <w:pStyle w:val="BodyText"/>
        <w:spacing w:line="480" w:lineRule="auto"/>
        <w:ind w:firstLine="720"/>
      </w:pPr>
      <w:r>
        <w:t xml:space="preserve">For program management the practical consequence is that latency requirements on deep-space missions should be designed around rather than fought. The appropriate response to an incompressible floor is not to over-invest in link engineering that the regression shows to be second-order, but to build operations concepts that tolerate the floor: autonomy onboard, event detection and triage that decide what is worth returning, and decision processes on the ground that do not assume real-time feedback the physics cannot deliver</w:t>
      </w:r>
      <w:r>
        <w:t xml:space="preserve"> </w:t>
      </w:r>
      <w:hyperlink w:anchor="ref-7">
        <w:r>
          <w:rPr>
            <w:rStyle w:val="Hyperlink"/>
          </w:rPr>
          <w:t xml:space="preserve">[7]</w:t>
        </w:r>
      </w:hyperlink>
      <w:r>
        <w:t xml:space="preserve">. This reframing protects programs from a common failure mode, in which a latency requirement is levied as though it were a ground-segment design parameter, and engineering budget is then spent chasing a target that distance has already pinned. The honest accounting separates the compressible overhead, which engineering can attack, from the incompressible floor, which it cannot, and a requirements process that respects that separation will allocate its scarce dollars to the part of the pipeline that responds.</w:t>
      </w:r>
    </w:p>
    <w:bookmarkEnd w:id="144"/>
    <w:bookmarkStart w:id="145" w:name="X481bef378fb6a347e62c9db31df9a5bb8181d07"/>
    <w:p>
      <w:pPr>
        <w:pStyle w:val="Heading3"/>
        <w:spacing w:line="480" w:lineRule="auto"/>
      </w:pPr>
      <w:r>
        <w:t xml:space="preserve">7.2.3 Manage the Shared Network as the Throughput Constraint</w:t>
      </w:r>
    </w:p>
    <w:p>
      <w:pPr>
        <w:pStyle w:val="FirstParagraph"/>
        <w:spacing w:line="480" w:lineRule="auto"/>
      </w:pPr>
      <w:r>
        <w:t xml:space="preserve">The two studies also speak to how NASA should manage its shared communications and processing infrastructure as the binding constraint shifts from accuracy toward timeliness and volume. As the volume of returned planetary data grows and as the Deep Space Network and its international peers contend with more simultaneous customers, latency competes with throughput as the limiting factor on mission value</w:t>
      </w:r>
      <w:r>
        <w:t xml:space="preserve"> </w:t>
      </w:r>
      <w:hyperlink w:anchor="ref-1">
        <w:r>
          <w:rPr>
            <w:rStyle w:val="Hyperlink"/>
          </w:rPr>
          <w:t xml:space="preserve">[1]</w:t>
        </w:r>
      </w:hyperlink>
      <w:r>
        <w:t xml:space="preserve">[2]. The mission study shows that the engineering levers a single program can buy are second-order against distance, which means the marginal latency improvement available to an individual mission is small. The leverage that remains is at the portfolio level: prioritization and scheduling of shared assets, where queueing for a tracking pass is one of the few overhead components above the light-time floor that management actually controls</w:t>
      </w:r>
      <w:r>
        <w:t xml:space="preserve"> </w:t>
      </w:r>
      <w:hyperlink w:anchor="ref-1">
        <w:r>
          <w:rPr>
            <w:rStyle w:val="Hyperlink"/>
          </w:rPr>
          <w:t xml:space="preserve">[1]</w:t>
        </w:r>
      </w:hyperlink>
      <w:r>
        <w:t xml:space="preserve">[2][5].</w:t>
      </w:r>
    </w:p>
    <w:p>
      <w:pPr>
        <w:pStyle w:val="BodyText"/>
        <w:spacing w:line="480" w:lineRule="auto"/>
        <w:ind w:firstLine="720"/>
      </w:pPr>
      <w:r>
        <w:t xml:space="preserve">This argues for treating tracking-pass allocation and ground-processing scheduling as program-management decisions with measurable latency consequences, not as purely operational housekeeping. The ground study supplies the mechanism: the batch-processing regime, which is a scheduling and queueing choice rather than a hardware choice, carries a thirty-one minute penalty in the fitted model. Scheduling regime is therefore a first-class latency lever, and it sits within management’s authority. The light-time floor never will. A portfolio that schedules its shared infrastructure to stream rather than to batch, and that prioritizes traffic against decision value rather than against arrival order, is operating on the part of the latency budget that responds to governance</w:t>
      </w:r>
      <w:r>
        <w:t xml:space="preserve"> </w:t>
      </w:r>
      <w:hyperlink w:anchor="ref-1">
        <w:r>
          <w:rPr>
            <w:rStyle w:val="Hyperlink"/>
          </w:rPr>
          <w:t xml:space="preserve">[1]</w:t>
        </w:r>
      </w:hyperlink>
      <w:r>
        <w:t xml:space="preserve">[2][5][6].</w:t>
      </w:r>
    </w:p>
    <w:bookmarkEnd w:id="145"/>
    <w:bookmarkEnd w:id="146"/>
    <w:bookmarkStart w:id="150" w:name="implications-for-jpl-decision-making"/>
    <w:p>
      <w:pPr>
        <w:pStyle w:val="Heading2"/>
        <w:spacing w:line="480" w:lineRule="auto"/>
      </w:pPr>
      <w:r>
        <w:t xml:space="preserve">7.3 Implications for JPL Decision-Making</w:t>
      </w:r>
    </w:p>
    <w:bookmarkStart w:id="147" w:name="X2d75d4e5226fa304bb4209d5e15c788aae03ac3"/>
    <w:p>
      <w:pPr>
        <w:pStyle w:val="Heading3"/>
        <w:spacing w:line="480" w:lineRule="auto"/>
      </w:pPr>
      <w:r>
        <w:t xml:space="preserve">7.3.1 An Evidence Basis for the Onboard-versus-Ground Trade</w:t>
      </w:r>
    </w:p>
    <w:p>
      <w:pPr>
        <w:pStyle w:val="FirstParagraph"/>
        <w:spacing w:line="480" w:lineRule="auto"/>
      </w:pPr>
      <w:r>
        <w:t xml:space="preserve">For JPL specifically, the most immediately usable product of this work is an evidence basis for the recurring onboard-versus-ground compute trade that arises in nearly every mission and instrument formulation. That trade is routinely argued on intuition and on whichever single-architecture latency number a vendor or an advocate happens to publish. The ground study replaces the intuition with a fitted coefficient and a confidence interval. The finding that the locus coefficient cannot be distinguished from zero once volume and batch regime are controlled gives a JPL formulation team a defensible basis to resist a latency-justified onboard mandate that the evidence does not support, and equally to redirect that energy toward the volume and scheduling levers that the evidence does support.</w:t>
      </w:r>
    </w:p>
    <w:p>
      <w:pPr>
        <w:pStyle w:val="BodyText"/>
        <w:spacing w:line="480" w:lineRule="auto"/>
        <w:ind w:firstLine="720"/>
      </w:pPr>
      <w:r>
        <w:t xml:space="preserve">The decision rule this enables is concrete. When a proposed architecture claims a latency benefit from moving computation onboard or to the edge, the formulation team should ask whether the claimed benefit survives a control for the workload and processing paradigm that travel with the locus choice. In this sample it does not. The apparent onboard advantage visible in raw comparison is, in the fitted model, an artifact of the lighter workloads onboard systems carry and the streaming regimes they tend to run, not a property of the locus itself</w:t>
      </w:r>
      <w:r>
        <w:t xml:space="preserve"> </w:t>
      </w:r>
      <w:hyperlink w:anchor="ref-1">
        <w:r>
          <w:rPr>
            <w:rStyle w:val="Hyperlink"/>
          </w:rPr>
          <w:t xml:space="preserve">[1]</w:t>
        </w:r>
      </w:hyperlink>
      <w:r>
        <w:t xml:space="preserve">[3][4][5]. A JPL trade study that fails to control for those confounders will systematically over-credit onboard processing on latency, and a trade study that does control for them will price the option correctly and free engineering effort for the levers that move the outcome.</w:t>
      </w:r>
    </w:p>
    <w:bookmarkEnd w:id="147"/>
    <w:bookmarkStart w:id="148" w:name="Xc663b541eded6635dc6047173f592087f2c2320"/>
    <w:p>
      <w:pPr>
        <w:pStyle w:val="Heading3"/>
        <w:spacing w:line="480" w:lineRule="auto"/>
      </w:pPr>
      <w:r>
        <w:t xml:space="preserve">7.3.2 Designing Operations Concepts Around the Floor</w:t>
      </w:r>
    </w:p>
    <w:p>
      <w:pPr>
        <w:pStyle w:val="FirstParagraph"/>
        <w:spacing w:line="480" w:lineRule="auto"/>
      </w:pPr>
      <w:r>
        <w:t xml:space="preserve">For JPL’s deep-space portfolio, the mission study reinforces a design philosophy that the institution already practices and now has quantified support for: design the operations concept around the light-time floor rather than against it. Because distance dominates and the engineering levers are second-order, the highest-leverage latency investments are not in the link but in reducing the volume and increasing the autonomy of what crosses it</w:t>
      </w:r>
      <w:r>
        <w:t xml:space="preserve"> </w:t>
      </w:r>
      <w:hyperlink w:anchor="ref-3">
        <w:r>
          <w:rPr>
            <w:rStyle w:val="Hyperlink"/>
          </w:rPr>
          <w:t xml:space="preserve">[3]</w:t>
        </w:r>
      </w:hyperlink>
      <w:r>
        <w:t xml:space="preserve">[4][7]. This points JPL toward onboard event detection, prioritized data triage, and distributed or agent-based mission management as the techniques that attack the part of the pipeline that engineering can actually move</w:t>
      </w:r>
      <w:r>
        <w:t xml:space="preserve"> </w:t>
      </w:r>
      <w:hyperlink w:anchor="ref-5">
        <w:r>
          <w:rPr>
            <w:rStyle w:val="Hyperlink"/>
          </w:rPr>
          <w:t xml:space="preserve">[5]</w:t>
        </w:r>
      </w:hyperlink>
      <w:r>
        <w:t xml:space="preserve">[6][7].</w:t>
      </w:r>
    </w:p>
    <w:p>
      <w:pPr>
        <w:pStyle w:val="BodyText"/>
        <w:spacing w:line="480" w:lineRule="auto"/>
        <w:ind w:firstLine="720"/>
      </w:pPr>
      <w:r>
        <w:t xml:space="preserve">The synthesis across the two studies is what makes this guidance sharp. The mission study says the compressible part of deep-space latency lives in the volume that crosses the link. The ground study says volume is also the dominant driver of ground-segment latency. The two findings point the same direction: volume reduction, whether through onboard triage that decides what is worth downlinking or through streaming ground reduction that processes what arrives without queueing it, is the lever that pays off at both ends of the chain. For JPL decision-making this turns a scattered set of architectural options into a single prioritized investment thesis. Reduce the volume that must be processed and transported before a product is emitted, stream rather than batch the processing of what remains, and accept the light-time floor as a planning constant rather than an engineering target.</w:t>
      </w:r>
    </w:p>
    <w:bookmarkEnd w:id="148"/>
    <w:bookmarkStart w:id="149" w:name="X25478ef5fdff36c9b8645ea2d944e4f34e8e24d"/>
    <w:p>
      <w:pPr>
        <w:pStyle w:val="Heading3"/>
        <w:spacing w:line="480" w:lineRule="auto"/>
      </w:pPr>
      <w:r>
        <w:t xml:space="preserve">7.3.3 Relay and Aperture as Throughput, Not Latency, Investments</w:t>
      </w:r>
    </w:p>
    <w:p>
      <w:pPr>
        <w:pStyle w:val="FirstParagraph"/>
        <w:spacing w:line="480" w:lineRule="auto"/>
      </w:pPr>
      <w:r>
        <w:t xml:space="preserve">A more cautionary implication for JPL concerns the relay and aperture investments that figure prominently in deep-space architecture trades. The mission study finds that neither antenna aperture nor relay architecture is statistically distinguishable from zero as a driver of latency once distance and rate are controlled. The relay coefficient is positive, consistent with the intuition that a multi-hop topology adds overhead, but it is imprecise in this cross-section</w:t>
      </w:r>
      <w:r>
        <w:t xml:space="preserve"> </w:t>
      </w:r>
      <w:hyperlink w:anchor="ref-5">
        <w:r>
          <w:rPr>
            <w:rStyle w:val="Hyperlink"/>
          </w:rPr>
          <w:t xml:space="preserve">[5]</w:t>
        </w:r>
      </w:hyperlink>
      <w:r>
        <w:t xml:space="preserve">[6]. The managerial reading is not that relays and large apertures are poor investments, since they remain the primary means of raising throughput and closing link budgets at range</w:t>
      </w:r>
      <w:r>
        <w:t xml:space="preserve"> </w:t>
      </w:r>
      <w:hyperlink w:anchor="ref-3">
        <w:r>
          <w:rPr>
            <w:rStyle w:val="Hyperlink"/>
          </w:rPr>
          <w:t xml:space="preserve">[3]</w:t>
        </w:r>
      </w:hyperlink>
      <w:r>
        <w:t xml:space="preserve">[4], but that their value should be booked against throughput and link-margin objectives rather than against a latency requirement. A JPL trade that justifies a relay orbiter or a larger high-gain antenna on latency grounds is, in this sample, justifying it on a coefficient that the data cannot distinguish from zero. The defensible justification runs through throughput and margin, where the engineering case for these assets is strong, and the latency conversation should be handled separately and honestly, around the floor that distance imposes.</w:t>
      </w:r>
    </w:p>
    <w:bookmarkEnd w:id="149"/>
    <w:bookmarkEnd w:id="150"/>
    <w:bookmarkStart w:id="155" w:name="limitations"/>
    <w:p>
      <w:pPr>
        <w:pStyle w:val="Heading2"/>
        <w:spacing w:line="480" w:lineRule="auto"/>
      </w:pPr>
      <w:r>
        <w:t xml:space="preserve">7.4 Limitations</w:t>
      </w:r>
    </w:p>
    <w:p>
      <w:pPr>
        <w:pStyle w:val="FirstParagraph"/>
        <w:spacing w:line="480" w:lineRule="auto"/>
      </w:pPr>
      <w:r>
        <w:t xml:space="preserve">The contribution of this dissertation is bounded, and the discipline of stating those bounds precisely is part of what makes the findings usable rather than overstated.</w:t>
      </w:r>
    </w:p>
    <w:bookmarkStart w:id="151" w:name="sample-size-and-statistical-power"/>
    <w:p>
      <w:pPr>
        <w:pStyle w:val="Heading3"/>
        <w:spacing w:line="480" w:lineRule="auto"/>
      </w:pPr>
      <w:r>
        <w:t xml:space="preserve">7.4.1 Sample Size and Statistical Power</w:t>
      </w:r>
    </w:p>
    <w:p>
      <w:pPr>
        <w:pStyle w:val="FirstParagraph"/>
        <w:spacing w:line="480" w:lineRule="auto"/>
      </w:pPr>
      <w:r>
        <w:t xml:space="preserve">Both empirical chapters rest on twenty-eight observations. In the ground study this means the locus coefficient is estimated imprecisely, and its wide interval rules out a large independent locus effect rather than proving the absence of any effect. A better-powered instrumented panel could yet recover significance for the locus term, and the honest statement of the result is that the study fails to find a distinguishable locus effect, not that it has shown the effect to be zero. The same caution applies to the insignificant workload controls in the ground model, association complexity and queue load, whose explanatory content is largely absorbed by the volume term and the batch dummy with which they co-move; a larger sample with more independent variation in those covariates could separate effects that this sample cannot. In the mission study the relay and aperture channels are thinly populated, which limits the precision of their coefficients and means the failure to find a significant effect there is partly a power statement rather than a clean null.</w:t>
      </w:r>
    </w:p>
    <w:bookmarkEnd w:id="151"/>
    <w:bookmarkStart w:id="152" w:name="measurement-structure-in-the-outcome"/>
    <w:p>
      <w:pPr>
        <w:pStyle w:val="Heading3"/>
        <w:spacing w:line="480" w:lineRule="auto"/>
      </w:pPr>
      <w:r>
        <w:t xml:space="preserve">7.4.2 Measurement Structure in the Outcome</w:t>
      </w:r>
    </w:p>
    <w:p>
      <w:pPr>
        <w:pStyle w:val="FirstParagraph"/>
        <w:spacing w:line="480" w:lineRule="auto"/>
      </w:pPr>
      <w:r>
        <w:t xml:space="preserve">Neither study rests on a continuously logged operational timestamp series. In the ground study, four of the twenty-eight latency values are regime-anchored illustrative figures, held to the documented processing regime of their cited source and constituting fourteen percent of rows, used where a per-run wall-clock number is not separately published. In the mission study, the outcome is a representative latency constructed from the documented light-time floor together with reported downlink and scheduling overhead, and four illustrative overhead cells, all flagged in the dataset and below the fifteen percent ceiling, introduce modest measurement noise. The log specification in the mission study partially absorbs that noise, and the robust standard errors in both studies guard against the long right tail of queued processing inflating apparent precision, but a fully instrumented timestamp log would remove the measurement structure these illustrative cells introduce. The estimates therefore describe cross-sectional and cross-mission structure rather than within-pipeline or within-mission dynamics, and they should be read as identifying which drivers matter across configurations rather than as tracking latency through time in a single system.</w:t>
      </w:r>
    </w:p>
    <w:bookmarkEnd w:id="152"/>
    <w:bookmarkStart w:id="153" w:name="residual-confounding-and-identification"/>
    <w:p>
      <w:pPr>
        <w:pStyle w:val="Heading3"/>
        <w:spacing w:line="480" w:lineRule="auto"/>
      </w:pPr>
      <w:r>
        <w:t xml:space="preserve">7.4.3 Residual Confounding and Identification</w:t>
      </w:r>
    </w:p>
    <w:p>
      <w:pPr>
        <w:pStyle w:val="FirstParagraph"/>
        <w:spacing w:line="480" w:lineRule="auto"/>
      </w:pPr>
      <w:r>
        <w:t xml:space="preserve">The ground study’s identification rests on controlling for the workload covariates that drive selection into locus, supplemented by the batch-processing fixed effect that holds the dominant ground paradigm constant so that the locus coefficient is identified net of it rather than absorbing it. This is a conditioning strategy, not a randomized assignment, and residual confounding from unmodelled queue dynamics remains possible despite the queue-load covariate included to probe it. Locus is not randomly assigned, and the matched-window logic that would difference out fixed pipeline characteristics is constrained by the sample. The mission study faces a parallel limit: its cross-section captures the structural relationship between distance, rate, and latency across mission classes, but it cannot model the within-mission queueing dynamics at the Deep Space Network and its peers that a true tracking-pass panel would expose</w:t>
      </w:r>
      <w:r>
        <w:t xml:space="preserve"> </w:t>
      </w:r>
      <w:hyperlink w:anchor="ref-1">
        <w:r>
          <w:rPr>
            <w:rStyle w:val="Hyperlink"/>
          </w:rPr>
          <w:t xml:space="preserve">[1]</w:t>
        </w:r>
      </w:hyperlink>
      <w:r>
        <w:t xml:space="preserve">[2][5]. In both cases the studies report a confounder-adjusted estimate under an explicit and stated conditioning set, which is the appropriate standard for observational pipeline data, but it is not the standard of a controlled experiment and should not be read as one.</w:t>
      </w:r>
    </w:p>
    <w:bookmarkEnd w:id="153"/>
    <w:bookmarkStart w:id="154" w:name="external-validity"/>
    <w:p>
      <w:pPr>
        <w:pStyle w:val="Heading3"/>
        <w:spacing w:line="480" w:lineRule="auto"/>
      </w:pPr>
      <w:r>
        <w:t xml:space="preserve">7.4.4 External Validity</w:t>
      </w:r>
    </w:p>
    <w:p>
      <w:pPr>
        <w:pStyle w:val="FirstParagraph"/>
        <w:spacing w:line="480" w:lineRule="auto"/>
      </w:pPr>
      <w:r>
        <w:t xml:space="preserve">The ground study is anchored to optical and small-satellite pipelines, including the Eugene Stansbery Meter Class Autonomous Telescope and its automated extraction pipeline, the onboard electro-optical and hyperspectral demonstrations, and the survey-volume custody and characterization chains</w:t>
      </w:r>
      <w:r>
        <w:t xml:space="preserve"> </w:t>
      </w:r>
      <w:hyperlink w:anchor="ref-1">
        <w:r>
          <w:rPr>
            <w:rStyle w:val="Hyperlink"/>
          </w:rPr>
          <w:t xml:space="preserve">[1]</w:t>
        </w:r>
      </w:hyperlink>
      <w:r>
        <w:t xml:space="preserve">[3][4][6]. Its estimated effects do not automatically extend to radar processing chains or to very high-cadence wide-field systems that operate at different volumes and cadences</w:t>
      </w:r>
      <w:r>
        <w:t xml:space="preserve"> </w:t>
      </w:r>
      <w:hyperlink w:anchor="ref-4">
        <w:r>
          <w:rPr>
            <w:rStyle w:val="Hyperlink"/>
          </w:rPr>
          <w:t xml:space="preserve">[4]</w:t>
        </w:r>
      </w:hyperlink>
      <w:r>
        <w:t xml:space="preserve">[5]. The study reports the workload range over which its estimate is supported and refrains from extrapolating beyond it. The mission study spans NASA, ESA, and JAXA missions from the inner planets to the interstellar medium, which gives it broad reach in distance, but the relay and aperture findings rest on a thin slice of that range and should not be generalized into architectures the cross-section does not populate. The convergent volume-reduction thesis that the two studies share is the most transferable element, because volume drives latency in both the ground segment and the deep-space link, but the specific coefficients are local to the pipeline classes that anchor each dataset.</w:t>
      </w:r>
    </w:p>
    <w:bookmarkEnd w:id="154"/>
    <w:bookmarkEnd w:id="155"/>
    <w:bookmarkStart w:id="156" w:name="future-research"/>
    <w:p>
      <w:pPr>
        <w:pStyle w:val="Heading2"/>
        <w:spacing w:line="480" w:lineRule="auto"/>
      </w:pPr>
      <w:r>
        <w:t xml:space="preserve">7.5 Future Research</w:t>
      </w:r>
    </w:p>
    <w:p>
      <w:pPr>
        <w:pStyle w:val="FirstParagraph"/>
        <w:spacing w:line="480" w:lineRule="auto"/>
      </w:pPr>
      <w:r>
        <w:t xml:space="preserve">The limitations above define the research program that should follow this dissertation, and the priorities are clear.</w:t>
      </w:r>
    </w:p>
    <w:p>
      <w:pPr>
        <w:pStyle w:val="BodyText"/>
        <w:spacing w:line="480" w:lineRule="auto"/>
        <w:ind w:firstLine="720"/>
      </w:pPr>
      <w:r>
        <w:t xml:space="preserve">The first and highest-value extension is to convert both cross-sections into true panels. For the ground study this means an instrumented timestamp log that records the wall-clock interval at every stage boundary across many runs of the same pipeline under different loci and workloads, which would replace the regime-anchored illustrative rows entirely, sharpen the imprecise locus coefficient, and allow the per-stage residual decomposition to test whether any locus effect is concentrated in the stages theory predicts. For the mission study this means a panel of tracking-pass records in which queueing delay at the Deep Space Network and its peers is modeled directly alongside the light-time floor, separating the schedulable overhead that management controls from the incompressible distance floor that it does not</w:t>
      </w:r>
      <w:r>
        <w:t xml:space="preserve"> </w:t>
      </w:r>
      <w:hyperlink w:anchor="ref-1">
        <w:r>
          <w:rPr>
            <w:rStyle w:val="Hyperlink"/>
          </w:rPr>
          <w:t xml:space="preserve">[1]</w:t>
        </w:r>
      </w:hyperlink>
      <w:r>
        <w:t xml:space="preserve">[2][5]. Such a panel would also let relay and aperture effects be estimated with the precision the present thin cross-section cannot provide.</w:t>
      </w:r>
    </w:p>
    <w:p>
      <w:pPr>
        <w:pStyle w:val="BodyText"/>
        <w:spacing w:line="480" w:lineRule="auto"/>
        <w:ind w:firstLine="720"/>
      </w:pPr>
      <w:r>
        <w:t xml:space="preserve">A second extension is to broaden the pipeline classes. The ground study’s optical and small-satellite anchoring should be complemented by radar processing chains and high-cadence wide-field survey systems, which would test whether the volume-and-batch finding generalizes or whether the dominant driver shifts in regimes with very different data rates</w:t>
      </w:r>
      <w:r>
        <w:t xml:space="preserve"> </w:t>
      </w:r>
      <w:hyperlink w:anchor="ref-4">
        <w:r>
          <w:rPr>
            <w:rStyle w:val="Hyperlink"/>
          </w:rPr>
          <w:t xml:space="preserve">[4]</w:t>
        </w:r>
      </w:hyperlink>
      <w:r>
        <w:t xml:space="preserve">[5]. Bringing in AI-augmented processing stages, where characterization and orbit determination are performed from single tracks within the chain, would let the study estimate whether automation level interacts with the volume driver or merely shifts the intercept</w:t>
      </w:r>
      <w:r>
        <w:t xml:space="preserve"> </w:t>
      </w:r>
      <w:hyperlink w:anchor="ref-7">
        <w:r>
          <w:rPr>
            <w:rStyle w:val="Hyperlink"/>
          </w:rPr>
          <w:t xml:space="preserve">[7]</w:t>
        </w:r>
      </w:hyperlink>
      <w:r>
        <w:t xml:space="preserve">.</w:t>
      </w:r>
    </w:p>
    <w:p>
      <w:pPr>
        <w:pStyle w:val="BodyText"/>
        <w:spacing w:line="480" w:lineRule="auto"/>
        <w:ind w:firstLine="720"/>
      </w:pPr>
      <w:r>
        <w:t xml:space="preserve">A third extension follows the scheduling and prioritization lever that both studies identify as within management’s control. Because the batch-processing regime is a queueing choice with a large estimated latency penalty, and because tracking-pass prioritization is one of the few overhead components above the light-time floor that programs can schedule, a natural research thread is to model traffic prioritization and streaming-versus-batch reduction as policy variables and to estimate their latency consequences directly</w:t>
      </w:r>
      <w:r>
        <w:t xml:space="preserve"> </w:t>
      </w:r>
      <w:hyperlink w:anchor="ref-1">
        <w:r>
          <w:rPr>
            <w:rStyle w:val="Hyperlink"/>
          </w:rPr>
          <w:t xml:space="preserve">[1]</w:t>
        </w:r>
      </w:hyperlink>
      <w:r>
        <w:t xml:space="preserve">[2][5][6]. Distributed and agent-based mission management, framed in the retrieved literature as a topology and coordination choice with its own latency signature, is the architectural context in which those policy levers would be exercised, and a study that estimates their effect on per-product and per-mission latency would close the loop between the decomposition this dissertation provides and the governance decisions it is meant to inform</w:t>
      </w:r>
      <w:r>
        <w:t xml:space="preserve"> </w:t>
      </w:r>
      <w:hyperlink w:anchor="ref-5">
        <w:r>
          <w:rPr>
            <w:rStyle w:val="Hyperlink"/>
          </w:rPr>
          <w:t xml:space="preserve">[5]</w:t>
        </w:r>
      </w:hyperlink>
      <w:r>
        <w:t xml:space="preserve">[6].</w:t>
      </w:r>
    </w:p>
    <w:p>
      <w:pPr>
        <w:pStyle w:val="BodyText"/>
        <w:spacing w:line="480" w:lineRule="auto"/>
        <w:ind w:firstLine="720"/>
      </w:pPr>
      <w:r>
        <w:t xml:space="preserve">The unifying aim of this future program is to deepen the single contribution this dissertation has established: an identified, reproducible, source-traceable decomposition that tells planetary science data system architects and JPL decision-makers where the latency actually lives, so that scarce engineering effort is spent on the drivers the evidence supports, volume and scheduling regime, and not on the architectural choices that intuition favors but the data cannot distinguish from noise.</w:t>
      </w:r>
    </w:p>
    <w:bookmarkEnd w:id="156"/>
    <w:bookmarkEnd w:id="157"/>
    <w:bookmarkStart w:id="216" w:name="chapter-8.-conclusion"/>
    <w:p>
      <w:pPr>
        <w:pStyle w:val="Heading1"/>
        <w:spacing w:line="480" w:lineRule="auto"/>
      </w:pPr>
      <w:r>
        <w:t xml:space="preserve">Chapter 8. Conclusion</w:t>
      </w:r>
    </w:p>
    <w:bookmarkStart w:id="158" w:name="the-argument-restated"/>
    <w:p>
      <w:pPr>
        <w:pStyle w:val="Heading2"/>
        <w:spacing w:line="480" w:lineRule="auto"/>
      </w:pPr>
      <w:r>
        <w:t xml:space="preserve">8.1 The Argument Restated</w:t>
      </w:r>
    </w:p>
    <w:p>
      <w:pPr>
        <w:pStyle w:val="FirstParagraph"/>
        <w:spacing w:line="480" w:lineRule="auto"/>
      </w:pPr>
      <w:r>
        <w:t xml:space="preserve">This dissertation began with a discrepancy between how planetary and space-surveillance systems are judged and how their judging quantity is understood. Latency, the wall-clock interval from observation to usable product, is treated throughout the operational literature as a first-order figure of merit, the quantity that decides whether a sensor system can close a tracking loop, issue a timely indication, or hold custody of a fast-moving target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Yet that same quantity is almost never modelled. It is reported as a single descriptive scalar attached to one architecture, asserted by whoever publishes the number, and folded into downstream comparisons as a lumped term whose internal composition is never separated</w:t>
      </w:r>
      <w:r>
        <w:t xml:space="preserve"> </w:t>
      </w:r>
      <w:hyperlink w:anchor="ref-2">
        <w:r>
          <w:rPr>
            <w:rStyle w:val="Hyperlink"/>
          </w:rPr>
          <w:t xml:space="preserve">[2]</w:t>
        </w:r>
      </w:hyperlink>
      <w:r>
        <w:t xml:space="preserve">. The architect who must decide where to put compute, how much to automate, and what to move onboard is left to reason about latency from intuition and from whichever single-architecture figure a vendor or an advocate happens to present</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p>
    <w:p>
      <w:pPr>
        <w:pStyle w:val="BodyText"/>
        <w:spacing w:line="480" w:lineRule="auto"/>
        <w:ind w:firstLine="720"/>
      </w:pPr>
      <w:r>
        <w:t xml:space="preserve">The thesis of this work is that latency is not an irreducible property of a system but a budget composed of attributable drivers, and that the composition of that budget can be estimated from documented sources rather than asserted. The dissertation pursued this thesis at two ends of the planetary data chain, with two instrumented regressions sharing a single methodological discipline: a falsifiable estimand, a source-traceable dataset, a parsimonious specification, and a robust estimator that refuses to let the long right tail of queued processing inflate apparent precision.</w:t>
      </w:r>
    </w:p>
    <w:p>
      <w:pPr>
        <w:pStyle w:val="BodyText"/>
        <w:spacing w:line="480" w:lineRule="auto"/>
        <w:ind w:firstLine="720"/>
      </w:pPr>
      <w:r>
        <w:t xml:space="preserve">The first study instrumented the ground-segment processing chain and posed one falsifiable claim: that, holding workload and the ground processing paradigm constant, the choice of processing locus, onboard or edge versus ground, is a statistically significant driver of end-to-end per-product latency. The claim was set up so that the data could reject it. The data did. The locus coefficient carried the theoretically predicted negative sign, a point estimate near fifteen minutes of apparent onboard advantage, but its confidence interval comfortably spanned zero, and the explanatory weight of the model loaded instead onto two variables the headline hypothesis had not named. Processed frame volume entered as the dominant and most precisely estimated effect, adding roughly six minutes of latency for each additional thousand frames, and the queued nightly-batch reduction paradigm entered as the second significant driver, carrying a penalty near thirty-one minutes for membership in that regime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The reading is unambiguous within the sample: the apparent onboard latency advantage visible in raw comparison is an artifact of the lighter workloads onboard systems carry and the streaming regimes they tend to run, not a property of the physical place where the computation happens.</w:t>
      </w:r>
    </w:p>
    <w:p>
      <w:pPr>
        <w:pStyle w:val="BodyText"/>
        <w:spacing w:line="480" w:lineRule="auto"/>
        <w:ind w:firstLine="720"/>
      </w:pPr>
      <w:r>
        <w:t xml:space="preserve">The second study moved up the chain to the mission level and asked what governs the data-return latency of a deep-space pipeline across twenty-eight missions spanning Mercury to the interstellar medium. Here the dominant driver was the one variable no operations budget can touch. Earth-spacecraft distance, entering through the irreducible one-way light-time floor, carried a distance elasticity near 0.74, estimated tightly and significant well beyond conventional thresholds. The engineering levers that programs actually purchase, downlink rate, antenna aperture, and relay topology, all moved latency only at the margin once distance was held fixed, and none reached significance in the cross-section</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light-time floor governs the deep-space pipeline, and its grip tightens monotonically from the inner planets outward, leaving the purchasable link engineering to do its real work on throughput rather than on the latency floor that distance has already pinned.</w:t>
      </w:r>
    </w:p>
    <w:bookmarkEnd w:id="158"/>
    <w:bookmarkStart w:id="159" w:name="the-synthesis"/>
    <w:p>
      <w:pPr>
        <w:pStyle w:val="Heading2"/>
        <w:spacing w:line="480" w:lineRule="auto"/>
      </w:pPr>
      <w:r>
        <w:t xml:space="preserve">8.2 The Synthesis</w:t>
      </w:r>
    </w:p>
    <w:p>
      <w:pPr>
        <w:pStyle w:val="FirstParagraph"/>
        <w:spacing w:line="480" w:lineRule="auto"/>
      </w:pPr>
      <w:r>
        <w:t xml:space="preserve">The value of placing these two studies inside one dissertation is that their findings, derived independently at opposite ends of the chain, converge on a single quantity. In the ground segment, the latency driver that intuition reaches for first is where to put the compute, and the data redirect attention to volume and batch regime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In the deep-space link, the driver intuition reaches for is which engineering upgrade to buy, and the data redirect attention to the physics of distance and to the volume that must cross the link</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The common thread is volume. In the ground study it is the single most precisely estimated effect on per-product latency, measured as frame volume per run. In the mission study, distance is incompressible, but the compressible part of the budget, the overhead that sits above the light-time floor, is governed chiefly by how much data must traverse the link at a finite downlink rate. A decomposition that began as two separate regressions therefore arrives at one actionable lever, and that convergence is what elevates the work from a pair of empirical exercises into a coherent thesis about where planetary pipeline latency lives.</w:t>
      </w:r>
    </w:p>
    <w:p>
      <w:pPr>
        <w:pStyle w:val="BodyText"/>
        <w:spacing w:line="480" w:lineRule="auto"/>
        <w:ind w:firstLine="720"/>
      </w:pPr>
      <w:r>
        <w:t xml:space="preserve">The synthesis also clarifies what each study does and does not license. The ground study does not show that onboard or edge processing is a poor investment. It shows that onboard processing should be justified on the grounds where its case is sound, downlink-bandwidth relief, autonomy, and reduction of the volume that must cross the link, rather than on a clean latency argument the data do not support</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The mission study does not diminish the value of larger apertures, faster downlink modes, or relay topologies. It shows that those investments belong in the throughput and link-margin column of the ledger, not the latency column, because once distance is controlled their latency coefficients cannot be distinguished from zero</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honest accounting that both studies enforce is a separation between what programs can buy and what physics or workload imposes, and the discipline of keeping those columns distinct is itself a contribution to how latency requirements ought to be reasoned about and written.</w:t>
      </w:r>
    </w:p>
    <w:p>
      <w:pPr>
        <w:pStyle w:val="BodyText"/>
        <w:spacing w:line="480" w:lineRule="auto"/>
        <w:ind w:firstLine="720"/>
      </w:pPr>
      <w:r>
        <w:t xml:space="preserve">Read together, the two chapters deliver a message to program management and to JPL decision-making that is consistent across the chain and somewhat against the grain of architectural fashion. The latency dividend that an onboard mandate is often expected to deliver does not survive a control for workload and processing paradigm. The latency relief that a relay orbiter or a larger high-gain antenna is sometimes expected to deliver does not survive a control for distance. In both cases the variable that actually moves the outcome is volume: the volume processed before a product is emitted on the ground, and the volume that must cross the light-time floor in deep space. The investment thesis that follows is single and prioritized rather than scattered. Reduce the volume that must be processed and transported before a product is ready, stream rather than batch the processing of what remains, and treat the light-time floor as a planning constant rather than an engineering target.</w:t>
      </w:r>
    </w:p>
    <w:bookmarkEnd w:id="159"/>
    <w:bookmarkStart w:id="160" w:name="the-contribution-to-knowledge"/>
    <w:p>
      <w:pPr>
        <w:pStyle w:val="Heading2"/>
        <w:spacing w:line="480" w:lineRule="auto"/>
      </w:pPr>
      <w:r>
        <w:t xml:space="preserve">8.3 The Contribution to Knowledge</w:t>
      </w:r>
    </w:p>
    <w:p>
      <w:pPr>
        <w:pStyle w:val="FirstParagraph"/>
        <w:spacing w:line="480" w:lineRule="auto"/>
      </w:pPr>
      <w:r>
        <w:t xml:space="preserve">The contribution this dissertation makes to knowledge can be stated precisely, because it was constructed to be falsifiable and traceable rather than merely suggestive.</w:t>
      </w:r>
    </w:p>
    <w:p>
      <w:pPr>
        <w:pStyle w:val="BodyText"/>
        <w:spacing w:line="480" w:lineRule="auto"/>
        <w:ind w:firstLine="720"/>
      </w:pPr>
      <w:r>
        <w:t xml:space="preserve">First, the work converts latency from an opaque scalar into an attributable, estimated budget. Prior treatments in the retrieved corpus report latency as a lumped descriptive figure tied to a single architecture, with no decomposition into the stages and design choices that produce 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This dissertation supplies the missing estimand. It identifies, for the ground segment, the marginal and confounder-adjusted effect of processing-locus, volume, association complexity, queue load, and processing regime on per-product latency, and it identifies, for the deep-space pipeline, the elasticity of data-return latency with respect to distance and downlink rate together with the semi-elasticities of aperture and relay architecture. Each coefficient is reported with its standard error and interval, so that what was previously asserted is now estimated with a stated uncertainty.</w:t>
      </w:r>
    </w:p>
    <w:p>
      <w:pPr>
        <w:pStyle w:val="BodyText"/>
        <w:spacing w:line="480" w:lineRule="auto"/>
        <w:ind w:firstLine="720"/>
      </w:pPr>
      <w:r>
        <w:t xml:space="preserve">Second, the work supplies an identification discipline where the prior literature offered engineering demonstrations. Real-time observation processing at rate and volume has been demonstrated operationally</w:t>
      </w:r>
      <w:r>
        <w:t xml:space="preserve"> </w:t>
      </w:r>
      <w:hyperlink w:anchor="ref-5">
        <w:r>
          <w:rPr>
            <w:rStyle w:val="Hyperlink"/>
          </w:rPr>
          <w:t xml:space="preserve">[5]</w:t>
        </w:r>
      </w:hyperlink>
      <w:r>
        <w:t xml:space="preserve">, onboard reduction has been demonstrated in flight</w:t>
      </w:r>
      <w:r>
        <w:t xml:space="preserve"> </w:t>
      </w:r>
      <w:hyperlink w:anchor="ref-3">
        <w:r>
          <w:rPr>
            <w:rStyle w:val="Hyperlink"/>
          </w:rPr>
          <w:t xml:space="preserve">[3]</w:t>
        </w:r>
      </w:hyperlink>
      <w:r>
        <w:t xml:space="preserve">, and AI methods have been integrated into the processing chain to characterize objects from single tracks</w:t>
      </w:r>
      <w:r>
        <w:t xml:space="preserve"> </w:t>
      </w:r>
      <w:hyperlink w:anchor="ref-7">
        <w:r>
          <w:rPr>
            <w:rStyle w:val="Hyperlink"/>
          </w:rPr>
          <w:t xml:space="preserve">[7]</w:t>
        </w:r>
      </w:hyperlink>
      <w:r>
        <w:t xml:space="preserve">, but none of these decomposes end-to-end latency into attributable contributions while controlling for the workload that confounds the comparison. By specifying the confounders that select into the locus choice, by entering the dominant ground paradigm as a fixed effect so the locus coefficient is identified net of it rather than absorbing it, and by stating the conditioning set explicitly, the dissertation moves the latency question from demonstration toward estimation. The result is not the standard of a controlled experiment, and the work does not claim it to be, but it is the appropriate standard for observational pipeline data and a clear advance over the single-architecture number it replaces.</w:t>
      </w:r>
    </w:p>
    <w:p>
      <w:pPr>
        <w:pStyle w:val="BodyText"/>
        <w:spacing w:line="480" w:lineRule="auto"/>
        <w:ind w:firstLine="720"/>
      </w:pPr>
      <w:r>
        <w:t xml:space="preserve">Third, the work is reproducible and source-traceable by construction. Every covariate value traces to the workload and processing description in a cited source, the illustrative cells that substitute for unobtainable wall-clock figures are flagged and held below a stated ceiling in both studies, and the estimator and its standard errors are produced by a shared runner so the reported numbers follow from the dataset and configuration without manual intervention. This provenance discipline is itself part of the contribution, because it means the decomposition can be audited, extended, and corrected rather than taken on trust, which is exactly the property the prior single-number practice lacked.</w:t>
      </w:r>
    </w:p>
    <w:p>
      <w:pPr>
        <w:pStyle w:val="BodyText"/>
        <w:spacing w:line="480" w:lineRule="auto"/>
        <w:ind w:firstLine="720"/>
      </w:pPr>
      <w:r>
        <w:t xml:space="preserve">Fourth, and most consequentially for practice, the work gives science data system architects and JPL decision-makers a defensible basis for the recurring onboard-versus-ground compute trade and the deep-space link-investment trade. The architect facing a latency shortfall now has a fitted budget that names the supported levers, volume reduction and a streaming reduction regime in the ground segment, and volume reduction and autonomy in the deep-space link, and that names the levers which do not earn their latency claim once the confounders are removed. The contribution is therefore not only an academic decomposition but an instrument for allocating scarce engineering effort to the drivers the evidence supports rather than to the architectural choices that intuition favors but the data cannot distinguish from noise.</w:t>
      </w:r>
    </w:p>
    <w:bookmarkEnd w:id="160"/>
    <w:bookmarkStart w:id="161" w:name="the-boundaries-of-the-claim"/>
    <w:p>
      <w:pPr>
        <w:pStyle w:val="Heading2"/>
        <w:spacing w:line="480" w:lineRule="auto"/>
      </w:pPr>
      <w:r>
        <w:t xml:space="preserve">8.4 The Boundaries of the Claim</w:t>
      </w:r>
    </w:p>
    <w:p>
      <w:pPr>
        <w:pStyle w:val="FirstParagraph"/>
        <w:spacing w:line="480" w:lineRule="auto"/>
      </w:pPr>
      <w:r>
        <w:t xml:space="preserve">A conclusion that overstated its reach would forfeit the discipline that gives the work its value, so the claim must be stated within its bounds. Both empirical chapters rest on twenty-eight observations, which makes the ground-segment locus coefficient imprecise and means the study rules out a large independent locus effect rather than proving the absence of any effect; a better-powered instrumented panel could yet recover significance for that term. Neither study rests on a continuously logged operational timestamp series, so the estimates describe cross-sectional and cross-mission structure rather than within-pipeline or within-mission dynamics, and the illustrative cells, flagged and held below a stated fraction of rows in each study, introduce a measurement structure that a fully instrumented log would remove. The identification in both studies is a conditioning strategy under an explicit and stated set of controls, not a randomized assignment, so residual confounding from unmodelled queue dynamics remains possible. The ground study is anchored to optical and small-satellite pipelines and does not automatically extend to radar chains or very high-cadence wide-field systems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while the mission study spans a broad range of distance but rests its relay and aperture findings on a thin slice of that range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Within these bounds the result stands as what it was built to be: a single, falsifiable, confounder-adjusted, source-traceable estimate of where the latency of these pipelines lives. The most transferable element is the convergent finding that volume drives latency at both ends of the chain; the specific coefficients are local to the pipeline classes that anchor each dataset.</w:t>
      </w:r>
    </w:p>
    <w:bookmarkEnd w:id="161"/>
    <w:bookmarkStart w:id="162" w:name="closing-statement"/>
    <w:p>
      <w:pPr>
        <w:pStyle w:val="Heading2"/>
        <w:spacing w:line="480" w:lineRule="auto"/>
      </w:pPr>
      <w:r>
        <w:t xml:space="preserve">8.5 Closing Statement</w:t>
      </w:r>
    </w:p>
    <w:p>
      <w:pPr>
        <w:pStyle w:val="FirstParagraph"/>
        <w:spacing w:line="480" w:lineRule="auto"/>
      </w:pPr>
      <w:r>
        <w:t xml:space="preserve">This dissertation set out to answer a question that operational practice asks constantly and answers casually: when a planetary pipeline is too slow, what is actually responsible for the delay. The prevailing answer has been a number, published once, attached to one architecture, and defended by assertion. The answer offered here is a budget, estimated from documented sources, reported with its uncertainty, and built so that it can be rejected by the data and was tested against that possibility at both ends of the chain. The budget says something that intuition does not. In the ground segment, the delay lives in how much data the pipeline must process and in whether it processes that data in a queued batch or a stream, not in the physical place the computation happens. In the deep-space link, the delay lives in the irreducible physics of distance and in the volume that must cross it, not in the link engineering that programs purchase to fight it. The two answers, derived independently, point to the same lever, and that lever is volume.</w:t>
      </w:r>
    </w:p>
    <w:p>
      <w:pPr>
        <w:pStyle w:val="BodyText"/>
        <w:spacing w:line="480" w:lineRule="auto"/>
        <w:ind w:firstLine="720"/>
      </w:pPr>
      <w:r>
        <w:t xml:space="preserve">The wider claim is methodological as much as empirical. Latency is treatable as an estimable quantity rather than an assertable one, and a field that has reported it as a scalar can report it as a decomposition once it is willing to instrument its pipelines, name its confounders, and trace its data to source. The contribution of this work is to have demonstrated that conversion on two real planetary data chains, to have produced from it a decomposition that an architect can carry into a trade study and a review board, and to have stated with precision both what the decomposition supports and what it cannot yet support. For planetary science data systems, where timeliness increasingly binds as tightly as accuracy, the discipline of spending engineering effort where the coefficient is, and not where intuition points, is the practical inheritance this dissertation leaves to the architects and decision-makers who must build the next generation of these pipelines.</w:t>
      </w:r>
    </w:p>
    <w:bookmarkEnd w:id="162"/>
    <w:bookmarkStart w:id="215" w:name="references"/>
    <w:p>
      <w:pPr>
        <w:pStyle w:val="Heading2"/>
        <w:spacing w:line="480" w:lineRule="auto"/>
      </w:pPr>
      <w:r>
        <w:t xml:space="preserve">References</w:t>
      </w:r>
    </w:p>
    <w:p>
      <w:pPr>
        <w:pStyle w:val="FirstParagraph"/>
        <w:spacing w:line="480" w:lineRule="auto"/>
      </w:pPr>
      <w:bookmarkStart w:id="163" w:name="ref-1"/>
      <w:bookmarkEnd w:id="163"/>
      <w:r>
        <w:t xml:space="preserve">1. M. Britton, C. Griffith, and B. Baptista,</w:t>
      </w:r>
      <w:r>
        <w:t xml:space="preserve"> </w:t>
      </w:r>
      <w:r>
        <w:t xml:space="preserve">“An Edge Computing Algorithm for Onboard Processing of Electro-Optical Imagery,”</w:t>
      </w:r>
      <w:r>
        <w:t xml:space="preserve"> </w:t>
      </w:r>
      <w:r>
        <w:t xml:space="preserve">Proc. Advanced Maui Optical and Space Surveillance Technologies (AMOS) Conference, 2023. doi:</w:t>
      </w:r>
      <w:r>
        <w:t xml:space="preserve"> </w:t>
      </w:r>
      <w:hyperlink r:id="rId164">
        <w:r>
          <w:rPr>
            <w:rStyle w:val="Hyperlink"/>
          </w:rPr>
          <w:t xml:space="preserve">10.64861/ZPBX5069</w:t>
        </w:r>
      </w:hyperlink>
      <w:r>
        <w:t xml:space="preserve">.</w:t>
      </w:r>
    </w:p>
    <w:p>
      <w:pPr>
        <w:pStyle w:val="BodyText"/>
        <w:spacing w:line="480" w:lineRule="auto"/>
        <w:ind w:firstLine="720"/>
      </w:pPr>
      <w:bookmarkStart w:id="165" w:name="ref-2"/>
      <w:bookmarkEnd w:id="165"/>
      <w:r>
        <w:t xml:space="preserve">2. A. Bloom, J. Wysack, J. D. Griesbach, and A. Lawitzke,</w:t>
      </w:r>
      <w:r>
        <w:t xml:space="preserve"> </w:t>
      </w:r>
      <w:r>
        <w:t xml:space="preserve">“Space and Ground-Based SDA Sensor Performance Comparisons,”</w:t>
      </w:r>
      <w:r>
        <w:t xml:space="preserve"> </w:t>
      </w:r>
      <w:r>
        <w:t xml:space="preserve">Proc. Advanced Maui Optical and Space Surveillance Technologies (AMOS) Conference, 2022.</w:t>
      </w:r>
    </w:p>
    <w:p>
      <w:pPr>
        <w:pStyle w:val="BodyText"/>
        <w:spacing w:line="480" w:lineRule="auto"/>
        <w:ind w:firstLine="720"/>
      </w:pPr>
      <w:bookmarkStart w:id="166" w:name="ref-3"/>
      <w:bookmarkEnd w:id="166"/>
      <w:r>
        <w:t xml:space="preserve">3. M. Nunes, F. Bruhn, R. Wright, P. Lucey, C. Ferrari-Wong, L. Flynn, E. Pilger, A. Imai-Hong, F. Zhu, L. Yoneshige, Y. Ben Gershom, and T. Sorensen,</w:t>
      </w:r>
      <w:r>
        <w:t xml:space="preserve"> </w:t>
      </w:r>
      <w:r>
        <w:t xml:space="preserve">“Hyperspectral Thermal Imaging CubeSat for SSA Applications,”</w:t>
      </w:r>
      <w:r>
        <w:t xml:space="preserve"> </w:t>
      </w:r>
      <w:r>
        <w:t xml:space="preserve">Proc. Advanced Maui Optical and Space Surveillance Technologies (AMOS) Conference, 2022.</w:t>
      </w:r>
    </w:p>
    <w:p>
      <w:pPr>
        <w:pStyle w:val="BodyText"/>
        <w:spacing w:line="480" w:lineRule="auto"/>
        <w:ind w:firstLine="720"/>
      </w:pPr>
      <w:bookmarkStart w:id="167" w:name="ref-4"/>
      <w:bookmarkEnd w:id="167"/>
      <w:r>
        <w:t xml:space="preserve">4. W. Rood, T. Wijnen, and R. Stuik,</w:t>
      </w:r>
      <w:r>
        <w:t xml:space="preserve"> </w:t>
      </w:r>
      <w:r>
        <w:t xml:space="preserve">“Automated Satellite Detection and Sky-position Extraction in Astronomical Images,”</w:t>
      </w:r>
      <w:r>
        <w:t xml:space="preserve"> </w:t>
      </w:r>
      <w:r>
        <w:t xml:space="preserve">Proc. Advanced Maui Optical and Space Surveillance Technologies (AMOS) Conference, 2022.</w:t>
      </w:r>
    </w:p>
    <w:p>
      <w:pPr>
        <w:pStyle w:val="BodyText"/>
        <w:spacing w:line="480" w:lineRule="auto"/>
        <w:ind w:firstLine="720"/>
      </w:pPr>
      <w:bookmarkStart w:id="168" w:name="ref-5"/>
      <w:bookmarkEnd w:id="168"/>
      <w:r>
        <w:t xml:space="preserve">5. J. Diamond, R. Osedacz, W. Yang, M. Sirocky, G. Madsen, A. Chan, T. Payne, and M. Bold,</w:t>
      </w:r>
      <w:r>
        <w:t xml:space="preserve"> </w:t>
      </w:r>
      <w:r>
        <w:t xml:space="preserve">“Power of Persistence: Persistent Custody Through Repurposed Meteorite Trackers and Observation Processing at Real-Time Rates and Volume,”</w:t>
      </w:r>
      <w:r>
        <w:t xml:space="preserve"> </w:t>
      </w:r>
      <w:r>
        <w:t xml:space="preserve">Proc. Advanced Maui Optical and Space Surveillance Technologies (AMOS) Conference, 2024. doi:</w:t>
      </w:r>
      <w:r>
        <w:t xml:space="preserve"> </w:t>
      </w:r>
      <w:hyperlink r:id="rId169">
        <w:r>
          <w:rPr>
            <w:rStyle w:val="Hyperlink"/>
          </w:rPr>
          <w:t xml:space="preserve">10.64861/PRHC3959</w:t>
        </w:r>
      </w:hyperlink>
      <w:r>
        <w:t xml:space="preserve">.</w:t>
      </w:r>
    </w:p>
    <w:p>
      <w:pPr>
        <w:pStyle w:val="BodyText"/>
        <w:spacing w:line="480" w:lineRule="auto"/>
        <w:ind w:firstLine="720"/>
      </w:pPr>
      <w:bookmarkStart w:id="170" w:name="ref-6"/>
      <w:bookmarkEnd w:id="170"/>
      <w:r>
        <w:t xml:space="preserve">6. C. Cruz, B. Buckalew, S. Lederer, K. Green-Tooney, P. Hickson, T. Kennedy, and H. Cowardin,</w:t>
      </w:r>
      <w:r>
        <w:t xml:space="preserve"> </w:t>
      </w:r>
      <w:r>
        <w:t xml:space="preserve">“Characterization of The Eugene Stansbery-Meter Class Autonomous Telescope on Ascension Island,”</w:t>
      </w:r>
      <w:r>
        <w:t xml:space="preserve"> </w:t>
      </w:r>
      <w:r>
        <w:t xml:space="preserve">Proc. Advanced Maui Optical and Space Surveillance Technologies (AMOS) Conference, 2021.</w:t>
      </w:r>
    </w:p>
    <w:p>
      <w:pPr>
        <w:pStyle w:val="BodyText"/>
        <w:spacing w:line="480" w:lineRule="auto"/>
        <w:ind w:firstLine="720"/>
      </w:pPr>
      <w:bookmarkStart w:id="171" w:name="ref-7"/>
      <w:bookmarkEnd w:id="171"/>
      <w:r>
        <w:t xml:space="preserve">7. K. Tsaprailis, G. Choumos, C. Kontoes, and V. Lappas,</w:t>
      </w:r>
      <w:r>
        <w:t xml:space="preserve"> </w:t>
      </w:r>
      <w:r>
        <w:t xml:space="preserve">“Integrating AI in Space Operations: Spin Status Characterization and Initial Orbit Determination from Single Optical Tracks,”</w:t>
      </w:r>
      <w:r>
        <w:t xml:space="preserve"> </w:t>
      </w:r>
      <w:r>
        <w:t xml:space="preserve">Proc. Advanced Maui Optical and Space Surveillance Technologies (AMOS) Conference, 2025. doi:</w:t>
      </w:r>
      <w:r>
        <w:t xml:space="preserve"> </w:t>
      </w:r>
      <w:hyperlink r:id="rId172">
        <w:r>
          <w:rPr>
            <w:rStyle w:val="Hyperlink"/>
          </w:rPr>
          <w:t xml:space="preserve">10.64861/WEXT5718</w:t>
        </w:r>
      </w:hyperlink>
      <w:r>
        <w:t xml:space="preserve">.</w:t>
      </w:r>
    </w:p>
    <w:p>
      <w:pPr>
        <w:pStyle w:val="BodyText"/>
        <w:spacing w:line="480" w:lineRule="auto"/>
        <w:ind w:firstLine="720"/>
      </w:pPr>
      <w:bookmarkStart w:id="173" w:name="ref-8"/>
      <w:bookmarkEnd w:id="173"/>
      <w:r>
        <w:t xml:space="preserve">8. E. Turan, S. Speretta, and E. Gill,</w:t>
      </w:r>
      <w:r>
        <w:t xml:space="preserve"> </w:t>
      </w:r>
      <w:r>
        <w:t xml:space="preserve">“Autonomous navigation for deep space small satellites: Scientific and technological advances,”</w:t>
      </w:r>
      <w:r>
        <w:t xml:space="preserve"> </w:t>
      </w:r>
      <w:r>
        <w:t xml:space="preserve">Acta Astronautica, vol. 193, pp. 56-74, 2022. doi:</w:t>
      </w:r>
      <w:r>
        <w:t xml:space="preserve"> </w:t>
      </w:r>
      <w:hyperlink r:id="rId174">
        <w:r>
          <w:rPr>
            <w:rStyle w:val="Hyperlink"/>
          </w:rPr>
          <w:t xml:space="preserve">10.1016/j.actaastro.2021.12.030</w:t>
        </w:r>
      </w:hyperlink>
    </w:p>
    <w:p>
      <w:pPr>
        <w:pStyle w:val="BodyText"/>
        <w:spacing w:line="480" w:lineRule="auto"/>
        <w:ind w:firstLine="720"/>
      </w:pPr>
      <w:bookmarkStart w:id="175" w:name="ref-9"/>
      <w:bookmarkEnd w:id="175"/>
      <w:r>
        <w:t xml:space="preserve">9. C. Traub, M. K. Ben-Larbi, F. Turco, A. J. Grosse Siestrup, J. Harbeck, E. Stoll, and D. Lueck,</w:t>
      </w:r>
      <w:r>
        <w:t xml:space="preserve"> </w:t>
      </w:r>
      <w:r>
        <w:t xml:space="preserve">“Revealing the impact of operational constraints on aerodynamic collision avoidance maneuvers: In-flight results from the BEESAT-4 CubeSat,”</w:t>
      </w:r>
      <w:r>
        <w:t xml:space="preserve"> </w:t>
      </w:r>
      <w:r>
        <w:t xml:space="preserve">Acta Astronautica, vol. 234, 2025. doi:</w:t>
      </w:r>
      <w:r>
        <w:t xml:space="preserve"> </w:t>
      </w:r>
      <w:hyperlink r:id="rId176">
        <w:r>
          <w:rPr>
            <w:rStyle w:val="Hyperlink"/>
          </w:rPr>
          <w:t xml:space="preserve">10.1016/j.actaastro.2025.04.038</w:t>
        </w:r>
      </w:hyperlink>
    </w:p>
    <w:p>
      <w:pPr>
        <w:pStyle w:val="BodyText"/>
        <w:spacing w:line="480" w:lineRule="auto"/>
        <w:ind w:firstLine="720"/>
      </w:pPr>
      <w:bookmarkStart w:id="177" w:name="ref-10"/>
      <w:bookmarkEnd w:id="177"/>
      <w:r>
        <w:t xml:space="preserve">10. M. Ortiz del Castillo, J. McRobbie, A. Woods, R. Mearns, J. Morgan, and M. Trenti,</w:t>
      </w:r>
      <w:r>
        <w:t xml:space="preserve"> </w:t>
      </w:r>
      <w:r>
        <w:t xml:space="preserve">“The SpIRIT Payload Management System: A paradigm for smallsats multi payload integration,”</w:t>
      </w:r>
      <w:r>
        <w:t xml:space="preserve"> </w:t>
      </w:r>
      <w:r>
        <w:t xml:space="preserve">Acta Astronautica, 2025. doi:</w:t>
      </w:r>
      <w:r>
        <w:t xml:space="preserve"> </w:t>
      </w:r>
      <w:hyperlink r:id="rId178">
        <w:r>
          <w:rPr>
            <w:rStyle w:val="Hyperlink"/>
          </w:rPr>
          <w:t xml:space="preserve">10.1016/j.actaastro.2025.06.050</w:t>
        </w:r>
      </w:hyperlink>
    </w:p>
    <w:p>
      <w:pPr>
        <w:pStyle w:val="BodyText"/>
        <w:spacing w:line="480" w:lineRule="auto"/>
        <w:ind w:firstLine="720"/>
      </w:pPr>
      <w:bookmarkStart w:id="179" w:name="ref-11"/>
      <w:bookmarkEnd w:id="179"/>
      <w:r>
        <w:t xml:space="preserve">11. T. Ely and colleagues,</w:t>
      </w:r>
      <w:r>
        <w:t xml:space="preserve"> </w:t>
      </w:r>
      <w:r>
        <w:t xml:space="preserve">“The Impact of Traffic Prioritization on Deep Space Network Mission Traffic,”</w:t>
      </w:r>
      <w:r>
        <w:t xml:space="preserve"> </w:t>
      </w:r>
      <w:r>
        <w:t xml:space="preserve">NASA Technical Reports Server, 2011. https://ntrs.nasa.gov/</w:t>
      </w:r>
    </w:p>
    <w:p>
      <w:pPr>
        <w:pStyle w:val="BodyText"/>
        <w:spacing w:line="480" w:lineRule="auto"/>
        <w:ind w:firstLine="720"/>
      </w:pPr>
      <w:bookmarkStart w:id="180" w:name="ref-12"/>
      <w:bookmarkEnd w:id="180"/>
      <w:r>
        <w:t xml:space="preserve">12. NASA Jet Propulsion Laboratory,</w:t>
      </w:r>
      <w:r>
        <w:t xml:space="preserve"> </w:t>
      </w:r>
      <w:r>
        <w:t xml:space="preserve">“Deep Space Network (DSN) Lunar Exploration Upgrades (DLEU),”</w:t>
      </w:r>
      <w:r>
        <w:t xml:space="preserve"> </w:t>
      </w:r>
      <w:r>
        <w:t xml:space="preserve">NASA Technical Reports Server. https://ntrs.nasa.gov/</w:t>
      </w:r>
    </w:p>
    <w:p>
      <w:pPr>
        <w:pStyle w:val="BodyText"/>
        <w:spacing w:line="480" w:lineRule="auto"/>
        <w:ind w:firstLine="720"/>
      </w:pPr>
      <w:bookmarkStart w:id="181" w:name="ref-13"/>
      <w:bookmarkEnd w:id="181"/>
      <w:r>
        <w:t xml:space="preserve">13. R. Ludwig and J. Taylor,</w:t>
      </w:r>
      <w:r>
        <w:t xml:space="preserve"> </w:t>
      </w:r>
      <w:r>
        <w:t xml:space="preserve">“Voyager Telecommunications,”</w:t>
      </w:r>
      <w:r>
        <w:t xml:space="preserve"> </w:t>
      </w:r>
      <w:r>
        <w:t xml:space="preserve">DESCANSO Design and Performance Summary Series, Chapter 3, NASA/JPL, 2002. https://voyager.gsfc.nasa.gov/Library/DeepCommo_Chapter3–141029.pdf</w:t>
      </w:r>
    </w:p>
    <w:p>
      <w:pPr>
        <w:pStyle w:val="BodyText"/>
        <w:spacing w:line="480" w:lineRule="auto"/>
        <w:ind w:firstLine="720"/>
      </w:pPr>
      <w:bookmarkStart w:id="182" w:name="ref-14"/>
      <w:bookmarkEnd w:id="182"/>
      <w:r>
        <w:t xml:space="preserve">14. M. M. Kobayashi, F. Stocklin, M. Pugh, and I. Kuperman,</w:t>
      </w:r>
      <w:r>
        <w:t xml:space="preserve"> </w:t>
      </w:r>
      <w:r>
        <w:t xml:space="preserve">“NASA’s high-rate Ka-band downlink system for the NISAR mission,”</w:t>
      </w:r>
      <w:r>
        <w:t xml:space="preserve"> </w:t>
      </w:r>
      <w:r>
        <w:t xml:space="preserve">Acta Astronautica, 2019. doi:</w:t>
      </w:r>
      <w:r>
        <w:t xml:space="preserve"> </w:t>
      </w:r>
      <w:hyperlink r:id="rId183">
        <w:r>
          <w:rPr>
            <w:rStyle w:val="Hyperlink"/>
          </w:rPr>
          <w:t xml:space="preserve">10.1016/j.actaastro.2019.03.069</w:t>
        </w:r>
      </w:hyperlink>
    </w:p>
    <w:p>
      <w:pPr>
        <w:pStyle w:val="BodyText"/>
        <w:spacing w:line="480" w:lineRule="auto"/>
        <w:ind w:firstLine="720"/>
      </w:pPr>
      <w:bookmarkStart w:id="184" w:name="ref-15"/>
      <w:bookmarkEnd w:id="184"/>
      <w:r>
        <w:t xml:space="preserve">15. P. Betriu, M. Soria, J. Gutierrez, M. Llopis, and A. Anton,</w:t>
      </w:r>
      <w:r>
        <w:t xml:space="preserve"> </w:t>
      </w:r>
      <w:r>
        <w:t xml:space="preserve">“An assessment of different relay network topologies to improve Earth-Mars communications,”</w:t>
      </w:r>
      <w:r>
        <w:t xml:space="preserve"> </w:t>
      </w:r>
      <w:r>
        <w:t xml:space="preserve">Acta Astronautica, 2023. doi:</w:t>
      </w:r>
      <w:r>
        <w:t xml:space="preserve"> </w:t>
      </w:r>
      <w:hyperlink r:id="rId185">
        <w:r>
          <w:rPr>
            <w:rStyle w:val="Hyperlink"/>
          </w:rPr>
          <w:t xml:space="preserve">10.1016/j.actaastro.2023.01.040</w:t>
        </w:r>
      </w:hyperlink>
    </w:p>
    <w:p>
      <w:pPr>
        <w:pStyle w:val="BodyText"/>
        <w:spacing w:line="480" w:lineRule="auto"/>
        <w:ind w:firstLine="720"/>
      </w:pPr>
      <w:bookmarkStart w:id="186" w:name="ref-16"/>
      <w:bookmarkEnd w:id="186"/>
      <w:r>
        <w:t xml:space="preserve">16. M. R. Jabbarpour, Q. B. Vo, and G. El-Din,</w:t>
      </w:r>
      <w:r>
        <w:t xml:space="preserve"> </w:t>
      </w:r>
      <w:r>
        <w:t xml:space="preserve">“Agent-based approaches for distributed space systems and mission management: Methodologies, current practices and challenges,”</w:t>
      </w:r>
      <w:r>
        <w:t xml:space="preserve"> </w:t>
      </w:r>
      <w:r>
        <w:t xml:space="preserve">Acta Astronautica, 2025. doi:</w:t>
      </w:r>
      <w:r>
        <w:t xml:space="preserve"> </w:t>
      </w:r>
      <w:hyperlink r:id="rId187">
        <w:r>
          <w:rPr>
            <w:rStyle w:val="Hyperlink"/>
          </w:rPr>
          <w:t xml:space="preserve">10.1016/j.actaastro.2025.10.018</w:t>
        </w:r>
      </w:hyperlink>
    </w:p>
    <w:p>
      <w:pPr>
        <w:pStyle w:val="BodyText"/>
        <w:spacing w:line="480" w:lineRule="auto"/>
        <w:ind w:firstLine="720"/>
      </w:pPr>
      <w:bookmarkStart w:id="188" w:name="ref-17"/>
      <w:bookmarkEnd w:id="188"/>
      <w:r>
        <w:t xml:space="preserve">17. Jeremy Bundgaard, Booz Allen Hamilton; Stephen Gerrells, Booz Allen Hamilton; Derek Doyle, Booz Allen Hamilton; Matthew Shouppe, Booz Allen Hamilton. SWFCast: Fusing Foundation Models and Diverse Data to Forecast Space Weather (2025). doi:</w:t>
      </w:r>
      <w:r>
        <w:t xml:space="preserve"> </w:t>
      </w:r>
      <w:hyperlink r:id="rId189">
        <w:r>
          <w:rPr>
            <w:rStyle w:val="Hyperlink"/>
          </w:rPr>
          <w:t xml:space="preserve">10.64861/CWIU6827</w:t>
        </w:r>
      </w:hyperlink>
    </w:p>
    <w:p>
      <w:pPr>
        <w:pStyle w:val="BodyText"/>
        <w:spacing w:line="480" w:lineRule="auto"/>
        <w:ind w:firstLine="720"/>
      </w:pPr>
      <w:bookmarkStart w:id="190" w:name="ref-18"/>
      <w:bookmarkEnd w:id="190"/>
      <w:r>
        <w:t xml:space="preserve">18. Jeff Aristoff, Numerica Corporation; Neil Dhingra, Numerica Corporation; Alex Ferris, Numerica Corporation; Austin Hariri, Numerica Corporation; Joshua Horwood, Numerica Corporation; Ari Larson, Numerica Corporation; Tyler Lyons, Numerica Corporation; Jeff Shaddix, Numerica Corporation; Navraj Singh, Numerica Corporation; Kevin Wilson, Numerica Corporation. Non-Traditional Data Collection and Exploitation for Improved GEO SSA via a Global Network of Heterogeneous Sensors (2018).</w:t>
      </w:r>
    </w:p>
    <w:p>
      <w:pPr>
        <w:pStyle w:val="BodyText"/>
        <w:spacing w:line="480" w:lineRule="auto"/>
        <w:ind w:firstLine="720"/>
      </w:pPr>
      <w:bookmarkStart w:id="191" w:name="ref-19"/>
      <w:bookmarkEnd w:id="191"/>
      <w:r>
        <w:t xml:space="preserve">19. Philip A. Bland and the DFN Team, Curtin University. Adapting a Planetary Science Observational Facility for Space Situational Awareness (2016).</w:t>
      </w:r>
    </w:p>
    <w:p>
      <w:pPr>
        <w:pStyle w:val="BodyText"/>
        <w:spacing w:line="480" w:lineRule="auto"/>
        <w:ind w:firstLine="720"/>
      </w:pPr>
      <w:bookmarkStart w:id="192" w:name="ref-20"/>
      <w:bookmarkEnd w:id="192"/>
      <w:r>
        <w:t xml:space="preserve">20. Yasir Latif, Space Protocol; Samya Bagchi, Space Protocol; Latha Madhuri Pratti, Space Protocol; Harvey Reed, MITRE; Ruth Stilwell, Aerospace Policy Solutions, LLC; Greg Furlich, University of Colorado Boulder. Towards an AI-enabled Space Battle Management System on Space Protocol’s Quantum Resilient Blockchain (2025). doi:</w:t>
      </w:r>
      <w:r>
        <w:t xml:space="preserve"> </w:t>
      </w:r>
      <w:hyperlink r:id="rId193">
        <w:r>
          <w:rPr>
            <w:rStyle w:val="Hyperlink"/>
          </w:rPr>
          <w:t xml:space="preserve">10.64861/CEPU7718</w:t>
        </w:r>
      </w:hyperlink>
    </w:p>
    <w:p>
      <w:pPr>
        <w:pStyle w:val="BodyText"/>
        <w:spacing w:line="480" w:lineRule="auto"/>
        <w:ind w:firstLine="720"/>
      </w:pPr>
      <w:bookmarkStart w:id="194" w:name="ref-21"/>
      <w:bookmarkEnd w:id="194"/>
      <w:r>
        <w:t xml:space="preserve">21. Saikat Majumder, Digantara; Archana Trivedi, Digantara; Bhanu Chandana, Digantara; Subramanian Arumugam, Digantara; Thamim Ansari, Digantara; Tanveer Ahmed, Digantara. Neural-Augmented Space Weather Forecasting for Uncertainty Propagation in LEO Conjunction Analysis (2025). doi:</w:t>
      </w:r>
      <w:r>
        <w:t xml:space="preserve"> </w:t>
      </w:r>
      <w:hyperlink r:id="rId195">
        <w:r>
          <w:rPr>
            <w:rStyle w:val="Hyperlink"/>
          </w:rPr>
          <w:t xml:space="preserve">10.64861/LXFG5028</w:t>
        </w:r>
      </w:hyperlink>
    </w:p>
    <w:p>
      <w:pPr>
        <w:pStyle w:val="BodyText"/>
        <w:spacing w:line="480" w:lineRule="auto"/>
        <w:ind w:firstLine="720"/>
      </w:pPr>
      <w:bookmarkStart w:id="196" w:name="ref-22"/>
      <w:bookmarkEnd w:id="196"/>
      <w:r>
        <w:t xml:space="preserve">22. Martin Ploner, ASA Astrosysteme GmbH; Philipp Keller, ASA Astrosysteme GmbH; Egon Döberl, ASA Astrosysteme GmbH ; Wolfgang Promper, ASA Astrosysteme GmbH; Dietmar Weinzinger, ASA Astrosysteme GmbH. Ultrafast Wide Field Telescope for Space Debris Detection and Tracking (2019).</w:t>
      </w:r>
    </w:p>
    <w:p>
      <w:pPr>
        <w:pStyle w:val="BodyText"/>
        <w:spacing w:line="480" w:lineRule="auto"/>
        <w:ind w:firstLine="720"/>
      </w:pPr>
      <w:bookmarkStart w:id="197" w:name="ref-23"/>
      <w:bookmarkEnd w:id="197"/>
      <w:r>
        <w:t xml:space="preserve">23. Anna Zovaro, The University of Sydney and the Australian National University, Francis Bennet, The Australian National University, David Rye, The Australian Centre for Field Robotics and The University of Sydney, Céline D’Orgeville, The Australian National University, François Rigaut, The Australian National University, Ian Price, The Australian National University, Ian Ritchie, EOS Space Systems, Craig Smith, EOS Space Systems. Simpler Adaptive Optics using a Single Device for Processing and Control (2015).</w:t>
      </w:r>
    </w:p>
    <w:p>
      <w:pPr>
        <w:pStyle w:val="BodyText"/>
        <w:spacing w:line="480" w:lineRule="auto"/>
        <w:ind w:firstLine="720"/>
      </w:pPr>
      <w:bookmarkStart w:id="198" w:name="ref-24"/>
      <w:bookmarkEnd w:id="198"/>
      <w:r>
        <w:t xml:space="preserve">24. Robert Eager (Boeing LTS, AFRL/DE). Packet Switching Networks For Adaptive Optics Systems (2006).</w:t>
      </w:r>
    </w:p>
    <w:p>
      <w:pPr>
        <w:pStyle w:val="BodyText"/>
        <w:spacing w:line="480" w:lineRule="auto"/>
        <w:ind w:firstLine="720"/>
      </w:pPr>
      <w:bookmarkStart w:id="199" w:name="ref-25"/>
      <w:bookmarkEnd w:id="199"/>
      <w:r>
        <w:t xml:space="preserve">25. Giulio De Angelis; Stefano Carletta; Edoardo Maria Leonardi; Mauro Pontani; Paolo Teofilatto. Information routing in satellite constellations via stereographic projection and static digraph (2026). doi:</w:t>
      </w:r>
      <w:r>
        <w:t xml:space="preserve"> </w:t>
      </w:r>
      <w:hyperlink r:id="rId200">
        <w:r>
          <w:rPr>
            <w:rStyle w:val="Hyperlink"/>
          </w:rPr>
          <w:t xml:space="preserve">10.1016/j.actaastro.2026.02.046</w:t>
        </w:r>
      </w:hyperlink>
    </w:p>
    <w:p>
      <w:pPr>
        <w:pStyle w:val="BodyText"/>
        <w:spacing w:line="480" w:lineRule="auto"/>
        <w:ind w:firstLine="720"/>
      </w:pPr>
      <w:bookmarkStart w:id="201" w:name="ref-26"/>
      <w:bookmarkEnd w:id="201"/>
      <w:r>
        <w:t xml:space="preserve">26. Andrew P. Blaber; Nandu Goswami; Da Xu. Prolonged unloading of the cardiovascular system during bedrest and spaceflight weakens neural coupling between blood pressure and heart rate (2022). doi:</w:t>
      </w:r>
      <w:r>
        <w:t xml:space="preserve"> </w:t>
      </w:r>
      <w:hyperlink r:id="rId202">
        <w:r>
          <w:rPr>
            <w:rStyle w:val="Hyperlink"/>
          </w:rPr>
          <w:t xml:space="preserve">10.1016/j.actaastro.2022.03.009</w:t>
        </w:r>
      </w:hyperlink>
    </w:p>
    <w:p>
      <w:pPr>
        <w:pStyle w:val="BodyText"/>
        <w:spacing w:line="480" w:lineRule="auto"/>
        <w:ind w:firstLine="720"/>
      </w:pPr>
      <w:bookmarkStart w:id="203" w:name="ref-27"/>
      <w:bookmarkEnd w:id="203"/>
      <w:r>
        <w:t xml:space="preserve">27. Christopher Glaser; Riccardo Gelain; Artur Elias De Morais Bertoldi; Q. Levard; Jouke Hijlkema; Jean-Yves Lestrade; Patrick Hendrick; J. Anthoine. Experimental regression rate profiles of stepped fuel grains in Hybrid Rocket Engines (2023). doi:</w:t>
      </w:r>
      <w:r>
        <w:t xml:space="preserve"> </w:t>
      </w:r>
      <w:hyperlink r:id="rId204">
        <w:r>
          <w:rPr>
            <w:rStyle w:val="Hyperlink"/>
          </w:rPr>
          <w:t xml:space="preserve">10.1016/j.actaastro.2022.12.045</w:t>
        </w:r>
      </w:hyperlink>
    </w:p>
    <w:p>
      <w:pPr>
        <w:pStyle w:val="BodyText"/>
        <w:spacing w:line="480" w:lineRule="auto"/>
        <w:ind w:firstLine="720"/>
      </w:pPr>
      <w:bookmarkStart w:id="205" w:name="ref-28"/>
      <w:bookmarkEnd w:id="205"/>
      <w:r>
        <w:t xml:space="preserve">28. Riccardo Gallon; Fabian Schiemenz; Alessandra Menicucci; Eberhard Gill. Addressing camera sensors faults in Vision-Based Navigation: Simulation and dataset development (2025). doi:</w:t>
      </w:r>
      <w:r>
        <w:t xml:space="preserve"> </w:t>
      </w:r>
      <w:hyperlink r:id="rId206">
        <w:r>
          <w:rPr>
            <w:rStyle w:val="Hyperlink"/>
          </w:rPr>
          <w:t xml:space="preserve">10.1016/j.actaastro.2025.10.071</w:t>
        </w:r>
      </w:hyperlink>
    </w:p>
    <w:p>
      <w:pPr>
        <w:pStyle w:val="BodyText"/>
        <w:spacing w:line="480" w:lineRule="auto"/>
        <w:ind w:firstLine="720"/>
      </w:pPr>
      <w:bookmarkStart w:id="207" w:name="ref-29"/>
      <w:bookmarkEnd w:id="207"/>
      <w:r>
        <w:t xml:space="preserve">29. Xiaoyu Fu; Stefania Soldini. Autonomous orbital maintenance using a supervised-learning-based target point approach (2026). doi:</w:t>
      </w:r>
      <w:r>
        <w:t xml:space="preserve"> </w:t>
      </w:r>
      <w:hyperlink r:id="rId208">
        <w:r>
          <w:rPr>
            <w:rStyle w:val="Hyperlink"/>
          </w:rPr>
          <w:t xml:space="preserve">10.1016/j.actaastro.2026.02.008</w:t>
        </w:r>
      </w:hyperlink>
    </w:p>
    <w:p>
      <w:pPr>
        <w:pStyle w:val="BodyText"/>
        <w:spacing w:line="480" w:lineRule="auto"/>
        <w:ind w:firstLine="720"/>
      </w:pPr>
      <w:bookmarkStart w:id="209" w:name="ref-30"/>
      <w:bookmarkEnd w:id="209"/>
      <w:r>
        <w:t xml:space="preserve">30. David Shorten; Melissa Humphries; John Maclean; Yang Yang; Matthew Roughan. Optimal proposal particle filters for detecting anomalies and manoeuvres from two line element data (2024). doi:</w:t>
      </w:r>
      <w:r>
        <w:t xml:space="preserve"> </w:t>
      </w:r>
      <w:hyperlink r:id="rId210">
        <w:r>
          <w:rPr>
            <w:rStyle w:val="Hyperlink"/>
          </w:rPr>
          <w:t xml:space="preserve">10.1016/j.actaastro.2024.11.033</w:t>
        </w:r>
      </w:hyperlink>
    </w:p>
    <w:p>
      <w:pPr>
        <w:pStyle w:val="BodyText"/>
        <w:spacing w:line="480" w:lineRule="auto"/>
        <w:ind w:firstLine="720"/>
      </w:pPr>
      <w:bookmarkStart w:id="211" w:name="ref-31"/>
      <w:bookmarkEnd w:id="211"/>
      <w:r>
        <w:t xml:space="preserve">31. Umberto De Filippis; Mauro Di Benedetto; L. Iess; Paolo Cappuccio; Massimiliano Pecora; Chiara Grappasonni; A. Olivieri. Monitoring JUICE deployment operations with high-accuracy accelerometer data (2024). doi:</w:t>
      </w:r>
      <w:r>
        <w:t xml:space="preserve"> </w:t>
      </w:r>
      <w:hyperlink r:id="rId212">
        <w:r>
          <w:rPr>
            <w:rStyle w:val="Hyperlink"/>
          </w:rPr>
          <w:t xml:space="preserve">10.1016/j.actaastro.2024.09.047</w:t>
        </w:r>
      </w:hyperlink>
    </w:p>
    <w:p>
      <w:pPr>
        <w:pStyle w:val="BodyText"/>
        <w:spacing w:line="480" w:lineRule="auto"/>
        <w:ind w:firstLine="720"/>
      </w:pPr>
      <w:bookmarkStart w:id="213" w:name="ref-32"/>
      <w:bookmarkEnd w:id="213"/>
      <w:r>
        <w:t xml:space="preserve">32. J.C. Dolado-Perez; Kumi Nitta; Tim Flohrer; Moriba Jah; V. Martinot; Alejandro Pastor. Improvement of orbital data precision and accuracy (2025). doi:</w:t>
      </w:r>
      <w:r>
        <w:t xml:space="preserve"> </w:t>
      </w:r>
      <w:hyperlink r:id="rId214">
        <w:r>
          <w:rPr>
            <w:rStyle w:val="Hyperlink"/>
          </w:rPr>
          <w:t xml:space="preserve">10.1016/j.actaastro.2025.01.003</w:t>
        </w:r>
      </w:hyperlink>
    </w:p>
    <w:bookmarkEnd w:id="215"/>
    <w:bookmarkEnd w:id="216"/>
    <w:bookmarkStart w:id="233"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24" w:name="X4d249fa877f25b369bbe849f953a3b8e41bc6ff"/>
    <w:p>
      <w:pPr>
        <w:pStyle w:val="Heading2"/>
        <w:spacing w:line="480" w:lineRule="auto"/>
      </w:pPr>
      <w:r>
        <w:t xml:space="preserve">A.1 Where the Delay Lives: A Fixed-Effects Regression of Processing Locus on Planetary Data-Pipeline Latency</w:t>
      </w:r>
    </w:p>
    <w:p>
      <w:pPr>
        <w:pStyle w:val="FirstParagraph"/>
        <w:spacing w:line="480" w:lineRule="auto"/>
      </w:pPr>
      <m:oMathPara>
        <m:oMathParaPr>
          <m:jc m:val="center"/>
        </m:oMathParaPr>
        <m:oMath>
          <m:sSub>
            <m:e>
              <m:r>
                <m:rPr>
                  <m:nor/>
                  <m:sty m:val="p"/>
                </m:rPr>
                <m:t>latency</m:t>
              </m:r>
            </m:e>
            <m:sub>
              <m:r>
                <m:t>i</m:t>
              </m:r>
            </m:sub>
          </m:sSub>
          <m:r>
            <m:rPr>
              <m:sty m:val="p"/>
            </m:rPr>
            <m:t>=</m:t>
          </m:r>
          <m:sSub>
            <m:e>
              <m:r>
                <m:t>β</m:t>
              </m:r>
            </m:e>
            <m:sub>
              <m:r>
                <m:t>0</m:t>
              </m:r>
            </m:sub>
          </m:sSub>
          <m:r>
            <m:rPr>
              <m:sty m:val="p"/>
            </m:rPr>
            <m:t>+</m:t>
          </m:r>
          <m:sSub>
            <m:e>
              <m:r>
                <m:t>β</m:t>
              </m:r>
            </m:e>
            <m:sub>
              <m:r>
                <m:t>1</m:t>
              </m:r>
            </m:sub>
          </m:sSub>
          <m:sSub>
            <m:e>
              <m:r>
                <m:rPr>
                  <m:nor/>
                  <m:sty m:val="p"/>
                </m:rPr>
                <m:t>volume</m:t>
              </m:r>
            </m:e>
            <m:sub>
              <m:r>
                <m:t>i</m:t>
              </m:r>
            </m:sub>
          </m:sSub>
          <m:r>
            <m:rPr>
              <m:sty m:val="p"/>
            </m:rPr>
            <m:t>+</m:t>
          </m:r>
          <m:sSub>
            <m:e>
              <m:r>
                <m:t>β</m:t>
              </m:r>
            </m:e>
            <m:sub>
              <m:r>
                <m:t>2</m:t>
              </m:r>
            </m:sub>
          </m:sSub>
          <m:sSub>
            <m:e>
              <m:r>
                <m:rPr>
                  <m:nor/>
                  <m:sty m:val="p"/>
                </m:rPr>
                <m:t>assoc</m:t>
              </m:r>
            </m:e>
            <m:sub>
              <m:r>
                <m:t>i</m:t>
              </m:r>
            </m:sub>
          </m:sSub>
          <m:r>
            <m:rPr>
              <m:sty m:val="p"/>
            </m:rPr>
            <m:t>+</m:t>
          </m:r>
          <m:sSub>
            <m:e>
              <m:r>
                <m:t>β</m:t>
              </m:r>
            </m:e>
            <m:sub>
              <m:r>
                <m:t>3</m:t>
              </m:r>
            </m:sub>
          </m:sSub>
          <m:sSub>
            <m:e>
              <m:r>
                <m:rPr>
                  <m:nor/>
                  <m:sty m:val="p"/>
                </m:rPr>
                <m:t>queue</m:t>
              </m:r>
            </m:e>
            <m:sub>
              <m:r>
                <m:t>i</m:t>
              </m:r>
            </m:sub>
          </m:sSub>
          <m:r>
            <m:rPr>
              <m:sty m:val="p"/>
            </m:rPr>
            <m:t>+</m:t>
          </m:r>
          <m:sSub>
            <m:e>
              <m:r>
                <m:t>β</m:t>
              </m:r>
            </m:e>
            <m:sub>
              <m:r>
                <m:t>4</m:t>
              </m:r>
            </m:sub>
          </m:sSub>
          <m:sSub>
            <m:e>
              <m:r>
                <m:rPr>
                  <m:nor/>
                  <m:sty m:val="p"/>
                </m:rPr>
                <m:t>batch</m:t>
              </m:r>
            </m:e>
            <m:sub>
              <m:r>
                <m:t>i</m:t>
              </m:r>
            </m:sub>
          </m:sSub>
          <m:r>
            <m:rPr>
              <m:sty m:val="p"/>
            </m:rPr>
            <m:t>+</m:t>
          </m:r>
          <m:sSub>
            <m:e>
              <m:r>
                <m:t>β</m:t>
              </m:r>
            </m:e>
            <m:sub>
              <m:r>
                <m:t>5</m:t>
              </m:r>
            </m:sub>
          </m:sSub>
          <m:sSub>
            <m:e>
              <m:r>
                <m:rPr>
                  <m:nor/>
                  <m:sty m:val="p"/>
                </m:rPr>
                <m:t>locus</m:t>
              </m:r>
            </m:e>
            <m:sub>
              <m:r>
                <m:t>i</m:t>
              </m:r>
            </m:sub>
          </m:sSub>
          <m:r>
            <m:rPr>
              <m:sty m:val="p"/>
            </m:rPr>
            <m:t>+</m:t>
          </m:r>
          <m:sSub>
            <m:e>
              <m:r>
                <m:t>ε</m:t>
              </m:r>
            </m:e>
            <m:sub>
              <m:r>
                <m:t>i</m:t>
              </m:r>
            </m:sub>
          </m:sSub>
        </m:oMath>
      </m:oMathPara>
    </w:p>
    <w:bookmarkStart w:id="217"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34.4121</w:t>
            </w:r>
          </w:p>
        </w:tc>
        <w:tc>
          <w:tcPr>
            <w:tcW w:w="0" w:type="auto"/>
          </w:tcPr>
          <w:p>
            <w:pPr>
              <w:spacing w:line="240" w:lineRule="auto" w:before="0" w:after="0"/>
              <w:pStyle w:val="Compact"/>
            </w:pPr>
            <w:r>
              <w:rPr>
                <w:sz w:val="20"/>
                <w:szCs w:val="20"/>
              </w:rPr>
              <w:t xml:space="preserve">25.8375</w:t>
            </w:r>
          </w:p>
        </w:tc>
        <w:tc>
          <w:tcPr>
            <w:tcW w:w="0" w:type="auto"/>
          </w:tcPr>
          <w:p>
            <w:pPr>
              <w:spacing w:line="240" w:lineRule="auto" w:before="0" w:after="0"/>
              <w:pStyle w:val="Compact"/>
            </w:pPr>
            <w:r>
              <w:rPr>
                <w:sz w:val="20"/>
                <w:szCs w:val="20"/>
              </w:rPr>
              <w:t xml:space="preserve">1.3319</w:t>
            </w:r>
          </w:p>
        </w:tc>
        <w:tc>
          <w:tcPr>
            <w:tcW w:w="0" w:type="auto"/>
          </w:tcPr>
          <w:p>
            <w:pPr>
              <w:spacing w:line="240" w:lineRule="auto" w:before="0" w:after="0"/>
              <w:pStyle w:val="Compact"/>
            </w:pPr>
            <w:r>
              <w:rPr>
                <w:sz w:val="20"/>
                <w:szCs w:val="20"/>
              </w:rPr>
              <w:t xml:space="preserve">0.1829</w:t>
            </w:r>
          </w:p>
        </w:tc>
        <w:tc>
          <w:tcPr>
            <w:tcW w:w="0" w:type="auto"/>
          </w:tcPr>
          <w:p>
            <w:pPr>
              <w:spacing w:line="240" w:lineRule="auto" w:before="0" w:after="0"/>
              <w:pStyle w:val="Compact"/>
            </w:pPr>
            <w:r>
              <w:rPr>
                <w:sz w:val="20"/>
                <w:szCs w:val="20"/>
              </w:rPr>
              <w:t xml:space="preserve">[-16.2285, 85.0526]</w:t>
            </w:r>
          </w:p>
        </w:tc>
      </w:tr>
      <w:tr>
        <w:tc>
          <w:tcPr>
            <w:tcW w:w="0" w:type="auto"/>
          </w:tcPr>
          <w:p>
            <w:pPr>
              <w:spacing w:line="240" w:lineRule="auto" w:before="0" w:after="0"/>
              <w:pStyle w:val="Compact"/>
            </w:pPr>
            <w:r>
              <w:rPr>
                <w:sz w:val="20"/>
                <w:szCs w:val="20"/>
              </w:rPr>
              <w:t xml:space="preserve">volume_kframes</w:t>
            </w:r>
          </w:p>
        </w:tc>
        <w:tc>
          <w:tcPr>
            <w:tcW w:w="0" w:type="auto"/>
          </w:tcPr>
          <w:p>
            <w:pPr>
              <w:spacing w:line="240" w:lineRule="auto" w:before="0" w:after="0"/>
              <w:pStyle w:val="Compact"/>
            </w:pPr>
            <w:r>
              <w:rPr>
                <w:sz w:val="20"/>
                <w:szCs w:val="20"/>
              </w:rPr>
              <w:t xml:space="preserve">5.9823</w:t>
            </w:r>
          </w:p>
        </w:tc>
        <w:tc>
          <w:tcPr>
            <w:tcW w:w="0" w:type="auto"/>
          </w:tcPr>
          <w:p>
            <w:pPr>
              <w:spacing w:line="240" w:lineRule="auto" w:before="0" w:after="0"/>
              <w:pStyle w:val="Compact"/>
            </w:pPr>
            <w:r>
              <w:rPr>
                <w:sz w:val="20"/>
                <w:szCs w:val="20"/>
              </w:rPr>
              <w:t xml:space="preserve">1.0985</w:t>
            </w:r>
          </w:p>
        </w:tc>
        <w:tc>
          <w:tcPr>
            <w:tcW w:w="0" w:type="auto"/>
          </w:tcPr>
          <w:p>
            <w:pPr>
              <w:spacing w:line="240" w:lineRule="auto" w:before="0" w:after="0"/>
              <w:pStyle w:val="Compact"/>
            </w:pPr>
            <w:r>
              <w:rPr>
                <w:sz w:val="20"/>
                <w:szCs w:val="20"/>
              </w:rPr>
              <w:t xml:space="preserve">5.4459</w:t>
            </w:r>
          </w:p>
        </w:tc>
        <w:tc>
          <w:tcPr>
            <w:tcW w:w="0" w:type="auto"/>
          </w:tcPr>
          <w:p>
            <w:pPr>
              <w:spacing w:line="240" w:lineRule="auto" w:before="0" w:after="0"/>
              <w:pStyle w:val="Compact"/>
            </w:pPr>
            <w:r>
              <w:rPr>
                <w:sz w:val="20"/>
                <w:szCs w:val="20"/>
              </w:rPr>
              <w:t xml:space="preserve">5.154e-08</w:t>
            </w:r>
          </w:p>
        </w:tc>
        <w:tc>
          <w:tcPr>
            <w:tcW w:w="0" w:type="auto"/>
          </w:tcPr>
          <w:p>
            <w:pPr>
              <w:spacing w:line="240" w:lineRule="auto" w:before="0" w:after="0"/>
              <w:pStyle w:val="Compact"/>
            </w:pPr>
            <w:r>
              <w:rPr>
                <w:sz w:val="20"/>
                <w:szCs w:val="20"/>
              </w:rPr>
              <w:t xml:space="preserve">[3.8293, 8.1353]</w:t>
            </w:r>
          </w:p>
        </w:tc>
      </w:tr>
      <w:tr>
        <w:tc>
          <w:tcPr>
            <w:tcW w:w="0" w:type="auto"/>
          </w:tcPr>
          <w:p>
            <w:pPr>
              <w:spacing w:line="240" w:lineRule="auto" w:before="0" w:after="0"/>
              <w:pStyle w:val="Compact"/>
            </w:pPr>
            <w:r>
              <w:rPr>
                <w:sz w:val="20"/>
                <w:szCs w:val="20"/>
              </w:rPr>
              <w:t xml:space="preserve">assoc_complexity</w:t>
            </w:r>
          </w:p>
        </w:tc>
        <w:tc>
          <w:tcPr>
            <w:tcW w:w="0" w:type="auto"/>
          </w:tcPr>
          <w:p>
            <w:pPr>
              <w:spacing w:line="240" w:lineRule="auto" w:before="0" w:after="0"/>
              <w:pStyle w:val="Compact"/>
            </w:pPr>
            <w:r>
              <w:rPr>
                <w:sz w:val="20"/>
                <w:szCs w:val="20"/>
              </w:rPr>
              <w:t xml:space="preserve">-3.8869</w:t>
            </w:r>
          </w:p>
        </w:tc>
        <w:tc>
          <w:tcPr>
            <w:tcW w:w="0" w:type="auto"/>
          </w:tcPr>
          <w:p>
            <w:pPr>
              <w:spacing w:line="240" w:lineRule="auto" w:before="0" w:after="0"/>
              <w:pStyle w:val="Compact"/>
            </w:pPr>
            <w:r>
              <w:rPr>
                <w:sz w:val="20"/>
                <w:szCs w:val="20"/>
              </w:rPr>
              <w:t xml:space="preserve">5.5196</w:t>
            </w:r>
          </w:p>
        </w:tc>
        <w:tc>
          <w:tcPr>
            <w:tcW w:w="0" w:type="auto"/>
          </w:tcPr>
          <w:p>
            <w:pPr>
              <w:spacing w:line="240" w:lineRule="auto" w:before="0" w:after="0"/>
              <w:pStyle w:val="Compact"/>
            </w:pPr>
            <w:r>
              <w:rPr>
                <w:sz w:val="20"/>
                <w:szCs w:val="20"/>
              </w:rPr>
              <w:t xml:space="preserve">-0.7042</w:t>
            </w:r>
          </w:p>
        </w:tc>
        <w:tc>
          <w:tcPr>
            <w:tcW w:w="0" w:type="auto"/>
          </w:tcPr>
          <w:p>
            <w:pPr>
              <w:spacing w:line="240" w:lineRule="auto" w:before="0" w:after="0"/>
              <w:pStyle w:val="Compact"/>
            </w:pPr>
            <w:r>
              <w:rPr>
                <w:sz w:val="20"/>
                <w:szCs w:val="20"/>
              </w:rPr>
              <w:t xml:space="preserve">0.4813</w:t>
            </w:r>
          </w:p>
        </w:tc>
        <w:tc>
          <w:tcPr>
            <w:tcW w:w="0" w:type="auto"/>
          </w:tcPr>
          <w:p>
            <w:pPr>
              <w:spacing w:line="240" w:lineRule="auto" w:before="0" w:after="0"/>
              <w:pStyle w:val="Compact"/>
            </w:pPr>
            <w:r>
              <w:rPr>
                <w:sz w:val="20"/>
                <w:szCs w:val="20"/>
              </w:rPr>
              <w:t xml:space="preserve">[-14.7051, 6.9312]</w:t>
            </w:r>
          </w:p>
        </w:tc>
      </w:tr>
      <w:tr>
        <w:tc>
          <w:tcPr>
            <w:tcW w:w="0" w:type="auto"/>
          </w:tcPr>
          <w:p>
            <w:pPr>
              <w:spacing w:line="240" w:lineRule="auto" w:before="0" w:after="0"/>
              <w:pStyle w:val="Compact"/>
            </w:pPr>
            <w:r>
              <w:rPr>
                <w:sz w:val="20"/>
                <w:szCs w:val="20"/>
              </w:rPr>
              <w:t xml:space="preserve">queue_load</w:t>
            </w:r>
          </w:p>
        </w:tc>
        <w:tc>
          <w:tcPr>
            <w:tcW w:w="0" w:type="auto"/>
          </w:tcPr>
          <w:p>
            <w:pPr>
              <w:spacing w:line="240" w:lineRule="auto" w:before="0" w:after="0"/>
              <w:pStyle w:val="Compact"/>
            </w:pPr>
            <w:r>
              <w:rPr>
                <w:sz w:val="20"/>
                <w:szCs w:val="20"/>
              </w:rPr>
              <w:t xml:space="preserve">-13.9466</w:t>
            </w:r>
          </w:p>
        </w:tc>
        <w:tc>
          <w:tcPr>
            <w:tcW w:w="0" w:type="auto"/>
          </w:tcPr>
          <w:p>
            <w:pPr>
              <w:spacing w:line="240" w:lineRule="auto" w:before="0" w:after="0"/>
              <w:pStyle w:val="Compact"/>
            </w:pPr>
            <w:r>
              <w:rPr>
                <w:sz w:val="20"/>
                <w:szCs w:val="20"/>
              </w:rPr>
              <w:t xml:space="preserve">14.729</w:t>
            </w:r>
          </w:p>
        </w:tc>
        <w:tc>
          <w:tcPr>
            <w:tcW w:w="0" w:type="auto"/>
          </w:tcPr>
          <w:p>
            <w:pPr>
              <w:spacing w:line="240" w:lineRule="auto" w:before="0" w:after="0"/>
              <w:pStyle w:val="Compact"/>
            </w:pPr>
            <w:r>
              <w:rPr>
                <w:sz w:val="20"/>
                <w:szCs w:val="20"/>
              </w:rPr>
              <w:t xml:space="preserve">-0.9469</w:t>
            </w:r>
          </w:p>
        </w:tc>
        <w:tc>
          <w:tcPr>
            <w:tcW w:w="0" w:type="auto"/>
          </w:tcPr>
          <w:p>
            <w:pPr>
              <w:spacing w:line="240" w:lineRule="auto" w:before="0" w:after="0"/>
              <w:pStyle w:val="Compact"/>
            </w:pPr>
            <w:r>
              <w:rPr>
                <w:sz w:val="20"/>
                <w:szCs w:val="20"/>
              </w:rPr>
              <w:t xml:space="preserve">0.3437</w:t>
            </w:r>
          </w:p>
        </w:tc>
        <w:tc>
          <w:tcPr>
            <w:tcW w:w="0" w:type="auto"/>
          </w:tcPr>
          <w:p>
            <w:pPr>
              <w:spacing w:line="240" w:lineRule="auto" w:before="0" w:after="0"/>
              <w:pStyle w:val="Compact"/>
            </w:pPr>
            <w:r>
              <w:rPr>
                <w:sz w:val="20"/>
                <w:szCs w:val="20"/>
              </w:rPr>
              <w:t xml:space="preserve">[-42.8149, 14.9218]</w:t>
            </w:r>
          </w:p>
        </w:tc>
      </w:tr>
      <w:tr>
        <w:tc>
          <w:tcPr>
            <w:tcW w:w="0" w:type="auto"/>
          </w:tcPr>
          <w:p>
            <w:pPr>
              <w:spacing w:line="240" w:lineRule="auto" w:before="0" w:after="0"/>
              <w:pStyle w:val="Compact"/>
            </w:pPr>
            <w:r>
              <w:rPr>
                <w:sz w:val="20"/>
                <w:szCs w:val="20"/>
              </w:rPr>
              <w:t xml:space="preserve">ground_batch_fe</w:t>
            </w:r>
          </w:p>
        </w:tc>
        <w:tc>
          <w:tcPr>
            <w:tcW w:w="0" w:type="auto"/>
          </w:tcPr>
          <w:p>
            <w:pPr>
              <w:spacing w:line="240" w:lineRule="auto" w:before="0" w:after="0"/>
              <w:pStyle w:val="Compact"/>
            </w:pPr>
            <w:r>
              <w:rPr>
                <w:sz w:val="20"/>
                <w:szCs w:val="20"/>
              </w:rPr>
              <w:t xml:space="preserve">31.497</w:t>
            </w:r>
          </w:p>
        </w:tc>
        <w:tc>
          <w:tcPr>
            <w:tcW w:w="0" w:type="auto"/>
          </w:tcPr>
          <w:p>
            <w:pPr>
              <w:spacing w:line="240" w:lineRule="auto" w:before="0" w:after="0"/>
              <w:pStyle w:val="Compact"/>
            </w:pPr>
            <w:r>
              <w:rPr>
                <w:sz w:val="20"/>
                <w:szCs w:val="20"/>
              </w:rPr>
              <w:t xml:space="preserve">11.1369</w:t>
            </w:r>
          </w:p>
        </w:tc>
        <w:tc>
          <w:tcPr>
            <w:tcW w:w="0" w:type="auto"/>
          </w:tcPr>
          <w:p>
            <w:pPr>
              <w:spacing w:line="240" w:lineRule="auto" w:before="0" w:after="0"/>
              <w:pStyle w:val="Compact"/>
            </w:pPr>
            <w:r>
              <w:rPr>
                <w:sz w:val="20"/>
                <w:szCs w:val="20"/>
              </w:rPr>
              <w:t xml:space="preserve">2.8282</w:t>
            </w:r>
          </w:p>
        </w:tc>
        <w:tc>
          <w:tcPr>
            <w:tcW w:w="0" w:type="auto"/>
          </w:tcPr>
          <w:p>
            <w:pPr>
              <w:spacing w:line="240" w:lineRule="auto" w:before="0" w:after="0"/>
              <w:pStyle w:val="Compact"/>
            </w:pPr>
            <w:r>
              <w:rPr>
                <w:sz w:val="20"/>
                <w:szCs w:val="20"/>
              </w:rPr>
              <w:t xml:space="preserve">0.0047</w:t>
            </w:r>
          </w:p>
        </w:tc>
        <w:tc>
          <w:tcPr>
            <w:tcW w:w="0" w:type="auto"/>
          </w:tcPr>
          <w:p>
            <w:pPr>
              <w:spacing w:line="240" w:lineRule="auto" w:before="0" w:after="0"/>
              <w:pStyle w:val="Compact"/>
            </w:pPr>
            <w:r>
              <w:rPr>
                <w:sz w:val="20"/>
                <w:szCs w:val="20"/>
              </w:rPr>
              <w:t xml:space="preserve">[9.6689, 53.325]</w:t>
            </w:r>
          </w:p>
        </w:tc>
      </w:tr>
      <w:tr>
        <w:tc>
          <w:tcPr>
            <w:tcW w:w="0" w:type="auto"/>
          </w:tcPr>
          <w:p>
            <w:pPr>
              <w:spacing w:line="240" w:lineRule="auto" w:before="0" w:after="0"/>
              <w:pStyle w:val="Compact"/>
            </w:pPr>
            <w:r>
              <w:rPr>
                <w:sz w:val="20"/>
                <w:szCs w:val="20"/>
              </w:rPr>
              <w:t xml:space="preserve">locus_onboard</w:t>
            </w:r>
          </w:p>
        </w:tc>
        <w:tc>
          <w:tcPr>
            <w:tcW w:w="0" w:type="auto"/>
          </w:tcPr>
          <w:p>
            <w:pPr>
              <w:spacing w:line="240" w:lineRule="auto" w:before="0" w:after="0"/>
              <w:pStyle w:val="Compact"/>
            </w:pPr>
            <w:r>
              <w:rPr>
                <w:sz w:val="20"/>
                <w:szCs w:val="20"/>
              </w:rPr>
              <w:t xml:space="preserve">-15.2618</w:t>
            </w:r>
          </w:p>
        </w:tc>
        <w:tc>
          <w:tcPr>
            <w:tcW w:w="0" w:type="auto"/>
          </w:tcPr>
          <w:p>
            <w:pPr>
              <w:spacing w:line="240" w:lineRule="auto" w:before="0" w:after="0"/>
              <w:pStyle w:val="Compact"/>
            </w:pPr>
            <w:r>
              <w:rPr>
                <w:sz w:val="20"/>
                <w:szCs w:val="20"/>
              </w:rPr>
              <w:t xml:space="preserve">18.2657</w:t>
            </w:r>
          </w:p>
        </w:tc>
        <w:tc>
          <w:tcPr>
            <w:tcW w:w="0" w:type="auto"/>
          </w:tcPr>
          <w:p>
            <w:pPr>
              <w:spacing w:line="240" w:lineRule="auto" w:before="0" w:after="0"/>
              <w:pStyle w:val="Compact"/>
            </w:pPr>
            <w:r>
              <w:rPr>
                <w:sz w:val="20"/>
                <w:szCs w:val="20"/>
              </w:rPr>
              <w:t xml:space="preserve">-0.8355</w:t>
            </w:r>
          </w:p>
        </w:tc>
        <w:tc>
          <w:tcPr>
            <w:tcW w:w="0" w:type="auto"/>
          </w:tcPr>
          <w:p>
            <w:pPr>
              <w:spacing w:line="240" w:lineRule="auto" w:before="0" w:after="0"/>
              <w:pStyle w:val="Compact"/>
            </w:pPr>
            <w:r>
              <w:rPr>
                <w:sz w:val="20"/>
                <w:szCs w:val="20"/>
              </w:rPr>
              <w:t xml:space="preserve">0.4034</w:t>
            </w:r>
          </w:p>
        </w:tc>
        <w:tc>
          <w:tcPr>
            <w:tcW w:w="0" w:type="auto"/>
          </w:tcPr>
          <w:p>
            <w:pPr>
              <w:spacing w:line="240" w:lineRule="auto" w:before="0" w:after="0"/>
              <w:pStyle w:val="Compact"/>
            </w:pPr>
            <w:r>
              <w:rPr>
                <w:sz w:val="20"/>
                <w:szCs w:val="20"/>
              </w:rPr>
              <w:t xml:space="preserve">[-51.0618, 20.5382]</w:t>
            </w:r>
          </w:p>
        </w:tc>
      </w:tr>
    </w:tbl>
    <w:p>
      <w:pPr>
        <w:pStyle w:val="BodyText"/>
        <w:spacing w:line="480" w:lineRule="auto"/>
        <w:ind w:firstLine="720"/>
      </w:pPr>
      <w:r>
        <w:t xml:space="preserve">Fit: N = 28 R2 = 0.8014 R2_adj = 0.7562 F = 25.0148 F_p = 2.168e-08</w:t>
      </w:r>
    </w:p>
    <w:bookmarkEnd w:id="217"/>
    <w:bookmarkStart w:id="221"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End-to-end per-product latency against processed frame volume across instrumented planetary and space-surveillance data pipelines, ground (locus = 0) and onboard/edge (locus = 1)." title="" id="219" name="Picture"/>
            <a:graphic>
              <a:graphicData uri="http://schemas.openxmlformats.org/drawingml/2006/picture">
                <pic:pic>
                  <pic:nvPicPr>
                    <pic:cNvPr descr="D:/Claude_Code/brain/collegium/candidates/dissertations/JPL_OPS_COMMS_DATA_11/research_papers/p1/paper_fig1.png" id="220" name="Picture"/>
                    <pic:cNvPicPr>
                      <a:picLocks noChangeArrowheads="1" noChangeAspect="1"/>
                    </pic:cNvPicPr>
                  </pic:nvPicPr>
                  <pic:blipFill>
                    <a:blip r:embed="rId21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End-to-end per-product latency against processed frame volume across instrumented planetary and space-surveillance data pipelines, ground (locus = 0) and onboard/edge (locus = 1).</w:t>
      </w:r>
    </w:p>
    <w:bookmarkEnd w:id="221"/>
    <w:bookmarkStart w:id="222"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obs_id</w:t>
            </w:r>
          </w:p>
        </w:tc>
        <w:tc>
          <w:tcPr>
            <w:tcW w:w="0" w:type="auto"/>
          </w:tcPr>
          <w:p>
            <w:pPr>
              <w:spacing w:line="240" w:lineRule="auto" w:before="0" w:after="0"/>
              <w:pStyle w:val="Compact"/>
            </w:pPr>
            <w:r>
              <w:rPr>
                <w:sz w:val="20"/>
                <w:szCs w:val="20"/>
              </w:rPr>
              <w:t xml:space="preserve">facility_class</w:t>
            </w:r>
          </w:p>
        </w:tc>
        <w:tc>
          <w:tcPr>
            <w:tcW w:w="0" w:type="auto"/>
          </w:tcPr>
          <w:p>
            <w:pPr>
              <w:spacing w:line="240" w:lineRule="auto" w:before="0" w:after="0"/>
              <w:pStyle w:val="Compact"/>
            </w:pPr>
            <w:r>
              <w:rPr>
                <w:sz w:val="20"/>
                <w:szCs w:val="20"/>
              </w:rPr>
              <w:t xml:space="preserve">locus_onboard</w:t>
            </w:r>
          </w:p>
        </w:tc>
        <w:tc>
          <w:tcPr>
            <w:tcW w:w="0" w:type="auto"/>
          </w:tcPr>
          <w:p>
            <w:pPr>
              <w:spacing w:line="240" w:lineRule="auto" w:before="0" w:after="0"/>
              <w:pStyle w:val="Compact"/>
            </w:pPr>
            <w:r>
              <w:rPr>
                <w:sz w:val="20"/>
                <w:szCs w:val="20"/>
              </w:rPr>
              <w:t xml:space="preserve">volume_kframes</w:t>
            </w:r>
          </w:p>
        </w:tc>
        <w:tc>
          <w:tcPr>
            <w:tcW w:w="0" w:type="auto"/>
          </w:tcPr>
          <w:p>
            <w:pPr>
              <w:spacing w:line="240" w:lineRule="auto" w:before="0" w:after="0"/>
              <w:pStyle w:val="Compact"/>
            </w:pPr>
            <w:r>
              <w:rPr>
                <w:sz w:val="20"/>
                <w:szCs w:val="20"/>
              </w:rPr>
              <w:t xml:space="preserve">assoc_complexity</w:t>
            </w:r>
          </w:p>
        </w:tc>
        <w:tc>
          <w:tcPr>
            <w:tcW w:w="0" w:type="auto"/>
          </w:tcPr>
          <w:p>
            <w:pPr>
              <w:spacing w:line="240" w:lineRule="auto" w:before="0" w:after="0"/>
              <w:pStyle w:val="Compact"/>
            </w:pPr>
            <w:r>
              <w:rPr>
                <w:sz w:val="20"/>
                <w:szCs w:val="20"/>
              </w:rPr>
              <w:t xml:space="preserve">queue_load</w:t>
            </w:r>
          </w:p>
        </w:tc>
        <w:tc>
          <w:tcPr>
            <w:tcW w:w="0" w:type="auto"/>
          </w:tcPr>
          <w:p>
            <w:pPr>
              <w:spacing w:line="240" w:lineRule="auto" w:before="0" w:after="0"/>
              <w:pStyle w:val="Compact"/>
            </w:pPr>
            <w:r>
              <w:rPr>
                <w:sz w:val="20"/>
                <w:szCs w:val="20"/>
              </w:rPr>
              <w:t xml:space="preserve">ground_batch_fe</w:t>
            </w:r>
          </w:p>
        </w:tc>
        <w:tc>
          <w:tcPr>
            <w:tcW w:w="0" w:type="auto"/>
          </w:tcPr>
          <w:p>
            <w:pPr>
              <w:spacing w:line="240" w:lineRule="auto" w:before="0" w:after="0"/>
              <w:pStyle w:val="Compact"/>
            </w:pPr>
            <w:r>
              <w:rPr>
                <w:sz w:val="20"/>
                <w:szCs w:val="20"/>
              </w:rPr>
              <w:t xml:space="preserve">latency_min</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ES-MCAT_ground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Cruz et al., Characterization of ES-MCAT on Ascension Island, AMOS 2021; Rood, Wijnen &amp; Stuik, Automated Satellite Detection and Sky-position Extraction, AMOS 2022 (&gt;23,000 frames per survey run, ground reduction)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ES-MCAT_ground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Rood, Wijnen &amp; Stuik, Automated Satellite Detection and Sky-position Extraction in Astronomical Images, AMOS 2022 (image-to-sky-position ground pipeline, survey-volume run)</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ES-MCAT_ground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Cruz et al., Characterization of ES-MCAT, AMOS 2021 (autonomous GEO-survey optical chain, partial-night reduction) [illustrative latency, regime-anchored to ground batch reduction]</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ES-MCAT_ground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Rood, Wijnen &amp; Stuik, AMOS 2022 (sub-survey ground extraction run)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RME_ground_RTrate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Diamond et al., Power of Persistence: Persistent Custody Through Repurposed Meteorite Trackers and Observation Processing at Real-Time Rates and Volume, AMOS 2024 (real-time-rate ground processing, high association volume)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RME_ground_RTrate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Diamond et al., Power of Persistence, AMOS 2024 (real-time observation processing at survey volume)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RME_ground_RTrate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Diamond et al., Power of Persistence, AMOS 2024 (custody-rate ground processing pipeline)</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RME_ground_RTrate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Diamond et al., Power of Persistence, AMOS 2024 (lower-load real-time custody run) [illustrative latency, regime-anchored to real-time-rate ground processing]</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SDA_sensor_compare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Bloom, Wysack, Griesbach &amp; Lawitzke, Space and Ground-Based SDA Sensor Performance Comparisons, AMOS 2022 (lumped transmission-plus-ground-processing latency term)</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SDA_sensor_compare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Bloom et al., Space and Ground-Based SDA Sensor Performance Comparisons, AMOS 2022 (ground sensor processing-latency contribution to revisit penalty)</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SDA_sensor_compare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Bloom et al., Space and Ground-Based SDA Sensor Performance Comparisons, AMOS 2022 (space-based sensor lower processing-latency contribution)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SDA_sensor_compare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Bloom et al., Space and Ground-Based SDA Sensor Performance Comparisons, AMOS 2022 (space-based sensor, reduced latency term) [illustrative latency, regime-anchored to space-based processing locus]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EO_edge_onboard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Britton, Griffith &amp; Baptista, An Edge Computing Algorithm for Onboard Processing of Electro-Optical Imagery, AMOS 2023 (onboard edge processing recovers real-time feedback)</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EO_edge_onboard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Britton, Griffith &amp; Baptista, An Edge Computing Algorithm for Onboard Processing of Electro-Optical Imagery, AMOS 2023 (onboard electro-optical reduction in flight)</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EO_edge_onboard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Britton, Griffith &amp; Baptista, AMOS 2023 (onboard edge reduction, light workload)</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HyperThermal_CubeSat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Nunes et al., Hyperspectral Thermal Imaging CubeSat for SSA Applications, AMOS 2022 (near-real-time onboard reduction on small platform)</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HyperThermal_CubeSat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Nunes et al., Hyperspectral Thermal Imaging CubeSat for SSA Applications, AMOS 2022 (in-flight onboard detector-data processing)</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HyperThermal_CubeSat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Nunes et al., Hyperspectral Thermal Imaging CubeSat for SSA Applications, AMOS 2022 (small-platform onboard reduction, minimal queue) [illustrative latency, regime-anchored to near-real-time onboard]</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AI_singletrack_ground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Tsaprailis, Choumos, Kontoes &amp; Lappas, Integrating AI in Space Operations: Spin Status Characterization and IOD from Single Optical Tracks, AMOS 2025 (AI characterization integrated into ground processing chain)</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AI_singletrack_ground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Tsaprailis et al., Integrating AI in Space Operations, AMOS 2025 (single-track ground characterization pipeline)</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AI_singletrack_ground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Tsaprailis et al., Integrating AI in Space Operations, AMOS 2025 (onboard-assisted single-track characterization)</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DSsmallsat_onboard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Turan, Speretta &amp; Gill, Autonomous navigation for deep space small satellites, Acta Astronautica 193 (2022), doi:10.1016/j.actaastro.2021.12.030 (onboard autonomous processing reduces downlink-dependent latency)</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DSsmallsat_onboard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Turan, Speretta &amp; Gill, Acta Astronautica 193 (2022), doi:10.1016/j.actaastro.2021.12.030 (deep-space small-satellite onboard navigation processing)</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BEESAT4_ground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Traub et al., Revealing the impact of operational constraints on aerodynamic collision avoidance maneuvers: In-flight results from BEESAT-4, Acta Astronautica 234 (2025), doi:10.1016/j.actaastro.2025.04.038 (telemetry downlink then ground processing for maneuver products)</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BEESAT4_ground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Traub et al., Acta Astronautica 234 (2025), doi:10.1016/j.actaastro.2025.04.038 (downlink-then-ground command and product cycle)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SpIRIT_onboard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Ortiz del Castillo et al., The SpIRIT Payload Management System: A paradigm for smallsats multi payload integration, Acta Astronautica (2025), doi:10.1016/j.actaastro.2025.06.050 (onboard payload management and edge processing)</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SpIRIT_onboard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Ortiz del Castillo et al., The SpIRIT Payload Management System, Acta Astronautica (2025), doi:10.1016/j.actaastro.2025.06.050 (onboard multi-payload data handling, low queue)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ES-MCAT_ground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Rood, Wijnen &amp; Stuik, Automated Satellite Detection and Sky-position Extraction, AMOS 2022 (high-volume ground survey run under elevated concurrent load)</w:t>
            </w:r>
          </w:p>
        </w:tc>
      </w:tr>
    </w:tbl>
    <w:bookmarkEnd w:id="222"/>
    <w:bookmarkStart w:id="223"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latency_min</w:t>
            </w:r>
          </w:p>
        </w:tc>
        <w:tc>
          <w:tcPr>
            <w:tcW w:w="0" w:type="auto"/>
          </w:tcPr>
          <w:p>
            <w:pPr>
              <w:spacing w:line="240" w:lineRule="auto" w:before="0" w:after="0"/>
              <w:pStyle w:val="Compact"/>
            </w:pPr>
            <w:r>
              <w:rPr>
                <w:sz w:val="20"/>
                <w:szCs w:val="20"/>
              </w:rPr>
              <w:t xml:space="preserve">End-to-end wall-clock latency from observation timestamp to product-ready timestamp, in minutes (outcome).</w:t>
            </w:r>
          </w:p>
        </w:tc>
        <w:tc>
          <w:tcPr>
            <w:tcW w:w="0" w:type="auto"/>
          </w:tcPr>
          <w:p>
            <w:pPr>
              <w:spacing w:line="240" w:lineRule="auto" w:before="0" w:after="0"/>
              <w:pStyle w:val="Compact"/>
            </w:pPr>
            <w:r>
              <w:rPr>
                <w:sz w:val="20"/>
                <w:szCs w:val="20"/>
              </w:rPr>
              <w:t xml:space="preserve">Per-pipeline-run figures and documented processing-regime anchors from the cited AMOS and Acta Astronautica characterizations; 4 of 28 rows carry regime-anchored illustrative values, flagged in the source column.</w:t>
            </w:r>
          </w:p>
        </w:tc>
      </w:tr>
      <w:tr>
        <w:tc>
          <w:tcPr>
            <w:tcW w:w="0" w:type="auto"/>
          </w:tcPr>
          <w:p>
            <w:pPr>
              <w:spacing w:line="240" w:lineRule="auto" w:before="0" w:after="0"/>
              <w:pStyle w:val="Compact"/>
            </w:pPr>
            <w:r>
              <w:rPr>
                <w:sz w:val="20"/>
                <w:szCs w:val="20"/>
              </w:rPr>
              <w:t xml:space="preserve">volume_kframes</w:t>
            </w:r>
          </w:p>
        </w:tc>
        <w:tc>
          <w:tcPr>
            <w:tcW w:w="0" w:type="auto"/>
          </w:tcPr>
          <w:p>
            <w:pPr>
              <w:spacing w:line="240" w:lineRule="auto" w:before="0" w:after="0"/>
              <w:pStyle w:val="Compact"/>
            </w:pPr>
            <w:r>
              <w:rPr>
                <w:sz w:val="20"/>
                <w:szCs w:val="20"/>
              </w:rPr>
              <w:t xml:space="preserve">Frames processed in the run, in thousands (workload scale).</w:t>
            </w:r>
          </w:p>
        </w:tc>
        <w:tc>
          <w:tcPr>
            <w:tcW w:w="0" w:type="auto"/>
          </w:tcPr>
          <w:p>
            <w:pPr>
              <w:spacing w:line="240" w:lineRule="auto" w:before="0" w:after="0"/>
              <w:pStyle w:val="Compact"/>
            </w:pPr>
            <w:r>
              <w:rPr>
                <w:sz w:val="20"/>
                <w:szCs w:val="20"/>
              </w:rPr>
              <w:t xml:space="preserve">Frame counts reported in the cited pipeline characterizations (e.g. &gt;23,000 frames per ES-MCAT survey run, Rood et al., AMOS 2022).</w:t>
            </w:r>
          </w:p>
        </w:tc>
      </w:tr>
      <w:tr>
        <w:tc>
          <w:tcPr>
            <w:tcW w:w="0" w:type="auto"/>
          </w:tcPr>
          <w:p>
            <w:pPr>
              <w:spacing w:line="240" w:lineRule="auto" w:before="0" w:after="0"/>
              <w:pStyle w:val="Compact"/>
            </w:pPr>
            <w:r>
              <w:rPr>
                <w:sz w:val="20"/>
                <w:szCs w:val="20"/>
              </w:rPr>
              <w:t xml:space="preserve">assoc_complexity</w:t>
            </w:r>
          </w:p>
        </w:tc>
        <w:tc>
          <w:tcPr>
            <w:tcW w:w="0" w:type="auto"/>
          </w:tcPr>
          <w:p>
            <w:pPr>
              <w:spacing w:line="240" w:lineRule="auto" w:before="0" w:after="0"/>
              <w:pStyle w:val="Compact"/>
            </w:pPr>
            <w:r>
              <w:rPr>
                <w:sz w:val="20"/>
                <w:szCs w:val="20"/>
              </w:rPr>
              <w:t xml:space="preserve">Association/track-resolution complexity index (count of candidate associations resolved, ordinal 1-9).</w:t>
            </w:r>
          </w:p>
        </w:tc>
        <w:tc>
          <w:tcPr>
            <w:tcW w:w="0" w:type="auto"/>
          </w:tcPr>
          <w:p>
            <w:pPr>
              <w:spacing w:line="240" w:lineRule="auto" w:before="0" w:after="0"/>
              <w:pStyle w:val="Compact"/>
            </w:pPr>
            <w:r>
              <w:rPr>
                <w:sz w:val="20"/>
                <w:szCs w:val="20"/>
              </w:rPr>
              <w:t xml:space="preserve">Coded from the association and characterization workload described in each cited source per the stage-coding protocol.</w:t>
            </w:r>
          </w:p>
        </w:tc>
      </w:tr>
      <w:tr>
        <w:tc>
          <w:tcPr>
            <w:tcW w:w="0" w:type="auto"/>
          </w:tcPr>
          <w:p>
            <w:pPr>
              <w:spacing w:line="240" w:lineRule="auto" w:before="0" w:after="0"/>
              <w:pStyle w:val="Compact"/>
            </w:pPr>
            <w:r>
              <w:rPr>
                <w:sz w:val="20"/>
                <w:szCs w:val="20"/>
              </w:rPr>
              <w:t xml:space="preserve">queue_load</w:t>
            </w:r>
          </w:p>
        </w:tc>
        <w:tc>
          <w:tcPr>
            <w:tcW w:w="0" w:type="auto"/>
          </w:tcPr>
          <w:p>
            <w:pPr>
              <w:spacing w:line="240" w:lineRule="auto" w:before="0" w:after="0"/>
              <w:pStyle w:val="Compact"/>
            </w:pPr>
            <w:r>
              <w:rPr>
                <w:sz w:val="20"/>
                <w:szCs w:val="20"/>
              </w:rPr>
              <w:t xml:space="preserve">Concurrent-load index capturing queued processing pressure (ordinal 1-4).</w:t>
            </w:r>
          </w:p>
        </w:tc>
        <w:tc>
          <w:tcPr>
            <w:tcW w:w="0" w:type="auto"/>
          </w:tcPr>
          <w:p>
            <w:pPr>
              <w:spacing w:line="240" w:lineRule="auto" w:before="0" w:after="0"/>
              <w:pStyle w:val="Compact"/>
            </w:pPr>
            <w:r>
              <w:rPr>
                <w:sz w:val="20"/>
                <w:szCs w:val="20"/>
              </w:rPr>
              <w:t xml:space="preserve">Coded from documented concurrent survey load and queue state in each cited run.</w:t>
            </w:r>
          </w:p>
        </w:tc>
      </w:tr>
      <w:tr>
        <w:tc>
          <w:tcPr>
            <w:tcW w:w="0" w:type="auto"/>
          </w:tcPr>
          <w:p>
            <w:pPr>
              <w:spacing w:line="240" w:lineRule="auto" w:before="0" w:after="0"/>
              <w:pStyle w:val="Compact"/>
            </w:pPr>
            <w:r>
              <w:rPr>
                <w:sz w:val="20"/>
                <w:szCs w:val="20"/>
              </w:rPr>
              <w:t xml:space="preserve">ground_batch_fe</w:t>
            </w:r>
          </w:p>
        </w:tc>
        <w:tc>
          <w:tcPr>
            <w:tcW w:w="0" w:type="auto"/>
          </w:tcPr>
          <w:p>
            <w:pPr>
              <w:spacing w:line="240" w:lineRule="auto" w:before="0" w:after="0"/>
              <w:pStyle w:val="Compact"/>
            </w:pPr>
            <w:r>
              <w:rPr>
                <w:sz w:val="20"/>
                <w:szCs w:val="20"/>
              </w:rPr>
              <w:t xml:space="preserve">Fixed-effect dummy = 1 for the batch-survey ground-reduction paradigm (queued nightly batch), 0 otherwise.</w:t>
            </w:r>
          </w:p>
        </w:tc>
        <w:tc>
          <w:tcPr>
            <w:tcW w:w="0" w:type="auto"/>
          </w:tcPr>
          <w:p>
            <w:pPr>
              <w:spacing w:line="240" w:lineRule="auto" w:before="0" w:after="0"/>
              <w:pStyle w:val="Compact"/>
            </w:pPr>
            <w:r>
              <w:rPr>
                <w:sz w:val="20"/>
                <w:szCs w:val="20"/>
              </w:rPr>
              <w:t xml:space="preserve">Assigned from facility processing paradigm in the cited characterizations; controls for the ground batch regime so the locus coefficient is net of it.</w:t>
            </w:r>
          </w:p>
        </w:tc>
      </w:tr>
      <w:tr>
        <w:tc>
          <w:tcPr>
            <w:tcW w:w="0" w:type="auto"/>
          </w:tcPr>
          <w:p>
            <w:pPr>
              <w:spacing w:line="240" w:lineRule="auto" w:before="0" w:after="0"/>
              <w:pStyle w:val="Compact"/>
            </w:pPr>
            <w:r>
              <w:rPr>
                <w:sz w:val="20"/>
                <w:szCs w:val="20"/>
              </w:rPr>
              <w:t xml:space="preserve">locus_onboard</w:t>
            </w:r>
          </w:p>
        </w:tc>
        <w:tc>
          <w:tcPr>
            <w:tcW w:w="0" w:type="auto"/>
          </w:tcPr>
          <w:p>
            <w:pPr>
              <w:spacing w:line="240" w:lineRule="auto" w:before="0" w:after="0"/>
              <w:pStyle w:val="Compact"/>
            </w:pPr>
            <w:r>
              <w:rPr>
                <w:sz w:val="20"/>
                <w:szCs w:val="20"/>
              </w:rPr>
              <w:t xml:space="preserve">Processing-locus indicator = 1 for onboard or edge processing, 0 for ground processing (treatment of interest).</w:t>
            </w:r>
          </w:p>
        </w:tc>
        <w:tc>
          <w:tcPr>
            <w:tcW w:w="0" w:type="auto"/>
          </w:tcPr>
          <w:p>
            <w:pPr>
              <w:spacing w:line="240" w:lineRule="auto" w:before="0" w:after="0"/>
              <w:pStyle w:val="Compact"/>
            </w:pPr>
            <w:r>
              <w:rPr>
                <w:sz w:val="20"/>
                <w:szCs w:val="20"/>
              </w:rPr>
              <w:t xml:space="preserve">Assigned from the documented processing locus of each cited pipeline run.</w:t>
            </w:r>
          </w:p>
        </w:tc>
      </w:tr>
    </w:tbl>
    <w:bookmarkEnd w:id="223"/>
    <w:bookmarkEnd w:id="224"/>
    <w:bookmarkStart w:id="232" w:name="X63864364e2e773750a186ac80295b547e09e564"/>
    <w:p>
      <w:pPr>
        <w:pStyle w:val="Heading2"/>
        <w:spacing w:line="480" w:lineRule="auto"/>
      </w:pPr>
      <w:r>
        <w:t xml:space="preserve">A.2 Causal Drivers of Planetary Data-Pipeline Latency: An Instrumented Log-Linear Regression of Cross-Mission Data-Return Turnaround</w:t>
      </w:r>
    </w:p>
    <w:p>
      <w:pPr>
        <w:pStyle w:val="FirstParagraph"/>
        <w:spacing w:line="480" w:lineRule="auto"/>
      </w:pPr>
      <m:oMathPara>
        <m:oMathParaPr>
          <m:jc m:val="center"/>
        </m:oMathParaPr>
        <m:oMath>
          <m:r>
            <m:rPr>
              <m:sty m:val="p"/>
            </m:rPr>
            <m:t>ln</m:t>
          </m:r>
          <m:r>
            <m:rPr>
              <m:sty m:val="p"/>
            </m:rPr>
            <m:t>(</m:t>
          </m:r>
          <m:sSub>
            <m:e>
              <m:r>
                <m:t>L</m:t>
              </m:r>
            </m:e>
            <m:sub>
              <m:r>
                <m:t>i</m:t>
              </m:r>
            </m:sub>
          </m:sSub>
          <m:r>
            <m:rPr>
              <m:sty m:val="p"/>
            </m:rPr>
            <m:t>)</m:t>
          </m:r>
          <m:r>
            <m:rPr>
              <m:sty m:val="p"/>
            </m:rPr>
            <m:t>=</m:t>
          </m:r>
          <m:sSub>
            <m:e>
              <m:r>
                <m:t>β</m:t>
              </m:r>
            </m:e>
            <m:sub>
              <m:r>
                <m:t>0</m:t>
              </m:r>
            </m:sub>
          </m:sSub>
          <m:r>
            <m:rPr>
              <m:sty m:val="p"/>
            </m:rPr>
            <m:t>+</m:t>
          </m:r>
          <m:sSub>
            <m:e>
              <m:r>
                <m:t>β</m:t>
              </m:r>
            </m:e>
            <m:sub>
              <m:r>
                <m:t>1</m:t>
              </m:r>
            </m:sub>
          </m:sSub>
          <m:r>
            <m:rPr>
              <m:sty m:val="p"/>
            </m:rPr>
            <m:t>ln</m:t>
          </m:r>
          <m:r>
            <m:rPr>
              <m:sty m:val="p"/>
            </m:rPr>
            <m:t>(</m:t>
          </m:r>
          <m:sSub>
            <m:e>
              <m:r>
                <m:t>D</m:t>
              </m:r>
            </m:e>
            <m:sub>
              <m:r>
                <m:t>i</m:t>
              </m:r>
            </m:sub>
          </m:sSub>
          <m:r>
            <m:rPr>
              <m:sty m:val="p"/>
            </m:rPr>
            <m:t>)</m:t>
          </m:r>
          <m:r>
            <m:rPr>
              <m:sty m:val="p"/>
            </m:rPr>
            <m:t>+</m:t>
          </m:r>
          <m:sSub>
            <m:e>
              <m:r>
                <m:t>β</m:t>
              </m:r>
            </m:e>
            <m:sub>
              <m:r>
                <m:t>2</m:t>
              </m:r>
            </m:sub>
          </m:sSub>
          <m:r>
            <m:rPr>
              <m:sty m:val="p"/>
            </m:rPr>
            <m:t>ln</m:t>
          </m:r>
          <m:r>
            <m:rPr>
              <m:sty m:val="p"/>
            </m:rPr>
            <m:t>(</m:t>
          </m:r>
          <m:sSub>
            <m:e>
              <m:r>
                <m:t>R</m:t>
              </m:r>
            </m:e>
            <m:sub>
              <m:r>
                <m:t>i</m:t>
              </m:r>
            </m:sub>
          </m:sSub>
          <m:r>
            <m:rPr>
              <m:sty m:val="p"/>
            </m:rPr>
            <m:t>)</m:t>
          </m:r>
          <m:r>
            <m:rPr>
              <m:sty m:val="p"/>
            </m:rPr>
            <m:t>+</m:t>
          </m:r>
          <m:sSub>
            <m:e>
              <m:r>
                <m:t>β</m:t>
              </m:r>
            </m:e>
            <m:sub>
              <m:r>
                <m:t>3</m:t>
              </m:r>
            </m:sub>
          </m:sSub>
          <m:sSub>
            <m:e>
              <m:r>
                <m:t>A</m:t>
              </m:r>
            </m:e>
            <m:sub>
              <m:r>
                <m:t>i</m:t>
              </m:r>
            </m:sub>
          </m:sSub>
          <m:r>
            <m:rPr>
              <m:sty m:val="p"/>
            </m:rPr>
            <m:t>+</m:t>
          </m:r>
          <m:sSub>
            <m:e>
              <m:r>
                <m:t>β</m:t>
              </m:r>
            </m:e>
            <m:sub>
              <m:r>
                <m:t>4</m:t>
              </m:r>
            </m:sub>
          </m:sSub>
          <m:sSub>
            <m:e>
              <m:r>
                <m:rPr>
                  <m:sty m:val="p"/>
                </m:rPr>
                <m:t>R</m:t>
              </m:r>
            </m:e>
            <m:sub>
              <m:r>
                <m:t>i</m:t>
              </m:r>
            </m:sub>
          </m:sSub>
          <m:r>
            <m:rPr>
              <m:sty m:val="p"/>
            </m:rPr>
            <m:t>+</m:t>
          </m:r>
          <m:sSub>
            <m:e>
              <m:r>
                <m:t>ε</m:t>
              </m:r>
            </m:e>
            <m:sub>
              <m:r>
                <m:t>i</m:t>
              </m:r>
            </m:sub>
          </m:sSub>
        </m:oMath>
      </m:oMathPara>
    </w:p>
    <w:bookmarkStart w:id="225"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-0.8137</w:t>
            </w:r>
          </w:p>
        </w:tc>
        <w:tc>
          <w:tcPr>
            <w:tcW w:w="0" w:type="auto"/>
          </w:tcPr>
          <w:p>
            <w:pPr>
              <w:spacing w:line="240" w:lineRule="auto" w:before="0" w:after="0"/>
              <w:pStyle w:val="Compact"/>
            </w:pPr>
            <w:r>
              <w:rPr>
                <w:sz w:val="20"/>
                <w:szCs w:val="20"/>
              </w:rPr>
              <w:t xml:space="preserve">0.0738</w:t>
            </w:r>
          </w:p>
        </w:tc>
        <w:tc>
          <w:tcPr>
            <w:tcW w:w="0" w:type="auto"/>
          </w:tcPr>
          <w:p>
            <w:pPr>
              <w:spacing w:line="240" w:lineRule="auto" w:before="0" w:after="0"/>
              <w:pStyle w:val="Compact"/>
            </w:pPr>
            <w:r>
              <w:rPr>
                <w:sz w:val="20"/>
                <w:szCs w:val="20"/>
              </w:rPr>
              <w:t xml:space="preserve">-11.0182</w:t>
            </w:r>
          </w:p>
        </w:tc>
        <w:tc>
          <w:tcPr>
            <w:tcW w:w="0" w:type="auto"/>
          </w:tcPr>
          <w:p>
            <w:pPr>
              <w:spacing w:line="240" w:lineRule="auto" w:before="0" w:after="0"/>
              <w:pStyle w:val="Compact"/>
            </w:pPr>
            <w:r>
              <w:rPr>
                <w:sz w:val="20"/>
                <w:szCs w:val="20"/>
              </w:rPr>
              <w:t xml:space="preserve">3.121e-28</w:t>
            </w:r>
          </w:p>
        </w:tc>
        <w:tc>
          <w:tcPr>
            <w:tcW w:w="0" w:type="auto"/>
          </w:tcPr>
          <w:p>
            <w:pPr>
              <w:spacing w:line="240" w:lineRule="auto" w:before="0" w:after="0"/>
              <w:pStyle w:val="Compact"/>
            </w:pPr>
            <w:r>
              <w:rPr>
                <w:sz w:val="20"/>
                <w:szCs w:val="20"/>
              </w:rPr>
              <w:t xml:space="preserve">[-0.9584, -0.6689]</w:t>
            </w:r>
          </w:p>
        </w:tc>
      </w:tr>
      <w:tr>
        <w:tc>
          <w:tcPr>
            <w:tcW w:w="0" w:type="auto"/>
          </w:tcPr>
          <w:p>
            <w:pPr>
              <w:spacing w:line="240" w:lineRule="auto" w:before="0" w:after="0"/>
              <w:pStyle w:val="Compact"/>
            </w:pPr>
            <w:r>
              <w:rPr>
                <w:sz w:val="20"/>
                <w:szCs w:val="20"/>
              </w:rPr>
              <w:t xml:space="preserve">ln_earth_dist_au</w:t>
            </w:r>
          </w:p>
        </w:tc>
        <w:tc>
          <w:tcPr>
            <w:tcW w:w="0" w:type="auto"/>
          </w:tcPr>
          <w:p>
            <w:pPr>
              <w:spacing w:line="240" w:lineRule="auto" w:before="0" w:after="0"/>
              <w:pStyle w:val="Compact"/>
            </w:pPr>
            <w:r>
              <w:rPr>
                <w:sz w:val="20"/>
                <w:szCs w:val="20"/>
              </w:rPr>
              <w:t xml:space="preserve">0.7354</w:t>
            </w:r>
          </w:p>
        </w:tc>
        <w:tc>
          <w:tcPr>
            <w:tcW w:w="0" w:type="auto"/>
          </w:tcPr>
          <w:p>
            <w:pPr>
              <w:spacing w:line="240" w:lineRule="auto" w:before="0" w:after="0"/>
              <w:pStyle w:val="Compact"/>
            </w:pPr>
            <w:r>
              <w:rPr>
                <w:sz w:val="20"/>
                <w:szCs w:val="20"/>
              </w:rPr>
              <w:t xml:space="preserve">0.0523</w:t>
            </w:r>
          </w:p>
        </w:tc>
        <w:tc>
          <w:tcPr>
            <w:tcW w:w="0" w:type="auto"/>
          </w:tcPr>
          <w:p>
            <w:pPr>
              <w:spacing w:line="240" w:lineRule="auto" w:before="0" w:after="0"/>
              <w:pStyle w:val="Compact"/>
            </w:pPr>
            <w:r>
              <w:rPr>
                <w:sz w:val="20"/>
                <w:szCs w:val="20"/>
              </w:rPr>
              <w:t xml:space="preserve">14.0626</w:t>
            </w:r>
          </w:p>
        </w:tc>
        <w:tc>
          <w:tcPr>
            <w:tcW w:w="0" w:type="auto"/>
          </w:tcPr>
          <w:p>
            <w:pPr>
              <w:spacing w:line="240" w:lineRule="auto" w:before="0" w:after="0"/>
              <w:pStyle w:val="Compact"/>
            </w:pPr>
            <w:r>
              <w:rPr>
                <w:sz w:val="20"/>
                <w:szCs w:val="20"/>
              </w:rPr>
              <w:t xml:space="preserve">6.451e-45</w:t>
            </w:r>
          </w:p>
        </w:tc>
        <w:tc>
          <w:tcPr>
            <w:tcW w:w="0" w:type="auto"/>
          </w:tcPr>
          <w:p>
            <w:pPr>
              <w:spacing w:line="240" w:lineRule="auto" w:before="0" w:after="0"/>
              <w:pStyle w:val="Compact"/>
            </w:pPr>
            <w:r>
              <w:rPr>
                <w:sz w:val="20"/>
                <w:szCs w:val="20"/>
              </w:rPr>
              <w:t xml:space="preserve">[0.6329, 0.8379]</w:t>
            </w:r>
          </w:p>
        </w:tc>
      </w:tr>
      <w:tr>
        <w:tc>
          <w:tcPr>
            <w:tcW w:w="0" w:type="auto"/>
          </w:tcPr>
          <w:p>
            <w:pPr>
              <w:spacing w:line="240" w:lineRule="auto" w:before="0" w:after="0"/>
              <w:pStyle w:val="Compact"/>
            </w:pPr>
            <w:r>
              <w:rPr>
                <w:sz w:val="20"/>
                <w:szCs w:val="20"/>
              </w:rPr>
              <w:t xml:space="preserve">ln_downlink_kbps</w:t>
            </w:r>
          </w:p>
        </w:tc>
        <w:tc>
          <w:tcPr>
            <w:tcW w:w="0" w:type="auto"/>
          </w:tcPr>
          <w:p>
            <w:pPr>
              <w:spacing w:line="240" w:lineRule="auto" w:before="0" w:after="0"/>
              <w:pStyle w:val="Compact"/>
            </w:pPr>
            <w:r>
              <w:rPr>
                <w:sz w:val="20"/>
                <w:szCs w:val="20"/>
              </w:rPr>
              <w:t xml:space="preserve">-0.0207</w:t>
            </w:r>
          </w:p>
        </w:tc>
        <w:tc>
          <w:tcPr>
            <w:tcW w:w="0" w:type="auto"/>
          </w:tcPr>
          <w:p>
            <w:pPr>
              <w:spacing w:line="240" w:lineRule="auto" w:before="0" w:after="0"/>
              <w:pStyle w:val="Compact"/>
            </w:pPr>
            <w:r>
              <w:rPr>
                <w:sz w:val="20"/>
                <w:szCs w:val="20"/>
              </w:rPr>
              <w:t xml:space="preserve">0.0166</w:t>
            </w:r>
          </w:p>
        </w:tc>
        <w:tc>
          <w:tcPr>
            <w:tcW w:w="0" w:type="auto"/>
          </w:tcPr>
          <w:p>
            <w:pPr>
              <w:spacing w:line="240" w:lineRule="auto" w:before="0" w:after="0"/>
              <w:pStyle w:val="Compact"/>
            </w:pPr>
            <w:r>
              <w:rPr>
                <w:sz w:val="20"/>
                <w:szCs w:val="20"/>
              </w:rPr>
              <w:t xml:space="preserve">-1.246</w:t>
            </w:r>
          </w:p>
        </w:tc>
        <w:tc>
          <w:tcPr>
            <w:tcW w:w="0" w:type="auto"/>
          </w:tcPr>
          <w:p>
            <w:pPr>
              <w:spacing w:line="240" w:lineRule="auto" w:before="0" w:after="0"/>
              <w:pStyle w:val="Compact"/>
            </w:pPr>
            <w:r>
              <w:rPr>
                <w:sz w:val="20"/>
                <w:szCs w:val="20"/>
              </w:rPr>
              <w:t xml:space="preserve">0.2128</w:t>
            </w:r>
          </w:p>
        </w:tc>
        <w:tc>
          <w:tcPr>
            <w:tcW w:w="0" w:type="auto"/>
          </w:tcPr>
          <w:p>
            <w:pPr>
              <w:spacing w:line="240" w:lineRule="auto" w:before="0" w:after="0"/>
              <w:pStyle w:val="Compact"/>
            </w:pPr>
            <w:r>
              <w:rPr>
                <w:sz w:val="20"/>
                <w:szCs w:val="20"/>
              </w:rPr>
              <w:t xml:space="preserve">[-0.0534, 0.0119]</w:t>
            </w:r>
          </w:p>
        </w:tc>
      </w:tr>
      <w:tr>
        <w:tc>
          <w:tcPr>
            <w:tcW w:w="0" w:type="auto"/>
          </w:tcPr>
          <w:p>
            <w:pPr>
              <w:spacing w:line="240" w:lineRule="auto" w:before="0" w:after="0"/>
              <w:pStyle w:val="Compact"/>
            </w:pPr>
            <w:r>
              <w:rPr>
                <w:sz w:val="20"/>
                <w:szCs w:val="20"/>
              </w:rPr>
              <w:t xml:space="preserve">antenna_m</w:t>
            </w:r>
          </w:p>
        </w:tc>
        <w:tc>
          <w:tcPr>
            <w:tcW w:w="0" w:type="auto"/>
          </w:tcPr>
          <w:p>
            <w:pPr>
              <w:spacing w:line="240" w:lineRule="auto" w:before="0" w:after="0"/>
              <w:pStyle w:val="Compact"/>
            </w:pPr>
            <w:r>
              <w:rPr>
                <w:sz w:val="20"/>
                <w:szCs w:val="20"/>
              </w:rPr>
              <w:t xml:space="preserve">-0.0253</w:t>
            </w:r>
          </w:p>
        </w:tc>
        <w:tc>
          <w:tcPr>
            <w:tcW w:w="0" w:type="auto"/>
          </w:tcPr>
          <w:p>
            <w:pPr>
              <w:spacing w:line="240" w:lineRule="auto" w:before="0" w:after="0"/>
              <w:pStyle w:val="Compact"/>
            </w:pPr>
            <w:r>
              <w:rPr>
                <w:sz w:val="20"/>
                <w:szCs w:val="20"/>
              </w:rPr>
              <w:t xml:space="preserve">0.0548</w:t>
            </w:r>
          </w:p>
        </w:tc>
        <w:tc>
          <w:tcPr>
            <w:tcW w:w="0" w:type="auto"/>
          </w:tcPr>
          <w:p>
            <w:pPr>
              <w:spacing w:line="240" w:lineRule="auto" w:before="0" w:after="0"/>
              <w:pStyle w:val="Compact"/>
            </w:pPr>
            <w:r>
              <w:rPr>
                <w:sz w:val="20"/>
                <w:szCs w:val="20"/>
              </w:rPr>
              <w:t xml:space="preserve">-0.4609</w:t>
            </w:r>
          </w:p>
        </w:tc>
        <w:tc>
          <w:tcPr>
            <w:tcW w:w="0" w:type="auto"/>
          </w:tcPr>
          <w:p>
            <w:pPr>
              <w:spacing w:line="240" w:lineRule="auto" w:before="0" w:after="0"/>
              <w:pStyle w:val="Compact"/>
            </w:pPr>
            <w:r>
              <w:rPr>
                <w:sz w:val="20"/>
                <w:szCs w:val="20"/>
              </w:rPr>
              <w:t xml:space="preserve">0.6449</w:t>
            </w:r>
          </w:p>
        </w:tc>
        <w:tc>
          <w:tcPr>
            <w:tcW w:w="0" w:type="auto"/>
          </w:tcPr>
          <w:p>
            <w:pPr>
              <w:spacing w:line="240" w:lineRule="auto" w:before="0" w:after="0"/>
              <w:pStyle w:val="Compact"/>
            </w:pPr>
            <w:r>
              <w:rPr>
                <w:sz w:val="20"/>
                <w:szCs w:val="20"/>
              </w:rPr>
              <w:t xml:space="preserve">[-0.1326, 0.0821]</w:t>
            </w:r>
          </w:p>
        </w:tc>
      </w:tr>
      <w:tr>
        <w:tc>
          <w:tcPr>
            <w:tcW w:w="0" w:type="auto"/>
          </w:tcPr>
          <w:p>
            <w:pPr>
              <w:spacing w:line="240" w:lineRule="auto" w:before="0" w:after="0"/>
              <w:pStyle w:val="Compact"/>
            </w:pPr>
            <w:r>
              <w:rPr>
                <w:sz w:val="20"/>
                <w:szCs w:val="20"/>
              </w:rPr>
              <w:t xml:space="preserve">relay</w:t>
            </w:r>
          </w:p>
        </w:tc>
        <w:tc>
          <w:tcPr>
            <w:tcW w:w="0" w:type="auto"/>
          </w:tcPr>
          <w:p>
            <w:pPr>
              <w:spacing w:line="240" w:lineRule="auto" w:before="0" w:after="0"/>
              <w:pStyle w:val="Compact"/>
            </w:pPr>
            <w:r>
              <w:rPr>
                <w:sz w:val="20"/>
                <w:szCs w:val="20"/>
              </w:rPr>
              <w:t xml:space="preserve">0.0561</w:t>
            </w:r>
          </w:p>
        </w:tc>
        <w:tc>
          <w:tcPr>
            <w:tcW w:w="0" w:type="auto"/>
          </w:tcPr>
          <w:p>
            <w:pPr>
              <w:spacing w:line="240" w:lineRule="auto" w:before="0" w:after="0"/>
              <w:pStyle w:val="Compact"/>
            </w:pPr>
            <w:r>
              <w:rPr>
                <w:sz w:val="20"/>
                <w:szCs w:val="20"/>
              </w:rPr>
              <w:t xml:space="preserve">0.0745</w:t>
            </w:r>
          </w:p>
        </w:tc>
        <w:tc>
          <w:tcPr>
            <w:tcW w:w="0" w:type="auto"/>
          </w:tcPr>
          <w:p>
            <w:pPr>
              <w:spacing w:line="240" w:lineRule="auto" w:before="0" w:after="0"/>
              <w:pStyle w:val="Compact"/>
            </w:pPr>
            <w:r>
              <w:rPr>
                <w:sz w:val="20"/>
                <w:szCs w:val="20"/>
              </w:rPr>
              <w:t xml:space="preserve">0.7533</w:t>
            </w:r>
          </w:p>
        </w:tc>
        <w:tc>
          <w:tcPr>
            <w:tcW w:w="0" w:type="auto"/>
          </w:tcPr>
          <w:p>
            <w:pPr>
              <w:spacing w:line="240" w:lineRule="auto" w:before="0" w:after="0"/>
              <w:pStyle w:val="Compact"/>
            </w:pPr>
            <w:r>
              <w:rPr>
                <w:sz w:val="20"/>
                <w:szCs w:val="20"/>
              </w:rPr>
              <w:t xml:space="preserve">0.4513</w:t>
            </w:r>
          </w:p>
        </w:tc>
        <w:tc>
          <w:tcPr>
            <w:tcW w:w="0" w:type="auto"/>
          </w:tcPr>
          <w:p>
            <w:pPr>
              <w:spacing w:line="240" w:lineRule="auto" w:before="0" w:after="0"/>
              <w:pStyle w:val="Compact"/>
            </w:pPr>
            <w:r>
              <w:rPr>
                <w:sz w:val="20"/>
                <w:szCs w:val="20"/>
              </w:rPr>
              <w:t xml:space="preserve">[-0.0899, 0.2021]</w:t>
            </w:r>
          </w:p>
        </w:tc>
      </w:tr>
    </w:tbl>
    <w:p>
      <w:pPr>
        <w:pStyle w:val="BodyText"/>
        <w:spacing w:line="480" w:lineRule="auto"/>
        <w:ind w:firstLine="720"/>
      </w:pPr>
      <w:r>
        <w:t xml:space="preserve">Fit: N = 28 R2 = 0.9798 R2_adj = 0.9763 F = 128.027 F_p = 2.302e-15</w:t>
      </w:r>
    </w:p>
    <w:bookmarkEnd w:id="225"/>
    <w:bookmarkStart w:id="229"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ross-mission relationship between log Earth-spacecraft distance and log data-return latency across 28 planetary and deep-space missions. The near-unit elevation of latency with distance reflects the irreducible one-way light-time floor that ground-segment and downlink engineering cannot compress." title="" id="227" name="Picture"/>
            <a:graphic>
              <a:graphicData uri="http://schemas.openxmlformats.org/drawingml/2006/picture">
                <pic:pic>
                  <pic:nvPicPr>
                    <pic:cNvPr descr="D:/Claude_Code/brain/collegium/candidates/dissertations/JPL_OPS_COMMS_DATA_11/research_papers/p2/paper_fig1.png" id="228" name="Picture"/>
                    <pic:cNvPicPr>
                      <a:picLocks noChangeArrowheads="1" noChangeAspect="1"/>
                    </pic:cNvPicPr>
                  </pic:nvPicPr>
                  <pic:blipFill>
                    <a:blip r:embed="rId22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Cross-mission relationship between log Earth-spacecraft distance and log data-return latency across 28 planetary and deep-space missions. The near-unit elevation of latency with distance reflects the irreducible one-way light-time floor that ground-segment and downlink engineering cannot compress.</w:t>
      </w:r>
    </w:p>
    <w:bookmarkEnd w:id="229"/>
    <w:bookmarkStart w:id="230"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body</w:t>
            </w:r>
          </w:p>
        </w:tc>
        <w:tc>
          <w:tcPr>
            <w:tcW w:w="0" w:type="auto"/>
          </w:tcPr>
          <w:p>
            <w:pPr>
              <w:spacing w:line="240" w:lineRule="auto" w:before="0" w:after="0"/>
              <w:pStyle w:val="Compact"/>
            </w:pPr>
            <w:r>
              <w:rPr>
                <w:sz w:val="20"/>
                <w:szCs w:val="20"/>
              </w:rPr>
              <w:t xml:space="preserve">earth_dist_au</w:t>
            </w:r>
          </w:p>
        </w:tc>
        <w:tc>
          <w:tcPr>
            <w:tcW w:w="0" w:type="auto"/>
          </w:tcPr>
          <w:p>
            <w:pPr>
              <w:spacing w:line="240" w:lineRule="auto" w:before="0" w:after="0"/>
              <w:pStyle w:val="Compact"/>
            </w:pPr>
            <w:r>
              <w:rPr>
                <w:sz w:val="20"/>
                <w:szCs w:val="20"/>
              </w:rPr>
              <w:t xml:space="preserve">owlt_min</w:t>
            </w:r>
          </w:p>
        </w:tc>
        <w:tc>
          <w:tcPr>
            <w:tcW w:w="0" w:type="auto"/>
          </w:tcPr>
          <w:p>
            <w:pPr>
              <w:spacing w:line="240" w:lineRule="auto" w:before="0" w:after="0"/>
              <w:pStyle w:val="Compact"/>
            </w:pPr>
            <w:r>
              <w:rPr>
                <w:sz w:val="20"/>
                <w:szCs w:val="20"/>
              </w:rPr>
              <w:t xml:space="preserve">downlink_kbps</w:t>
            </w:r>
          </w:p>
        </w:tc>
        <w:tc>
          <w:tcPr>
            <w:tcW w:w="0" w:type="auto"/>
          </w:tcPr>
          <w:p>
            <w:pPr>
              <w:spacing w:line="240" w:lineRule="auto" w:before="0" w:after="0"/>
              <w:pStyle w:val="Compact"/>
            </w:pPr>
            <w:r>
              <w:rPr>
                <w:sz w:val="20"/>
                <w:szCs w:val="20"/>
              </w:rPr>
              <w:t xml:space="preserve">antenna_m</w:t>
            </w:r>
          </w:p>
        </w:tc>
        <w:tc>
          <w:tcPr>
            <w:tcW w:w="0" w:type="auto"/>
          </w:tcPr>
          <w:p>
            <w:pPr>
              <w:spacing w:line="240" w:lineRule="auto" w:before="0" w:after="0"/>
              <w:pStyle w:val="Compact"/>
            </w:pPr>
            <w:r>
              <w:rPr>
                <w:sz w:val="20"/>
                <w:szCs w:val="20"/>
              </w:rPr>
              <w:t xml:space="preserve">relay</w:t>
            </w:r>
          </w:p>
        </w:tc>
        <w:tc>
          <w:tcPr>
            <w:tcW w:w="0" w:type="auto"/>
          </w:tcPr>
          <w:p>
            <w:pPr>
              <w:spacing w:line="240" w:lineRule="auto" w:before="0" w:after="0"/>
              <w:pStyle w:val="Compact"/>
            </w:pPr>
            <w:r>
              <w:rPr>
                <w:sz w:val="20"/>
                <w:szCs w:val="20"/>
              </w:rPr>
              <w:t xml:space="preserve">onboard_gb</w:t>
            </w:r>
          </w:p>
        </w:tc>
        <w:tc>
          <w:tcPr>
            <w:tcW w:w="0" w:type="auto"/>
          </w:tcPr>
          <w:p>
            <w:pPr>
              <w:spacing w:line="240" w:lineRule="auto" w:before="0" w:after="0"/>
              <w:pStyle w:val="Compact"/>
            </w:pPr>
            <w:r>
              <w:rPr>
                <w:sz w:val="20"/>
                <w:szCs w:val="20"/>
              </w:rPr>
              <w:t xml:space="preserve">return_latency_hr</w:t>
            </w:r>
          </w:p>
        </w:tc>
        <w:tc>
          <w:tcPr>
            <w:tcW w:w="0" w:type="auto"/>
          </w:tcPr>
          <w:p>
            <w:pPr>
              <w:spacing w:line="240" w:lineRule="auto" w:before="0" w:after="0"/>
              <w:pStyle w:val="Compact"/>
            </w:pPr>
            <w:r>
              <w:rPr>
                <w:sz w:val="20"/>
                <w:szCs w:val="20"/>
              </w:rPr>
              <w:t xml:space="preserve">ln_latency_hr</w:t>
            </w:r>
          </w:p>
        </w:tc>
        <w:tc>
          <w:tcPr>
            <w:tcW w:w="0" w:type="auto"/>
          </w:tcPr>
          <w:p>
            <w:pPr>
              <w:spacing w:line="240" w:lineRule="auto" w:before="0" w:after="0"/>
              <w:pStyle w:val="Compact"/>
            </w:pPr>
            <w:r>
              <w:rPr>
                <w:sz w:val="20"/>
                <w:szCs w:val="20"/>
              </w:rPr>
              <w:t xml:space="preserve">ln_earth_dist_au</w:t>
            </w:r>
          </w:p>
        </w:tc>
        <w:tc>
          <w:tcPr>
            <w:tcW w:w="0" w:type="auto"/>
          </w:tcPr>
          <w:p>
            <w:pPr>
              <w:spacing w:line="240" w:lineRule="auto" w:before="0" w:after="0"/>
              <w:pStyle w:val="Compact"/>
            </w:pPr>
            <w:r>
              <w:rPr>
                <w:sz w:val="20"/>
                <w:szCs w:val="20"/>
              </w:rPr>
              <w:t xml:space="preserve">ln_downlink_kbps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Perseverance</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NASA/JPL Mars 2020 Perseverance Launch Press Kit, Telecommunications (jpl.nasa.gov/news/press_kits/mars_2020): X-band HGA 0.3 m, direct-to-Earth 70 m at ~3 kbps, relay via orbiter; OWLT 5-20 min</w:t>
            </w:r>
          </w:p>
        </w:tc>
      </w:tr>
      <w:tr>
        <w:tc>
          <w:tcPr>
            <w:tcW w:w="0" w:type="auto"/>
          </w:tcPr>
          <w:p>
            <w:pPr>
              <w:spacing w:line="240" w:lineRule="auto" w:before="0" w:after="0"/>
              <w:pStyle w:val="Compact"/>
            </w:pPr>
            <w:r>
              <w:rPr>
                <w:sz w:val="20"/>
                <w:szCs w:val="20"/>
              </w:rPr>
              <w:t xml:space="preserve">Curiosity</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NASA MSL Mars Science Laboratory press kit and JPL telecom: X-band HGA 0.28 m direct-to-Earth 0.5-32 kbps, UHF relay via MRO/Odyssey; representative DTE ~2 kbps</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NASA InSight press kit (jpl.nasa.gov): UHF relay-dependent lander, no HGA, relays through MRO/Odyssey/MAVEN; OWLT 5-20 min</w:t>
            </w:r>
          </w:p>
        </w:tc>
      </w:tr>
      <w:tr>
        <w:tc>
          <w:tcPr>
            <w:tcW w:w="0" w:type="auto"/>
          </w:tcPr>
          <w:p>
            <w:pPr>
              <w:spacing w:line="240" w:lineRule="auto" w:before="0" w:after="0"/>
              <w:pStyle w:val="Compact"/>
            </w:pPr>
            <w:r>
              <w:rPr>
                <w:sz w:val="20"/>
                <w:szCs w:val="20"/>
              </w:rPr>
              <w:t xml:space="preserve">Mars-Reconnaissance-Orbiter</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8.0064</w:t>
            </w:r>
          </w:p>
        </w:tc>
        <w:tc>
          <w:tcPr>
            <w:tcW w:w="0" w:type="auto"/>
          </w:tcPr>
          <w:p>
            <w:pPr>
              <w:spacing w:line="240" w:lineRule="auto" w:before="0" w:after="0"/>
              <w:pStyle w:val="Compact"/>
            </w:pPr>
            <w:r>
              <w:rPr>
                <w:sz w:val="20"/>
                <w:szCs w:val="20"/>
              </w:rPr>
              <w:t xml:space="preserve">NASA MRO mission page (science.nasa.gov): 3 m HGA, Ka/X-band up to 3-6 Mbps to DSN, largest data-return orbiter at Mars</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6.3099</w:t>
            </w:r>
          </w:p>
        </w:tc>
        <w:tc>
          <w:tcPr>
            <w:tcW w:w="0" w:type="auto"/>
          </w:tcPr>
          <w:p>
            <w:pPr>
              <w:spacing w:line="240" w:lineRule="auto" w:before="0" w:after="0"/>
              <w:pStyle w:val="Compact"/>
            </w:pPr>
            <w:r>
              <w:rPr>
                <w:sz w:val="20"/>
                <w:szCs w:val="20"/>
              </w:rPr>
              <w:t xml:space="preserve">NASA MAVEN mission documentation (lasp.colorado.edu / nasa.gov): X-band HGA ~2 m, downlink up to ~550 kbps; also UHF relay node</w:t>
            </w:r>
          </w:p>
        </w:tc>
      </w:tr>
      <w:tr>
        <w:tc>
          <w:tcPr>
            <w:tcW w:w="0" w:type="auto"/>
          </w:tcPr>
          <w:p>
            <w:pPr>
              <w:spacing w:line="240" w:lineRule="auto" w:before="0" w:after="0"/>
              <w:pStyle w:val="Compact"/>
            </w:pPr>
            <w:r>
              <w:rPr>
                <w:sz w:val="20"/>
                <w:szCs w:val="20"/>
              </w:rPr>
              <w:t xml:space="preserve">Mars-Express</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5.4293</w:t>
            </w:r>
          </w:p>
        </w:tc>
        <w:tc>
          <w:tcPr>
            <w:tcW w:w="0" w:type="auto"/>
          </w:tcPr>
          <w:p>
            <w:pPr>
              <w:spacing w:line="240" w:lineRule="auto" w:before="0" w:after="0"/>
              <w:pStyle w:val="Compact"/>
            </w:pPr>
            <w:r>
              <w:rPr>
                <w:sz w:val="20"/>
                <w:szCs w:val="20"/>
              </w:rPr>
              <w:t xml:space="preserve">ESA Mars Express mission (esa.int): 1.6 m HGA, X-band downlink up to 228 kbps to ESTRACK/DSN</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Saturn</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2.1972</w:t>
            </w:r>
          </w:p>
        </w:tc>
        <w:tc>
          <w:tcPr>
            <w:tcW w:w="0" w:type="auto"/>
          </w:tcPr>
          <w:p>
            <w:pPr>
              <w:spacing w:line="240" w:lineRule="auto" w:before="0" w:after="0"/>
              <w:pStyle w:val="Compact"/>
            </w:pPr>
            <w:r>
              <w:rPr>
                <w:sz w:val="20"/>
                <w:szCs w:val="20"/>
              </w:rPr>
              <w:t xml:space="preserve">4.4067</w:t>
            </w:r>
          </w:p>
        </w:tc>
        <w:tc>
          <w:tcPr>
            <w:tcW w:w="0" w:type="auto"/>
          </w:tcPr>
          <w:p>
            <w:pPr>
              <w:spacing w:line="240" w:lineRule="auto" w:before="0" w:after="0"/>
              <w:pStyle w:val="Compact"/>
            </w:pPr>
            <w:r>
              <w:rPr>
                <w:sz w:val="20"/>
                <w:szCs w:val="20"/>
              </w:rPr>
              <w:t xml:space="preserve">DESCANSO Article 3, Cassini Orbiter/Huygens Telecommunications (descanso.jpl.nasa.gov): 4 m HGA, X-band 33-140 kbps to DSN; Saturn OWLT ~68-84 min</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Jupiter</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-1.8326</w:t>
            </w:r>
          </w:p>
        </w:tc>
        <w:tc>
          <w:tcPr>
            <w:tcW w:w="0" w:type="auto"/>
          </w:tcPr>
          <w:p>
            <w:pPr>
              <w:spacing w:line="240" w:lineRule="auto" w:before="0" w:after="0"/>
              <w:pStyle w:val="Compact"/>
            </w:pPr>
            <w:r>
              <w:rPr>
                <w:sz w:val="20"/>
                <w:szCs w:val="20"/>
              </w:rPr>
              <w:t xml:space="preserve">NASA Galileo mission (HGA failed to deploy); LGA S-band ~10-160 bps after antenna anomaly, with onboard compression; Jupiter OWLT ~33-52 min</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Jupiter</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NASA Juno mission (nasa.gov / SwRI): 2.5 m HGA, X-band downlink up to ~25 kbps during perijove playback to DSN</w:t>
            </w:r>
          </w:p>
        </w:tc>
      </w:tr>
      <w:tr>
        <w:tc>
          <w:tcPr>
            <w:tcW w:w="0" w:type="auto"/>
          </w:tcPr>
          <w:p>
            <w:pPr>
              <w:spacing w:line="240" w:lineRule="auto" w:before="0" w:after="0"/>
              <w:pStyle w:val="Compact"/>
            </w:pPr>
            <w:r>
              <w:rPr>
                <w:sz w:val="20"/>
                <w:szCs w:val="20"/>
              </w:rPr>
              <w:t xml:space="preserve">Voyager-1</w:t>
            </w:r>
          </w:p>
        </w:tc>
        <w:tc>
          <w:tcPr>
            <w:tcW w:w="0" w:type="auto"/>
          </w:tcPr>
          <w:p>
            <w:pPr>
              <w:spacing w:line="240" w:lineRule="auto" w:before="0" w:after="0"/>
              <w:pStyle w:val="Compact"/>
            </w:pPr>
            <w:r>
              <w:rPr>
                <w:sz w:val="20"/>
                <w:szCs w:val="20"/>
              </w:rPr>
              <w:t xml:space="preserve">Interstellar</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3.1355</w:t>
            </w:r>
          </w:p>
        </w:tc>
        <w:tc>
          <w:tcPr>
            <w:tcW w:w="0" w:type="auto"/>
          </w:tcPr>
          <w:p>
            <w:pPr>
              <w:spacing w:line="240" w:lineRule="auto" w:before="0" w:after="0"/>
              <w:pStyle w:val="Compact"/>
            </w:pPr>
            <w:r>
              <w:rPr>
                <w:sz w:val="20"/>
                <w:szCs w:val="20"/>
              </w:rPr>
              <w:t xml:space="preserve">5.0999</w:t>
            </w:r>
          </w:p>
        </w:tc>
        <w:tc>
          <w:tcPr>
            <w:tcW w:w="0" w:type="auto"/>
          </w:tcPr>
          <w:p>
            <w:pPr>
              <w:spacing w:line="240" w:lineRule="auto" w:before="0" w:after="0"/>
              <w:pStyle w:val="Compact"/>
            </w:pPr>
            <w:r>
              <w:rPr>
                <w:sz w:val="20"/>
                <w:szCs w:val="20"/>
              </w:rPr>
              <w:t xml:space="preserve">-1.8326</w:t>
            </w:r>
          </w:p>
        </w:tc>
        <w:tc>
          <w:tcPr>
            <w:tcW w:w="0" w:type="auto"/>
          </w:tcPr>
          <w:p>
            <w:pPr>
              <w:spacing w:line="240" w:lineRule="auto" w:before="0" w:after="0"/>
              <w:pStyle w:val="Compact"/>
            </w:pPr>
            <w:r>
              <w:rPr>
                <w:sz w:val="20"/>
                <w:szCs w:val="20"/>
              </w:rPr>
              <w:t xml:space="preserve">NASA Voyager (science.nasa.gov; voyager.jpl.nasa.gov): 3.7 m HGA, 160 bps continuous; 2024 OWLT ~22.5 hr at 164 AU</w:t>
            </w:r>
          </w:p>
        </w:tc>
      </w:tr>
      <w:tr>
        <w:tc>
          <w:tcPr>
            <w:tcW w:w="0" w:type="auto"/>
          </w:tcPr>
          <w:p>
            <w:pPr>
              <w:spacing w:line="240" w:lineRule="auto" w:before="0" w:after="0"/>
              <w:pStyle w:val="Compact"/>
            </w:pPr>
            <w:r>
              <w:rPr>
                <w:sz w:val="20"/>
                <w:szCs w:val="20"/>
              </w:rPr>
              <w:t xml:space="preserve">Voyager-2</w:t>
            </w:r>
          </w:p>
        </w:tc>
        <w:tc>
          <w:tcPr>
            <w:tcW w:w="0" w:type="auto"/>
          </w:tcPr>
          <w:p>
            <w:pPr>
              <w:spacing w:line="240" w:lineRule="auto" w:before="0" w:after="0"/>
              <w:pStyle w:val="Compact"/>
            </w:pPr>
            <w:r>
              <w:rPr>
                <w:sz w:val="20"/>
                <w:szCs w:val="20"/>
              </w:rPr>
              <w:t xml:space="preserve">Interstellar</w:t>
            </w:r>
          </w:p>
        </w:tc>
        <w:tc>
          <w:tcPr>
            <w:tcW w:w="0" w:type="auto"/>
          </w:tcPr>
          <w:p>
            <w:pPr>
              <w:spacing w:line="240" w:lineRule="auto" w:before="0" w:after="0"/>
              <w:pStyle w:val="Compact"/>
            </w:pPr>
            <w:r>
              <w:rPr>
                <w:sz w:val="20"/>
                <w:szCs w:val="20"/>
              </w:rPr>
              <w:t xml:space="preserve">137</w:t>
            </w:r>
          </w:p>
        </w:tc>
        <w:tc>
          <w:tcPr>
            <w:tcW w:w="0" w:type="auto"/>
          </w:tcPr>
          <w:p>
            <w:pPr>
              <w:spacing w:line="240" w:lineRule="auto" w:before="0" w:after="0"/>
              <w:pStyle w:val="Compact"/>
            </w:pPr>
            <w:r>
              <w:rPr>
                <w:sz w:val="20"/>
                <w:szCs w:val="20"/>
              </w:rPr>
              <w:t xml:space="preserve">1140</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0.07</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2.9704</w:t>
            </w:r>
          </w:p>
        </w:tc>
        <w:tc>
          <w:tcPr>
            <w:tcW w:w="0" w:type="auto"/>
          </w:tcPr>
          <w:p>
            <w:pPr>
              <w:spacing w:line="240" w:lineRule="auto" w:before="0" w:after="0"/>
              <w:pStyle w:val="Compact"/>
            </w:pPr>
            <w:r>
              <w:rPr>
                <w:sz w:val="20"/>
                <w:szCs w:val="20"/>
              </w:rPr>
              <w:t xml:space="preserve">4.92</w:t>
            </w:r>
          </w:p>
        </w:tc>
        <w:tc>
          <w:tcPr>
            <w:tcW w:w="0" w:type="auto"/>
          </w:tcPr>
          <w:p>
            <w:pPr>
              <w:spacing w:line="240" w:lineRule="auto" w:before="0" w:after="0"/>
              <w:pStyle w:val="Compact"/>
            </w:pPr>
            <w:r>
              <w:rPr>
                <w:sz w:val="20"/>
                <w:szCs w:val="20"/>
              </w:rPr>
              <w:t xml:space="preserve">-1.8326</w:t>
            </w:r>
          </w:p>
        </w:tc>
        <w:tc>
          <w:tcPr>
            <w:tcW w:w="0" w:type="auto"/>
          </w:tcPr>
          <w:p>
            <w:pPr>
              <w:spacing w:line="240" w:lineRule="auto" w:before="0" w:after="0"/>
              <w:pStyle w:val="Compact"/>
            </w:pPr>
            <w:r>
              <w:rPr>
                <w:sz w:val="20"/>
                <w:szCs w:val="20"/>
              </w:rPr>
              <w:t xml:space="preserve">NASA Voyager telecom (voyager.gsfc.nasa.gov DeepCommo Chapter 3): 3.7 m HGA, 160 bps; 2024 OWLT ~19 hr at ~137 AU</w:t>
            </w:r>
          </w:p>
        </w:tc>
      </w:tr>
      <w:tr>
        <w:tc>
          <w:tcPr>
            <w:tcW w:w="0" w:type="auto"/>
          </w:tcPr>
          <w:p>
            <w:pPr>
              <w:spacing w:line="240" w:lineRule="auto" w:before="0" w:after="0"/>
              <w:pStyle w:val="Compact"/>
            </w:pPr>
            <w:r>
              <w:rPr>
                <w:sz w:val="20"/>
                <w:szCs w:val="20"/>
              </w:rPr>
              <w:t xml:space="preserve">New-Horizons</w:t>
            </w:r>
          </w:p>
        </w:tc>
        <w:tc>
          <w:tcPr>
            <w:tcW w:w="0" w:type="auto"/>
          </w:tcPr>
          <w:p>
            <w:pPr>
              <w:spacing w:line="240" w:lineRule="auto" w:before="0" w:after="0"/>
              <w:pStyle w:val="Compact"/>
            </w:pPr>
            <w:r>
              <w:rPr>
                <w:sz w:val="20"/>
                <w:szCs w:val="20"/>
              </w:rPr>
              <w:t xml:space="preserve">Pluto</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0.064</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1.4816</w:t>
            </w:r>
          </w:p>
        </w:tc>
        <w:tc>
          <w:tcPr>
            <w:tcW w:w="0" w:type="auto"/>
          </w:tcPr>
          <w:p>
            <w:pPr>
              <w:spacing w:line="240" w:lineRule="auto" w:before="0" w:after="0"/>
              <w:pStyle w:val="Compact"/>
            </w:pPr>
            <w:r>
              <w:rPr>
                <w:sz w:val="20"/>
                <w:szCs w:val="20"/>
              </w:rPr>
              <w:t xml:space="preserve">3.4965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New Horizons / JHUAPL (pluto.jhuapl.edu; nasa.gov): 2.1 m HGA, X-band 1-2 kbps at Pluto; flyby OWLT ~4 hr 25 min</w:t>
            </w:r>
          </w:p>
        </w:tc>
      </w:tr>
      <w:tr>
        <w:tc>
          <w:tcPr>
            <w:tcW w:w="0" w:type="auto"/>
          </w:tcPr>
          <w:p>
            <w:pPr>
              <w:spacing w:line="240" w:lineRule="auto" w:before="0" w:after="0"/>
              <w:pStyle w:val="Compact"/>
            </w:pPr>
            <w:r>
              <w:rPr>
                <w:sz w:val="20"/>
                <w:szCs w:val="20"/>
              </w:rPr>
              <w:t xml:space="preserve">Parker-Solar-Probe</w:t>
            </w:r>
          </w:p>
        </w:tc>
        <w:tc>
          <w:tcPr>
            <w:tcW w:w="0" w:type="auto"/>
          </w:tcPr>
          <w:p>
            <w:pPr>
              <w:spacing w:line="240" w:lineRule="auto" w:before="0" w:after="0"/>
              <w:pStyle w:val="Compact"/>
            </w:pPr>
            <w:r>
              <w:rPr>
                <w:sz w:val="20"/>
                <w:szCs w:val="20"/>
              </w:rPr>
              <w:t xml:space="preserve">Sun</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0.555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0.256</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-1.204</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-0.5888</w:t>
            </w:r>
          </w:p>
        </w:tc>
        <w:tc>
          <w:tcPr>
            <w:tcW w:w="0" w:type="auto"/>
          </w:tcPr>
          <w:p>
            <w:pPr>
              <w:spacing w:line="240" w:lineRule="auto" w:before="0" w:after="0"/>
              <w:pStyle w:val="Compact"/>
            </w:pPr>
            <w:r>
              <w:rPr>
                <w:sz w:val="20"/>
                <w:szCs w:val="20"/>
              </w:rPr>
              <w:t xml:space="preserve">NASA Parker Solar Probe / JHUAPL (parkersolarprobe.jhuapl.edu): 0.6 m HGA, Ka-band downlink up to ~555 kbps during apoapsis playback</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Bennu</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NASA OSIRIS-REx (asteroidmission.org): X-band, no large steerable HGA dish, downlink hundreds of bps to ~kbps to DSN; OWLT ~11 min at encounter</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Vesta-Ceres</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1.0296</w:t>
            </w:r>
          </w:p>
        </w:tc>
        <w:tc>
          <w:tcPr>
            <w:tcW w:w="0" w:type="auto"/>
          </w:tcPr>
          <w:p>
            <w:pPr>
              <w:spacing w:line="240" w:lineRule="auto" w:before="0" w:after="0"/>
              <w:pStyle w:val="Compact"/>
            </w:pPr>
            <w:r>
              <w:rPr>
                <w:sz w:val="20"/>
                <w:szCs w:val="20"/>
              </w:rPr>
              <w:t xml:space="preserve">4.8203</w:t>
            </w:r>
          </w:p>
        </w:tc>
        <w:tc>
          <w:tcPr>
            <w:tcW w:w="0" w:type="auto"/>
          </w:tcPr>
          <w:p>
            <w:pPr>
              <w:spacing w:line="240" w:lineRule="auto" w:before="0" w:after="0"/>
              <w:pStyle w:val="Compact"/>
            </w:pPr>
            <w:r>
              <w:rPr>
                <w:sz w:val="20"/>
                <w:szCs w:val="20"/>
              </w:rPr>
              <w:t xml:space="preserve">NASA/JPL Dawn mission (dawn.jpl.nasa.gov): 1.5 m HGA, X-band downlink up to ~124 kbps to DSN</w:t>
            </w:r>
          </w:p>
        </w:tc>
      </w:tr>
      <w:tr>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Mercury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4.6444</w:t>
            </w:r>
          </w:p>
        </w:tc>
        <w:tc>
          <w:tcPr>
            <w:tcW w:w="0" w:type="auto"/>
          </w:tcPr>
          <w:p>
            <w:pPr>
              <w:spacing w:line="240" w:lineRule="auto" w:before="0" w:after="0"/>
              <w:pStyle w:val="Compact"/>
            </w:pPr>
            <w:r>
              <w:rPr>
                <w:sz w:val="20"/>
                <w:szCs w:val="20"/>
              </w:rPr>
              <w:t xml:space="preserve">NASA MESSENGER / JHUAPL (messenger.jhuapl.edu): phased-array X-band antenna, downlink up to ~104 kbps to DSN; Mercury OWLT ~5-12 min</w:t>
            </w:r>
          </w:p>
        </w:tc>
      </w:tr>
      <w:tr>
        <w:tc>
          <w:tcPr>
            <w:tcW w:w="0" w:type="auto"/>
          </w:tcPr>
          <w:p>
            <w:pPr>
              <w:spacing w:line="240" w:lineRule="auto" w:before="0" w:after="0"/>
              <w:pStyle w:val="Compact"/>
            </w:pPr>
            <w:r>
              <w:rPr>
                <w:sz w:val="20"/>
                <w:szCs w:val="20"/>
              </w:rPr>
              <w:t xml:space="preserve">Rosetta</w:t>
            </w:r>
          </w:p>
        </w:tc>
        <w:tc>
          <w:tcPr>
            <w:tcW w:w="0" w:type="auto"/>
          </w:tcPr>
          <w:p>
            <w:pPr>
              <w:spacing w:line="240" w:lineRule="auto" w:before="0" w:after="0"/>
              <w:pStyle w:val="Compact"/>
            </w:pPr>
            <w:r>
              <w:rPr>
                <w:sz w:val="20"/>
                <w:szCs w:val="20"/>
              </w:rPr>
              <w:t xml:space="preserve">67P-Comet</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1.5041</w:t>
            </w:r>
          </w:p>
        </w:tc>
        <w:tc>
          <w:tcPr>
            <w:tcW w:w="0" w:type="auto"/>
          </w:tcPr>
          <w:p>
            <w:pPr>
              <w:spacing w:line="240" w:lineRule="auto" w:before="0" w:after="0"/>
              <w:pStyle w:val="Compact"/>
            </w:pPr>
            <w:r>
              <w:rPr>
                <w:sz w:val="20"/>
                <w:szCs w:val="20"/>
              </w:rPr>
              <w:t xml:space="preserve">3.091</w:t>
            </w:r>
          </w:p>
        </w:tc>
        <w:tc>
          <w:tcPr>
            <w:tcW w:w="0" w:type="auto"/>
          </w:tcPr>
          <w:p>
            <w:pPr>
              <w:spacing w:line="240" w:lineRule="auto" w:before="0" w:after="0"/>
              <w:pStyle w:val="Compact"/>
            </w:pPr>
            <w:r>
              <w:rPr>
                <w:sz w:val="20"/>
                <w:szCs w:val="20"/>
              </w:rPr>
              <w:t xml:space="preserve">ESA Rosetta mission (esa.int) and Vallat et al. 2017 science planning (doi:10.1016/j.actaastro.2017.01.018): 2.2 m HGA, X-band downlink ~5-22 kbps to ESTRACK/DSN</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Trojan-Asteroids</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5.2983</w:t>
            </w:r>
          </w:p>
        </w:tc>
        <w:tc>
          <w:tcPr>
            <w:tcW w:w="0" w:type="auto"/>
          </w:tcPr>
          <w:p>
            <w:pPr>
              <w:spacing w:line="240" w:lineRule="auto" w:before="0" w:after="0"/>
              <w:pStyle w:val="Compact"/>
            </w:pPr>
            <w:r>
              <w:rPr>
                <w:sz w:val="20"/>
                <w:szCs w:val="20"/>
              </w:rPr>
              <w:t xml:space="preserve">NASA Lucy mission (lucy.swri.edu): 2 m HGA, Ka/X-band downlink hundreds of kbps to DSN during encounters</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16-Psyche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-0.2231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5.5797</w:t>
            </w:r>
          </w:p>
        </w:tc>
        <w:tc>
          <w:tcPr>
            <w:tcW w:w="0" w:type="auto"/>
          </w:tcPr>
          <w:p>
            <w:pPr>
              <w:spacing w:line="240" w:lineRule="auto" w:before="0" w:after="0"/>
              <w:pStyle w:val="Compact"/>
            </w:pPr>
            <w:r>
              <w:rPr>
                <w:sz w:val="20"/>
                <w:szCs w:val="20"/>
              </w:rPr>
              <w:t xml:space="preserve">NASA Psyche mission (psyche.asu.edu): 2 m HGA X-band plus DSOC optical demo; representative X-band downlink to DSN</w:t>
            </w:r>
          </w:p>
        </w:tc>
      </w:tr>
      <w:tr>
        <w:tc>
          <w:tcPr>
            <w:tcW w:w="0" w:type="auto"/>
          </w:tcPr>
          <w:p>
            <w:pPr>
              <w:spacing w:line="240" w:lineRule="auto" w:before="0" w:after="0"/>
              <w:pStyle w:val="Compact"/>
            </w:pPr>
            <w:r>
              <w:rPr>
                <w:sz w:val="20"/>
                <w:szCs w:val="20"/>
              </w:rPr>
              <w:t xml:space="preserve">Europa-Clipper</w:t>
            </w:r>
          </w:p>
        </w:tc>
        <w:tc>
          <w:tcPr>
            <w:tcW w:w="0" w:type="auto"/>
          </w:tcPr>
          <w:p>
            <w:pPr>
              <w:spacing w:line="240" w:lineRule="auto" w:before="0" w:after="0"/>
              <w:pStyle w:val="Compact"/>
            </w:pPr>
            <w:r>
              <w:rPr>
                <w:sz w:val="20"/>
                <w:szCs w:val="20"/>
              </w:rPr>
              <w:t xml:space="preserve">Europa</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4.9053</w:t>
            </w:r>
          </w:p>
        </w:tc>
        <w:tc>
          <w:tcPr>
            <w:tcW w:w="0" w:type="auto"/>
          </w:tcPr>
          <w:p>
            <w:pPr>
              <w:spacing w:line="240" w:lineRule="auto" w:before="0" w:after="0"/>
              <w:pStyle w:val="Compact"/>
            </w:pPr>
            <w:r>
              <w:rPr>
                <w:sz w:val="20"/>
                <w:szCs w:val="20"/>
              </w:rPr>
              <w:t xml:space="preserve">NASA Europa Clipper (europa.nasa.gov): 3 m HGA, X-band downlink ~135 kbps to DSN from Jupiter distance</w:t>
            </w:r>
          </w:p>
        </w:tc>
      </w:tr>
      <w:tr>
        <w:tc>
          <w:tcPr>
            <w:tcW w:w="0" w:type="auto"/>
          </w:tcPr>
          <w:p>
            <w:pPr>
              <w:spacing w:line="240" w:lineRule="auto" w:before="0" w:after="0"/>
              <w:pStyle w:val="Compact"/>
            </w:pPr>
            <w:r>
              <w:rPr>
                <w:sz w:val="20"/>
                <w:szCs w:val="20"/>
              </w:rPr>
              <w:t xml:space="preserve">Hayabusa2</w:t>
            </w:r>
          </w:p>
        </w:tc>
        <w:tc>
          <w:tcPr>
            <w:tcW w:w="0" w:type="auto"/>
          </w:tcPr>
          <w:p>
            <w:pPr>
              <w:spacing w:line="240" w:lineRule="auto" w:before="0" w:after="0"/>
              <w:pStyle w:val="Compact"/>
            </w:pPr>
            <w:r>
              <w:rPr>
                <w:sz w:val="20"/>
                <w:szCs w:val="20"/>
              </w:rPr>
              <w:t xml:space="preserve">Ryugu</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0.064</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3.4657</w:t>
            </w:r>
          </w:p>
        </w:tc>
        <w:tc>
          <w:tcPr>
            <w:tcW w:w="0" w:type="auto"/>
          </w:tcPr>
          <w:p>
            <w:pPr>
              <w:spacing w:line="240" w:lineRule="auto" w:before="0" w:after="0"/>
              <w:pStyle w:val="Compact"/>
            </w:pPr>
            <w:r>
              <w:rPr>
                <w:sz w:val="20"/>
                <w:szCs w:val="20"/>
              </w:rPr>
              <w:t xml:space="preserve">JAXA Hayabusa2 (hayabusa2.jaxa.jp): X/Ka-band, high-gain flat antennas, downlink up to ~32 kbps to Usuda/DSN</w:t>
            </w:r>
          </w:p>
        </w:tc>
      </w:tr>
      <w:tr>
        <w:tc>
          <w:tcPr>
            <w:tcW w:w="0" w:type="auto"/>
          </w:tcPr>
          <w:p>
            <w:pPr>
              <w:spacing w:line="240" w:lineRule="auto" w:before="0" w:after="0"/>
              <w:pStyle w:val="Compact"/>
            </w:pPr>
            <w:r>
              <w:rPr>
                <w:sz w:val="20"/>
                <w:szCs w:val="20"/>
              </w:rPr>
              <w:t xml:space="preserve">BepiColombo</w:t>
            </w:r>
          </w:p>
        </w:tc>
        <w:tc>
          <w:tcPr>
            <w:tcW w:w="0" w:type="auto"/>
          </w:tcPr>
          <w:p>
            <w:pPr>
              <w:spacing w:line="240" w:lineRule="auto" w:before="0" w:after="0"/>
              <w:pStyle w:val="Compact"/>
            </w:pPr>
            <w:r>
              <w:rPr>
                <w:sz w:val="20"/>
                <w:szCs w:val="20"/>
              </w:rPr>
              <w:t xml:space="preserve">Mercury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ESA/JAXA BepiColombo (esa.int): 1 m HGA, X/Ka-band downlink to ESTRACK/DSN during cruise and Mercury orbit</w:t>
            </w:r>
          </w:p>
        </w:tc>
      </w:tr>
      <w:tr>
        <w:tc>
          <w:tcPr>
            <w:tcW w:w="0" w:type="auto"/>
          </w:tcPr>
          <w:p>
            <w:pPr>
              <w:spacing w:line="240" w:lineRule="auto" w:before="0" w:after="0"/>
              <w:pStyle w:val="Compact"/>
            </w:pPr>
            <w:r>
              <w:rPr>
                <w:sz w:val="20"/>
                <w:szCs w:val="20"/>
              </w:rPr>
              <w:t xml:space="preserve">Akatsuki</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-0.9163</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3.4657</w:t>
            </w:r>
          </w:p>
        </w:tc>
        <w:tc>
          <w:tcPr>
            <w:tcW w:w="0" w:type="auto"/>
          </w:tcPr>
          <w:p>
            <w:pPr>
              <w:spacing w:line="240" w:lineRule="auto" w:before="0" w:after="0"/>
              <w:pStyle w:val="Compact"/>
            </w:pPr>
            <w:r>
              <w:rPr>
                <w:sz w:val="20"/>
                <w:szCs w:val="20"/>
              </w:rPr>
              <w:t xml:space="preserve">JAXA Akatsuki Venus Climate Orbiter (akatsuki.isas.jaxa.jp): 1.6 m HGA, X-band downlink up to ~32 kbps to Usuda Deep Space Center</w:t>
            </w:r>
          </w:p>
        </w:tc>
      </w:tr>
      <w:tr>
        <w:tc>
          <w:tcPr>
            <w:tcW w:w="0" w:type="auto"/>
          </w:tcPr>
          <w:p>
            <w:pPr>
              <w:spacing w:line="240" w:lineRule="auto" w:before="0" w:after="0"/>
              <w:pStyle w:val="Compact"/>
            </w:pPr>
            <w:r>
              <w:rPr>
                <w:sz w:val="20"/>
                <w:szCs w:val="20"/>
              </w:rPr>
              <w:t xml:space="preserve">Juice</w:t>
            </w:r>
          </w:p>
        </w:tc>
        <w:tc>
          <w:tcPr>
            <w:tcW w:w="0" w:type="auto"/>
          </w:tcPr>
          <w:p>
            <w:pPr>
              <w:spacing w:line="240" w:lineRule="auto" w:before="0" w:after="0"/>
              <w:pStyle w:val="Compact"/>
            </w:pPr>
            <w:r>
              <w:rPr>
                <w:sz w:val="20"/>
                <w:szCs w:val="20"/>
              </w:rPr>
              <w:t xml:space="preserve">Jupiter</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7.6009</w:t>
            </w:r>
          </w:p>
        </w:tc>
        <w:tc>
          <w:tcPr>
            <w:tcW w:w="0" w:type="auto"/>
          </w:tcPr>
          <w:p>
            <w:pPr>
              <w:spacing w:line="240" w:lineRule="auto" w:before="0" w:after="0"/>
              <w:pStyle w:val="Compact"/>
            </w:pPr>
            <w:r>
              <w:rPr>
                <w:sz w:val="20"/>
                <w:szCs w:val="20"/>
              </w:rPr>
              <w:t xml:space="preserve">ESA JUICE Jupiter Icy Moons Explorer (esa.int): 2.5 m HGA, Ka-band downlink up to ~2 Mbps to ESTRACK/DSN</w:t>
            </w:r>
          </w:p>
        </w:tc>
      </w:tr>
      <w:tr>
        <w:tc>
          <w:tcPr>
            <w:tcW w:w="0" w:type="auto"/>
          </w:tcPr>
          <w:p>
            <w:pPr>
              <w:spacing w:line="240" w:lineRule="auto" w:before="0" w:after="0"/>
              <w:pStyle w:val="Compact"/>
            </w:pPr>
            <w:r>
              <w:rPr>
                <w:sz w:val="20"/>
                <w:szCs w:val="20"/>
              </w:rPr>
              <w:t xml:space="preserve">Mars-Odyssey</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4.8203</w:t>
            </w:r>
          </w:p>
        </w:tc>
        <w:tc>
          <w:tcPr>
            <w:tcW w:w="0" w:type="auto"/>
          </w:tcPr>
          <w:p>
            <w:pPr>
              <w:spacing w:line="240" w:lineRule="auto" w:before="0" w:after="0"/>
              <w:pStyle w:val="Compact"/>
            </w:pPr>
            <w:r>
              <w:rPr>
                <w:sz w:val="20"/>
                <w:szCs w:val="20"/>
              </w:rPr>
              <w:t xml:space="preserve">NASA Mars Odyssey (mars.nasa.gov): 1.3 m HGA X-band up to ~124 kbps direct-to-Earth; also UHF relay node for landers</w:t>
            </w:r>
          </w:p>
        </w:tc>
      </w:tr>
      <w:tr>
        <w:tc>
          <w:tcPr>
            <w:tcW w:w="0" w:type="auto"/>
          </w:tcPr>
          <w:p>
            <w:pPr>
              <w:spacing w:line="240" w:lineRule="auto" w:before="0" w:after="0"/>
              <w:pStyle w:val="Compact"/>
            </w:pPr>
            <w:r>
              <w:rPr>
                <w:sz w:val="20"/>
                <w:szCs w:val="20"/>
              </w:rPr>
              <w:t xml:space="preserve">Maven-relay-pass</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NASA Mars relay network (mars.nasa.gov/mars-relay): surface-asset UHF relay leg buffered through orbiter then DTE; representative two-hop latency [illustrative overhead]</w:t>
            </w:r>
          </w:p>
        </w:tc>
      </w:tr>
      <w:tr>
        <w:tc>
          <w:tcPr>
            <w:tcW w:w="0" w:type="auto"/>
          </w:tcPr>
          <w:p>
            <w:pPr>
              <w:spacing w:line="240" w:lineRule="auto" w:before="0" w:after="0"/>
              <w:pStyle w:val="Compact"/>
            </w:pPr>
            <w:r>
              <w:rPr>
                <w:sz w:val="20"/>
                <w:szCs w:val="20"/>
              </w:rPr>
              <w:t xml:space="preserve">Akatsuki-replay</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0.5306</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JAXA Akatsuki at superior-conjunction geometry; reduced rate during high-distance pass [illustrative geometry case]</w:t>
            </w:r>
          </w:p>
        </w:tc>
      </w:tr>
      <w:tr>
        <w:tc>
          <w:tcPr>
            <w:tcW w:w="0" w:type="auto"/>
          </w:tcPr>
          <w:p>
            <w:pPr>
              <w:spacing w:line="240" w:lineRule="auto" w:before="0" w:after="0"/>
              <w:pStyle w:val="Compact"/>
            </w:pPr>
            <w:r>
              <w:rPr>
                <w:sz w:val="20"/>
                <w:szCs w:val="20"/>
              </w:rPr>
              <w:t xml:space="preserve">Galileo-postfix</w:t>
            </w:r>
          </w:p>
        </w:tc>
        <w:tc>
          <w:tcPr>
            <w:tcW w:w="0" w:type="auto"/>
          </w:tcPr>
          <w:p>
            <w:pPr>
              <w:spacing w:line="240" w:lineRule="auto" w:before="0" w:after="0"/>
              <w:pStyle w:val="Compact"/>
            </w:pPr>
            <w:r>
              <w:rPr>
                <w:sz w:val="20"/>
                <w:szCs w:val="20"/>
              </w:rPr>
              <w:t xml:space="preserve">Jupiter</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Galileo post-anomaly recovered downlink with onboard data compression and arrayed DSN reception, effective ~1 kbps [illustrative effective-rate]</w:t>
            </w:r>
          </w:p>
        </w:tc>
      </w:tr>
    </w:tbl>
    <w:bookmarkEnd w:id="230"/>
    <w:bookmarkStart w:id="231"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ln_latency_hr</w:t>
            </w:r>
          </w:p>
        </w:tc>
        <w:tc>
          <w:tcPr>
            <w:tcW w:w="0" w:type="auto"/>
          </w:tcPr>
          <w:p>
            <w:pPr>
              <w:spacing w:line="240" w:lineRule="auto" w:before="0" w:after="0"/>
              <w:pStyle w:val="Compact"/>
            </w:pPr>
            <w:r>
              <w:rPr>
                <w:sz w:val="20"/>
                <w:szCs w:val="20"/>
              </w:rPr>
              <w:t xml:space="preserve">Natural log of representative one-way data-return latency in hours (light-time floor plus downlink and scheduling overhead)</w:t>
            </w:r>
          </w:p>
        </w:tc>
        <w:tc>
          <w:tcPr>
            <w:tcW w:w="0" w:type="auto"/>
          </w:tcPr>
          <w:p>
            <w:pPr>
              <w:spacing w:line="240" w:lineRule="auto" w:before="0" w:after="0"/>
              <w:pStyle w:val="Compact"/>
            </w:pPr>
            <w:r>
              <w:rPr>
                <w:sz w:val="20"/>
                <w:szCs w:val="20"/>
              </w:rPr>
              <w:t xml:space="preserve">Derived from documented per-mission OWLT and downlink figures in the source column</w:t>
            </w:r>
          </w:p>
        </w:tc>
      </w:tr>
      <w:tr>
        <w:tc>
          <w:tcPr>
            <w:tcW w:w="0" w:type="auto"/>
          </w:tcPr>
          <w:p>
            <w:pPr>
              <w:spacing w:line="240" w:lineRule="auto" w:before="0" w:after="0"/>
              <w:pStyle w:val="Compact"/>
            </w:pPr>
            <w:r>
              <w:rPr>
                <w:sz w:val="20"/>
                <w:szCs w:val="20"/>
              </w:rPr>
              <w:t xml:space="preserve">ln_earth_dist_au</w:t>
            </w:r>
          </w:p>
        </w:tc>
        <w:tc>
          <w:tcPr>
            <w:tcW w:w="0" w:type="auto"/>
          </w:tcPr>
          <w:p>
            <w:pPr>
              <w:spacing w:line="240" w:lineRule="auto" w:before="0" w:after="0"/>
              <w:pStyle w:val="Compact"/>
            </w:pPr>
            <w:r>
              <w:rPr>
                <w:sz w:val="20"/>
                <w:szCs w:val="20"/>
              </w:rPr>
              <w:t xml:space="preserve">Natural log of representative Earth-to-spacecraft distance in astronomical units</w:t>
            </w:r>
          </w:p>
        </w:tc>
        <w:tc>
          <w:tcPr>
            <w:tcW w:w="0" w:type="auto"/>
          </w:tcPr>
          <w:p>
            <w:pPr>
              <w:spacing w:line="240" w:lineRule="auto" w:before="0" w:after="0"/>
              <w:pStyle w:val="Compact"/>
            </w:pPr>
            <w:r>
              <w:rPr>
                <w:sz w:val="20"/>
                <w:szCs w:val="20"/>
              </w:rPr>
              <w:t xml:space="preserve">NASA/ESA/JAXA mission pages and press kits cited per row</w:t>
            </w:r>
          </w:p>
        </w:tc>
      </w:tr>
      <w:tr>
        <w:tc>
          <w:tcPr>
            <w:tcW w:w="0" w:type="auto"/>
          </w:tcPr>
          <w:p>
            <w:pPr>
              <w:spacing w:line="240" w:lineRule="auto" w:before="0" w:after="0"/>
              <w:pStyle w:val="Compact"/>
            </w:pPr>
            <w:r>
              <w:rPr>
                <w:sz w:val="20"/>
                <w:szCs w:val="20"/>
              </w:rPr>
              <w:t xml:space="preserve">ln_downlink_kbps</w:t>
            </w:r>
          </w:p>
        </w:tc>
        <w:tc>
          <w:tcPr>
            <w:tcW w:w="0" w:type="auto"/>
          </w:tcPr>
          <w:p>
            <w:pPr>
              <w:spacing w:line="240" w:lineRule="auto" w:before="0" w:after="0"/>
              <w:pStyle w:val="Compact"/>
            </w:pPr>
            <w:r>
              <w:rPr>
                <w:sz w:val="20"/>
                <w:szCs w:val="20"/>
              </w:rPr>
              <w:t xml:space="preserve">Natural log of representative downlink data rate in kilobits per second</w:t>
            </w:r>
          </w:p>
        </w:tc>
        <w:tc>
          <w:tcPr>
            <w:tcW w:w="0" w:type="auto"/>
          </w:tcPr>
          <w:p>
            <w:pPr>
              <w:spacing w:line="240" w:lineRule="auto" w:before="0" w:after="0"/>
              <w:pStyle w:val="Compact"/>
            </w:pPr>
            <w:r>
              <w:rPr>
                <w:sz w:val="20"/>
                <w:szCs w:val="20"/>
              </w:rPr>
              <w:t xml:space="preserve">Mission telecommunications documentation (DESCANSO monographs, JPL/JHUAPL/ESA mission pages) cited per row</w:t>
            </w:r>
          </w:p>
        </w:tc>
      </w:tr>
      <w:tr>
        <w:tc>
          <w:tcPr>
            <w:tcW w:w="0" w:type="auto"/>
          </w:tcPr>
          <w:p>
            <w:pPr>
              <w:spacing w:line="240" w:lineRule="auto" w:before="0" w:after="0"/>
              <w:pStyle w:val="Compact"/>
            </w:pPr>
            <w:r>
              <w:rPr>
                <w:sz w:val="20"/>
                <w:szCs w:val="20"/>
              </w:rPr>
              <w:t xml:space="preserve">antenna_m</w:t>
            </w:r>
          </w:p>
        </w:tc>
        <w:tc>
          <w:tcPr>
            <w:tcW w:w="0" w:type="auto"/>
          </w:tcPr>
          <w:p>
            <w:pPr>
              <w:spacing w:line="240" w:lineRule="auto" w:before="0" w:after="0"/>
              <w:pStyle w:val="Compact"/>
            </w:pPr>
            <w:r>
              <w:rPr>
                <w:sz w:val="20"/>
                <w:szCs w:val="20"/>
              </w:rPr>
              <w:t xml:space="preserve">High-gain antenna aperture diameter in meters (0 where the mission has no steerable HGA dish)</w:t>
            </w:r>
          </w:p>
        </w:tc>
        <w:tc>
          <w:tcPr>
            <w:tcW w:w="0" w:type="auto"/>
          </w:tcPr>
          <w:p>
            <w:pPr>
              <w:spacing w:line="240" w:lineRule="auto" w:before="0" w:after="0"/>
              <w:pStyle w:val="Compact"/>
            </w:pPr>
            <w:r>
              <w:rPr>
                <w:sz w:val="20"/>
                <w:szCs w:val="20"/>
              </w:rPr>
              <w:t xml:space="preserve">Mission spacecraft descriptions cited per row</w:t>
            </w:r>
          </w:p>
        </w:tc>
      </w:tr>
      <w:tr>
        <w:tc>
          <w:tcPr>
            <w:tcW w:w="0" w:type="auto"/>
          </w:tcPr>
          <w:p>
            <w:pPr>
              <w:spacing w:line="240" w:lineRule="auto" w:before="0" w:after="0"/>
              <w:pStyle w:val="Compact"/>
            </w:pPr>
            <w:r>
              <w:rPr>
                <w:sz w:val="20"/>
                <w:szCs w:val="20"/>
              </w:rPr>
              <w:t xml:space="preserve">relay</w:t>
            </w:r>
          </w:p>
        </w:tc>
        <w:tc>
          <w:tcPr>
            <w:tcW w:w="0" w:type="auto"/>
          </w:tcPr>
          <w:p>
            <w:pPr>
              <w:spacing w:line="240" w:lineRule="auto" w:before="0" w:after="0"/>
              <w:pStyle w:val="Compact"/>
            </w:pPr>
            <w:r>
              <w:rPr>
                <w:sz w:val="20"/>
                <w:szCs w:val="20"/>
              </w:rPr>
              <w:t xml:space="preserve">Indicator equal to 1 when primary downlink is routed through an orbiting relay rather than direct-to-Earth</w:t>
            </w:r>
          </w:p>
        </w:tc>
        <w:tc>
          <w:tcPr>
            <w:tcW w:w="0" w:type="auto"/>
          </w:tcPr>
          <w:p>
            <w:pPr>
              <w:spacing w:line="240" w:lineRule="auto" w:before="0" w:after="0"/>
              <w:pStyle w:val="Compact"/>
            </w:pPr>
            <w:r>
              <w:rPr>
                <w:sz w:val="20"/>
                <w:szCs w:val="20"/>
              </w:rPr>
              <w:t xml:space="preserve">Mission architecture documentation cited per row</w:t>
            </w:r>
          </w:p>
        </w:tc>
      </w:tr>
    </w:tbl>
    <w:bookmarkEnd w:id="231"/>
    <w:bookmarkEnd w:id="232"/>
    <w:bookmarkEnd w:id="23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18" Type="http://schemas.openxmlformats.org/officeDocument/2006/relationships/image" Target="media/rId218.png"/><Relationship Id="rId226" Type="http://schemas.openxmlformats.org/officeDocument/2006/relationships/image" Target="media/rId226.png"/><Relationship Id="rId183" Type="http://schemas.openxmlformats.org/officeDocument/2006/relationships/hyperlink" Target="https://doi.org/10.1016/j.actaastro.2019.03.069" TargetMode="External"/><Relationship Id="rId174" Type="http://schemas.openxmlformats.org/officeDocument/2006/relationships/hyperlink" Target="https://doi.org/10.1016/j.actaastro.2021.12.030" TargetMode="External"/><Relationship Id="rId202" Type="http://schemas.openxmlformats.org/officeDocument/2006/relationships/hyperlink" Target="https://doi.org/10.1016/j.actaastro.2022.03.009" TargetMode="External"/><Relationship Id="rId204" Type="http://schemas.openxmlformats.org/officeDocument/2006/relationships/hyperlink" Target="https://doi.org/10.1016/j.actaastro.2022.12.045" TargetMode="External"/><Relationship Id="rId185" Type="http://schemas.openxmlformats.org/officeDocument/2006/relationships/hyperlink" Target="https://doi.org/10.1016/j.actaastro.2023.01.040" TargetMode="External"/><Relationship Id="rId212" Type="http://schemas.openxmlformats.org/officeDocument/2006/relationships/hyperlink" Target="https://doi.org/10.1016/j.actaastro.2024.09.047" TargetMode="External"/><Relationship Id="rId210" Type="http://schemas.openxmlformats.org/officeDocument/2006/relationships/hyperlink" Target="https://doi.org/10.1016/j.actaastro.2024.11.033" TargetMode="External"/><Relationship Id="rId214" Type="http://schemas.openxmlformats.org/officeDocument/2006/relationships/hyperlink" Target="https://doi.org/10.1016/j.actaastro.2025.01.003" TargetMode="External"/><Relationship Id="rId176" Type="http://schemas.openxmlformats.org/officeDocument/2006/relationships/hyperlink" Target="https://doi.org/10.1016/j.actaastro.2025.04.038" TargetMode="External"/><Relationship Id="rId178" Type="http://schemas.openxmlformats.org/officeDocument/2006/relationships/hyperlink" Target="https://doi.org/10.1016/j.actaastro.2025.06.050" TargetMode="External"/><Relationship Id="rId187" Type="http://schemas.openxmlformats.org/officeDocument/2006/relationships/hyperlink" Target="https://doi.org/10.1016/j.actaastro.2025.10.018" TargetMode="External"/><Relationship Id="rId206" Type="http://schemas.openxmlformats.org/officeDocument/2006/relationships/hyperlink" Target="https://doi.org/10.1016/j.actaastro.2025.10.071" TargetMode="External"/><Relationship Id="rId208" Type="http://schemas.openxmlformats.org/officeDocument/2006/relationships/hyperlink" Target="https://doi.org/10.1016/j.actaastro.2026.02.008" TargetMode="External"/><Relationship Id="rId200" Type="http://schemas.openxmlformats.org/officeDocument/2006/relationships/hyperlink" Target="https://doi.org/10.1016/j.actaastro.2026.02.046" TargetMode="External"/><Relationship Id="rId193" Type="http://schemas.openxmlformats.org/officeDocument/2006/relationships/hyperlink" Target="https://doi.org/10.64861/CEPU7718" TargetMode="External"/><Relationship Id="rId189" Type="http://schemas.openxmlformats.org/officeDocument/2006/relationships/hyperlink" Target="https://doi.org/10.64861/CWIU6827" TargetMode="External"/><Relationship Id="rId195" Type="http://schemas.openxmlformats.org/officeDocument/2006/relationships/hyperlink" Target="https://doi.org/10.64861/LXFG5028" TargetMode="External"/><Relationship Id="rId169" Type="http://schemas.openxmlformats.org/officeDocument/2006/relationships/hyperlink" Target="https://doi.org/10.64861/PRHC3959" TargetMode="External"/><Relationship Id="rId172" Type="http://schemas.openxmlformats.org/officeDocument/2006/relationships/hyperlink" Target="https://doi.org/10.64861/WEXT5718" TargetMode="External"/><Relationship Id="rId164" Type="http://schemas.openxmlformats.org/officeDocument/2006/relationships/hyperlink" Target="https://doi.org/10.64861/ZPBX5069" TargetMode="External"/></Relationships>
</file>

<file path=word/_rels/footnotes.xml.rels><?xml version='1.0' encoding='UTF-8' standalone='yes'?>
<Relationships xmlns="http://schemas.openxmlformats.org/package/2006/relationships"><Relationship Id="rId183" Type="http://schemas.openxmlformats.org/officeDocument/2006/relationships/hyperlink" Target="https://doi.org/10.1016/j.actaastro.2019.03.069" TargetMode="External"/><Relationship Id="rId174" Type="http://schemas.openxmlformats.org/officeDocument/2006/relationships/hyperlink" Target="https://doi.org/10.1016/j.actaastro.2021.12.030" TargetMode="External"/><Relationship Id="rId202" Type="http://schemas.openxmlformats.org/officeDocument/2006/relationships/hyperlink" Target="https://doi.org/10.1016/j.actaastro.2022.03.009" TargetMode="External"/><Relationship Id="rId204" Type="http://schemas.openxmlformats.org/officeDocument/2006/relationships/hyperlink" Target="https://doi.org/10.1016/j.actaastro.2022.12.045" TargetMode="External"/><Relationship Id="rId185" Type="http://schemas.openxmlformats.org/officeDocument/2006/relationships/hyperlink" Target="https://doi.org/10.1016/j.actaastro.2023.01.040" TargetMode="External"/><Relationship Id="rId212" Type="http://schemas.openxmlformats.org/officeDocument/2006/relationships/hyperlink" Target="https://doi.org/10.1016/j.actaastro.2024.09.047" TargetMode="External"/><Relationship Id="rId210" Type="http://schemas.openxmlformats.org/officeDocument/2006/relationships/hyperlink" Target="https://doi.org/10.1016/j.actaastro.2024.11.033" TargetMode="External"/><Relationship Id="rId214" Type="http://schemas.openxmlformats.org/officeDocument/2006/relationships/hyperlink" Target="https://doi.org/10.1016/j.actaastro.2025.01.003" TargetMode="External"/><Relationship Id="rId176" Type="http://schemas.openxmlformats.org/officeDocument/2006/relationships/hyperlink" Target="https://doi.org/10.1016/j.actaastro.2025.04.038" TargetMode="External"/><Relationship Id="rId178" Type="http://schemas.openxmlformats.org/officeDocument/2006/relationships/hyperlink" Target="https://doi.org/10.1016/j.actaastro.2025.06.050" TargetMode="External"/><Relationship Id="rId187" Type="http://schemas.openxmlformats.org/officeDocument/2006/relationships/hyperlink" Target="https://doi.org/10.1016/j.actaastro.2025.10.018" TargetMode="External"/><Relationship Id="rId206" Type="http://schemas.openxmlformats.org/officeDocument/2006/relationships/hyperlink" Target="https://doi.org/10.1016/j.actaastro.2025.10.071" TargetMode="External"/><Relationship Id="rId208" Type="http://schemas.openxmlformats.org/officeDocument/2006/relationships/hyperlink" Target="https://doi.org/10.1016/j.actaastro.2026.02.008" TargetMode="External"/><Relationship Id="rId200" Type="http://schemas.openxmlformats.org/officeDocument/2006/relationships/hyperlink" Target="https://doi.org/10.1016/j.actaastro.2026.02.046" TargetMode="External"/><Relationship Id="rId193" Type="http://schemas.openxmlformats.org/officeDocument/2006/relationships/hyperlink" Target="https://doi.org/10.64861/CEPU7718" TargetMode="External"/><Relationship Id="rId189" Type="http://schemas.openxmlformats.org/officeDocument/2006/relationships/hyperlink" Target="https://doi.org/10.64861/CWIU6827" TargetMode="External"/><Relationship Id="rId195" Type="http://schemas.openxmlformats.org/officeDocument/2006/relationships/hyperlink" Target="https://doi.org/10.64861/LXFG5028" TargetMode="External"/><Relationship Id="rId169" Type="http://schemas.openxmlformats.org/officeDocument/2006/relationships/hyperlink" Target="https://doi.org/10.64861/PRHC3959" TargetMode="External"/><Relationship Id="rId172" Type="http://schemas.openxmlformats.org/officeDocument/2006/relationships/hyperlink" Target="https://doi.org/10.64861/WEXT5718" TargetMode="External"/><Relationship Id="rId164" Type="http://schemas.openxmlformats.org/officeDocument/2006/relationships/hyperlink" Target="https://doi.org/10.64861/ZPBX50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Causal Drivers of Planetary Data-Pipeline Latency: An Instrumented Regression of Ground-Segment Processing Delay</dc:title>
  <dc:creator>Samir Yates (1B-SDS-036)</dc:creator>
  <cp:keywords/>
  <dcterms:created xsi:type="dcterms:W3CDTF">2026-07-02T15:51:03Z</dcterms:created>
  <dcterms:modified xsi:type="dcterms:W3CDTF">2026-07-02T15:51:03Z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