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b2f089c1b4eadc7a90c4c4624bd886492a2817"/>
    <w:p>
      <w:pPr>
        <w:pStyle w:val="Heading1"/>
      </w:pPr>
      <w:r>
        <w:t xml:space="preserve">Do Decadal Priorities Predict the Speed of Realized Return? A Cox Proportional-Hazards Cliometric of Mission Tasking and First Material Yield</w:t>
      </w:r>
    </w:p>
    <w:bookmarkStart w:id="61" w:name="introduction"/>
    <w:p>
      <w:pPr>
        <w:pStyle w:val="Heading2"/>
      </w:pPr>
      <w:r>
        <w:t xml:space="preserve">1. Introduction</w:t>
      </w:r>
    </w:p>
    <w:p>
      <w:pPr>
        <w:pStyle w:val="FirstParagraph"/>
      </w:pPr>
      <w:r>
        <w:t xml:space="preserve">Each decadal cycle, a consensus panel ranks candidate observation programs, and the ranking is read as a forecast: the highest-priority programs are presumed to deliver the largest science return, and to deliver it soonest. The presumption is load-bearing because instrument starts, budget wedges, and ground-segment tasking commitments follow the ranking. The companion study in this dissertation tested the magnitude side of that presumption, asking whether prior priority rank predicts the size of realized yield. This paper tests the timing side. It asks a narrower and more answerable question: once a program has been assigned a priority rank, does that rank predict how quickly the program reaches its first material return, the launch that converts a paper priority into an instrument on orbit.</w:t>
      </w:r>
    </w:p>
    <w:p>
      <w:pPr>
        <w:pStyle w:val="BodyText"/>
      </w:pPr>
      <w:r>
        <w:t xml:space="preserve">The timing question is the right complement to the magnitude question for two reasons. First, timing is observable cleanly. A launch date is a hard, dated fact in the public record, whereas the eventual scientific yield of a program is realized over decades and is contested. Second, timing is where the survivorship problem in the magnitude analysis bites hardest. Programs that were prioritized but never built are invisible to a yield regression because they produced no yield to measure, yet they are precisely the cases a timing model must keep, because never reaching return is the most informative outcome a priority forecast can fail to deliver. A survival model is the natural instrument here: it keeps the unbuilt and the not-yet-built programs in the sample as right-censored observations rather than discarding them, and it estimates the association between priority rank and the hazard of reaching first return directly.</w:t>
      </w:r>
    </w:p>
    <w:p>
      <w:pPr>
        <w:pStyle w:val="BodyText"/>
      </w:pPr>
      <w:r>
        <w:t xml:space="preserve">The single contribution of this paper is a signed, sized, interval-bounded estimate of that association, expressed as a hazard ratio on priority rank, together with an explicit accept-or-reject verdict on the null that rank carries no timing information.</w:t>
      </w:r>
    </w:p>
    <w:bookmarkEnd w:id="61"/>
    <w:bookmarkStart w:id="62" w:name="theory-and-hypotheses"/>
    <w:p>
      <w:pPr>
        <w:pStyle w:val="Heading2"/>
      </w:pPr>
      <w:r>
        <w:t xml:space="preserve">2. Theory and Hypotheses</w:t>
      </w:r>
    </w:p>
    <w:p>
      <w:pPr>
        <w:pStyle w:val="FirstParagraph"/>
      </w:pPr>
      <w:r>
        <w:t xml:space="preserve">The mechanism that converts a ranked program into realized observation is a tasking-and-scheduling layer whose behavior is documented independently of any decadal survey. The space-domain-awareness literature establishes that observational yield is the output of an optimization layer that allocates finite sensor time against competing targets on value-of-information grounds</w:t>
      </w:r>
      <w:r>
        <w:t xml:space="preserve"> </w:t>
      </w:r>
      <w:hyperlink w:anchor="ref-1">
        <m:oMathPara>
          <m:oMathParaPr>
            <m:jc m:val="center"/>
          </m:oMathParaPr>
          <m:oMath>
            <m:r>
              <m:t>1</m:t>
            </m:r>
          </m:oMath>
        </m:oMathPara>
      </w:hyperlink>
      <w:r>
        <w:t xml:space="preserve">, that this layer can extract usable signal even from heterogeneous and non-traditional sensor networks</w:t>
      </w:r>
      <w:r>
        <w:t xml:space="preserve"> </w:t>
      </w:r>
      <w:hyperlink w:anchor="ref-2">
        <m:oMathPara>
          <m:oMathParaPr>
            <m:jc m:val="center"/>
          </m:oMathParaPr>
          <m:oMath>
            <m:r>
              <m:t>2</m:t>
            </m:r>
          </m:oMath>
        </m:oMathPara>
      </w:hyperlink>
      <w:r>
        <w:t xml:space="preserve">, and that the scheduling solutions themselves can be characterized for optimality</w:t>
      </w:r>
      <w:r>
        <w:t xml:space="preserve"> </w:t>
      </w:r>
      <w:hyperlink w:anchor="ref-3">
        <m:oMathPara>
          <m:oMathParaPr>
            <m:jc m:val="center"/>
          </m:oMathParaPr>
          <m:oMath>
            <m:r>
              <m:t>3</m:t>
            </m:r>
          </m:oMath>
        </m:oMathPara>
      </w:hyperlink>
      <w:r>
        <w:t xml:space="preserve">. That body of work treats the priority structure pointing the sensors as exogenous and given; it does not ask whether the priorities were good predictors of where, or how quickly, return would in fact be found. The Earth-observation economics literature establishes in parallel that the value of an observation data product is a measurable property of the realized product rather than an assumed property of the program that commissioned it</w:t>
      </w:r>
      <w:r>
        <w:t xml:space="preserve"> </w:t>
      </w:r>
      <w:hyperlink w:anchor="ref-4">
        <m:oMathPara>
          <m:oMathParaPr>
            <m:jc m:val="center"/>
          </m:oMathParaPr>
          <m:oMath>
            <m:r>
              <m:t>4</m:t>
            </m:r>
          </m:oMath>
        </m:oMathPara>
      </w:hyperlink>
      <w:r>
        <w:t xml:space="preserve">. The research-investment and space-economy literatures establish that prioritized investment is consequential in aggregate and that value capture requires deliberate prior investment in enabling capability [5, 6, 7], but they reason about investment in the aggregate rather than program by program.</w:t>
      </w:r>
    </w:p>
    <w:p>
      <w:pPr>
        <w:pStyle w:val="FirstParagraph"/>
      </w:pPr>
      <w:r>
        <w:t xml:space="preserve">The gap is the untested loop. One body of work owns the yield mechanism, a second owns the value of the realized product, and a third owns the logic of prioritized investment, yet none regresses the realized timing of return on the prior priority rank. This paper closes that loop on the timing margin.</w:t>
      </w:r>
    </w:p>
    <w:p>
      <w:pPr>
        <w:pStyle w:val="BodyText"/>
      </w:pPr>
      <w:r>
        <w:t xml:space="preserve">The theory yields a directional prediction. If priority rank functions as the community treats it, then assigning a program a higher priority should channel budget, attention, and early tasking commitment toward that program, accelerating its path to first return. In a proportional-hazards frame, a higher-priority program should carry a higher instantaneous hazard of reaching launch. Because priority is coded so that a lower rank number means higher priority, the predicted coefficient on rank is negative: each step down the priority list should lower the hazard of return.</w:t>
      </w:r>
    </w:p>
    <w:p>
      <w:pPr>
        <w:pStyle w:val="BodyText"/>
      </w:pPr>
      <w:r>
        <w:rPr>
          <w:b/>
          <w:bCs/>
        </w:rPr>
        <w:t xml:space="preserve">H0 (null):</w:t>
      </w:r>
      <w:r>
        <w:t xml:space="preserve"> </w:t>
      </w:r>
      <w:r>
        <w:t xml:space="preserve">the coefficient on priority rank is zero. Once program cost scale is held fixed, rank carries no information about the speed of realized return.</w:t>
      </w:r>
    </w:p>
    <w:p>
      <w:pPr>
        <w:pStyle w:val="BodyText"/>
      </w:pPr>
      <w:r>
        <w:rPr>
          <w:b/>
          <w:bCs/>
        </w:rPr>
        <w:t xml:space="preserve">H1 (alternative):</w:t>
      </w:r>
      <w:r>
        <w:t xml:space="preserve"> </w:t>
      </w:r>
      <w:r>
        <w:t xml:space="preserve">the coefficient on priority rank is negative and of non-trivial magnitude. A lower rank number, that is a higher priority, is associated with a higher hazard of reaching first material return, equivalently a shorter time-to-return.</w:t>
      </w:r>
    </w:p>
    <w:p>
      <w:pPr>
        <w:pStyle w:val="BodyText"/>
      </w:pPr>
      <w:r>
        <w:t xml:space="preserve">The estimand is the hazard ratio on rank. The verdict is whichever of H0 or H1 the estimate and its interval support, and the study commits to reporting whichever obtains.</w:t>
      </w:r>
    </w:p>
    <w:bookmarkEnd w:id="62"/>
    <w:bookmarkStart w:id="63" w:name="data"/>
    <w:p>
      <w:pPr>
        <w:pStyle w:val="Heading2"/>
      </w:pPr>
      <w:r>
        <w:t xml:space="preserve">3. Data</w:t>
      </w:r>
    </w:p>
    <w:p>
      <w:pPr>
        <w:pStyle w:val="FirstParagraph"/>
      </w:pPr>
      <w:r>
        <w:t xml:space="preserve">The unit of analysis is a ranked NASA observation or mission program. The sample comprises 28 programs drawn from the published consensus decadal surveys and from the competed announcement-of-opportunity selections that operationalize decadal guidance. The priority-rank covariate is taken from the surveys and selection orders directly: the large-mission ranking in the 2010 astrophysics survey, the flagship ranking in the 2013 planetary survey, the tier-one Earth-science recommendations, the 2020s-decade flagship recommendations, and the rank order of competed Discovery, New Frontiers, and Explorer-class selections. For each program the dataset records the year the priority was assigned, the priority rank, the program lifecycle cost scale in billions of dollars, the survey-decade epoch, the duration in years from priority assignment to first material return, and an event indicator.</w:t>
      </w:r>
    </w:p>
    <w:p>
      <w:pPr>
        <w:pStyle w:val="BodyText"/>
      </w:pPr>
      <w:r>
        <w:t xml:space="preserve">The outcome is constructed as a duration and an event in the survival sense. A program that had launched by the December 2025 horizon is coded as an event, with duration equal to the years from priority assignment to launch. A program still in development, deferred, or cancelled at the horizon is coded as right-censored, with duration equal to the years it was observed without reaching return. This coding is what allows the prioritized-but-unbuilt programs, the Uranus Orbiter and Probe, the Space Interferometry Mission, the Terrestrial Planet Finder, the 2020s-decade flagship concepts, to remain in the sample as informative censored observations rather than being dropped. Of the 28 programs, 14 reached first material return within the window and 14 are right-censored.</w:t>
      </w:r>
    </w:p>
    <w:p>
      <w:pPr>
        <w:pStyle w:val="BodyText"/>
      </w:pPr>
      <w:r>
        <w:t xml:space="preserve">Every row carries its own source in the final column of the data file: NASA mission launch records and press kits for the dates and costs, the named decadal survey volumes for the priority ranks, and the competed-selection announcements for the announcement-of-opportunity orderings. Where a program is a pre-formulation concept whose cost has no released project baseline, the cost scale is marked illustrative; such illustrative values are confined to three of the 28 rows, under eleven percent of the sample, and none of the rank, duration, or event values is illustrative.</w:t>
      </w:r>
    </w:p>
    <w:bookmarkEnd w:id="63"/>
    <w:bookmarkStart w:id="64" w:name="method"/>
    <w:p>
      <w:pPr>
        <w:pStyle w:val="Heading2"/>
      </w:pPr>
      <w:r>
        <w:t xml:space="preserve">4. Method</w:t>
      </w:r>
    </w:p>
    <w:p>
      <w:pPr>
        <w:pStyle w:val="FirstParagraph"/>
      </w:pPr>
      <w:r>
        <w:t xml:space="preserve">The model is a Cox proportional-hazards regression of the hazard of first material return on priority rank and program cost scale. The proportional-hazards form factors the hazard into a non-parametric baseline that is shared across programs and a multiplicative term that is exponential in the covariates, so that the rank coefficient is identified from the order in which programs reach return rather than from any assumed shape of the baseline hazard. Cost scale enters as a control because large programs both attract priority and take longer to build, and omitting it would let a slow-build effect masquerade as a rank effect. The exponentiated rank coefficient is the hazard ratio: the multiplicative change in the instantaneous hazard of return for a one-step increase in rank number.</w:t>
      </w:r>
    </w:p>
    <w:p>
      <w:pPr>
        <w:pStyle w:val="BodyText"/>
      </w:pPr>
      <w:r>
        <w:t xml:space="preserve">Survey epoch was specified in the design as a third covariate to absorb capability growth across decades. In estimation it induced quasi-complete separation, because every program in the 2020s-decade cohort is right-censored at the horizon, which drives the epoch coefficient to a degenerate value and destabilizes the partial likelihood. The epoch term is therefore retained in the data for provenance and treated as a discussed confound, but it is excluded from the fitted covariate set. The common 2025 censoring horizon absorbs the capability-growth confound structurally, since all programs are observed against the same calendar cutoff regardless of cohort. The reported specification conditions on rank and cost scale and is estimated on all 28 programs with 14 events.</w:t>
      </w:r>
    </w:p>
    <w:bookmarkEnd w:id="64"/>
    <w:bookmarkStart w:id="65" w:name="findings"/>
    <w:p>
      <w:pPr>
        <w:pStyle w:val="Heading2"/>
      </w:pPr>
      <w:r>
        <w:t xml:space="preserve">5. Findings</w:t>
      </w:r>
    </w:p>
    <w:p>
      <w:pPr>
        <w:pStyle w:val="FirstParagraph"/>
      </w:pPr>
      <w:r>
        <w:t xml:space="preserve">The estimate on priority rank is negative, in the direction H1 predicts, but it does not reach conventional significance. The fitted rank coefficient is -0.47 with a standard error of 0.31, a z-statistic of -1.51, and a p-value of 0.13. The corresponding hazard ratio is 0.62, with a ninety-five percent confidence interval on the coefficient running from -1.08 to 0.14. Read as a hazard ratio, the point estimate says that each step down the priority list, each unit increase in rank number, is associated with roughly a thirty-eight percent lower instantaneous hazard of reaching first material return. The sign is the one the prioritization apparatus would predict: higher-priority programs do reach return faster in the point estimate. But the confidence interval on the coefficient crosses zero, and the p-value of 0.13 does not clear the conventional threshold. On the evidence of these 28 programs, the null that rank carries no timing information cannot be rejected.</w:t>
      </w:r>
    </w:p>
    <w:p>
      <w:pPr>
        <w:pStyle w:val="BodyText"/>
      </w:pPr>
      <w:r>
        <w:t xml:space="preserve">The cost-scale control behaves sensibly and is the sharper of the two estimates. Its coefficient is -0.47 with a standard error of 0.24, a z-statistic of -1.94, and a p-value of 0.052, just at the edge of conventional significance. The hazard ratio of 0.63 indicates that each additional billion dollars of program scale is associated with roughly a thirty-seven percent lower hazard of reaching first return, that is, larger programs take materially longer to launch. The near-equality of the two point estimates, with rank and cost each carrying a hazard ratio close to 0.62, is itself informative: in this sample the apparent timing advantage of higher-priority programs is of the same order as, and statistically less distinguishable from, the timing penalty of larger scale. Once scale is held fixed, the independent contribution of rank to the speed of return is real in sign but imprecise in magnitude.</w:t>
      </w:r>
    </w:p>
    <w:p>
      <w:pPr>
        <w:pStyle w:val="BodyText"/>
      </w:pPr>
      <w:r>
        <w:t xml:space="preserve">The verdict is therefore a failure to reject H0 on rank, with a directionally favorable but underpowered point estimate. This is the falsifiable result the design committed to reporting in either direction. It is not a null of indifference: the negative sign and the hazard ratio below one are consistent with priority rank doing some predictive work on timing, but the sample of 28 programs with 14 events does not contain enough information to separate that work from sampling noise at conventional confidence. The honest reading is that decadal priority rank, on this evidence, is a weak and statistically unconfirmed predictor of how quickly a program reaches first material return, while program scale is a stronger and nearly significant one.</w:t>
      </w:r>
    </w:p>
    <w:bookmarkEnd w:id="65"/>
    <w:bookmarkStart w:id="66" w:name="discussion"/>
    <w:p>
      <w:pPr>
        <w:pStyle w:val="Heading2"/>
      </w:pPr>
      <w:r>
        <w:t xml:space="preserve">6. Discussion</w:t>
      </w:r>
    </w:p>
    <w:p>
      <w:pPr>
        <w:pStyle w:val="FirstParagraph"/>
      </w:pPr>
      <w:r>
        <w:t xml:space="preserve">Three implications follow. First, the result tempers the load-bearing presumption without overturning it. The prioritization apparatus is not shown to be uninformative about timing, but neither is it shown to be the dominant driver the community treats it as. The point estimate that survives is that scale, not rank, is the variable most clearly associated with how long a prioritized program takes to fly. A prioritization process that wants its rankings to translate into faster return would do well to attend to the scale of what it ranks first, since the timing penalty of large flagships is the more precisely estimated effect in this sample.</w:t>
      </w:r>
    </w:p>
    <w:p>
      <w:pPr>
        <w:pStyle w:val="BodyText"/>
      </w:pPr>
      <w:r>
        <w:t xml:space="preserve">Second, the survival framing earns its keep precisely on the cases a yield regression would discard. The fourteen censored programs include the most prominently prioritized concepts of the 2020s-decade surveys and several high-priority missions of earlier decades that were never built. A magnitude analysis that conditioned on having produced yield would have dropped exactly these, biasing any rank-to-return estimate toward the optimistic conclusion that priorities deliver. By keeping them as censored observations, the Cox specification holds the prioritization apparatus accountable for the programs it ranked highly and did not deliver on schedule, which is where a forecast of return is most exposed.</w:t>
      </w:r>
    </w:p>
    <w:p>
      <w:pPr>
        <w:pStyle w:val="BodyText"/>
      </w:pPr>
      <w:r>
        <w:t xml:space="preserve">Third, the limits are honest and bounded. With 28 programs and 14 events, the design is underpowered to detect a rank effect of the magnitude the point estimate suggests; a coefficient of -0.47 with a standard error of 0.31 would reach significance in a sample two to three times larger if the effect held. The quasi-complete separation on epoch is itself a finding rather than a nuisance: that every 2020s-cohort flagship is still censored is the strongest single piece of evidence in the dataset that the most recent priorities have not yet converted to return, and a longer observation window will resolve whether they eventually do. The placebo and permutation checks anticipated in the design would further bound how much of the negative rank coefficient could arise from rank structure alone. The verdict stands as reported: priority rank predicts the speed of realized return in sign but not, on this evidence, with confidence, and the relationship is weaker than the prioritization apparatus assumes.</w:t>
      </w:r>
    </w:p>
    <w:bookmarkEnd w:id="66"/>
    <w:bookmarkStart w:id="76" w:name="references"/>
    <w:p>
      <w:pPr>
        <w:pStyle w:val="Heading2"/>
      </w:pPr>
      <w:r>
        <w:t xml:space="preserve">References</w:t>
      </w:r>
    </w:p>
    <w:p>
      <w:pPr>
        <w:pStyle w:val="FirstParagraph"/>
      </w:pPr>
      <w:bookmarkStart w:id="67" w:name="ref-1"/>
      <w:bookmarkEnd w:id="67"/>
      <w:r>
        <w:t xml:space="preserve">1. N. K. Dhingra, C. DeJac, J. Neel, A. Herz, T. Wolf, and B. Jones,</w:t>
      </w:r>
      <w:r>
        <w:t xml:space="preserve"> </w:t>
      </w:r>
      <w:r>
        <w:t xml:space="preserve">“The Impact of Orbit Accuracy-Based Tasking on Sensor Network Efficiency,”</w:t>
      </w:r>
      <w:r>
        <w:t xml:space="preserve"> </w:t>
      </w:r>
      <w:r>
        <w:t xml:space="preserve">Proc. Advanced Maui Optical and Space Surveillance Technologies (AMOS) Conference, 2022. https://amostech.com/TechnicalPapers/2022/Poster/Dhingra.pdf</w:t>
      </w:r>
    </w:p>
    <w:p>
      <w:pPr>
        <w:pStyle w:val="BodyText"/>
      </w:pPr>
      <w:bookmarkStart w:id="68" w:name="ref-2"/>
      <w:bookmarkEnd w:id="68"/>
      <w:r>
        <w:t xml:space="preserve">2. N. Dhingra, C. DeJac, A. Herz, T. Wolf, and B. Jones,</w:t>
      </w:r>
      <w:r>
        <w:t xml:space="preserve"> </w:t>
      </w:r>
      <w:r>
        <w:t xml:space="preserve">“Maximizing the Utility of Non-Traditional Sensor Network Data for SDA,”</w:t>
      </w:r>
      <w:r>
        <w:t xml:space="preserve"> </w:t>
      </w:r>
      <w:r>
        <w:t xml:space="preserve">Proc. Advanced Maui Optical and Space Surveillance Technologies (AMOS) Conference, 2021. https://amostech.com/TechnicalPapers/2021/Poster/Dhingra.pdf</w:t>
      </w:r>
    </w:p>
    <w:p>
      <w:pPr>
        <w:pStyle w:val="BodyText"/>
      </w:pPr>
      <w:bookmarkStart w:id="69" w:name="ref-3"/>
      <w:bookmarkEnd w:id="69"/>
      <w:r>
        <w:t xml:space="preserve">3. Federici et al., “Optimal Sensor Tasking for Space Domain Awareness via a Beam A*-Search Algorithm,” Proc. Advanced Maui Optical and Space Surveillance Technologies (AMOS) Conference, 2023. doi:</w:t>
      </w:r>
      <w:r>
        <w:t xml:space="preserve"> </w:t>
      </w:r>
      <w:hyperlink r:id="rId70">
        <w:r>
          <w:rPr>
            <w:rStyle w:val="Hyperlink"/>
          </w:rPr>
          <w:t xml:space="preserve">10.64861/MEDT2838</w:t>
        </w:r>
      </w:hyperlink>
    </w:p>
    <w:p>
      <w:pPr>
        <w:pStyle w:val="BodyText"/>
      </w:pPr>
      <w:bookmarkStart w:id="71" w:name="ref-4"/>
      <w:bookmarkEnd w:id="71"/>
      <w:r>
        <w:t xml:space="preserve">4.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72">
        <w:r>
          <w:rPr>
            <w:rStyle w:val="Hyperlink"/>
          </w:rPr>
          <w:t xml:space="preserve">10.1016/j.actaastro.2017.04.034</w:t>
        </w:r>
      </w:hyperlink>
    </w:p>
    <w:p>
      <w:pPr>
        <w:pStyle w:val="BodyText"/>
      </w:pPr>
      <w:bookmarkStart w:id="73" w:name="ref-5"/>
      <w:bookmarkEnd w:id="73"/>
      <w:r>
        <w:t xml:space="preserve">5.</w:t>
      </w:r>
      <w:r>
        <w:t xml:space="preserve"> </w:t>
      </w:r>
      <w:r>
        <w:t xml:space="preserve">“Economic Statecraft Literature Review,”</w:t>
      </w:r>
      <w:r>
        <w:t xml:space="preserve"> </w:t>
      </w:r>
      <w:r>
        <w:t xml:space="preserve">Space Economy Papers corpus, source key SD09, D:/Claude_Code/Space_Economy_Papers/.</w:t>
      </w:r>
    </w:p>
    <w:p>
      <w:pPr>
        <w:pStyle w:val="BodyText"/>
      </w:pPr>
      <w:bookmarkStart w:id="74" w:name="ref-6"/>
      <w:bookmarkEnd w:id="74"/>
      <w:r>
        <w:t xml:space="preserve">6. M. Weinzierl,</w:t>
      </w:r>
      <w:r>
        <w:t xml:space="preserve"> </w:t>
      </w:r>
      <w:r>
        <w:t xml:space="preserve">“Space, the Final Economic Frontier,”</w:t>
      </w:r>
      <w:r>
        <w:t xml:space="preserve"> </w:t>
      </w:r>
      <w:r>
        <w:t xml:space="preserve">Space Economy Papers corpus, source key SD18, 2018, D:/Claude_Code/Space_Economy_Papers/.</w:t>
      </w:r>
    </w:p>
    <w:p>
      <w:pPr>
        <w:pStyle w:val="BodyText"/>
      </w:pPr>
      <w:bookmarkStart w:id="75" w:name="ref-7"/>
      <w:bookmarkEnd w:id="75"/>
      <w:r>
        <w:t xml:space="preserve">7.</w:t>
      </w:r>
      <w:r>
        <w:t xml:space="preserve"> </w:t>
      </w:r>
      <w:r>
        <w:t xml:space="preserve">“The Role of Space in Driving Sustainability, Security, and Development,”</w:t>
      </w:r>
      <w:r>
        <w:t xml:space="preserve"> </w:t>
      </w:r>
      <w:r>
        <w:t xml:space="preserve">Space Economy Papers corpus, source key SD13, D:/Claude_Code/Space_Economy_Papers/.</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rPr>
                  <m:nor/>
                  <m:sty m:val="p"/>
                </m:rPr>
                <m:t>rank</m:t>
              </m:r>
            </m:e>
            <m:sub>
              <m:r>
                <m:t>i</m:t>
              </m:r>
            </m:sub>
          </m:sSub>
          <m:r>
            <m:rPr>
              <m:sty m:val="p"/>
            </m:rPr>
            <m:t>,</m:t>
          </m:r>
          <m:sSub>
            <m:e>
              <m:r>
                <m:rPr>
                  <m:nor/>
                  <m:sty m:val="p"/>
                </m:rPr>
                <m:t>cost</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sSub>
                <m:e>
                  <m:r>
                    <m:rPr>
                      <m:nor/>
                      <m:sty m:val="p"/>
                    </m:rPr>
                    <m:t>rank</m:t>
                  </m:r>
                </m:e>
                <m:sub>
                  <m:r>
                    <m:t>i</m:t>
                  </m:r>
                </m:sub>
              </m:sSub>
              <m:r>
                <m:rPr>
                  <m:sty m:val="p"/>
                </m:rPr>
                <m:t>+</m:t>
              </m:r>
              <m:sSub>
                <m:e>
                  <m:r>
                    <m:t>β</m:t>
                  </m:r>
                </m:e>
                <m:sub>
                  <m:r>
                    <m:t>2</m:t>
                  </m:r>
                </m:sub>
              </m:sSub>
              <m:r>
                <m:t> </m:t>
              </m:r>
              <m:sSub>
                <m:e>
                  <m:r>
                    <m:rPr>
                      <m:nor/>
                      <m:sty m:val="p"/>
                    </m:rPr>
                    <m:t>cost</m:t>
                  </m:r>
                </m:e>
                <m:sub>
                  <m:r>
                    <m:t>i</m:t>
                  </m:r>
                </m:sub>
              </m:sSub>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0.311</w:t>
            </w:r>
          </w:p>
        </w:tc>
        <w:tc>
          <w:tcPr>
            <w:tcW w:w="0" w:type="auto"/>
          </w:tcPr>
          <w:p>
            <w:pPr>
              <w:spacing w:line="240" w:lineRule="auto" w:before="0" w:after="0"/>
              <w:pStyle w:val="Compact"/>
            </w:pPr>
            <w:r>
              <w:rPr>
                <w:sz w:val="20"/>
                <w:szCs w:val="20"/>
              </w:rPr>
              <w:t xml:space="preserve">-1.5122</w:t>
            </w:r>
          </w:p>
        </w:tc>
        <w:tc>
          <w:tcPr>
            <w:tcW w:w="0" w:type="auto"/>
          </w:tcPr>
          <w:p>
            <w:pPr>
              <w:spacing w:line="240" w:lineRule="auto" w:before="0" w:after="0"/>
              <w:pStyle w:val="Compact"/>
            </w:pPr>
            <w:r>
              <w:rPr>
                <w:sz w:val="20"/>
                <w:szCs w:val="20"/>
              </w:rPr>
              <w:t xml:space="preserve">0.1305</w:t>
            </w:r>
          </w:p>
        </w:tc>
        <w:tc>
          <w:tcPr>
            <w:tcW w:w="0" w:type="auto"/>
          </w:tcPr>
          <w:p>
            <w:pPr>
              <w:spacing w:line="240" w:lineRule="auto" w:before="0" w:after="0"/>
              <w:pStyle w:val="Compact"/>
            </w:pPr>
            <w:r>
              <w:rPr>
                <w:sz w:val="20"/>
                <w:szCs w:val="20"/>
              </w:rPr>
              <w:t xml:space="preserve">[-1.0797, 0.1393]</w:t>
            </w:r>
          </w:p>
        </w:tc>
        <w:tc>
          <w:tcPr>
            <w:tcW w:w="0" w:type="auto"/>
          </w:tcPr>
          <w:p>
            <w:pPr>
              <w:spacing w:line="240" w:lineRule="auto" w:before="0" w:after="0"/>
              <w:pStyle w:val="Compact"/>
            </w:pPr>
            <w:r>
              <w:rPr>
                <w:sz w:val="20"/>
                <w:szCs w:val="20"/>
              </w:rPr>
              <w:t xml:space="preserve">0.6249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0.2408</w:t>
            </w:r>
          </w:p>
        </w:tc>
        <w:tc>
          <w:tcPr>
            <w:tcW w:w="0" w:type="auto"/>
          </w:tcPr>
          <w:p>
            <w:pPr>
              <w:spacing w:line="240" w:lineRule="auto" w:before="0" w:after="0"/>
              <w:pStyle w:val="Compact"/>
            </w:pPr>
            <w:r>
              <w:rPr>
                <w:sz w:val="20"/>
                <w:szCs w:val="20"/>
              </w:rPr>
              <w:t xml:space="preserve">-1.9443</w:t>
            </w:r>
          </w:p>
        </w:tc>
        <w:tc>
          <w:tcPr>
            <w:tcW w:w="0" w:type="auto"/>
          </w:tcPr>
          <w:p>
            <w:pPr>
              <w:spacing w:line="240" w:lineRule="auto" w:before="0" w:after="0"/>
              <w:pStyle w:val="Compact"/>
            </w:pPr>
            <w:r>
              <w:rPr>
                <w:sz w:val="20"/>
                <w:szCs w:val="20"/>
              </w:rPr>
              <w:t xml:space="preserve">0.0519</w:t>
            </w:r>
          </w:p>
        </w:tc>
        <w:tc>
          <w:tcPr>
            <w:tcW w:w="0" w:type="auto"/>
          </w:tcPr>
          <w:p>
            <w:pPr>
              <w:spacing w:line="240" w:lineRule="auto" w:before="0" w:after="0"/>
              <w:pStyle w:val="Compact"/>
            </w:pPr>
            <w:r>
              <w:rPr>
                <w:sz w:val="20"/>
                <w:szCs w:val="20"/>
              </w:rPr>
              <w:t xml:space="preserve">[-0.9402, 0.0038]</w:t>
            </w:r>
          </w:p>
        </w:tc>
        <w:tc>
          <w:tcPr>
            <w:tcW w:w="0" w:type="auto"/>
          </w:tcPr>
          <w:p>
            <w:pPr>
              <w:spacing w:line="240" w:lineRule="auto" w:before="0" w:after="0"/>
              <w:pStyle w:val="Compact"/>
            </w:pPr>
            <w:r>
              <w:rPr>
                <w:sz w:val="20"/>
                <w:szCs w:val="20"/>
              </w:rPr>
              <w:t xml:space="preserve">0.6261</w:t>
            </w:r>
          </w:p>
        </w:tc>
      </w:tr>
    </w:tbl>
    <w:p>
      <w:pPr>
        <w:pStyle w:val="BodyText"/>
      </w:pPr>
      <w:r>
        <w:t xml:space="preserve">Fit: N = 28 events = 14</w:t>
      </w:r>
    </w:p>
    <w:p>
      <w:pPr>
        <w:pStyle w:val="CaptionedFigure"/>
      </w:pPr>
      <w:r>
        <w:drawing>
          <wp:inline>
            <wp:extent cx="5669280" cy="3657600"/>
            <wp:effectExtent b="0" l="0" r="0" t="0"/>
            <wp:docPr descr="Figure 1. Time-to-first-material-return against decadal priority rank for 28 ranked NASA observation and mission programs. Launched programs (event = 1) versus right-censored programs (event = 0, still in development or cancelled) illustrate the survival structure underlying the Cox estimate of whether higher priority predicts faster realized return." title="" id="79" name="Picture"/>
            <a:graphic>
              <a:graphicData uri="http://schemas.openxmlformats.org/drawingml/2006/picture">
                <pic:pic>
                  <pic:nvPicPr>
                    <pic:cNvPr descr="D:\Claude_Code\brain\collegium\candidates\dissertations\JPL_OPS_COMMS_DATA_10\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Time-to-first-material-return against decadal priority rank for 28 ranked NASA observation and mission programs. Launched programs (event = 1) versus right-censored programs (event = 0, still in development or cancelled) illustrate the survival structure underlying the Cox estimate of whether higher priority predicts faster realized return.</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survey</w:t>
            </w:r>
          </w:p>
        </w:tc>
        <w:tc>
          <w:tcPr>
            <w:tcW w:w="0" w:type="auto"/>
          </w:tcPr>
          <w:p>
            <w:pPr>
              <w:spacing w:line="240" w:lineRule="auto" w:before="0" w:after="0"/>
              <w:pStyle w:val="Compact"/>
            </w:pPr>
            <w:r>
              <w:rPr>
                <w:sz w:val="20"/>
                <w:szCs w:val="20"/>
              </w:rPr>
              <w:t xml:space="preserve">start_year</w:t>
            </w:r>
          </w:p>
        </w:tc>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WFIRST/Roman Space Telescope</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Roman launch slipped to 2026-2027; not launched by 2025-12 horizon (censored). Rank 1 large space mission in Astro2010 New Worlds New Horizons (NAP 12951). Cost ~$4.3B. Roman launch 2026-2027 per NASA/SpaceNews 2025-12 (https://en.wikipedia.org/wiki/Nancy_Grace_Roman_Space_Telescope)</w:t>
            </w:r>
          </w:p>
        </w:tc>
      </w:tr>
      <w:tr>
        <w:tc>
          <w:tcPr>
            <w:tcW w:w="0" w:type="auto"/>
          </w:tcPr>
          <w:p>
            <w:pPr>
              <w:spacing w:line="240" w:lineRule="auto" w:before="0" w:after="0"/>
              <w:pStyle w:val="Compact"/>
            </w:pPr>
            <w:r>
              <w:rPr>
                <w:sz w:val="20"/>
                <w:szCs w:val="20"/>
              </w:rPr>
              <w:t xml:space="preserve">Explorer Program Augmentation</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Rank 2 large space activity Astro2010 (NAP 12951); Explorer augmentation implemented via subsequent MIDEX selections within ~3 yr. MIDEX cost cap ~$0.46B (TESS class). Source: NAP 13045 panel report on implementing Astro2010 (https://nap.nationalacademies.org/read/13045/chapter/4)</w:t>
            </w:r>
          </w:p>
        </w:tc>
      </w:tr>
      <w:tr>
        <w:tc>
          <w:tcPr>
            <w:tcW w:w="0" w:type="auto"/>
          </w:tcPr>
          <w:p>
            <w:pPr>
              <w:spacing w:line="240" w:lineRule="auto" w:before="0" w:after="0"/>
              <w:pStyle w:val="Compact"/>
            </w:pPr>
            <w:r>
              <w:rPr>
                <w:sz w:val="20"/>
                <w:szCs w:val="20"/>
              </w:rPr>
              <w:t xml:space="preserve">LISA (Laser Interferometer Space Antenna)</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Rank 3 large space activity Astro2010 (NAP 12951); ESA-led LISA adopted 2017, NASA minor partner, launch ~2035; censored at 2025 horizon. NASA contribution capped near $1.5B (Astro2010 assessed full LISA ~$2.4B, US share). Source: spacepolicyonline.com Astro2010 priorities (https://spacepolicyonline.com/news/understanding-dark-energy-finding-earth-like-planets-top-priorities-says-nrcs-astro2010-study/)</w:t>
            </w:r>
          </w:p>
        </w:tc>
      </w:tr>
      <w:tr>
        <w:tc>
          <w:tcPr>
            <w:tcW w:w="0" w:type="auto"/>
          </w:tcPr>
          <w:p>
            <w:pPr>
              <w:spacing w:line="240" w:lineRule="auto" w:before="0" w:after="0"/>
              <w:pStyle w:val="Compact"/>
            </w:pPr>
            <w:r>
              <w:rPr>
                <w:sz w:val="20"/>
                <w:szCs w:val="20"/>
              </w:rPr>
              <w:t xml:space="preserve">IXO/Athena X-ray Observatory</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Astro2010 ranked IXO 4th among large space activities; not pursued by NASA as flagship (ESA Athena, launch &gt;2035); censored. Astro2010 assessed IXO NASA cost ~$2.0B. Source: AAS midterm assessment of Astro2010 (https://aas.org/posts/news/2016/08/midterm-assessment-astrophysics-decadal-survey-released)</w:t>
            </w:r>
          </w:p>
        </w:tc>
      </w:tr>
      <w:tr>
        <w:tc>
          <w:tcPr>
            <w:tcW w:w="0" w:type="auto"/>
          </w:tcPr>
          <w:p>
            <w:pPr>
              <w:spacing w:line="240" w:lineRule="auto" w:before="0" w:after="0"/>
              <w:pStyle w:val="Compact"/>
            </w:pPr>
            <w:r>
              <w:rPr>
                <w:sz w:val="20"/>
                <w:szCs w:val="20"/>
              </w:rPr>
              <w:t xml:space="preserve">JWST (in-progress at Astro2010)</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JWST was top large recommendation of the 2001 Astro2000 decadal; launched 2021-12-25 (~20 yr from 2001). Actual lifecycle cost ~$9.7B. Source: en.wikipedia.org/wiki/James_Webb_Space_Telescope launch and cost</w:t>
            </w:r>
          </w:p>
        </w:tc>
      </w:tr>
      <w:tr>
        <w:tc>
          <w:tcPr>
            <w:tcW w:w="0" w:type="auto"/>
          </w:tcPr>
          <w:p>
            <w:pPr>
              <w:spacing w:line="240" w:lineRule="auto" w:before="0" w:after="0"/>
              <w:pStyle w:val="Compact"/>
            </w:pPr>
            <w:r>
              <w:rPr>
                <w:sz w:val="20"/>
                <w:szCs w:val="20"/>
              </w:rPr>
              <w:t xml:space="preserve">Mars Sample Return / Mars 2020</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V&amp;V 2013 highest-priority flagship was Mars Sample Return campaign; first element Mars 2020 (Perseverance) launched 2020-07-30 (~9 yr from 2011 program start). Mars 2020 cost ~$2.7B. Source: Mars 2020 launch (https://en.wikipedia.org/wiki/Mars_2020); V&amp;V flagship ranking (https://en.wikipedia.org/wiki/Planetary_Science_Decadal_Survey)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V&amp;V 2013 second flagship priority (Jupiter Europa Orbiter, descoped to Europa Clipper); launched 2024-10-14 (~13 yr from 2011). Cost ~$5.2B. Source: Europa Clipper launch (https://en.wikipedia.org/wiki/Europa_Clipper)</w:t>
            </w:r>
          </w:p>
        </w:tc>
      </w:tr>
      <w:tr>
        <w:tc>
          <w:tcPr>
            <w:tcW w:w="0" w:type="auto"/>
          </w:tcPr>
          <w:p>
            <w:pPr>
              <w:spacing w:line="240" w:lineRule="auto" w:before="0" w:after="0"/>
              <w:pStyle w:val="Compact"/>
            </w:pPr>
            <w:r>
              <w:rPr>
                <w:sz w:val="20"/>
                <w:szCs w:val="20"/>
              </w:rPr>
              <w:t xml:space="preserve">Uranus Orbiter and Probe</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V&amp;V 2013 third flagship priority; not started as a project, no NASA new start by 2025 horizon (censored). Assessed price ~$2.7B. Source: spacepolicyonline.com decadal Uranus (https://spacepolicyonline.com/news/decadal-survey-after-europa-and-mars-sample-return-uranus/)</w:t>
            </w:r>
          </w:p>
        </w:tc>
      </w:tr>
      <w:tr>
        <w:tc>
          <w:tcPr>
            <w:tcW w:w="0" w:type="auto"/>
          </w:tcPr>
          <w:p>
            <w:pPr>
              <w:spacing w:line="240" w:lineRule="auto" w:before="0" w:after="0"/>
              <w:pStyle w:val="Compact"/>
            </w:pPr>
            <w:r>
              <w:rPr>
                <w:sz w:val="20"/>
                <w:szCs w:val="20"/>
              </w:rPr>
              <w:t xml:space="preserve">Enceladus Orbiter</w:t>
            </w:r>
          </w:p>
        </w:tc>
        <w:tc>
          <w:tcPr>
            <w:tcW w:w="0" w:type="auto"/>
          </w:tcPr>
          <w:p>
            <w:pPr>
              <w:spacing w:line="240" w:lineRule="auto" w:before="0" w:after="0"/>
              <w:pStyle w:val="Compact"/>
            </w:pPr>
            <w:r>
              <w:rPr>
                <w:sz w:val="20"/>
                <w:szCs w:val="20"/>
              </w:rPr>
              <w:t xml:space="preserve">Vision&amp;Voyages2013</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V&amp;V 2013 fourth flagship priority (alongside Mars/Venus options); never selected as new start; censored. Cost [illustrative ~$1.9B]. Source: Planetary Science Decadal Survey (https://en.wikipedia.org/wiki/Planetary_Science_Decadal_Survey)</w:t>
            </w:r>
          </w:p>
        </w:tc>
      </w:tr>
      <w:tr>
        <w:tc>
          <w:tcPr>
            <w:tcW w:w="0" w:type="auto"/>
          </w:tcPr>
          <w:p>
            <w:pPr>
              <w:spacing w:line="240" w:lineRule="auto" w:before="0" w:after="0"/>
              <w:pStyle w:val="Compact"/>
            </w:pPr>
            <w:r>
              <w:rPr>
                <w:sz w:val="20"/>
                <w:szCs w:val="20"/>
              </w:rPr>
              <w:t xml:space="preserve">SIM PlanetQuest</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SIM was a high 2001-decadal-era priority; cancelled 2010 after ~$600M invested; never launched (event=0, censored at cancellation, ~9 yr observed). Source: en.wikipedia.org/wiki/Space_Interferometry_Mission cancellation 2010</w:t>
            </w:r>
          </w:p>
        </w:tc>
      </w:tr>
      <w:tr>
        <w:tc>
          <w:tcPr>
            <w:tcW w:w="0" w:type="auto"/>
          </w:tcPr>
          <w:p>
            <w:pPr>
              <w:spacing w:line="240" w:lineRule="auto" w:before="0" w:after="0"/>
              <w:pStyle w:val="Compact"/>
            </w:pPr>
            <w:r>
              <w:rPr>
                <w:sz w:val="20"/>
                <w:szCs w:val="20"/>
              </w:rPr>
              <w:t xml:space="preserve">Terrestrial Planet Finder</w:t>
            </w:r>
          </w:p>
        </w:tc>
        <w:tc>
          <w:tcPr>
            <w:tcW w:w="0" w:type="auto"/>
          </w:tcPr>
          <w:p>
            <w:pPr>
              <w:spacing w:line="240" w:lineRule="auto" w:before="0" w:after="0"/>
              <w:pStyle w:val="Compact"/>
            </w:pPr>
            <w:r>
              <w:rPr>
                <w:sz w:val="20"/>
                <w:szCs w:val="20"/>
              </w:rPr>
              <w:t xml:space="preserve">Astro2000</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TPF a 2001-decadal-era priority; deferred 2007, cancelled 2011; never launched (censored). NASA invested several hundred $M in study before cancellation; scale ~$1.0B. Source: en.wikipedia.org/wiki/Terrestrial_Planet_Finder cancellation 2011</w:t>
            </w:r>
          </w:p>
        </w:tc>
      </w:tr>
      <w:tr>
        <w:tc>
          <w:tcPr>
            <w:tcW w:w="0" w:type="auto"/>
          </w:tcPr>
          <w:p>
            <w:pPr>
              <w:spacing w:line="240" w:lineRule="auto" w:before="0" w:after="0"/>
              <w:pStyle w:val="Compact"/>
            </w:pPr>
            <w:r>
              <w:rPr>
                <w:sz w:val="20"/>
                <w:szCs w:val="20"/>
              </w:rPr>
              <w:t xml:space="preserve">NGRST Roman early WFIRST-AFTA</w:t>
            </w:r>
          </w:p>
        </w:tc>
        <w:tc>
          <w:tcPr>
            <w:tcW w:w="0" w:type="auto"/>
          </w:tcPr>
          <w:p>
            <w:pPr>
              <w:spacing w:line="240" w:lineRule="auto" w:before="0" w:after="0"/>
              <w:pStyle w:val="Compact"/>
            </w:pPr>
            <w:r>
              <w:rPr>
                <w:sz w:val="20"/>
                <w:szCs w:val="20"/>
              </w:rPr>
              <w:t xml:space="preserve">Astro2010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WFIRST-AFTA reformulation 2013; same program as Roman, tracked from 2013 reformulation start (~12 yr to 2025, not launched; censored). Cost ~$4.3B. Source: arxiv.org/pdf/1305.5425 WFIRST-2.4 reformulation</w:t>
            </w:r>
          </w:p>
        </w:tc>
      </w:tr>
      <w:tr>
        <w:tc>
          <w:tcPr>
            <w:tcW w:w="0" w:type="auto"/>
          </w:tcPr>
          <w:p>
            <w:pPr>
              <w:spacing w:line="240" w:lineRule="auto" w:before="0" w:after="0"/>
              <w:pStyle w:val="Compact"/>
            </w:pPr>
            <w:r>
              <w:rPr>
                <w:sz w:val="20"/>
                <w:szCs w:val="20"/>
              </w:rPr>
              <w:t xml:space="preserve">Lucy (Discovery)</w:t>
            </w:r>
          </w:p>
        </w:tc>
        <w:tc>
          <w:tcPr>
            <w:tcW w:w="0" w:type="auto"/>
          </w:tcPr>
          <w:p>
            <w:pPr>
              <w:spacing w:line="240" w:lineRule="auto" w:before="0" w:after="0"/>
              <w:pStyle w:val="Compact"/>
            </w:pPr>
            <w:r>
              <w:rPr>
                <w:sz w:val="20"/>
                <w:szCs w:val="20"/>
              </w:rPr>
              <w:t xml:space="preserve">DiscoveryAO2014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Lucy selected 2017 from Discovery 2014 AO (top-tier competed selection, rank 1 of selected pair); launched 2021-10-16 (~7 yr from 2014 AO). Cost ~$0.98B. Source: en.wikipedia.org/wiki/Lucy_(spacecraft) selection and launch</w:t>
            </w:r>
          </w:p>
        </w:tc>
      </w:tr>
      <w:tr>
        <w:tc>
          <w:tcPr>
            <w:tcW w:w="0" w:type="auto"/>
          </w:tcPr>
          <w:p>
            <w:pPr>
              <w:spacing w:line="240" w:lineRule="auto" w:before="0" w:after="0"/>
              <w:pStyle w:val="Compact"/>
            </w:pPr>
            <w:r>
              <w:rPr>
                <w:sz w:val="20"/>
                <w:szCs w:val="20"/>
              </w:rPr>
              <w:t xml:space="preserve">Psyche (Discovery)</w:t>
            </w:r>
          </w:p>
        </w:tc>
        <w:tc>
          <w:tcPr>
            <w:tcW w:w="0" w:type="auto"/>
          </w:tcPr>
          <w:p>
            <w:pPr>
              <w:spacing w:line="240" w:lineRule="auto" w:before="0" w:after="0"/>
              <w:pStyle w:val="Compact"/>
            </w:pPr>
            <w:r>
              <w:rPr>
                <w:sz w:val="20"/>
                <w:szCs w:val="20"/>
              </w:rPr>
              <w:t xml:space="preserve">DiscoveryAO2014</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Psyche selected 2017 from Discovery 2014 AO (second of selected pair); launched 2023-10-13 (~9 yr). Cost ~$1.2B. Source: en.wikipedia.org/wiki/Psyche_(spacecraft) selection and launch</w:t>
            </w:r>
          </w:p>
        </w:tc>
      </w:tr>
      <w:tr>
        <w:tc>
          <w:tcPr>
            <w:tcW w:w="0" w:type="auto"/>
          </w:tcPr>
          <w:p>
            <w:pPr>
              <w:spacing w:line="240" w:lineRule="auto" w:before="0" w:after="0"/>
              <w:pStyle w:val="Compact"/>
            </w:pPr>
            <w:r>
              <w:rPr>
                <w:sz w:val="20"/>
                <w:szCs w:val="20"/>
              </w:rPr>
              <w:t xml:space="preserve">DAVINCI (Discovery)</w:t>
            </w:r>
          </w:p>
        </w:tc>
        <w:tc>
          <w:tcPr>
            <w:tcW w:w="0" w:type="auto"/>
          </w:tcPr>
          <w:p>
            <w:pPr>
              <w:spacing w:line="240" w:lineRule="auto" w:before="0" w:after="0"/>
              <w:pStyle w:val="Compact"/>
            </w:pPr>
            <w:r>
              <w:rPr>
                <w:sz w:val="20"/>
                <w:szCs w:val="20"/>
              </w:rPr>
              <w:t xml:space="preserve">DiscoveryAO2019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DAVINCI selected 2021 from Discovery 2019 AO; launch slipped to ~2030; not launched by 2025 (censored, ~11 yr to horizon). Cost ~$0.5B. Source: en.wikipedia.org/wiki/DAVINCI selection and schedule</w:t>
            </w:r>
          </w:p>
        </w:tc>
      </w:tr>
      <w:tr>
        <w:tc>
          <w:tcPr>
            <w:tcW w:w="0" w:type="auto"/>
          </w:tcPr>
          <w:p>
            <w:pPr>
              <w:spacing w:line="240" w:lineRule="auto" w:before="0" w:after="0"/>
              <w:pStyle w:val="Compact"/>
            </w:pPr>
            <w:r>
              <w:rPr>
                <w:sz w:val="20"/>
                <w:szCs w:val="20"/>
              </w:rPr>
              <w:t xml:space="preserve">VERITAS (Discovery)</w:t>
            </w:r>
          </w:p>
        </w:tc>
        <w:tc>
          <w:tcPr>
            <w:tcW w:w="0" w:type="auto"/>
          </w:tcPr>
          <w:p>
            <w:pPr>
              <w:spacing w:line="240" w:lineRule="auto" w:before="0" w:after="0"/>
              <w:pStyle w:val="Compact"/>
            </w:pPr>
            <w:r>
              <w:rPr>
                <w:sz w:val="20"/>
                <w:szCs w:val="20"/>
              </w:rPr>
              <w:t xml:space="preserve">DiscoveryAO2019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VERITAS selected 2021 Discovery 2019 AO; descoped/delayed, launch &gt;2031; censored. Cost ~$0.5B. Source: en.wikipedia.org/wiki/VERITAS_(spacecraft) delay</w:t>
            </w:r>
          </w:p>
        </w:tc>
      </w:tr>
      <w:tr>
        <w:tc>
          <w:tcPr>
            <w:tcW w:w="0" w:type="auto"/>
          </w:tcPr>
          <w:p>
            <w:pPr>
              <w:spacing w:line="240" w:lineRule="auto" w:before="0" w:after="0"/>
              <w:pStyle w:val="Compact"/>
            </w:pPr>
            <w:r>
              <w:rPr>
                <w:sz w:val="20"/>
                <w:szCs w:val="20"/>
              </w:rPr>
              <w:t xml:space="preserve">Dragonfly (New Frontiers)</w:t>
            </w:r>
          </w:p>
        </w:tc>
        <w:tc>
          <w:tcPr>
            <w:tcW w:w="0" w:type="auto"/>
          </w:tcPr>
          <w:p>
            <w:pPr>
              <w:spacing w:line="240" w:lineRule="auto" w:before="0" w:after="0"/>
              <w:pStyle w:val="Compact"/>
            </w:pPr>
            <w:r>
              <w:rPr>
                <w:sz w:val="20"/>
                <w:szCs w:val="20"/>
              </w:rPr>
              <w:t xml:space="preserve">NewFrontiersAO2016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Dragonfly selected 2019 from New Frontiers-4 AO (rank 1 of finalists); launch 2028; not launched by 2025 (censored, ~12 yr to horizon from 2017 NF program window). Cost ~$3.35B. Source: en.wikipedia.org/wiki/Dragonfly_(spacecraft) selection 2019, launch 2028</w:t>
            </w:r>
          </w:p>
        </w:tc>
      </w:tr>
      <w:tr>
        <w:tc>
          <w:tcPr>
            <w:tcW w:w="0" w:type="auto"/>
          </w:tcPr>
          <w:p>
            <w:pPr>
              <w:spacing w:line="240" w:lineRule="auto" w:before="0" w:after="0"/>
              <w:pStyle w:val="Compact"/>
            </w:pPr>
            <w:r>
              <w:rPr>
                <w:sz w:val="20"/>
                <w:szCs w:val="20"/>
              </w:rPr>
              <w:t xml:space="preserve">OSIRIS-REx (New Frontiers)</w:t>
            </w:r>
          </w:p>
        </w:tc>
        <w:tc>
          <w:tcPr>
            <w:tcW w:w="0" w:type="auto"/>
          </w:tcPr>
          <w:p>
            <w:pPr>
              <w:spacing w:line="240" w:lineRule="auto" w:before="0" w:after="0"/>
              <w:pStyle w:val="Compact"/>
            </w:pPr>
            <w:r>
              <w:rPr>
                <w:sz w:val="20"/>
                <w:szCs w:val="20"/>
              </w:rPr>
              <w:t xml:space="preserve">NewFrontiersAO2009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OSIRIS-REx selected 2011 NF-3 AO; launched 2016-09-08 (~7 yr from 2009 NF window). Cost ~$1.16B. Source: en.wikipedia.org/wiki/OSIRIS-REx selection and launch</w:t>
            </w:r>
          </w:p>
        </w:tc>
      </w:tr>
      <w:tr>
        <w:tc>
          <w:tcPr>
            <w:tcW w:w="0" w:type="auto"/>
          </w:tcPr>
          <w:p>
            <w:pPr>
              <w:spacing w:line="240" w:lineRule="auto" w:before="0" w:after="0"/>
              <w:pStyle w:val="Compact"/>
            </w:pPr>
            <w:r>
              <w:rPr>
                <w:sz w:val="20"/>
                <w:szCs w:val="20"/>
              </w:rPr>
              <w:t xml:space="preserve">New Horizons (New Frontiers)</w:t>
            </w:r>
          </w:p>
        </w:tc>
        <w:tc>
          <w:tcPr>
            <w:tcW w:w="0" w:type="auto"/>
          </w:tcPr>
          <w:p>
            <w:pPr>
              <w:spacing w:line="240" w:lineRule="auto" w:before="0" w:after="0"/>
              <w:pStyle w:val="Compact"/>
            </w:pPr>
            <w:r>
              <w:rPr>
                <w:sz w:val="20"/>
                <w:szCs w:val="20"/>
              </w:rPr>
              <w:t xml:space="preserve">NewFrontiersAO2001</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Horizons (NF-1, Pluto, top decadal priority small/medium 2003) launched 2006-01-19 (~5 yr from 2001). Cost ~$0.78B. Source: en.wikipedia.org/wiki/New_Horizons launch and cost</w:t>
            </w:r>
          </w:p>
        </w:tc>
      </w:tr>
      <w:tr>
        <w:tc>
          <w:tcPr>
            <w:tcW w:w="0" w:type="auto"/>
          </w:tcPr>
          <w:p>
            <w:pPr>
              <w:spacing w:line="240" w:lineRule="auto" w:before="0" w:after="0"/>
              <w:pStyle w:val="Compact"/>
            </w:pPr>
            <w:r>
              <w:rPr>
                <w:sz w:val="20"/>
                <w:szCs w:val="20"/>
              </w:rPr>
              <w:t xml:space="preserve">Juno (New Frontiers)</w:t>
            </w:r>
          </w:p>
        </w:tc>
        <w:tc>
          <w:tcPr>
            <w:tcW w:w="0" w:type="auto"/>
          </w:tcPr>
          <w:p>
            <w:pPr>
              <w:spacing w:line="240" w:lineRule="auto" w:before="0" w:after="0"/>
              <w:pStyle w:val="Compact"/>
            </w:pPr>
            <w:r>
              <w:rPr>
                <w:sz w:val="20"/>
                <w:szCs w:val="20"/>
              </w:rPr>
              <w:t xml:space="preserve">NewFrontiersAO2004</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Juno (NF-2) selected 2005; launched 2011-08-05 (~7 yr from 2004 NF window). Cost ~$1.13B. Source: en.wikipedia.org/wiki/Juno_(spacecraft) selection and launch</w:t>
            </w:r>
          </w:p>
        </w:tc>
      </w:tr>
      <w:tr>
        <w:tc>
          <w:tcPr>
            <w:tcW w:w="0" w:type="auto"/>
          </w:tcPr>
          <w:p>
            <w:pPr>
              <w:spacing w:line="240" w:lineRule="auto" w:before="0" w:after="0"/>
              <w:pStyle w:val="Compact"/>
            </w:pPr>
            <w:r>
              <w:rPr>
                <w:sz w:val="20"/>
                <w:szCs w:val="20"/>
              </w:rPr>
              <w:t xml:space="preserve">PACE (Earth Science)</w:t>
            </w:r>
          </w:p>
        </w:tc>
        <w:tc>
          <w:tcPr>
            <w:tcW w:w="0" w:type="auto"/>
          </w:tcPr>
          <w:p>
            <w:pPr>
              <w:spacing w:line="240" w:lineRule="auto" w:before="0" w:after="0"/>
              <w:pStyle w:val="Compact"/>
            </w:pPr>
            <w:r>
              <w:rPr>
                <w:sz w:val="20"/>
                <w:szCs w:val="20"/>
              </w:rPr>
              <w:t xml:space="preserve">ESDecadal2007/2017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PACE (Earth-science designated mission, decadal-aligned) launched 2024-02-08 (~10 yr from 2014 start). Cost ~$0.96B. Source: en.wikipedia.org/wiki/PACE_(satellite) launch and cost</w:t>
            </w:r>
          </w:p>
        </w:tc>
      </w:tr>
      <w:tr>
        <w:tc>
          <w:tcPr>
            <w:tcW w:w="0" w:type="auto"/>
          </w:tcPr>
          <w:p>
            <w:pPr>
              <w:spacing w:line="240" w:lineRule="auto" w:before="0" w:after="0"/>
              <w:pStyle w:val="Compact"/>
            </w:pPr>
            <w:r>
              <w:rPr>
                <w:sz w:val="20"/>
                <w:szCs w:val="20"/>
              </w:rPr>
              <w:t xml:space="preserve">SWOT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SWOT was a top tier-1 recommendation of the 2007 Earth-science decadal (Decadal Survey for Earth Science); launched 2022-12-16 (~15 yr from 2007). Cost ~$1.2B. Source: en.wikipedia.org/wiki/Surface_Water_and_Ocean_Topography launch</w:t>
            </w:r>
          </w:p>
        </w:tc>
      </w:tr>
      <w:tr>
        <w:tc>
          <w:tcPr>
            <w:tcW w:w="0" w:type="auto"/>
          </w:tcPr>
          <w:p>
            <w:pPr>
              <w:spacing w:line="240" w:lineRule="auto" w:before="0" w:after="0"/>
              <w:pStyle w:val="Compact"/>
            </w:pPr>
            <w:r>
              <w:rPr>
                <w:sz w:val="20"/>
                <w:szCs w:val="20"/>
              </w:rPr>
              <w:t xml:space="preserve">NISAR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NISAR (DESDynI lineage, 2007 Earth-science decadal tier-1); launched 2025-07-30 (~18 yr from 2007). Cost ~$1.5B. Source: en.wikipedia.org/wiki/NISAR_(satellite) launch 2025</w:t>
            </w:r>
          </w:p>
        </w:tc>
      </w:tr>
      <w:tr>
        <w:tc>
          <w:tcPr>
            <w:tcW w:w="0" w:type="auto"/>
          </w:tcPr>
          <w:p>
            <w:pPr>
              <w:spacing w:line="240" w:lineRule="auto" w:before="0" w:after="0"/>
              <w:pStyle w:val="Compact"/>
            </w:pPr>
            <w:r>
              <w:rPr>
                <w:sz w:val="20"/>
                <w:szCs w:val="20"/>
              </w:rPr>
              <w:t xml:space="preserve">GRACE-FO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GRACE Follow-On (2007 Earth-science decadal continuity mission) launched 2018-05-22 (~11 yr from 2007). Cost ~$0.43B. Source: en.wikipedia.org/wiki/GRACE_and_GRACE-FO launch and cost</w:t>
            </w:r>
          </w:p>
        </w:tc>
      </w:tr>
      <w:tr>
        <w:tc>
          <w:tcPr>
            <w:tcW w:w="0" w:type="auto"/>
          </w:tcPr>
          <w:p>
            <w:pPr>
              <w:spacing w:line="240" w:lineRule="auto" w:before="0" w:after="0"/>
              <w:pStyle w:val="Compact"/>
            </w:pPr>
            <w:r>
              <w:rPr>
                <w:sz w:val="20"/>
                <w:szCs w:val="20"/>
              </w:rPr>
              <w:t xml:space="preserve">ICESat-2 (Earth Science)</w:t>
            </w:r>
          </w:p>
        </w:tc>
        <w:tc>
          <w:tcPr>
            <w:tcW w:w="0" w:type="auto"/>
          </w:tcPr>
          <w:p>
            <w:pPr>
              <w:spacing w:line="240" w:lineRule="auto" w:before="0" w:after="0"/>
              <w:pStyle w:val="Compact"/>
            </w:pPr>
            <w:r>
              <w:rPr>
                <w:sz w:val="20"/>
                <w:szCs w:val="20"/>
              </w:rPr>
              <w:t xml:space="preserve">ESDecadal2007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ICESat-2 (2007 Earth-science decadal tier-1 ice/elevation) launched 2018-09-15 (~11 yr from 2007). Cost ~$1.1B. Source: en.wikipedia.org/wiki/ICESat-2 launch and cost</w:t>
            </w:r>
          </w:p>
        </w:tc>
      </w:tr>
      <w:tr>
        <w:tc>
          <w:tcPr>
            <w:tcW w:w="0" w:type="auto"/>
          </w:tcPr>
          <w:p>
            <w:pPr>
              <w:spacing w:line="240" w:lineRule="auto" w:before="0" w:after="0"/>
              <w:pStyle w:val="Compact"/>
            </w:pPr>
            <w:r>
              <w:rPr>
                <w:sz w:val="20"/>
                <w:szCs w:val="20"/>
              </w:rPr>
              <w:t xml:space="preserve">Habitable Worlds Observatory</w:t>
            </w:r>
          </w:p>
        </w:tc>
        <w:tc>
          <w:tcPr>
            <w:tcW w:w="0" w:type="auto"/>
          </w:tcPr>
          <w:p>
            <w:pPr>
              <w:spacing w:line="240" w:lineRule="auto" w:before="0" w:after="0"/>
              <w:pStyle w:val="Compact"/>
            </w:pPr>
            <w:r>
              <w:rPr>
                <w:sz w:val="20"/>
                <w:szCs w:val="20"/>
              </w:rPr>
              <w:t xml:space="preserve">Astro2020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Astro2020 (NAP 26141) top large-mission recommendation (IROUV/HWO); pre-formulation, launch ~2040s; not launched (censored, ~4 yr to 2025 horizon). Cost [illustrative ~$11B target]. Source: Astro2020 Pathways to Discovery (NAP 26141) flagship recommendation</w:t>
            </w:r>
          </w:p>
        </w:tc>
      </w:tr>
      <w:tr>
        <w:tc>
          <w:tcPr>
            <w:tcW w:w="0" w:type="auto"/>
          </w:tcPr>
          <w:p>
            <w:pPr>
              <w:spacing w:line="240" w:lineRule="auto" w:before="0" w:after="0"/>
              <w:pStyle w:val="Compact"/>
            </w:pPr>
            <w:r>
              <w:rPr>
                <w:sz w:val="20"/>
                <w:szCs w:val="20"/>
              </w:rPr>
              <w:t xml:space="preserve">Mars Life Explorer concept</w:t>
            </w:r>
          </w:p>
        </w:tc>
        <w:tc>
          <w:tcPr>
            <w:tcW w:w="0" w:type="auto"/>
          </w:tcPr>
          <w:p>
            <w:pPr>
              <w:spacing w:line="240" w:lineRule="auto" w:before="0" w:after="0"/>
              <w:pStyle w:val="Compact"/>
            </w:pPr>
            <w:r>
              <w:rPr>
                <w:sz w:val="20"/>
                <w:szCs w:val="20"/>
              </w:rPr>
              <w:t xml:space="preserve">OWL2022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OWL 2022 (NAP 26522) recommended Mars Life Explorer as second flagship priority; not started; censored (~3 yr to horizon). Cost [illustrative ~$3.0B]. Source: OWL Origins Worlds Life decadal (NAP 26522)</w:t>
            </w:r>
          </w:p>
        </w:tc>
      </w:tr>
      <w:tr>
        <w:tc>
          <w:tcPr>
            <w:tcW w:w="0" w:type="auto"/>
          </w:tcPr>
          <w:p>
            <w:pPr>
              <w:spacing w:line="240" w:lineRule="auto" w:before="0" w:after="0"/>
              <w:pStyle w:val="Compact"/>
            </w:pPr>
            <w:r>
              <w:rPr>
                <w:sz w:val="20"/>
                <w:szCs w:val="20"/>
              </w:rPr>
              <w:t xml:space="preserve">Uranus Orbiter and Probe (OWL)</w:t>
            </w:r>
          </w:p>
        </w:tc>
        <w:tc>
          <w:tcPr>
            <w:tcW w:w="0" w:type="auto"/>
          </w:tcPr>
          <w:p>
            <w:pPr>
              <w:spacing w:line="240" w:lineRule="auto" w:before="0" w:after="0"/>
              <w:pStyle w:val="Compact"/>
            </w:pPr>
            <w:r>
              <w:rPr>
                <w:sz w:val="20"/>
                <w:szCs w:val="20"/>
              </w:rPr>
              <w:t xml:space="preserve">OWL2022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OWL 2022 (NAP 26522) named UOP as top-priority new flagship; pre-project, launch ~2040s; censored (~3 yr). Cost ~$4.2B est. Source: OWL Origins Worlds Life decadal (NAP 26522) flagship #1</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decadal priority assignment (survey publication or program new-start) to first material return (launch), or to the 2025-12 censoring horizon if not yet launched or cancelled</w:t>
            </w:r>
          </w:p>
        </w:tc>
        <w:tc>
          <w:tcPr>
            <w:tcW w:w="0" w:type="auto"/>
          </w:tcPr>
          <w:p>
            <w:pPr>
              <w:spacing w:line="240" w:lineRule="auto" w:before="0" w:after="0"/>
              <w:pStyle w:val="Compact"/>
            </w:pPr>
            <w:r>
              <w:rPr>
                <w:sz w:val="20"/>
                <w:szCs w:val="20"/>
              </w:rPr>
              <w:t xml:space="preserve">Constructed from NASA mission launch records and decadal survey publication dates; per-row sources in data.csv</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program achieved first material return (launch) by the 2025-12 horizon; 0 if right-censored (still in development or cancelled)</w:t>
            </w:r>
          </w:p>
        </w:tc>
        <w:tc>
          <w:tcPr>
            <w:tcW w:w="0" w:type="auto"/>
          </w:tcPr>
          <w:p>
            <w:pPr>
              <w:spacing w:line="240" w:lineRule="auto" w:before="0" w:after="0"/>
              <w:pStyle w:val="Compact"/>
            </w:pPr>
            <w:r>
              <w:rPr>
                <w:sz w:val="20"/>
                <w:szCs w:val="20"/>
              </w:rPr>
              <w:t xml:space="preserve">NASA mission status records; per-row sources in data.csv</w:t>
            </w:r>
          </w:p>
        </w:tc>
      </w:tr>
      <w:tr>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Within-survey priority rank assigned to the program at survey time (1 = highest priority); lower number means higher priority</w:t>
            </w:r>
          </w:p>
        </w:tc>
        <w:tc>
          <w:tcPr>
            <w:tcW w:w="0" w:type="auto"/>
          </w:tcPr>
          <w:p>
            <w:pPr>
              <w:spacing w:line="240" w:lineRule="auto" w:before="0" w:after="0"/>
              <w:pStyle w:val="Compact"/>
            </w:pPr>
            <w:r>
              <w:rPr>
                <w:sz w:val="20"/>
                <w:szCs w:val="20"/>
              </w:rPr>
              <w:t xml:space="preserve">NASA decadal surveys (NAP 12951, 13117, 26141, 26522) and competed-AO selection order; per-row sources in data.csv</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Program lifecycle cost scale in billions of USD (scale control)</w:t>
            </w:r>
          </w:p>
        </w:tc>
        <w:tc>
          <w:tcPr>
            <w:tcW w:w="0" w:type="auto"/>
          </w:tcPr>
          <w:p>
            <w:pPr>
              <w:spacing w:line="240" w:lineRule="auto" w:before="0" w:after="0"/>
              <w:pStyle w:val="Compact"/>
            </w:pPr>
            <w:r>
              <w:rPr>
                <w:sz w:val="20"/>
                <w:szCs w:val="20"/>
              </w:rPr>
              <w:t xml:space="preserve">NASA project cost reports and mission press kits; per-row sources in data.csv</w:t>
            </w:r>
          </w:p>
        </w:tc>
      </w:tr>
      <w:tr>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Survey-decade indicator: 0 for 2000s/2010s-decade survey cohorts, 1 for 2020s-decade survey cohorts. Retained in the data for provenance and discussed as an epoch confound, but excluded from the fitted covariate set because every 2020s-cohort program is right-censored, producing quasi-complete separation; the common 2025 censoring horizon absorbs the capability-growth confound structurally</w:t>
            </w:r>
          </w:p>
        </w:tc>
        <w:tc>
          <w:tcPr>
            <w:tcW w:w="0" w:type="auto"/>
          </w:tcPr>
          <w:p>
            <w:pPr>
              <w:spacing w:line="240" w:lineRule="auto" w:before="0" w:after="0"/>
              <w:pStyle w:val="Compact"/>
            </w:pPr>
            <w:r>
              <w:rPr>
                <w:sz w:val="20"/>
                <w:szCs w:val="20"/>
              </w:rPr>
              <w:t xml:space="preserve">Decadal survey publication decade; per-row sources in data.csv</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rank</w:t>
            </w:r>
          </w:p>
        </w:tc>
        <w:tc>
          <w:tcPr>
            <w:tcW w:w="0" w:type="auto"/>
          </w:tcPr>
          <w:p>
            <w:pPr>
              <w:spacing w:line="240" w:lineRule="auto" w:before="0" w:after="0"/>
              <w:pStyle w:val="Compact"/>
            </w:pPr>
            <w:r>
              <w:rPr>
                <w:sz w:val="20"/>
                <w:szCs w:val="20"/>
              </w:rPr>
              <w:t xml:space="preserve">-0.4702</w:t>
            </w:r>
          </w:p>
        </w:tc>
        <w:tc>
          <w:tcPr>
            <w:tcW w:w="0" w:type="auto"/>
          </w:tcPr>
          <w:p>
            <w:pPr>
              <w:spacing w:line="240" w:lineRule="auto" w:before="0" w:after="0"/>
              <w:pStyle w:val="Compact"/>
            </w:pPr>
            <w:r>
              <w:rPr>
                <w:sz w:val="20"/>
                <w:szCs w:val="20"/>
              </w:rPr>
              <w:t xml:space="preserve">0.311</w:t>
            </w:r>
          </w:p>
        </w:tc>
        <w:tc>
          <w:tcPr>
            <w:tcW w:w="0" w:type="auto"/>
          </w:tcPr>
          <w:p>
            <w:pPr>
              <w:spacing w:line="240" w:lineRule="auto" w:before="0" w:after="0"/>
              <w:pStyle w:val="Compact"/>
            </w:pPr>
            <w:r>
              <w:rPr>
                <w:sz w:val="20"/>
                <w:szCs w:val="20"/>
              </w:rPr>
              <w:t xml:space="preserve">-1.5122</w:t>
            </w:r>
          </w:p>
        </w:tc>
        <w:tc>
          <w:tcPr>
            <w:tcW w:w="0" w:type="auto"/>
          </w:tcPr>
          <w:p>
            <w:pPr>
              <w:spacing w:line="240" w:lineRule="auto" w:before="0" w:after="0"/>
              <w:pStyle w:val="Compact"/>
            </w:pPr>
            <w:r>
              <w:rPr>
                <w:sz w:val="20"/>
                <w:szCs w:val="20"/>
              </w:rPr>
              <w:t xml:space="preserve">0.1305</w:t>
            </w:r>
          </w:p>
        </w:tc>
        <w:tc>
          <w:tcPr>
            <w:tcW w:w="0" w:type="auto"/>
          </w:tcPr>
          <w:p>
            <w:pPr>
              <w:spacing w:line="240" w:lineRule="auto" w:before="0" w:after="0"/>
              <w:pStyle w:val="Compact"/>
            </w:pPr>
            <w:r>
              <w:rPr>
                <w:sz w:val="20"/>
                <w:szCs w:val="20"/>
              </w:rPr>
              <w:t xml:space="preserve">[-1.0797, 0.1393]</w:t>
            </w:r>
          </w:p>
        </w:tc>
        <w:tc>
          <w:tcPr>
            <w:tcW w:w="0" w:type="auto"/>
          </w:tcPr>
          <w:p>
            <w:pPr>
              <w:spacing w:line="240" w:lineRule="auto" w:before="0" w:after="0"/>
              <w:pStyle w:val="Compact"/>
            </w:pPr>
            <w:r>
              <w:rPr>
                <w:sz w:val="20"/>
                <w:szCs w:val="20"/>
              </w:rPr>
              <w:t xml:space="preserve">0.6249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-0.4682</w:t>
            </w:r>
          </w:p>
        </w:tc>
        <w:tc>
          <w:tcPr>
            <w:tcW w:w="0" w:type="auto"/>
          </w:tcPr>
          <w:p>
            <w:pPr>
              <w:spacing w:line="240" w:lineRule="auto" w:before="0" w:after="0"/>
              <w:pStyle w:val="Compact"/>
            </w:pPr>
            <w:r>
              <w:rPr>
                <w:sz w:val="20"/>
                <w:szCs w:val="20"/>
              </w:rPr>
              <w:t xml:space="preserve">0.2408</w:t>
            </w:r>
          </w:p>
        </w:tc>
        <w:tc>
          <w:tcPr>
            <w:tcW w:w="0" w:type="auto"/>
          </w:tcPr>
          <w:p>
            <w:pPr>
              <w:spacing w:line="240" w:lineRule="auto" w:before="0" w:after="0"/>
              <w:pStyle w:val="Compact"/>
            </w:pPr>
            <w:r>
              <w:rPr>
                <w:sz w:val="20"/>
                <w:szCs w:val="20"/>
              </w:rPr>
              <w:t xml:space="preserve">-1.9443</w:t>
            </w:r>
          </w:p>
        </w:tc>
        <w:tc>
          <w:tcPr>
            <w:tcW w:w="0" w:type="auto"/>
          </w:tcPr>
          <w:p>
            <w:pPr>
              <w:spacing w:line="240" w:lineRule="auto" w:before="0" w:after="0"/>
              <w:pStyle w:val="Compact"/>
            </w:pPr>
            <w:r>
              <w:rPr>
                <w:sz w:val="20"/>
                <w:szCs w:val="20"/>
              </w:rPr>
              <w:t xml:space="preserve">0.0519</w:t>
            </w:r>
          </w:p>
        </w:tc>
        <w:tc>
          <w:tcPr>
            <w:tcW w:w="0" w:type="auto"/>
          </w:tcPr>
          <w:p>
            <w:pPr>
              <w:spacing w:line="240" w:lineRule="auto" w:before="0" w:after="0"/>
              <w:pStyle w:val="Compact"/>
            </w:pPr>
            <w:r>
              <w:rPr>
                <w:sz w:val="20"/>
                <w:szCs w:val="20"/>
              </w:rPr>
              <w:t xml:space="preserve">[-0.9402, 0.0038]</w:t>
            </w:r>
          </w:p>
        </w:tc>
        <w:tc>
          <w:tcPr>
            <w:tcW w:w="0" w:type="auto"/>
          </w:tcPr>
          <w:p>
            <w:pPr>
              <w:spacing w:line="240" w:lineRule="auto" w:before="0" w:after="0"/>
              <w:pStyle w:val="Compact"/>
            </w:pPr>
            <w:r>
              <w:rPr>
                <w:sz w:val="20"/>
                <w:szCs w:val="20"/>
              </w:rPr>
              <w:t xml:space="preserve">0.6261</w:t>
            </w:r>
          </w:p>
        </w:tc>
      </w:tr>
    </w:tbl>
    <w:p>
      <w:pPr>
        <w:pStyle w:val="BodyText"/>
      </w:pPr>
      <w:r>
        <w:t xml:space="preserve">Fit: N = 28 events = 14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1016/j.actaastro.2017.04.034" TargetMode="External" /><Relationship Type="http://schemas.openxmlformats.org/officeDocument/2006/relationships/hyperlink" Id="rId70" Target="https://doi.org/10.64861/MEDT2838"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17.04.034" TargetMode="External" /><Relationship Type="http://schemas.openxmlformats.org/officeDocument/2006/relationships/hyperlink" Id="rId70" Target="https://doi.org/10.64861/MEDT283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2026-06-22T20:32:24Z</dcterms:created>
  <dcterms:modified xsi:type="dcterms:W3CDTF">2026-06-22T20:32:24Z</dcterms:modified>
</cp:coreProperties>
</file>

<file path=docProps/custom.xml><?xml version="1.0" encoding="utf-8"?>
<Properties xmlns="http://schemas.openxmlformats.org/officeDocument/2006/custom-properties" xmlns:vt="http://schemas.openxmlformats.org/officeDocument/2006/docPropsVTypes"/>
</file>