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da6fce272247b113ca17f1376780cae7f5fb880"/>
    <w:p>
      <w:pPr>
        <w:pStyle w:val="Heading1"/>
      </w:pPr>
      <w:r>
        <w:t xml:space="preserve">Do Operational Priorities Predict Realized Science Return? A Cross-Mission Cliometric of Refereed Publication Yield</w:t>
      </w:r>
    </w:p>
    <w:bookmarkStart w:id="61" w:name="introduction"/>
    <w:p>
      <w:pPr>
        <w:pStyle w:val="Heading2"/>
      </w:pPr>
      <w:r>
        <w:t xml:space="preserve">1. Introduction</w:t>
      </w:r>
    </w:p>
    <w:p>
      <w:pPr>
        <w:pStyle w:val="FirstParagraph"/>
      </w:pPr>
      <w:r>
        <w:t xml:space="preserve">Space science agencies set priorities a decade in advance and then spend a decade realizing them. The decadal survey process, and its agency analogues abroad, ranks candidate missions by anticipated scientific value and commits public money against that ranking. Yet the realized return of a mission, the discoveries it actually produces once it flies, is observed only years later and is governed as much by how the mission operates as by why it was selected. This paper asks a measurable version of the larger cliometric question that motivates the dissertation: once a mission is flying, do its operational characteristics predict how much science it actually returns.</w:t>
      </w:r>
    </w:p>
    <w:p>
      <w:pPr>
        <w:pStyle w:val="BodyText"/>
      </w:pPr>
      <w:r>
        <w:t xml:space="preserve">The answer matters for portfolio design. If realized return scales mechanically with how long a mission operates and whether it serves a broad community of users, then the levers that govern return are partly post-selection and partly within the control of operations and data policy, not only of the original priority ranking. A long-established way to measure realized scientific return is to count the refereed publications that make direct use of a mission’s data, a method that agencies use internally to justify continued funding at senior review</w:t>
      </w:r>
      <w:r>
        <w:t xml:space="preserve"> </w:t>
      </w:r>
      <w:hyperlink w:anchor="ref-1">
        <m:oMathPara>
          <m:oMathParaPr>
            <m:jc m:val="center"/>
          </m:oMathParaPr>
          <m:oMath>
            <m:r>
              <m:t>1</m:t>
            </m:r>
          </m:oMath>
        </m:oMathPara>
      </w:hyperlink>
      <w:r>
        <w:t xml:space="preserve">[2]. I take that measure to the cross-section of missions and estimate, by ordinary least squares, how publication yield varies with operational lifetime and mission class.</w:t>
      </w:r>
    </w:p>
    <w:p>
      <w:pPr>
        <w:pStyle w:val="FirstParagraph"/>
      </w:pPr>
      <w:r>
        <w:t xml:space="preserve">The contribution is threefold. First, I assemble a transparent 28-mission dataset in which every publication count and every operational span is drawn from a single documented bibliometric census</w:t>
      </w:r>
      <w:r>
        <w:t xml:space="preserve"> </w:t>
      </w:r>
      <w:hyperlink w:anchor="ref-1">
        <m:oMathPara>
          <m:oMathParaPr>
            <m:jc m:val="center"/>
          </m:oMathParaPr>
          <m:oMath>
            <m:r>
              <m:t>1</m:t>
            </m:r>
          </m:oMath>
        </m:oMathPara>
      </w:hyperlink>
      <w:r>
        <w:t xml:space="preserve">. Second, I show that two operational attributes, lifetime and observatory-class openness, jointly explain most of the cross-mission variance in realized return. Third, I frame the result as a cliometric input to priority-setting: realized return is predictable from operational design, which means priorities expressed only as target rankings leave a large and forecastable share of return on the table.</w:t>
      </w:r>
    </w:p>
    <w:bookmarkEnd w:id="61"/>
    <w:bookmarkStart w:id="62" w:name="theory-and-hypotheses"/>
    <w:p>
      <w:pPr>
        <w:pStyle w:val="Heading2"/>
      </w:pPr>
      <w:r>
        <w:t xml:space="preserve">2. Theory and Hypotheses</w:t>
      </w:r>
    </w:p>
    <w:p>
      <w:pPr>
        <w:pStyle w:val="FirstParagraph"/>
      </w:pPr>
      <w:r>
        <w:t xml:space="preserve">The realized scientific return of a mission is the cumulative discovery it generates, and refereed publication count is the standard observable proxy for that quantity</w:t>
      </w:r>
      <w:r>
        <w:t xml:space="preserve"> </w:t>
      </w:r>
      <w:hyperlink w:anchor="ref-1">
        <m:oMathPara>
          <m:oMathParaPr>
            <m:jc m:val="center"/>
          </m:oMathParaPr>
          <m:oMath>
            <m:r>
              <m:t>1</m:t>
            </m:r>
          </m:oMath>
        </m:oMathPara>
      </w:hyperlink>
      <w:r>
        <w:t xml:space="preserve">[2]. The proxy is imperfect, since publications vary in depth and impact, but its number is easily quantified and is comparable across missions when a uniform inclusion rule is applied</w:t>
      </w:r>
      <w:r>
        <w:t xml:space="preserve"> </w:t>
      </w:r>
      <w:hyperlink w:anchor="ref-1">
        <m:oMathPara>
          <m:oMathParaPr>
            <m:jc m:val="center"/>
          </m:oMathParaPr>
          <m:oMath>
            <m:r>
              <m:t>1</m:t>
            </m:r>
          </m:oMath>
        </m:oMathPara>
      </w:hyperlink>
      <w:r>
        <w:t xml:space="preserve">. Agencies count mission publications precisely because the count tracks the scientific productivity of a facility over time</w:t>
      </w:r>
      <w:r>
        <w:t xml:space="preserve"> </w:t>
      </w:r>
      <w:hyperlink w:anchor="ref-2">
        <m:oMathPara>
          <m:oMathParaPr>
            <m:jc m:val="center"/>
          </m:oMathParaPr>
          <m:oMath>
            <m:r>
              <m:t>2</m:t>
            </m:r>
          </m:oMath>
        </m:oMathPara>
      </w:hyperlink>
      <w:r>
        <w:t xml:space="preserve">.</w:t>
      </w:r>
    </w:p>
    <w:p>
      <w:pPr>
        <w:pStyle w:val="FirstParagraph"/>
      </w:pPr>
      <w:r>
        <w:t xml:space="preserve">Two mechanisms link operational design to that count. The first is exposure time. A mission that operates longer accumulates more observations, more archival depth, and more opportunities for the community to convert data into papers, and publications from a mission typically continue for years after operations end</w:t>
      </w:r>
      <w:r>
        <w:t xml:space="preserve"> </w:t>
      </w:r>
      <w:hyperlink w:anchor="ref-1">
        <m:oMathPara>
          <m:oMathParaPr>
            <m:jc m:val="center"/>
          </m:oMathParaPr>
          <m:oMath>
            <m:r>
              <m:t>1</m:t>
            </m:r>
          </m:oMath>
        </m:oMathPara>
      </w:hyperlink>
      <w:r>
        <w:t xml:space="preserve">. The cost literature reinforces that mission value is a function of realized operating life and not only of build cost, since parametric cost models price the spacecraft but the science accrues over the operating phase</w:t>
      </w:r>
      <w:r>
        <w:t xml:space="preserve"> </w:t>
      </w:r>
      <w:hyperlink w:anchor="ref-3">
        <m:oMathPara>
          <m:oMathParaPr>
            <m:jc m:val="center"/>
          </m:oMathParaPr>
          <m:oMath>
            <m:r>
              <m:t>3</m:t>
            </m:r>
          </m:oMath>
        </m:oMathPara>
      </w:hyperlink>
      <w:r>
        <w:t xml:space="preserve">. This yields the first hypothesis.</w:t>
      </w:r>
    </w:p>
    <w:p>
      <w:pPr>
        <w:pStyle w:val="FirstParagraph"/>
      </w:pPr>
      <w:r>
        <w:t xml:space="preserve">H1. Realized science return rises with operational lifetime.</w:t>
      </w:r>
    </w:p>
    <w:p>
      <w:pPr>
        <w:pStyle w:val="BodyText"/>
      </w:pPr>
      <w:r>
        <w:t xml:space="preserve">The second mechanism is the breadth of the user community. Open-time observatories and all-sky surveys distribute their data to a competitive, general community of investigators, whereas targeted single-body missions serve a narrower team focused on one object</w:t>
      </w:r>
      <w:r>
        <w:t xml:space="preserve"> </w:t>
      </w:r>
      <w:hyperlink w:anchor="ref-1">
        <m:oMathPara>
          <m:oMathParaPr>
            <m:jc m:val="center"/>
          </m:oMathParaPr>
          <m:oMath>
            <m:r>
              <m:t>1</m:t>
            </m:r>
          </m:oMath>
        </m:oMathPara>
      </w:hyperlink>
      <w:r>
        <w:t xml:space="preserve">[4]. Open observatory missions make a rich scientific resource directly available to the broad community, which multiplies the number of independent investigators who can turn the data into refereed results</w:t>
      </w:r>
      <w:r>
        <w:t xml:space="preserve"> </w:t>
      </w:r>
      <w:hyperlink w:anchor="ref-4">
        <m:oMathPara>
          <m:oMathParaPr>
            <m:jc m:val="center"/>
          </m:oMathParaPr>
          <m:oMath>
            <m:r>
              <m:t>4</m:t>
            </m:r>
          </m:oMath>
        </m:oMathPara>
      </w:hyperlink>
      <w:r>
        <w:t xml:space="preserve">. Survey and observatory facilities therefore convert a given quantity of data into more papers than a targeted probe of comparable cost, a point consistent with the way economic figures of merit for missions weight the breadth of exploitable output</w:t>
      </w:r>
      <w:r>
        <w:t xml:space="preserve"> </w:t>
      </w:r>
      <w:hyperlink w:anchor="ref-5">
        <m:oMathPara>
          <m:oMathParaPr>
            <m:jc m:val="center"/>
          </m:oMathParaPr>
          <m:oMath>
            <m:r>
              <m:t>5</m:t>
            </m:r>
          </m:oMath>
        </m:oMathPara>
      </w:hyperlink>
      <w:r>
        <w:t xml:space="preserve">. This yields the second hypothesis.</w:t>
      </w:r>
    </w:p>
    <w:p>
      <w:pPr>
        <w:pStyle w:val="FirstParagraph"/>
      </w:pPr>
      <w:r>
        <w:t xml:space="preserve">H2. Open-time observatory and survey missions yield higher realized return than targeted single-purpose missions, holding lifetime constant.</w:t>
      </w:r>
    </w:p>
    <w:p>
      <w:pPr>
        <w:pStyle w:val="BodyText"/>
      </w:pPr>
      <w:r>
        <w:t xml:space="preserve">A confound must be controlled. The digital literature indexed by abstract services expanded sharply after 2000, which could inflate the recorded publication counts of newer missions independent of their scientific merit</w:t>
      </w:r>
      <w:r>
        <w:t xml:space="preserve"> </w:t>
      </w:r>
      <w:hyperlink w:anchor="ref-1">
        <m:oMathPara>
          <m:oMathParaPr>
            <m:jc m:val="center"/>
          </m:oMathParaPr>
          <m:oMath>
            <m:r>
              <m:t>1</m:t>
            </m:r>
          </m:oMath>
        </m:oMathPara>
      </w:hyperlink>
      <w:r>
        <w:t xml:space="preserve">. I therefore include an indicator for missions launched in 2000 or later and treat its coefficient as a nuisance control rather than a structural claim.</w:t>
      </w:r>
    </w:p>
    <w:bookmarkEnd w:id="62"/>
    <w:bookmarkStart w:id="63" w:name="data"/>
    <w:p>
      <w:pPr>
        <w:pStyle w:val="Heading2"/>
      </w:pPr>
      <w:r>
        <w:t xml:space="preserve">3. Data</w:t>
      </w:r>
    </w:p>
    <w:p>
      <w:pPr>
        <w:pStyle w:val="FirstParagraph"/>
      </w:pPr>
      <w:r>
        <w:t xml:space="preserve">The dataset comprises 28 space science missions for which a uniform refereed-publication census exists. The dependent variable, total refereed publications through the end of 2021, and the operational span of each mission are taken directly from the De Marchi and Parmar (2024) census of European Space Agency Science Programme missions and partner-led missions, which applies a single set of inclusion criteria across all facilities and reports per-mission totals in its Tables 1 and 2</w:t>
      </w:r>
      <w:r>
        <w:t xml:space="preserve"> </w:t>
      </w:r>
      <w:hyperlink w:anchor="ref-1">
        <m:oMathPara>
          <m:oMathParaPr>
            <m:jc m:val="center"/>
          </m:oMathParaPr>
          <m:oMath>
            <m:r>
              <m:t>1</m:t>
            </m:r>
          </m:oMath>
        </m:oMathPara>
      </w:hyperlink>
      <w:r>
        <w:t xml:space="preserve">. Operational years are computed from the documented operations span, from launch year to end of operations, or to 2021 for missions still active at the census date.</w:t>
      </w:r>
    </w:p>
    <w:p>
      <w:pPr>
        <w:pStyle w:val="FirstParagraph"/>
      </w:pPr>
      <w:r>
        <w:t xml:space="preserve">Two structural indicators are coded from documented mission designations. The observatory-class indicator marks open-time observatories and all-sky surveys that serve the broad community, including the orbiting X-ray, infrared, ultraviolet, and astrometric facilities, and is set to zero for targeted single-body probes and orbiters</w:t>
      </w:r>
      <w:r>
        <w:t xml:space="preserve"> </w:t>
      </w:r>
      <w:hyperlink w:anchor="ref-1">
        <m:oMathPara>
          <m:oMathParaPr>
            <m:jc m:val="center"/>
          </m:oMathParaPr>
          <m:oMath>
            <m:r>
              <m:t>1</m:t>
            </m:r>
          </m:oMath>
        </m:oMathPara>
      </w:hyperlink>
      <w:r>
        <w:t xml:space="preserve">[4]. The era indicator marks missions launched in 2000 or later. A supplementary life-cycle cost column records documented figures for the Hubble Space Telescope and Cassini and approximate agency estimates for the remaining missions; it is reported for context and is not used in the regression, so its illustrative entries do not enter the estimated relationships. Every row of the dataset carries its source in the final column, and the full table is reproduced in the embedded workbook.</w:t>
      </w:r>
    </w:p>
    <w:p>
      <w:pPr>
        <w:pStyle w:val="FirstParagraph"/>
      </w:pPr>
      <w:r>
        <w:t xml:space="preserve">The sample spans nearly five decades of operations and a wide range of mission scales, from short-lived targeted probes with fewer than one hundred publications to the Hubble Space Telescope with more than nineteen thousand</w:t>
      </w:r>
      <w:r>
        <w:t xml:space="preserve"> </w:t>
      </w:r>
      <w:hyperlink w:anchor="ref-1">
        <m:oMathPara>
          <m:oMathParaPr>
            <m:jc m:val="center"/>
          </m:oMathParaPr>
          <m:oMath>
            <m:r>
              <m:t>1</m:t>
            </m:r>
          </m:oMath>
        </m:oMathPara>
      </w:hyperlink>
      <w:r>
        <w:t xml:space="preserve">. This spread is what allows the cross-section to identify how return varies with operational design.</w:t>
      </w:r>
    </w:p>
    <w:bookmarkEnd w:id="63"/>
    <w:bookmarkStart w:id="64" w:name="method"/>
    <w:p>
      <w:pPr>
        <w:pStyle w:val="Heading2"/>
      </w:pPr>
      <w:r>
        <w:t xml:space="preserve">4. Method</w:t>
      </w:r>
    </w:p>
    <w:p>
      <w:pPr>
        <w:pStyle w:val="FirstParagraph"/>
      </w:pPr>
      <w:r>
        <w:t xml:space="preserve">I estimate a linear model of realized return by ordinary least squares with heteroskedasticity-robust standard errors. The dependent variable is the total refereed publication count. The regressors are operational years, the observatory-class indicator, and the post-2000 launch indicator. The specification is reported in the Specification block below, and the full estimator output, including coefficients, robust standard errors, test statistics, p-values, and confidence intervals, is reproduced in the embedded workbook so that any figure in the text can be traced to its source.</w:t>
      </w:r>
    </w:p>
    <w:p>
      <w:pPr>
        <w:pStyle w:val="BodyText"/>
      </w:pPr>
      <w:r>
        <w:t xml:space="preserve">Ordinary least squares is the appropriate estimator here because the outcome is a continuous count that ranges over four orders of magnitude and the question concerns the marginal contribution of each operational attribute to expected return. Robust standard errors guard against the evident heteroskedasticity that accompanies a cross-section mixing small probes and flagship observatories. The model is deliberately parsimonious, with three regressors and 28 observations, to keep degrees of freedom adequate and to avoid overfitting the modest sample.</w:t>
      </w:r>
    </w:p>
    <w:bookmarkEnd w:id="64"/>
    <w:bookmarkStart w:id="65" w:name="findings"/>
    <w:p>
      <w:pPr>
        <w:pStyle w:val="Heading2"/>
      </w:pPr>
      <w:r>
        <w:t xml:space="preserve">5. Findings</w:t>
      </w:r>
    </w:p>
    <w:p>
      <w:pPr>
        <w:pStyle w:val="FirstParagraph"/>
      </w:pPr>
      <w:r>
        <w:t xml:space="preserve">The model explains a majority of the cross-mission variance in realized return, with an R-squared of 0.583 and an adjusted R-squared of 0.531, and the joint F-test rejects the null of no relationship at p equal to 0.0036. The two operational mechanisms hypothesized in Section 2 are both supported.</w:t>
      </w:r>
    </w:p>
    <w:p>
      <w:pPr>
        <w:pStyle w:val="BodyText"/>
      </w:pPr>
      <w:r>
        <w:t xml:space="preserve">Operational lifetime is a significant predictor of realized return. The coefficient on operational years is 298.96 with a robust standard error of 111.31 and a p-value of 0.0072, with a 95 percent confidence interval from 80.8 to 517.1. Each additional year of operations is associated with roughly 299 more refereed publications, and the lower confidence bound remains well above zero. This is direct support for H1: longer-operating missions return measurably more science, and the magnitude is large relative to the publication counts of short-lived probes in the sample.</w:t>
      </w:r>
    </w:p>
    <w:p>
      <w:pPr>
        <w:pStyle w:val="BodyText"/>
      </w:pPr>
      <w:r>
        <w:t xml:space="preserve">Mission class is the strongest predictor in the model. The coefficient on the observatory-class indicator is 2576.12 with a robust standard error of 823.00 and a p-value of 0.0017, with a 95 percent confidence interval from 963.1 to 4189.2. Holding lifetime and launch era constant, an open-time observatory or survey mission is associated with roughly 2576 more refereed publications than a targeted single-purpose mission. This is strong support for H2 and is consistent with the community-breadth mechanism: facilities that distribute data to a competitive general community convert that data into far more independent results than missions serving a single focused team.</w:t>
      </w:r>
    </w:p>
    <w:p>
      <w:pPr>
        <w:pStyle w:val="BodyText"/>
      </w:pPr>
      <w:r>
        <w:t xml:space="preserve">The launch-era control is not statistically significant. The coefficient on the post-2000 indicator is 764.36 with a robust standard error of 927.56 and a p-value of 0.41, and its confidence interval spans zero. Once operational lifetime and mission class are accounted for, the era of launch carries no independent explanatory power. The expansion of the indexed literature, which motivated including the control, does not by itself account for the cross-mission pattern, which strengthens the structural reading of the lifetime and class results.</w:t>
      </w:r>
    </w:p>
    <w:p>
      <w:pPr>
        <w:pStyle w:val="BodyText"/>
      </w:pPr>
      <w:r>
        <w:t xml:space="preserve">The intercept is negative at -2660.87 and not individually significant, which is expected and not substantively interpretable, since a mission with zero operational years and no observatory status lies outside the support of the data.</w:t>
      </w:r>
    </w:p>
    <w:bookmarkEnd w:id="65"/>
    <w:bookmarkStart w:id="66" w:name="discussion"/>
    <w:p>
      <w:pPr>
        <w:pStyle w:val="Heading2"/>
      </w:pPr>
      <w:r>
        <w:t xml:space="preserve">6. Discussion</w:t>
      </w:r>
    </w:p>
    <w:p>
      <w:pPr>
        <w:pStyle w:val="FirstParagraph"/>
      </w:pPr>
      <w:r>
        <w:t xml:space="preserve">The cliometric reading is that realized science return is substantially predictable from operational design. Two attributes that are partly set after a mission is selected, how long it operates and whether it serves a broad community through open data, jointly explain most of the variance in the publication record. Operational lifetime and observatory-class openness are the dominant levers in this cross-section, and the launch-era confound does not survive their inclusion.</w:t>
      </w:r>
    </w:p>
    <w:p>
      <w:pPr>
        <w:pStyle w:val="BodyText"/>
      </w:pPr>
      <w:r>
        <w:t xml:space="preserve">This has a direct implication for priority-setting. A decadal ranking that scores missions only on the intrinsic interest of their targets captures one input to realized return while leaving two large and forecastable inputs implicit. The same target pursued by a long-lived open observatory and by a short targeted probe will, on the evidence here, return very different amounts of science. Portfolio value can therefore be raised not only by reordering targets but by weighting operational lifetime and open-data architecture in the selection and extension decisions, which is where senior-review publication counts already exert pressure</w:t>
      </w:r>
      <w:r>
        <w:t xml:space="preserve"> </w:t>
      </w:r>
      <w:hyperlink w:anchor="ref-2">
        <m:oMathPara>
          <m:oMathParaPr>
            <m:jc m:val="center"/>
          </m:oMathParaPr>
          <m:oMath>
            <m:r>
              <m:t>2</m:t>
            </m:r>
          </m:oMath>
        </m:oMathPara>
      </w:hyperlink>
      <w:r>
        <w:t xml:space="preserve">. The cost literature is complementary here, since parametric models price the build but the return accrues across the operating life that this analysis shows to be decisive</w:t>
      </w:r>
      <w:r>
        <w:t xml:space="preserve"> </w:t>
      </w:r>
      <w:hyperlink w:anchor="ref-3">
        <m:oMathPara>
          <m:oMathParaPr>
            <m:jc m:val="center"/>
          </m:oMathParaPr>
          <m:oMath>
            <m:r>
              <m:t>3</m:t>
            </m:r>
          </m:oMath>
        </m:oMathPara>
      </w:hyperlink>
      <w:r>
        <w:t xml:space="preserve">[5].</w:t>
      </w:r>
    </w:p>
    <w:p>
      <w:pPr>
        <w:pStyle w:val="FirstParagraph"/>
      </w:pPr>
      <w:r>
        <w:t xml:space="preserve">Three limitations bound the claim. First, publication count is a quantity proxy and does not weight the depth or citation impact of individual papers, though the census applies a uniform refereed-inclusion rule that makes counts comparable across missions</w:t>
      </w:r>
      <w:r>
        <w:t xml:space="preserve"> </w:t>
      </w:r>
      <w:hyperlink w:anchor="ref-1">
        <m:oMathPara>
          <m:oMathParaPr>
            <m:jc m:val="center"/>
          </m:oMathParaPr>
          <m:oMath>
            <m:r>
              <m:t>1</m:t>
            </m:r>
          </m:oMath>
        </m:oMathPara>
      </w:hyperlink>
      <w:r>
        <w:t xml:space="preserve">. Second, the sample is the ESA-led and partner-led set for which a single census exists, so generalization to the full NASA planetary portfolio requires assembling a comparably uniform count for those missions. Third, the cross-section cannot separate the causal effect of extending a mission from the selection effect by which productive missions are extended; a panel of annual publication flows, which the underlying census supports, would let a future paper address that directly. None of these qualifications disturbs the central, transparent result that operational lifetime and community breadth predict realized return, and that priorities expressed only as target rankings leave a measurable share of return unforecast.</w:t>
      </w:r>
    </w:p>
    <w:bookmarkEnd w:id="66"/>
    <w:bookmarkStart w:id="74" w:name="references"/>
    <w:p>
      <w:pPr>
        <w:pStyle w:val="Heading2"/>
      </w:pPr>
      <w:r>
        <w:t xml:space="preserve">References</w:t>
      </w:r>
    </w:p>
    <w:p>
      <w:pPr>
        <w:pStyle w:val="FirstParagraph"/>
      </w:pPr>
      <w:bookmarkStart w:id="67" w:name="ref-1"/>
      <w:bookmarkEnd w:id="67"/>
      <w:r>
        <w:t xml:space="preserve">1. G. De Marchi and A. N. Parmar,</w:t>
      </w:r>
      <w:r>
        <w:t xml:space="preserve"> </w:t>
      </w:r>
      <w:r>
        <w:t xml:space="preserve">“ESA Science Programme Missions: Contributions and Exploitation, ESA Mission Publications,”</w:t>
      </w:r>
      <w:r>
        <w:t xml:space="preserve"> </w:t>
      </w:r>
      <w:r>
        <w:t xml:space="preserve">arXiv:2402.12818, 2024.</w:t>
      </w:r>
    </w:p>
    <w:p>
      <w:pPr>
        <w:pStyle w:val="BodyText"/>
      </w:pPr>
      <w:bookmarkStart w:id="68" w:name="ref-2"/>
      <w:bookmarkEnd w:id="68"/>
      <w:r>
        <w:t xml:space="preserve">2. California Institute of Technology Jet Propulsion Laboratory,</w:t>
      </w:r>
      <w:r>
        <w:t xml:space="preserve"> </w:t>
      </w:r>
      <w:r>
        <w:t xml:space="preserve">“JPL Mission Bibliometrics,”</w:t>
      </w:r>
      <w:r>
        <w:t xml:space="preserve"> </w:t>
      </w:r>
      <w:r>
        <w:t xml:space="preserve">NASA Technical Reports Server, NTRS 20150005558, 2015.</w:t>
      </w:r>
    </w:p>
    <w:p>
      <w:pPr>
        <w:pStyle w:val="BodyText"/>
      </w:pPr>
      <w:bookmarkStart w:id="69" w:name="ref-3"/>
      <w:bookmarkEnd w:id="69"/>
      <w:r>
        <w:t xml:space="preserve">3. P. D. Friz, S. Hosder, B. B. Leser, and B. C. Towle,</w:t>
      </w:r>
      <w:r>
        <w:t xml:space="preserve"> </w:t>
      </w:r>
      <w:r>
        <w:t xml:space="preserve">“Blind validation study of parametric cost estimation tool SEER-H for NASA space missions,”</w:t>
      </w:r>
      <w:r>
        <w:t xml:space="preserve"> </w:t>
      </w:r>
      <w:r>
        <w:t xml:space="preserve">Acta Astronautica, vol. 166, pp. 277-287, 2020, doi:</w:t>
      </w:r>
      <w:r>
        <w:t xml:space="preserve"> </w:t>
      </w:r>
      <w:hyperlink r:id="rId70">
        <w:r>
          <w:rPr>
            <w:rStyle w:val="Hyperlink"/>
          </w:rPr>
          <w:t xml:space="preserve">10.1016/j.actaastro.2019.09.030</w:t>
        </w:r>
      </w:hyperlink>
    </w:p>
    <w:p>
      <w:pPr>
        <w:pStyle w:val="BodyText"/>
      </w:pPr>
      <w:bookmarkStart w:id="71" w:name="ref-4"/>
      <w:bookmarkEnd w:id="71"/>
      <w:r>
        <w:t xml:space="preserve">4. M. A. C. Perryman et al.,</w:t>
      </w:r>
      <w:r>
        <w:t xml:space="preserve"> </w:t>
      </w:r>
      <w:r>
        <w:t xml:space="preserve">“Into the future with Gaia,”</w:t>
      </w:r>
      <w:r>
        <w:t xml:space="preserve"> </w:t>
      </w:r>
      <w:r>
        <w:t xml:space="preserve">arXiv:astro-ph/0202518, 2002.</w:t>
      </w:r>
    </w:p>
    <w:p>
      <w:pPr>
        <w:pStyle w:val="BodyText"/>
      </w:pPr>
      <w:bookmarkStart w:id="72" w:name="ref-5"/>
      <w:bookmarkEnd w:id="72"/>
      <w:r>
        <w:t xml:space="preserve">5. S. Dorrington and J. Olsen,</w:t>
      </w:r>
      <w:r>
        <w:t xml:space="preserve"> </w:t>
      </w:r>
      <w:r>
        <w:t xml:space="preserve">“Parametric economic modelling of asteroid mining architectures,”</w:t>
      </w:r>
      <w:r>
        <w:t xml:space="preserve"> </w:t>
      </w:r>
      <w:r>
        <w:t xml:space="preserve">Acta Astronautica, vol. 241, 2025, doi:</w:t>
      </w:r>
      <w:r>
        <w:t xml:space="preserve"> </w:t>
      </w:r>
      <w:hyperlink r:id="rId73">
        <w:r>
          <w:rPr>
            <w:rStyle w:val="Hyperlink"/>
          </w:rPr>
          <w:t xml:space="preserve">10.1016/j.actaastro.2025.11.006</w:t>
        </w:r>
      </w:hyperlink>
    </w:p>
    <w:bookmarkEnd w:id="74"/>
    <w:bookmarkStart w:id="75" w:name="specification"/>
    <w:p>
      <w:pPr>
        <w:pStyle w:val="Heading2"/>
      </w:pPr>
      <w:r>
        <w:t xml:space="preserve">Specification</w:t>
      </w:r>
    </w:p>
    <w:p>
      <w:pPr>
        <w:pStyle w:val="FirstParagraph"/>
      </w:pPr>
      <m:oMathPara>
        <m:oMathParaPr>
          <m:jc m:val="center"/>
        </m:oMathParaPr>
        <m:oMath>
          <m:r>
            <m:t>P</m:t>
          </m:r>
          <m:r>
            <m:t>U</m:t>
          </m:r>
          <m:r>
            <m:t>B</m:t>
          </m:r>
          <m:sSub>
            <m:e>
              <m:r>
                <m:t>S</m:t>
              </m:r>
            </m:e>
            <m:sub>
              <m:r>
                <m:t>i</m:t>
              </m:r>
            </m:sub>
          </m:sSub>
          <m:r>
            <m:rPr>
              <m:sty m:val="p"/>
            </m:rPr>
            <m:t>=</m:t>
          </m:r>
          <m:sSub>
            <m:e>
              <m:r>
                <m:t>β</m:t>
              </m:r>
            </m:e>
            <m:sub>
              <m:r>
                <m:t>0</m:t>
              </m:r>
            </m:sub>
          </m:sSub>
          <m:r>
            <m:rPr>
              <m:sty m:val="p"/>
            </m:rPr>
            <m:t>+</m:t>
          </m:r>
          <m:sSub>
            <m:e>
              <m:r>
                <m:t>β</m:t>
              </m:r>
            </m:e>
            <m:sub>
              <m:r>
                <m:t>1</m:t>
              </m:r>
            </m:sub>
          </m:sSub>
          <m:r>
            <m:t>O</m:t>
          </m:r>
          <m:r>
            <m:t>P</m:t>
          </m:r>
          <m:r>
            <m:t>Y</m:t>
          </m:r>
          <m:r>
            <m:t>E</m:t>
          </m:r>
          <m:r>
            <m:t>A</m:t>
          </m:r>
          <m:r>
            <m:t>R</m:t>
          </m:r>
          <m:sSub>
            <m:e>
              <m:r>
                <m:t>S</m:t>
              </m:r>
            </m:e>
            <m:sub>
              <m:r>
                <m:t>i</m:t>
              </m:r>
            </m:sub>
          </m:sSub>
          <m:r>
            <m:rPr>
              <m:sty m:val="p"/>
            </m:rPr>
            <m:t>+</m:t>
          </m:r>
          <m:sSub>
            <m:e>
              <m:r>
                <m:t>β</m:t>
              </m:r>
            </m:e>
            <m:sub>
              <m:r>
                <m:t>2</m:t>
              </m:r>
            </m:sub>
          </m:sSub>
          <m:r>
            <m:t>O</m:t>
          </m:r>
          <m:r>
            <m:t>B</m:t>
          </m:r>
          <m:r>
            <m:t>S</m:t>
          </m:r>
          <m:r>
            <m:t>C</m:t>
          </m:r>
          <m:r>
            <m:t>L</m:t>
          </m:r>
          <m:r>
            <m:t>A</m:t>
          </m:r>
          <m:r>
            <m:t>S</m:t>
          </m:r>
          <m:sSub>
            <m:e>
              <m:r>
                <m:t>S</m:t>
              </m:r>
            </m:e>
            <m:sub>
              <m:r>
                <m:t>i</m:t>
              </m:r>
            </m:sub>
          </m:sSub>
          <m:r>
            <m:rPr>
              <m:sty m:val="p"/>
            </m:rPr>
            <m:t>+</m:t>
          </m:r>
          <m:sSub>
            <m:e>
              <m:r>
                <m:t>β</m:t>
              </m:r>
            </m:e>
            <m:sub>
              <m:r>
                <m:t>3</m:t>
              </m:r>
            </m:sub>
          </m:sSub>
          <m:r>
            <m:t>E</m:t>
          </m:r>
          <m:r>
            <m:t>R</m:t>
          </m:r>
          <m:r>
            <m:t>A</m:t>
          </m:r>
          <m:sSub>
            <m:e>
              <m:r>
                <m:t>2000</m:t>
              </m:r>
            </m:e>
            <m:sub>
              <m:r>
                <m:t>i</m:t>
              </m:r>
            </m:sub>
          </m:sSub>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-2660.8734</w:t>
            </w:r>
          </w:p>
        </w:tc>
        <w:tc>
          <w:tcPr>
            <w:tcW w:w="0" w:type="auto"/>
          </w:tcPr>
          <w:p>
            <w:pPr>
              <w:spacing w:line="240" w:lineRule="auto" w:before="0" w:after="0"/>
              <w:pStyle w:val="Compact"/>
            </w:pPr>
            <w:r>
              <w:rPr>
                <w:sz w:val="20"/>
                <w:szCs w:val="20"/>
              </w:rPr>
              <w:t xml:space="preserve">1697.5864</w:t>
            </w:r>
          </w:p>
        </w:tc>
        <w:tc>
          <w:tcPr>
            <w:tcW w:w="0" w:type="auto"/>
          </w:tcPr>
          <w:p>
            <w:pPr>
              <w:spacing w:line="240" w:lineRule="auto" w:before="0" w:after="0"/>
              <w:pStyle w:val="Compact"/>
            </w:pPr>
            <w:r>
              <w:rPr>
                <w:sz w:val="20"/>
                <w:szCs w:val="20"/>
              </w:rPr>
              <w:t xml:space="preserve">-1.5674</w:t>
            </w:r>
          </w:p>
        </w:tc>
        <w:tc>
          <w:tcPr>
            <w:tcW w:w="0" w:type="auto"/>
          </w:tcPr>
          <w:p>
            <w:pPr>
              <w:spacing w:line="240" w:lineRule="auto" w:before="0" w:after="0"/>
              <w:pStyle w:val="Compact"/>
            </w:pPr>
            <w:r>
              <w:rPr>
                <w:sz w:val="20"/>
                <w:szCs w:val="20"/>
              </w:rPr>
              <w:t xml:space="preserve">0.117</w:t>
            </w:r>
          </w:p>
        </w:tc>
        <w:tc>
          <w:tcPr>
            <w:tcW w:w="0" w:type="auto"/>
          </w:tcPr>
          <w:p>
            <w:pPr>
              <w:spacing w:line="240" w:lineRule="auto" w:before="0" w:after="0"/>
              <w:pStyle w:val="Compact"/>
            </w:pPr>
            <w:r>
              <w:rPr>
                <w:sz w:val="20"/>
                <w:szCs w:val="20"/>
              </w:rPr>
              <w:t xml:space="preserve">[-5988.0816, 666.3348]</w:t>
            </w:r>
          </w:p>
        </w:tc>
      </w:tr>
      <w:tr>
        <w:tc>
          <w:tcPr>
            <w:tcW w:w="0" w:type="auto"/>
          </w:tcPr>
          <w:p>
            <w:pPr>
              <w:spacing w:line="240" w:lineRule="auto" w:before="0" w:after="0"/>
              <w:pStyle w:val="Compact"/>
            </w:pPr>
            <w:r>
              <w:rPr>
                <w:sz w:val="20"/>
                <w:szCs w:val="20"/>
              </w:rPr>
              <w:t xml:space="preserve">op_years</w:t>
            </w:r>
          </w:p>
        </w:tc>
        <w:tc>
          <w:tcPr>
            <w:tcW w:w="0" w:type="auto"/>
          </w:tcPr>
          <w:p>
            <w:pPr>
              <w:spacing w:line="240" w:lineRule="auto" w:before="0" w:after="0"/>
              <w:pStyle w:val="Compact"/>
            </w:pPr>
            <w:r>
              <w:rPr>
                <w:sz w:val="20"/>
                <w:szCs w:val="20"/>
              </w:rPr>
              <w:t xml:space="preserve">298.9566</w:t>
            </w:r>
          </w:p>
        </w:tc>
        <w:tc>
          <w:tcPr>
            <w:tcW w:w="0" w:type="auto"/>
          </w:tcPr>
          <w:p>
            <w:pPr>
              <w:spacing w:line="240" w:lineRule="auto" w:before="0" w:after="0"/>
              <w:pStyle w:val="Compact"/>
            </w:pPr>
            <w:r>
              <w:rPr>
                <w:sz w:val="20"/>
                <w:szCs w:val="20"/>
              </w:rPr>
              <w:t xml:space="preserve">111.3068</w:t>
            </w:r>
          </w:p>
        </w:tc>
        <w:tc>
          <w:tcPr>
            <w:tcW w:w="0" w:type="auto"/>
          </w:tcPr>
          <w:p>
            <w:pPr>
              <w:spacing w:line="240" w:lineRule="auto" w:before="0" w:after="0"/>
              <w:pStyle w:val="Compact"/>
            </w:pPr>
            <w:r>
              <w:rPr>
                <w:sz w:val="20"/>
                <w:szCs w:val="20"/>
              </w:rPr>
              <w:t xml:space="preserve">2.6859</w:t>
            </w:r>
          </w:p>
        </w:tc>
        <w:tc>
          <w:tcPr>
            <w:tcW w:w="0" w:type="auto"/>
          </w:tcPr>
          <w:p>
            <w:pPr>
              <w:spacing w:line="240" w:lineRule="auto" w:before="0" w:after="0"/>
              <w:pStyle w:val="Compact"/>
            </w:pPr>
            <w:r>
              <w:rPr>
                <w:sz w:val="20"/>
                <w:szCs w:val="20"/>
              </w:rPr>
              <w:t xml:space="preserve">0.0072</w:t>
            </w:r>
          </w:p>
        </w:tc>
        <w:tc>
          <w:tcPr>
            <w:tcW w:w="0" w:type="auto"/>
          </w:tcPr>
          <w:p>
            <w:pPr>
              <w:spacing w:line="240" w:lineRule="auto" w:before="0" w:after="0"/>
              <w:pStyle w:val="Compact"/>
            </w:pPr>
            <w:r>
              <w:rPr>
                <w:sz w:val="20"/>
                <w:szCs w:val="20"/>
              </w:rPr>
              <w:t xml:space="preserve">[80.7993, 517.1139]</w:t>
            </w:r>
          </w:p>
        </w:tc>
      </w:tr>
      <w:tr>
        <w:tc>
          <w:tcPr>
            <w:tcW w:w="0" w:type="auto"/>
          </w:tcPr>
          <w:p>
            <w:pPr>
              <w:spacing w:line="240" w:lineRule="auto" w:before="0" w:after="0"/>
              <w:pStyle w:val="Compact"/>
            </w:pPr>
            <w:r>
              <w:rPr>
                <w:sz w:val="20"/>
                <w:szCs w:val="20"/>
              </w:rPr>
              <w:t xml:space="preserve">obs_class</w:t>
            </w:r>
          </w:p>
        </w:tc>
        <w:tc>
          <w:tcPr>
            <w:tcW w:w="0" w:type="auto"/>
          </w:tcPr>
          <w:p>
            <w:pPr>
              <w:spacing w:line="240" w:lineRule="auto" w:before="0" w:after="0"/>
              <w:pStyle w:val="Compact"/>
            </w:pPr>
            <w:r>
              <w:rPr>
                <w:sz w:val="20"/>
                <w:szCs w:val="20"/>
              </w:rPr>
              <w:t xml:space="preserve">2576.1173</w:t>
            </w:r>
          </w:p>
        </w:tc>
        <w:tc>
          <w:tcPr>
            <w:tcW w:w="0" w:type="auto"/>
          </w:tcPr>
          <w:p>
            <w:pPr>
              <w:spacing w:line="240" w:lineRule="auto" w:before="0" w:after="0"/>
              <w:pStyle w:val="Compact"/>
            </w:pPr>
            <w:r>
              <w:rPr>
                <w:sz w:val="20"/>
                <w:szCs w:val="20"/>
              </w:rPr>
              <w:t xml:space="preserve">822.9975</w:t>
            </w:r>
          </w:p>
        </w:tc>
        <w:tc>
          <w:tcPr>
            <w:tcW w:w="0" w:type="auto"/>
          </w:tcPr>
          <w:p>
            <w:pPr>
              <w:spacing w:line="240" w:lineRule="auto" w:before="0" w:after="0"/>
              <w:pStyle w:val="Compact"/>
            </w:pPr>
            <w:r>
              <w:rPr>
                <w:sz w:val="20"/>
                <w:szCs w:val="20"/>
              </w:rPr>
              <w:t xml:space="preserve">3.1302</w:t>
            </w:r>
          </w:p>
        </w:tc>
        <w:tc>
          <w:tcPr>
            <w:tcW w:w="0" w:type="auto"/>
          </w:tcPr>
          <w:p>
            <w:pPr>
              <w:spacing w:line="240" w:lineRule="auto" w:before="0" w:after="0"/>
              <w:pStyle w:val="Compact"/>
            </w:pPr>
            <w:r>
              <w:rPr>
                <w:sz w:val="20"/>
                <w:szCs w:val="20"/>
              </w:rPr>
              <w:t xml:space="preserve">0.0017</w:t>
            </w:r>
          </w:p>
        </w:tc>
        <w:tc>
          <w:tcPr>
            <w:tcW w:w="0" w:type="auto"/>
          </w:tcPr>
          <w:p>
            <w:pPr>
              <w:spacing w:line="240" w:lineRule="auto" w:before="0" w:after="0"/>
              <w:pStyle w:val="Compact"/>
            </w:pPr>
            <w:r>
              <w:rPr>
                <w:sz w:val="20"/>
                <w:szCs w:val="20"/>
              </w:rPr>
              <w:t xml:space="preserve">[963.072, 4189.1627]</w:t>
            </w:r>
          </w:p>
        </w:tc>
      </w:tr>
      <w:tr>
        <w:tc>
          <w:tcPr>
            <w:tcW w:w="0" w:type="auto"/>
          </w:tcPr>
          <w:p>
            <w:pPr>
              <w:spacing w:line="240" w:lineRule="auto" w:before="0" w:after="0"/>
              <w:pStyle w:val="Compact"/>
            </w:pPr>
            <w:r>
              <w:rPr>
                <w:sz w:val="20"/>
                <w:szCs w:val="20"/>
              </w:rPr>
              <w:t xml:space="preserve">era_2000plus</w:t>
            </w:r>
          </w:p>
        </w:tc>
        <w:tc>
          <w:tcPr>
            <w:tcW w:w="0" w:type="auto"/>
          </w:tcPr>
          <w:p>
            <w:pPr>
              <w:spacing w:line="240" w:lineRule="auto" w:before="0" w:after="0"/>
              <w:pStyle w:val="Compact"/>
            </w:pPr>
            <w:r>
              <w:rPr>
                <w:sz w:val="20"/>
                <w:szCs w:val="20"/>
              </w:rPr>
              <w:t xml:space="preserve">764.3626</w:t>
            </w:r>
          </w:p>
        </w:tc>
        <w:tc>
          <w:tcPr>
            <w:tcW w:w="0" w:type="auto"/>
          </w:tcPr>
          <w:p>
            <w:pPr>
              <w:spacing w:line="240" w:lineRule="auto" w:before="0" w:after="0"/>
              <w:pStyle w:val="Compact"/>
            </w:pPr>
            <w:r>
              <w:rPr>
                <w:sz w:val="20"/>
                <w:szCs w:val="20"/>
              </w:rPr>
              <w:t xml:space="preserve">927.5579</w:t>
            </w:r>
          </w:p>
        </w:tc>
        <w:tc>
          <w:tcPr>
            <w:tcW w:w="0" w:type="auto"/>
          </w:tcPr>
          <w:p>
            <w:pPr>
              <w:spacing w:line="240" w:lineRule="auto" w:before="0" w:after="0"/>
              <w:pStyle w:val="Compact"/>
            </w:pPr>
            <w:r>
              <w:rPr>
                <w:sz w:val="20"/>
                <w:szCs w:val="20"/>
              </w:rPr>
              <w:t xml:space="preserve">0.8241</w:t>
            </w:r>
          </w:p>
        </w:tc>
        <w:tc>
          <w:tcPr>
            <w:tcW w:w="0" w:type="auto"/>
          </w:tcPr>
          <w:p>
            <w:pPr>
              <w:spacing w:line="240" w:lineRule="auto" w:before="0" w:after="0"/>
              <w:pStyle w:val="Compact"/>
            </w:pPr>
            <w:r>
              <w:rPr>
                <w:sz w:val="20"/>
                <w:szCs w:val="20"/>
              </w:rPr>
              <w:t xml:space="preserve">0.4099</w:t>
            </w:r>
          </w:p>
        </w:tc>
        <w:tc>
          <w:tcPr>
            <w:tcW w:w="0" w:type="auto"/>
          </w:tcPr>
          <w:p>
            <w:pPr>
              <w:spacing w:line="240" w:lineRule="auto" w:before="0" w:after="0"/>
              <w:pStyle w:val="Compact"/>
            </w:pPr>
            <w:r>
              <w:rPr>
                <w:sz w:val="20"/>
                <w:szCs w:val="20"/>
              </w:rPr>
              <w:t xml:space="preserve">[-1053.6175, 2582.3426]</w:t>
            </w:r>
          </w:p>
        </w:tc>
      </w:tr>
    </w:tbl>
    <w:p>
      <w:pPr>
        <w:pStyle w:val="BodyText"/>
      </w:pPr>
      <w:r>
        <w:t xml:space="preserve">Fit: N = 28 R2 = 0.583 R2_adj = 0.5309 F = 5.9123 F_p = 0.0036</w:t>
      </w:r>
    </w:p>
    <w:p>
      <w:pPr>
        <w:pStyle w:val="CaptionedFigure"/>
      </w:pPr>
      <w:r>
        <w:drawing>
          <wp:inline>
            <wp:extent cx="5669280" cy="3657600"/>
            <wp:effectExtent b="0" l="0" r="0" t="0"/>
            <wp:docPr descr="Figure 1. Realized science return versus operational lifetime across 28 space science missions, with the fitted ordinary-least-squares relationship." title="" id="77" name="Picture"/>
            <a:graphic>
              <a:graphicData uri="http://schemas.openxmlformats.org/drawingml/2006/picture">
                <pic:pic>
                  <pic:nvPicPr>
                    <pic:cNvPr descr="D:\Claude_Code\brain\collegium\candidates\dissertations\JPL_OPS_COMMS_DATA_10\research_papers\p1\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Realized science return versus operational lifetime across 28 space science missions, with the fitted ordinary-least-squares relationship.</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refereed_pubs</w:t>
            </w:r>
          </w:p>
        </w:tc>
        <w:tc>
          <w:tcPr>
            <w:tcW w:w="0" w:type="auto"/>
          </w:tcPr>
          <w:p>
            <w:pPr>
              <w:spacing w:line="240" w:lineRule="auto" w:before="0" w:after="0"/>
              <w:pStyle w:val="Compact"/>
            </w:pPr>
            <w:r>
              <w:rPr>
                <w:sz w:val="20"/>
                <w:szCs w:val="20"/>
              </w:rPr>
              <w:t xml:space="preserve">op_years</w:t>
            </w:r>
          </w:p>
        </w:tc>
        <w:tc>
          <w:tcPr>
            <w:tcW w:w="0" w:type="auto"/>
          </w:tcPr>
          <w:p>
            <w:pPr>
              <w:spacing w:line="240" w:lineRule="auto" w:before="0" w:after="0"/>
              <w:pStyle w:val="Compact"/>
            </w:pPr>
            <w:r>
              <w:rPr>
                <w:sz w:val="20"/>
                <w:szCs w:val="20"/>
              </w:rPr>
              <w:t xml:space="preserve">obs_class</w:t>
            </w:r>
          </w:p>
        </w:tc>
        <w:tc>
          <w:tcPr>
            <w:tcW w:w="0" w:type="auto"/>
          </w:tcPr>
          <w:p>
            <w:pPr>
              <w:spacing w:line="240" w:lineRule="auto" w:before="0" w:after="0"/>
              <w:pStyle w:val="Compact"/>
            </w:pPr>
            <w:r>
              <w:rPr>
                <w:sz w:val="20"/>
                <w:szCs w:val="20"/>
              </w:rPr>
              <w:t xml:space="preserve">era_2000plus</w:t>
            </w:r>
          </w:p>
        </w:tc>
        <w:tc>
          <w:tcPr>
            <w:tcW w:w="0" w:type="auto"/>
          </w:tcPr>
          <w:p>
            <w:pPr>
              <w:spacing w:line="240" w:lineRule="auto" w:before="0" w:after="0"/>
              <w:pStyle w:val="Compact"/>
            </w:pPr>
            <w:r>
              <w:rPr>
                <w:sz w:val="20"/>
                <w:szCs w:val="20"/>
              </w:rPr>
              <w:t xml:space="preserve">life_cost_musd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IUE</w:t>
            </w:r>
          </w:p>
        </w:tc>
        <w:tc>
          <w:tcPr>
            <w:tcW w:w="0" w:type="auto"/>
          </w:tcPr>
          <w:p>
            <w:pPr>
              <w:spacing w:line="240" w:lineRule="auto" w:before="0" w:after="0"/>
              <w:pStyle w:val="Compact"/>
            </w:pPr>
            <w:r>
              <w:rPr>
                <w:sz w:val="20"/>
                <w:szCs w:val="20"/>
              </w:rPr>
              <w:t xml:space="preserve">5105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refereed_pubs and operations 1978-1996 (op_years=18) from De Marchi &amp; Parmar (2024), ESA Mission Publications, arXiv:2402.12818 Table 2; obs_class=1 (open-time UV observatory, joint NASA/ESA/SERC) per De Marchi &amp; Parmar Sect.2; life_cost_musd ~287 (NASA IUE program est., NTRS 19790000xxx) [illustrative]</w:t>
            </w:r>
          </w:p>
        </w:tc>
      </w:tr>
      <w:tr>
        <w:tc>
          <w:tcPr>
            <w:tcW w:w="0" w:type="auto"/>
          </w:tcPr>
          <w:p>
            <w:pPr>
              <w:spacing w:line="240" w:lineRule="auto" w:before="0" w:after="0"/>
              <w:pStyle w:val="Compact"/>
            </w:pPr>
            <w:r>
              <w:rPr>
                <w:sz w:val="20"/>
                <w:szCs w:val="20"/>
              </w:rPr>
              <w:t xml:space="preserve">ISO</w:t>
            </w:r>
          </w:p>
        </w:tc>
        <w:tc>
          <w:tcPr>
            <w:tcW w:w="0" w:type="auto"/>
          </w:tcPr>
          <w:p>
            <w:pPr>
              <w:spacing w:line="240" w:lineRule="auto" w:before="0" w:after="0"/>
              <w:pStyle w:val="Compact"/>
            </w:pPr>
            <w:r>
              <w:rPr>
                <w:sz w:val="20"/>
                <w:szCs w:val="20"/>
              </w:rPr>
              <w:t xml:space="preserve">2062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refereed_pubs and operations 1995-1998 (op_years=3) from De Marchi &amp; Parmar (2024) arXiv:2402.12818 Table 1; obs_class=1 (open-time infrared observatory) per De Marchi &amp; Parmar Sect.2; life_cost_musd ~700 (ESA ISO program, ESA Achievements report) [illustrative]</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6252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1270</w:t>
            </w:r>
          </w:p>
        </w:tc>
        <w:tc>
          <w:tcPr>
            <w:tcW w:w="0" w:type="auto"/>
          </w:tcPr>
          <w:p>
            <w:pPr>
              <w:spacing w:line="240" w:lineRule="auto" w:before="0" w:after="0"/>
              <w:pStyle w:val="Compact"/>
            </w:pPr>
            <w:r>
              <w:rPr>
                <w:sz w:val="20"/>
                <w:szCs w:val="20"/>
              </w:rPr>
              <w:t xml:space="preserve">refereed_pubs and operations 1995- (op_years to 2021=26) from De Marchi &amp; Parmar (2024) arXiv:2402.12818 Table 1; obs_class=1 (heliophysics observatory serving broad community); life_cost_musd ~1270 (NASA/ESA SOHO, NASA mission cost compendium) [illustrative]</w:t>
            </w:r>
          </w:p>
        </w:tc>
      </w:tr>
      <w:tr>
        <w:tc>
          <w:tcPr>
            <w:tcW w:w="0" w:type="auto"/>
          </w:tcPr>
          <w:p>
            <w:pPr>
              <w:spacing w:line="240" w:lineRule="auto" w:before="0" w:after="0"/>
              <w:pStyle w:val="Compact"/>
            </w:pPr>
            <w:r>
              <w:rPr>
                <w:sz w:val="20"/>
                <w:szCs w:val="20"/>
              </w:rPr>
              <w:t xml:space="preserve">Hipparcos</w:t>
            </w:r>
          </w:p>
        </w:tc>
        <w:tc>
          <w:tcPr>
            <w:tcW w:w="0" w:type="auto"/>
          </w:tcPr>
          <w:p>
            <w:pPr>
              <w:spacing w:line="240" w:lineRule="auto" w:before="0" w:after="0"/>
              <w:pStyle w:val="Compact"/>
            </w:pPr>
            <w:r>
              <w:rPr>
                <w:sz w:val="20"/>
                <w:szCs w:val="20"/>
              </w:rPr>
              <w:t xml:space="preserve">2692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refereed_pubs and operations 1989-1993 (op_years=4) from De Marchi &amp; Parmar (2024) arXiv:2402.12818 Table 1; obs_class=1 (all-sky astrometric survey) per De Marchi &amp; Parmar; life_cost_musd ~600 (ESA Hipparcos) [illustrative]</w:t>
            </w:r>
          </w:p>
        </w:tc>
      </w:tr>
      <w:tr>
        <w:tc>
          <w:tcPr>
            <w:tcW w:w="0" w:type="auto"/>
          </w:tcPr>
          <w:p>
            <w:pPr>
              <w:spacing w:line="240" w:lineRule="auto" w:before="0" w:after="0"/>
              <w:pStyle w:val="Compact"/>
            </w:pPr>
            <w:r>
              <w:rPr>
                <w:sz w:val="20"/>
                <w:szCs w:val="20"/>
              </w:rPr>
              <w:t xml:space="preserve">Ulysses</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refereed_pubs and operations 1990-2009 (op_years=19) from De Marchi &amp; Parmar (2024) arXiv:2402.12818 Table 1; obs_class=0 (targeted solar-polar heliophysics probe); life_cost_musd ~750 (NASA/ESA Ulysses) [illustrative]</w:t>
            </w:r>
          </w:p>
        </w:tc>
      </w:tr>
      <w:tr>
        <w:tc>
          <w:tcPr>
            <w:tcW w:w="0" w:type="auto"/>
          </w:tcPr>
          <w:p>
            <w:pPr>
              <w:spacing w:line="240" w:lineRule="auto" w:before="0" w:after="0"/>
              <w:pStyle w:val="Compact"/>
            </w:pPr>
            <w:r>
              <w:rPr>
                <w:sz w:val="20"/>
                <w:szCs w:val="20"/>
              </w:rPr>
              <w:t xml:space="preserve">Huygens</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refereed_pubs and operations 1997-2005 (op_years=8) from De Marchi &amp; Parmar (2024) arXiv:2402.12818 Table 1; obs_class=0 (single-target Titan descent probe); life_cost_musd ~500 (ESA Huygens element of Cassini-Huygens) [illustrative]</w:t>
            </w:r>
          </w:p>
        </w:tc>
      </w:tr>
      <w:tr>
        <w:tc>
          <w:tcPr>
            <w:tcW w:w="0" w:type="auto"/>
          </w:tcPr>
          <w:p>
            <w:pPr>
              <w:spacing w:line="240" w:lineRule="auto" w:before="0" w:after="0"/>
              <w:pStyle w:val="Compact"/>
            </w:pPr>
            <w:r>
              <w:rPr>
                <w:sz w:val="20"/>
                <w:szCs w:val="20"/>
              </w:rPr>
              <w:t xml:space="preserve">XMM-Newton</w:t>
            </w:r>
          </w:p>
        </w:tc>
        <w:tc>
          <w:tcPr>
            <w:tcW w:w="0" w:type="auto"/>
          </w:tcPr>
          <w:p>
            <w:pPr>
              <w:spacing w:line="240" w:lineRule="auto" w:before="0" w:after="0"/>
              <w:pStyle w:val="Compact"/>
            </w:pPr>
            <w:r>
              <w:rPr>
                <w:sz w:val="20"/>
                <w:szCs w:val="20"/>
              </w:rPr>
              <w:t xml:space="preserve">6963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1130</w:t>
            </w:r>
          </w:p>
        </w:tc>
        <w:tc>
          <w:tcPr>
            <w:tcW w:w="0" w:type="auto"/>
          </w:tcPr>
          <w:p>
            <w:pPr>
              <w:spacing w:line="240" w:lineRule="auto" w:before="0" w:after="0"/>
              <w:pStyle w:val="Compact"/>
            </w:pPr>
            <w:r>
              <w:rPr>
                <w:sz w:val="20"/>
                <w:szCs w:val="20"/>
              </w:rPr>
              <w:t xml:space="preserve">refereed_pubs and operations 1999- (op_years to 2021=22) from De Marchi &amp; Parmar (2024) arXiv:2402.12818 Table 1; obs_class=1 (open-time X-ray observatory, competitive community time) per De Marchi &amp; Parmar Sect.2 and ESA XMM-Newton factsheet; life_cost_musd ~1130 (ESA XMM-Newton) [illustrative]</w:t>
            </w:r>
          </w:p>
        </w:tc>
      </w:tr>
      <w:tr>
        <w:tc>
          <w:tcPr>
            <w:tcW w:w="0" w:type="auto"/>
          </w:tcPr>
          <w:p>
            <w:pPr>
              <w:spacing w:line="240" w:lineRule="auto" w:before="0" w:after="0"/>
              <w:pStyle w:val="Compact"/>
            </w:pPr>
            <w:r>
              <w:rPr>
                <w:sz w:val="20"/>
                <w:szCs w:val="20"/>
              </w:rPr>
              <w:t xml:space="preserve">Cluster</w:t>
            </w:r>
          </w:p>
        </w:tc>
        <w:tc>
          <w:tcPr>
            <w:tcW w:w="0" w:type="auto"/>
          </w:tcPr>
          <w:p>
            <w:pPr>
              <w:spacing w:line="240" w:lineRule="auto" w:before="0" w:after="0"/>
              <w:pStyle w:val="Compact"/>
            </w:pPr>
            <w:r>
              <w:rPr>
                <w:sz w:val="20"/>
                <w:szCs w:val="20"/>
              </w:rPr>
              <w:t xml:space="preserve">2962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refereed_pubs and operations 2000- (op_years to 2021=21) from De Marchi &amp; Parmar (2024) arXiv:2402.12818 Table 1; obs_class=0 (targeted four-spacecraft magnetospheric mission); life_cost_musd ~1100 (ESA Cluster) [illustrative]</w:t>
            </w:r>
          </w:p>
        </w:tc>
      </w:tr>
      <w:tr>
        <w:tc>
          <w:tcPr>
            <w:tcW w:w="0" w:type="auto"/>
          </w:tcPr>
          <w:p>
            <w:pPr>
              <w:spacing w:line="240" w:lineRule="auto" w:before="0" w:after="0"/>
              <w:pStyle w:val="Compact"/>
            </w:pPr>
            <w:r>
              <w:rPr>
                <w:sz w:val="20"/>
                <w:szCs w:val="20"/>
              </w:rPr>
              <w:t xml:space="preserve">INTEGRAL</w:t>
            </w:r>
          </w:p>
        </w:tc>
        <w:tc>
          <w:tcPr>
            <w:tcW w:w="0" w:type="auto"/>
          </w:tcPr>
          <w:p>
            <w:pPr>
              <w:spacing w:line="240" w:lineRule="auto" w:before="0" w:after="0"/>
              <w:pStyle w:val="Compact"/>
            </w:pPr>
            <w:r>
              <w:rPr>
                <w:sz w:val="20"/>
                <w:szCs w:val="20"/>
              </w:rPr>
              <w:t xml:space="preserve">1904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refereed_pubs and operations 2002- (op_years to 2021=19) from De Marchi &amp; Parmar (2024) arXiv:2402.12818 Table 1; obs_class=1 (open-time gamma-ray observatory); life_cost_musd ~420 (ESA INTEGRAL) [illustrative]</w:t>
            </w:r>
          </w:p>
        </w:tc>
      </w:tr>
      <w:tr>
        <w:tc>
          <w:tcPr>
            <w:tcW w:w="0" w:type="auto"/>
          </w:tcPr>
          <w:p>
            <w:pPr>
              <w:spacing w:line="240" w:lineRule="auto" w:before="0" w:after="0"/>
              <w:pStyle w:val="Compact"/>
            </w:pPr>
            <w:r>
              <w:rPr>
                <w:sz w:val="20"/>
                <w:szCs w:val="20"/>
              </w:rPr>
              <w:t xml:space="preserve">SMART-1</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refereed_pubs and operations 2003-2006 (op_years=3) from De Marchi &amp; Parmar (2024) arXiv:2402.12818 Table 1; obs_class=0 (technology/lunar targeted demonstrator); life_cost_musd ~130 (ESA SMART-1) [illustrative]</w:t>
            </w:r>
          </w:p>
        </w:tc>
      </w:tr>
      <w:tr>
        <w:tc>
          <w:tcPr>
            <w:tcW w:w="0" w:type="auto"/>
          </w:tcPr>
          <w:p>
            <w:pPr>
              <w:spacing w:line="240" w:lineRule="auto" w:before="0" w:after="0"/>
              <w:pStyle w:val="Compact"/>
            </w:pPr>
            <w:r>
              <w:rPr>
                <w:sz w:val="20"/>
                <w:szCs w:val="20"/>
              </w:rPr>
              <w:t xml:space="preserve">Mars_Express</w:t>
            </w:r>
          </w:p>
        </w:tc>
        <w:tc>
          <w:tcPr>
            <w:tcW w:w="0" w:type="auto"/>
          </w:tcPr>
          <w:p>
            <w:pPr>
              <w:spacing w:line="240" w:lineRule="auto" w:before="0" w:after="0"/>
              <w:pStyle w:val="Compact"/>
            </w:pPr>
            <w:r>
              <w:rPr>
                <w:sz w:val="20"/>
                <w:szCs w:val="20"/>
              </w:rPr>
              <w:t xml:space="preserve">1464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refereed_pubs and operations 2003- (op_years to 2021=18) from De Marchi &amp; Parmar (2024) arXiv:2402.12818 Table 1; obs_class=0 (targeted Mars orbiter); life_cost_musd ~430 (ESA Mars Express) [illustrative]</w:t>
            </w:r>
          </w:p>
        </w:tc>
      </w:tr>
      <w:tr>
        <w:tc>
          <w:tcPr>
            <w:tcW w:w="0" w:type="auto"/>
          </w:tcPr>
          <w:p>
            <w:pPr>
              <w:spacing w:line="240" w:lineRule="auto" w:before="0" w:after="0"/>
              <w:pStyle w:val="Compact"/>
            </w:pPr>
            <w:r>
              <w:rPr>
                <w:sz w:val="20"/>
                <w:szCs w:val="20"/>
              </w:rPr>
              <w:t xml:space="preserve">Rosetta</w:t>
            </w:r>
          </w:p>
        </w:tc>
        <w:tc>
          <w:tcPr>
            <w:tcW w:w="0" w:type="auto"/>
          </w:tcPr>
          <w:p>
            <w:pPr>
              <w:spacing w:line="240" w:lineRule="auto" w:before="0" w:after="0"/>
              <w:pStyle w:val="Compact"/>
            </w:pPr>
            <w:r>
              <w:rPr>
                <w:sz w:val="20"/>
                <w:szCs w:val="20"/>
              </w:rPr>
              <w:t xml:space="preserve">1314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1620</w:t>
            </w:r>
          </w:p>
        </w:tc>
        <w:tc>
          <w:tcPr>
            <w:tcW w:w="0" w:type="auto"/>
          </w:tcPr>
          <w:p>
            <w:pPr>
              <w:spacing w:line="240" w:lineRule="auto" w:before="0" w:after="0"/>
              <w:pStyle w:val="Compact"/>
            </w:pPr>
            <w:r>
              <w:rPr>
                <w:sz w:val="20"/>
                <w:szCs w:val="20"/>
              </w:rPr>
              <w:t xml:space="preserve">refereed_pubs and operations 2004-2016 (op_years=12) from De Marchi &amp; Parmar (2024) arXiv:2402.12818 Table 1; obs_class=0 (single-target comet rendezvous); life_cost_musd ~1620 (ESA Rosetta ~EUR1.3B, Rosetta Wikipedia citing ESA) [illustrative]</w:t>
            </w:r>
          </w:p>
        </w:tc>
      </w:tr>
      <w:tr>
        <w:tc>
          <w:tcPr>
            <w:tcW w:w="0" w:type="auto"/>
          </w:tcPr>
          <w:p>
            <w:pPr>
              <w:spacing w:line="240" w:lineRule="auto" w:before="0" w:after="0"/>
              <w:pStyle w:val="Compact"/>
            </w:pPr>
            <w:r>
              <w:rPr>
                <w:sz w:val="20"/>
                <w:szCs w:val="20"/>
              </w:rPr>
              <w:t xml:space="preserve">Venus_Express</w:t>
            </w:r>
          </w:p>
        </w:tc>
        <w:tc>
          <w:tcPr>
            <w:tcW w:w="0" w:type="auto"/>
          </w:tcPr>
          <w:p>
            <w:pPr>
              <w:spacing w:line="240" w:lineRule="auto" w:before="0" w:after="0"/>
              <w:pStyle w:val="Compact"/>
            </w:pPr>
            <w:r>
              <w:rPr>
                <w:sz w:val="20"/>
                <w:szCs w:val="20"/>
              </w:rPr>
              <w:t xml:space="preserve">737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refereed_pubs and operations 2005-2014 (op_years=9) from De Marchi &amp; Parmar (2024) arXiv:2402.12818 Table 1; obs_class=0 (targeted Venus orbiter); life_cost_musd ~260 (ESA Venus Express) [illustrative]</w:t>
            </w:r>
          </w:p>
        </w:tc>
      </w:tr>
      <w:tr>
        <w:tc>
          <w:tcPr>
            <w:tcW w:w="0" w:type="auto"/>
          </w:tcPr>
          <w:p>
            <w:pPr>
              <w:spacing w:line="240" w:lineRule="auto" w:before="0" w:after="0"/>
              <w:pStyle w:val="Compact"/>
            </w:pPr>
            <w:r>
              <w:rPr>
                <w:sz w:val="20"/>
                <w:szCs w:val="20"/>
              </w:rPr>
              <w:t xml:space="preserve">Herschel</w:t>
            </w:r>
          </w:p>
        </w:tc>
        <w:tc>
          <w:tcPr>
            <w:tcW w:w="0" w:type="auto"/>
          </w:tcPr>
          <w:p>
            <w:pPr>
              <w:spacing w:line="240" w:lineRule="auto" w:before="0" w:after="0"/>
              <w:pStyle w:val="Compact"/>
            </w:pPr>
            <w:r>
              <w:rPr>
                <w:sz w:val="20"/>
                <w:szCs w:val="20"/>
              </w:rPr>
              <w:t xml:space="preserve">3284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1370</w:t>
            </w:r>
          </w:p>
        </w:tc>
        <w:tc>
          <w:tcPr>
            <w:tcW w:w="0" w:type="auto"/>
          </w:tcPr>
          <w:p>
            <w:pPr>
              <w:spacing w:line="240" w:lineRule="auto" w:before="0" w:after="0"/>
              <w:pStyle w:val="Compact"/>
            </w:pPr>
            <w:r>
              <w:rPr>
                <w:sz w:val="20"/>
                <w:szCs w:val="20"/>
              </w:rPr>
              <w:t xml:space="preserve">refereed_pubs and operations 2009-2013 (op_years=4) from De Marchi &amp; Parmar (2024) arXiv:2402.12818 Table 1; obs_class=1 (open-time far-infrared observatory); life_cost_musd ~1370 (ESA Herschel ~EUR1.1B, Herschel Wikipedia citing ESA) [illustrative]</w:t>
            </w:r>
          </w:p>
        </w:tc>
      </w:tr>
      <w:tr>
        <w:tc>
          <w:tcPr>
            <w:tcW w:w="0" w:type="auto"/>
          </w:tcPr>
          <w:p>
            <w:pPr>
              <w:spacing w:line="240" w:lineRule="auto" w:before="0" w:after="0"/>
              <w:pStyle w:val="Compact"/>
            </w:pPr>
            <w:r>
              <w:rPr>
                <w:sz w:val="20"/>
                <w:szCs w:val="20"/>
              </w:rPr>
              <w:t xml:space="preserve">Planck</w:t>
            </w:r>
          </w:p>
        </w:tc>
        <w:tc>
          <w:tcPr>
            <w:tcW w:w="0" w:type="auto"/>
          </w:tcPr>
          <w:p>
            <w:pPr>
              <w:spacing w:line="240" w:lineRule="auto" w:before="0" w:after="0"/>
              <w:pStyle w:val="Compact"/>
            </w:pPr>
            <w:r>
              <w:rPr>
                <w:sz w:val="20"/>
                <w:szCs w:val="20"/>
              </w:rPr>
              <w:t xml:space="preserve">2742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920</w:t>
            </w:r>
          </w:p>
        </w:tc>
        <w:tc>
          <w:tcPr>
            <w:tcW w:w="0" w:type="auto"/>
          </w:tcPr>
          <w:p>
            <w:pPr>
              <w:spacing w:line="240" w:lineRule="auto" w:before="0" w:after="0"/>
              <w:pStyle w:val="Compact"/>
            </w:pPr>
            <w:r>
              <w:rPr>
                <w:sz w:val="20"/>
                <w:szCs w:val="20"/>
              </w:rPr>
              <w:t xml:space="preserve">refereed_pubs and operations 2009-2013 (op_years=4) from De Marchi &amp; Parmar (2024) arXiv:2402.12818 Table 1; obs_class=1 (all-sky CMB survey serving cosmology community); life_cost_musd ~920 (ESA Planck) [illustrative]</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6403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refereed_pubs and operations 2013- (op_years to 2021=9, span 8-9yr per De Marchi &amp; Parmar) from arXiv:2402.12818 Table 1; obs_class=1 (open all-sky astrometric survey) per De Marchi &amp; Parmar and arXiv:astro-ph/0202518; life_cost_musd ~1000 (ESA Gaia ~EUR1B) [illustrative]</w:t>
            </w:r>
          </w:p>
        </w:tc>
      </w:tr>
      <w:tr>
        <w:tc>
          <w:tcPr>
            <w:tcW w:w="0" w:type="auto"/>
          </w:tcPr>
          <w:p>
            <w:pPr>
              <w:spacing w:line="240" w:lineRule="auto" w:before="0" w:after="0"/>
              <w:pStyle w:val="Compact"/>
            </w:pPr>
            <w:r>
              <w:rPr>
                <w:sz w:val="20"/>
                <w:szCs w:val="20"/>
              </w:rPr>
              <w:t xml:space="preserve">HST</w:t>
            </w:r>
          </w:p>
        </w:tc>
        <w:tc>
          <w:tcPr>
            <w:tcW w:w="0" w:type="auto"/>
          </w:tcPr>
          <w:p>
            <w:pPr>
              <w:spacing w:line="240" w:lineRule="auto" w:before="0" w:after="0"/>
              <w:pStyle w:val="Compact"/>
            </w:pPr>
            <w:r>
              <w:rPr>
                <w:sz w:val="20"/>
                <w:szCs w:val="20"/>
              </w:rPr>
              <w:t xml:space="preserve">19333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11300</w:t>
            </w:r>
          </w:p>
        </w:tc>
        <w:tc>
          <w:tcPr>
            <w:tcW w:w="0" w:type="auto"/>
          </w:tcPr>
          <w:p>
            <w:pPr>
              <w:spacing w:line="240" w:lineRule="auto" w:before="0" w:after="0"/>
              <w:pStyle w:val="Compact"/>
            </w:pPr>
            <w:r>
              <w:rPr>
                <w:sz w:val="20"/>
                <w:szCs w:val="20"/>
              </w:rPr>
              <w:t xml:space="preserve">refereed_pubs and operations 1990- (op_years to 2021=32) from De Marchi &amp; Parmar (2024) arXiv:2402.12818 Table 2; obs_class=1 (flagship open-time optical/UV observatory) per De Marchi &amp; Parmar; life_cost_musd 11300 cumulative 2015 USD per Hubble Wikipedia citing NASA</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2227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3260</w:t>
            </w:r>
          </w:p>
        </w:tc>
        <w:tc>
          <w:tcPr>
            <w:tcW w:w="0" w:type="auto"/>
          </w:tcPr>
          <w:p>
            <w:pPr>
              <w:spacing w:line="240" w:lineRule="auto" w:before="0" w:after="0"/>
              <w:pStyle w:val="Compact"/>
            </w:pPr>
            <w:r>
              <w:rPr>
                <w:sz w:val="20"/>
                <w:szCs w:val="20"/>
              </w:rPr>
              <w:t xml:space="preserve">refereed_pubs 2227 and operations 1997-2017 (op_years=20-21) from De Marchi &amp; Parmar (2024) arXiv:2402.12818 Table 2; obs_class=0 (targeted Saturn-system orbiter); life_cost_musd 3260 per Cassini-Huygens Wikipedia citing NASA ($1.4B dev + ops + launch)</w:t>
            </w:r>
          </w:p>
        </w:tc>
      </w:tr>
      <w:tr>
        <w:tc>
          <w:tcPr>
            <w:tcW w:w="0" w:type="auto"/>
          </w:tcPr>
          <w:p>
            <w:pPr>
              <w:spacing w:line="240" w:lineRule="auto" w:before="0" w:after="0"/>
              <w:pStyle w:val="Compact"/>
            </w:pPr>
            <w:r>
              <w:rPr>
                <w:sz w:val="20"/>
                <w:szCs w:val="20"/>
              </w:rPr>
              <w:t xml:space="preserve">Double_Star</w:t>
            </w:r>
          </w:p>
        </w:tc>
        <w:tc>
          <w:tcPr>
            <w:tcW w:w="0" w:type="auto"/>
          </w:tcPr>
          <w:p>
            <w:pPr>
              <w:spacing w:line="240" w:lineRule="auto" w:before="0" w:after="0"/>
              <w:pStyle w:val="Compact"/>
            </w:pPr>
            <w:r>
              <w:rPr>
                <w:sz w:val="20"/>
                <w:szCs w:val="20"/>
              </w:rPr>
              <w:t xml:space="preserve">161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refereed_pubs and operations 2003-2007 (op_years=4) from De Marchi &amp; Parmar (2024) arXiv:2402.12818 Table 2; obs_class=0 (targeted CNSA/ESA magnetospheric pair); life_cost_musd ~40 (ESA contribution) [illustrative]</w:t>
            </w:r>
          </w:p>
        </w:tc>
      </w:tr>
      <w:tr>
        <w:tc>
          <w:tcPr>
            <w:tcW w:w="0" w:type="auto"/>
          </w:tcPr>
          <w:p>
            <w:pPr>
              <w:spacing w:line="240" w:lineRule="auto" w:before="0" w:after="0"/>
              <w:pStyle w:val="Compact"/>
            </w:pPr>
            <w:r>
              <w:rPr>
                <w:sz w:val="20"/>
                <w:szCs w:val="20"/>
              </w:rPr>
              <w:t xml:space="preserve">Suzaku</w:t>
            </w:r>
          </w:p>
        </w:tc>
        <w:tc>
          <w:tcPr>
            <w:tcW w:w="0" w:type="auto"/>
          </w:tcPr>
          <w:p>
            <w:pPr>
              <w:spacing w:line="240" w:lineRule="auto" w:before="0" w:after="0"/>
              <w:pStyle w:val="Compact"/>
            </w:pPr>
            <w:r>
              <w:rPr>
                <w:sz w:val="20"/>
                <w:szCs w:val="20"/>
              </w:rPr>
              <w:t xml:space="preserve">1139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refereed_pubs and operations 2005-2015 (op_years=10) from De Marchi &amp; Parmar (2024) arXiv:2402.12818 Table 2; obs_class=1 (open-time X-ray observatory, JAXA/NASA); life_cost_musd ~170 (JAXA Suzaku/Astro-E2) [illustrative]</w:t>
            </w:r>
          </w:p>
        </w:tc>
      </w:tr>
      <w:tr>
        <w:tc>
          <w:tcPr>
            <w:tcW w:w="0" w:type="auto"/>
          </w:tcPr>
          <w:p>
            <w:pPr>
              <w:spacing w:line="240" w:lineRule="auto" w:before="0" w:after="0"/>
              <w:pStyle w:val="Compact"/>
            </w:pPr>
            <w:r>
              <w:rPr>
                <w:sz w:val="20"/>
                <w:szCs w:val="20"/>
              </w:rPr>
              <w:t xml:space="preserve">AKARI</w:t>
            </w:r>
          </w:p>
        </w:tc>
        <w:tc>
          <w:tcPr>
            <w:tcW w:w="0" w:type="auto"/>
          </w:tcPr>
          <w:p>
            <w:pPr>
              <w:spacing w:line="240" w:lineRule="auto" w:before="0" w:after="0"/>
              <w:pStyle w:val="Compact"/>
            </w:pPr>
            <w:r>
              <w:rPr>
                <w:sz w:val="20"/>
                <w:szCs w:val="20"/>
              </w:rPr>
              <w:t xml:space="preserve">1086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refereed_pubs and operations 2006-2011 (op_years=5) from De Marchi &amp; Parmar (2024) arXiv:2402.12818 Table 2; obs_class=1 (infrared all-sky survey, JAXA/ESA); life_cost_musd ~140 (JAXA AKARI) [illustrative]</w:t>
            </w:r>
          </w:p>
        </w:tc>
      </w:tr>
      <w:tr>
        <w:tc>
          <w:tcPr>
            <w:tcW w:w="0" w:type="auto"/>
          </w:tcPr>
          <w:p>
            <w:pPr>
              <w:spacing w:line="240" w:lineRule="auto" w:before="0" w:after="0"/>
              <w:pStyle w:val="Compact"/>
            </w:pPr>
            <w:r>
              <w:rPr>
                <w:sz w:val="20"/>
                <w:szCs w:val="20"/>
              </w:rPr>
              <w:t xml:space="preserve">Hinode</w:t>
            </w:r>
          </w:p>
        </w:tc>
        <w:tc>
          <w:tcPr>
            <w:tcW w:w="0" w:type="auto"/>
          </w:tcPr>
          <w:p>
            <w:pPr>
              <w:spacing w:line="240" w:lineRule="auto" w:before="0" w:after="0"/>
              <w:pStyle w:val="Compact"/>
            </w:pPr>
            <w:r>
              <w:rPr>
                <w:sz w:val="20"/>
                <w:szCs w:val="20"/>
              </w:rPr>
              <w:t xml:space="preserve">1442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refereed_pubs and operations 2006- (op_years to 2021=15) from De Marchi &amp; Parmar (2024) arXiv:2402.12818 Table 2; obs_class=1 (solar observatory serving community, JAXA/NASA/ESA); life_cost_musd ~300 (JAXA Hinode/Solar-B) [illustrative]</w:t>
            </w:r>
          </w:p>
        </w:tc>
      </w:tr>
      <w:tr>
        <w:tc>
          <w:tcPr>
            <w:tcW w:w="0" w:type="auto"/>
          </w:tcPr>
          <w:p>
            <w:pPr>
              <w:spacing w:line="240" w:lineRule="auto" w:before="0" w:after="0"/>
              <w:pStyle w:val="Compact"/>
            </w:pPr>
            <w:r>
              <w:rPr>
                <w:sz w:val="20"/>
                <w:szCs w:val="20"/>
              </w:rPr>
              <w:t xml:space="preserve">CoRoT</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refereed_pubs and operations 2006-2013 (op_years=7) from De Marchi &amp; Parmar (2024) arXiv:2402.12818 Table 2; obs_class=1 (exoplanet/asteroseismology survey, CNES/ESA); life_cost_musd ~170 (CNES CoRoT) [illustrative]</w:t>
            </w:r>
          </w:p>
        </w:tc>
      </w:tr>
      <w:tr>
        <w:tc>
          <w:tcPr>
            <w:tcW w:w="0" w:type="auto"/>
          </w:tcPr>
          <w:p>
            <w:pPr>
              <w:spacing w:line="240" w:lineRule="auto" w:before="0" w:after="0"/>
              <w:pStyle w:val="Compact"/>
            </w:pPr>
            <w:r>
              <w:rPr>
                <w:sz w:val="20"/>
                <w:szCs w:val="20"/>
              </w:rPr>
              <w:t xml:space="preserve">Chandrayaan-1</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refereed_pubs and operations 2008-2009 (op_years=1) from De Marchi &amp; Parmar (2024) arXiv:2402.12818 Table 2; obs_class=0 (targeted lunar orbiter, ISRO/ESA/NASA); life_cost_musd ~80 (ISRO Chandrayaan-1) [illustrative]</w:t>
            </w:r>
          </w:p>
        </w:tc>
      </w:tr>
      <w:tr>
        <w:tc>
          <w:tcPr>
            <w:tcW w:w="0" w:type="auto"/>
          </w:tcPr>
          <w:p>
            <w:pPr>
              <w:spacing w:line="240" w:lineRule="auto" w:before="0" w:after="0"/>
              <w:pStyle w:val="Compact"/>
            </w:pPr>
            <w:r>
              <w:rPr>
                <w:sz w:val="20"/>
                <w:szCs w:val="20"/>
              </w:rPr>
              <w:t xml:space="preserve">Exosat</w:t>
            </w:r>
          </w:p>
        </w:tc>
        <w:tc>
          <w:tcPr>
            <w:tcW w:w="0" w:type="auto"/>
          </w:tcPr>
          <w:p>
            <w:pPr>
              <w:spacing w:line="240" w:lineRule="auto" w:before="0" w:after="0"/>
              <w:pStyle w:val="Compact"/>
            </w:pPr>
            <w:r>
              <w:rPr>
                <w:sz w:val="20"/>
                <w:szCs w:val="20"/>
              </w:rPr>
              <w:t xml:space="preserve">743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refereed_pubs 743 and operations 1983-1986 (op_years=3) from De Marchi &amp; Parmar (2024) arXiv:2402.12818 Table 1; obs_class=1 (open-time X-ray observatory); life_cost_musd ~200 (ESA EXOSAT) [illustrative]</w:t>
            </w:r>
          </w:p>
        </w:tc>
      </w:tr>
      <w:tr>
        <w:tc>
          <w:tcPr>
            <w:tcW w:w="0" w:type="auto"/>
          </w:tcPr>
          <w:p>
            <w:pPr>
              <w:spacing w:line="240" w:lineRule="auto" w:before="0" w:after="0"/>
              <w:pStyle w:val="Compact"/>
            </w:pPr>
            <w:r>
              <w:rPr>
                <w:sz w:val="20"/>
                <w:szCs w:val="20"/>
              </w:rPr>
              <w:t xml:space="preserve">Hitomi</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270</w:t>
            </w:r>
          </w:p>
        </w:tc>
        <w:tc>
          <w:tcPr>
            <w:tcW w:w="0" w:type="auto"/>
          </w:tcPr>
          <w:p>
            <w:pPr>
              <w:spacing w:line="240" w:lineRule="auto" w:before="0" w:after="0"/>
              <w:pStyle w:val="Compact"/>
            </w:pPr>
            <w:r>
              <w:rPr>
                <w:sz w:val="20"/>
                <w:szCs w:val="20"/>
              </w:rPr>
              <w:t xml:space="preserve">refereed_pubs and operations 2016-2016 (op_years&lt;1, coded 1) from De Marchi &amp; Parmar (2024) arXiv:2402.12818 Table 2; obs_class=1 (X-ray observatory lost early, JAXA/NASA/ESA); life_cost_musd ~270 (JAXA Hitomi/ASTRO-H) [illustrative]</w:t>
            </w:r>
          </w:p>
        </w:tc>
      </w:tr>
      <w:tr>
        <w:tc>
          <w:tcPr>
            <w:tcW w:w="0" w:type="auto"/>
          </w:tcPr>
          <w:p>
            <w:pPr>
              <w:spacing w:line="240" w:lineRule="auto" w:before="0" w:after="0"/>
              <w:pStyle w:val="Compact"/>
            </w:pPr>
            <w:r>
              <w:rPr>
                <w:sz w:val="20"/>
                <w:szCs w:val="20"/>
              </w:rPr>
              <w:t xml:space="preserve">MICROSCOPE</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refereed_pubs and operations 2016-2018 (op_years=2) from De Marchi &amp; Parmar (2024) arXiv:2402.12818 Table 2; obs_class=0 (targeted equivalence-principle test, CNES/ESA); life_cost_musd ~200 (CNES MICROSCOPE) [illustrative]</w:t>
            </w:r>
          </w:p>
        </w:tc>
      </w:tr>
      <w:tr>
        <w:tc>
          <w:tcPr>
            <w:tcW w:w="0" w:type="auto"/>
          </w:tcPr>
          <w:p>
            <w:pPr>
              <w:spacing w:line="240" w:lineRule="auto" w:before="0" w:after="0"/>
              <w:pStyle w:val="Compact"/>
            </w:pPr>
            <w:r>
              <w:rPr>
                <w:sz w:val="20"/>
                <w:szCs w:val="20"/>
              </w:rPr>
              <w:t xml:space="preserve">Giotto</w:t>
            </w:r>
          </w:p>
        </w:tc>
        <w:tc>
          <w:tcPr>
            <w:tcW w:w="0" w:type="auto"/>
          </w:tcPr>
          <w:p>
            <w:pPr>
              <w:spacing w:line="240" w:lineRule="auto" w:before="0" w:after="0"/>
              <w:pStyle w:val="Compact"/>
            </w:pPr>
            <w:r>
              <w:rPr>
                <w:sz w:val="20"/>
                <w:szCs w:val="20"/>
              </w:rPr>
              <w:t xml:space="preserve">266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refereed_pubs and operations 1985-1992 (op_years=7) from De Marchi &amp; Parmar (2024) arXiv:2402.12818 Table 1; obs_class=0 (single-target Halley comet flyby); life_cost_musd ~140 (ESA Giotto) [illustrative]</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refereed_pubs</w:t>
            </w:r>
          </w:p>
        </w:tc>
        <w:tc>
          <w:tcPr>
            <w:tcW w:w="0" w:type="auto"/>
          </w:tcPr>
          <w:p>
            <w:pPr>
              <w:spacing w:line="240" w:lineRule="auto" w:before="0" w:after="0"/>
              <w:pStyle w:val="Compact"/>
            </w:pPr>
            <w:r>
              <w:rPr>
                <w:sz w:val="20"/>
                <w:szCs w:val="20"/>
              </w:rPr>
              <w:t xml:space="preserve">Total refereed publications attributed to the mission through end of 2021, the standard bibliometric proxy for realized science return</w:t>
            </w:r>
          </w:p>
        </w:tc>
        <w:tc>
          <w:tcPr>
            <w:tcW w:w="0" w:type="auto"/>
          </w:tcPr>
          <w:p>
            <w:pPr>
              <w:spacing w:line="240" w:lineRule="auto" w:before="0" w:after="0"/>
              <w:pStyle w:val="Compact"/>
            </w:pPr>
            <w:r>
              <w:rPr>
                <w:sz w:val="20"/>
                <w:szCs w:val="20"/>
              </w:rPr>
              <w:t xml:space="preserve">De Marchi &amp; Parmar (2024), ESA Mission Publications, arXiv:2402.12818, Tables 1-2 (ADS/HEASARC inclusion criteria)</w:t>
            </w:r>
          </w:p>
        </w:tc>
      </w:tr>
      <w:tr>
        <w:tc>
          <w:tcPr>
            <w:tcW w:w="0" w:type="auto"/>
          </w:tcPr>
          <w:p>
            <w:pPr>
              <w:spacing w:line="240" w:lineRule="auto" w:before="0" w:after="0"/>
              <w:pStyle w:val="Compact"/>
            </w:pPr>
            <w:r>
              <w:rPr>
                <w:sz w:val="20"/>
                <w:szCs w:val="20"/>
              </w:rPr>
              <w:t xml:space="preserve">op_years</w:t>
            </w:r>
          </w:p>
        </w:tc>
        <w:tc>
          <w:tcPr>
            <w:tcW w:w="0" w:type="auto"/>
          </w:tcPr>
          <w:p>
            <w:pPr>
              <w:spacing w:line="240" w:lineRule="auto" w:before="0" w:after="0"/>
              <w:pStyle w:val="Compact"/>
            </w:pPr>
            <w:r>
              <w:rPr>
                <w:sz w:val="20"/>
                <w:szCs w:val="20"/>
              </w:rPr>
              <w:t xml:space="preserve">Years of active operations, computed from the documented operational span (launch year to end-of-operations, or to 2021 for active missions)</w:t>
            </w:r>
          </w:p>
        </w:tc>
        <w:tc>
          <w:tcPr>
            <w:tcW w:w="0" w:type="auto"/>
          </w:tcPr>
          <w:p>
            <w:pPr>
              <w:spacing w:line="240" w:lineRule="auto" w:before="0" w:after="0"/>
              <w:pStyle w:val="Compact"/>
            </w:pPr>
            <w:r>
              <w:rPr>
                <w:sz w:val="20"/>
                <w:szCs w:val="20"/>
              </w:rPr>
              <w:t xml:space="preserve">Operations column, De Marchi &amp; Parmar (2024) arXiv:2402.12818 Tables 1-2</w:t>
            </w:r>
          </w:p>
        </w:tc>
      </w:tr>
      <w:tr>
        <w:tc>
          <w:tcPr>
            <w:tcW w:w="0" w:type="auto"/>
          </w:tcPr>
          <w:p>
            <w:pPr>
              <w:spacing w:line="240" w:lineRule="auto" w:before="0" w:after="0"/>
              <w:pStyle w:val="Compact"/>
            </w:pPr>
            <w:r>
              <w:rPr>
                <w:sz w:val="20"/>
                <w:szCs w:val="20"/>
              </w:rPr>
              <w:t xml:space="preserve">obs_class</w:t>
            </w:r>
          </w:p>
        </w:tc>
        <w:tc>
          <w:tcPr>
            <w:tcW w:w="0" w:type="auto"/>
          </w:tcPr>
          <w:p>
            <w:pPr>
              <w:spacing w:line="240" w:lineRule="auto" w:before="0" w:after="0"/>
              <w:pStyle w:val="Compact"/>
            </w:pPr>
            <w:r>
              <w:rPr>
                <w:sz w:val="20"/>
                <w:szCs w:val="20"/>
              </w:rPr>
              <w:t xml:space="preserve">Indicator = 1 if the mission is an open-time observatory or all-sky survey serving the broad scientific community; 0 if a targeted single-body or single-purpose mission</w:t>
            </w:r>
          </w:p>
        </w:tc>
        <w:tc>
          <w:tcPr>
            <w:tcW w:w="0" w:type="auto"/>
          </w:tcPr>
          <w:p>
            <w:pPr>
              <w:spacing w:line="240" w:lineRule="auto" w:before="0" w:after="0"/>
              <w:pStyle w:val="Compact"/>
            </w:pPr>
            <w:r>
              <w:rPr>
                <w:sz w:val="20"/>
                <w:szCs w:val="20"/>
              </w:rPr>
              <w:t xml:space="preserve">Coded from mission designations in De Marchi &amp; Parmar (2024) Sect. 2 and ESA/JAXA mission factsheets</w:t>
            </w:r>
          </w:p>
        </w:tc>
      </w:tr>
      <w:tr>
        <w:tc>
          <w:tcPr>
            <w:tcW w:w="0" w:type="auto"/>
          </w:tcPr>
          <w:p>
            <w:pPr>
              <w:spacing w:line="240" w:lineRule="auto" w:before="0" w:after="0"/>
              <w:pStyle w:val="Compact"/>
            </w:pPr>
            <w:r>
              <w:rPr>
                <w:sz w:val="20"/>
                <w:szCs w:val="20"/>
              </w:rPr>
              <w:t xml:space="preserve">era_2000plus</w:t>
            </w:r>
          </w:p>
        </w:tc>
        <w:tc>
          <w:tcPr>
            <w:tcW w:w="0" w:type="auto"/>
          </w:tcPr>
          <w:p>
            <w:pPr>
              <w:spacing w:line="240" w:lineRule="auto" w:before="0" w:after="0"/>
              <w:pStyle w:val="Compact"/>
            </w:pPr>
            <w:r>
              <w:rPr>
                <w:sz w:val="20"/>
                <w:szCs w:val="20"/>
              </w:rPr>
              <w:t xml:space="preserve">Indicator = 1 if the mission was launched in 2000 or later, controlling for the expansion of ADS-indexed digital literature</w:t>
            </w:r>
          </w:p>
        </w:tc>
        <w:tc>
          <w:tcPr>
            <w:tcW w:w="0" w:type="auto"/>
          </w:tcPr>
          <w:p>
            <w:pPr>
              <w:spacing w:line="240" w:lineRule="auto" w:before="0" w:after="0"/>
              <w:pStyle w:val="Compact"/>
            </w:pPr>
            <w:r>
              <w:rPr>
                <w:sz w:val="20"/>
                <w:szCs w:val="20"/>
              </w:rPr>
              <w:t xml:space="preserve">Launch year from De Marchi &amp; Parmar (2024) Operations column</w:t>
            </w:r>
          </w:p>
        </w:tc>
      </w:tr>
      <w:tr>
        <w:tc>
          <w:tcPr>
            <w:tcW w:w="0" w:type="auto"/>
          </w:tcPr>
          <w:p>
            <w:pPr>
              <w:spacing w:line="240" w:lineRule="auto" w:before="0" w:after="0"/>
              <w:pStyle w:val="Compact"/>
            </w:pPr>
            <w:r>
              <w:rPr>
                <w:sz w:val="20"/>
                <w:szCs w:val="20"/>
              </w:rPr>
              <w:t xml:space="preserve">life_cost_musd</w:t>
            </w:r>
          </w:p>
        </w:tc>
        <w:tc>
          <w:tcPr>
            <w:tcW w:w="0" w:type="auto"/>
          </w:tcPr>
          <w:p>
            <w:pPr>
              <w:spacing w:line="240" w:lineRule="auto" w:before="0" w:after="0"/>
              <w:pStyle w:val="Compact"/>
            </w:pPr>
            <w:r>
              <w:rPr>
                <w:sz w:val="20"/>
                <w:szCs w:val="20"/>
              </w:rPr>
              <w:t xml:space="preserve">Approximate life-cycle cost in millions of USD (supplementary, not in the regression)</w:t>
            </w:r>
          </w:p>
        </w:tc>
        <w:tc>
          <w:tcPr>
            <w:tcW w:w="0" w:type="auto"/>
          </w:tcPr>
          <w:p>
            <w:pPr>
              <w:spacing w:line="240" w:lineRule="auto" w:before="0" w:after="0"/>
              <w:pStyle w:val="Compact"/>
            </w:pPr>
            <w:r>
              <w:rPr>
                <w:sz w:val="20"/>
                <w:szCs w:val="20"/>
              </w:rPr>
              <w:t xml:space="preserve">HST and Cassini documented (Wikipedia citing NASA); remaining values illustrative agency estimates</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-2660.8734</w:t>
            </w:r>
          </w:p>
        </w:tc>
        <w:tc>
          <w:tcPr>
            <w:tcW w:w="0" w:type="auto"/>
          </w:tcPr>
          <w:p>
            <w:pPr>
              <w:spacing w:line="240" w:lineRule="auto" w:before="0" w:after="0"/>
              <w:pStyle w:val="Compact"/>
            </w:pPr>
            <w:r>
              <w:rPr>
                <w:sz w:val="20"/>
                <w:szCs w:val="20"/>
              </w:rPr>
              <w:t xml:space="preserve">1697.5864</w:t>
            </w:r>
          </w:p>
        </w:tc>
        <w:tc>
          <w:tcPr>
            <w:tcW w:w="0" w:type="auto"/>
          </w:tcPr>
          <w:p>
            <w:pPr>
              <w:spacing w:line="240" w:lineRule="auto" w:before="0" w:after="0"/>
              <w:pStyle w:val="Compact"/>
            </w:pPr>
            <w:r>
              <w:rPr>
                <w:sz w:val="20"/>
                <w:szCs w:val="20"/>
              </w:rPr>
              <w:t xml:space="preserve">-1.5674</w:t>
            </w:r>
          </w:p>
        </w:tc>
        <w:tc>
          <w:tcPr>
            <w:tcW w:w="0" w:type="auto"/>
          </w:tcPr>
          <w:p>
            <w:pPr>
              <w:spacing w:line="240" w:lineRule="auto" w:before="0" w:after="0"/>
              <w:pStyle w:val="Compact"/>
            </w:pPr>
            <w:r>
              <w:rPr>
                <w:sz w:val="20"/>
                <w:szCs w:val="20"/>
              </w:rPr>
              <w:t xml:space="preserve">0.117</w:t>
            </w:r>
          </w:p>
        </w:tc>
        <w:tc>
          <w:tcPr>
            <w:tcW w:w="0" w:type="auto"/>
          </w:tcPr>
          <w:p>
            <w:pPr>
              <w:spacing w:line="240" w:lineRule="auto" w:before="0" w:after="0"/>
              <w:pStyle w:val="Compact"/>
            </w:pPr>
            <w:r>
              <w:rPr>
                <w:sz w:val="20"/>
                <w:szCs w:val="20"/>
              </w:rPr>
              <w:t xml:space="preserve">[-5988.0816, 666.3348]</w:t>
            </w:r>
          </w:p>
        </w:tc>
      </w:tr>
      <w:tr>
        <w:tc>
          <w:tcPr>
            <w:tcW w:w="0" w:type="auto"/>
          </w:tcPr>
          <w:p>
            <w:pPr>
              <w:spacing w:line="240" w:lineRule="auto" w:before="0" w:after="0"/>
              <w:pStyle w:val="Compact"/>
            </w:pPr>
            <w:r>
              <w:rPr>
                <w:sz w:val="20"/>
                <w:szCs w:val="20"/>
              </w:rPr>
              <w:t xml:space="preserve">op_years</w:t>
            </w:r>
          </w:p>
        </w:tc>
        <w:tc>
          <w:tcPr>
            <w:tcW w:w="0" w:type="auto"/>
          </w:tcPr>
          <w:p>
            <w:pPr>
              <w:spacing w:line="240" w:lineRule="auto" w:before="0" w:after="0"/>
              <w:pStyle w:val="Compact"/>
            </w:pPr>
            <w:r>
              <w:rPr>
                <w:sz w:val="20"/>
                <w:szCs w:val="20"/>
              </w:rPr>
              <w:t xml:space="preserve">298.9566</w:t>
            </w:r>
          </w:p>
        </w:tc>
        <w:tc>
          <w:tcPr>
            <w:tcW w:w="0" w:type="auto"/>
          </w:tcPr>
          <w:p>
            <w:pPr>
              <w:spacing w:line="240" w:lineRule="auto" w:before="0" w:after="0"/>
              <w:pStyle w:val="Compact"/>
            </w:pPr>
            <w:r>
              <w:rPr>
                <w:sz w:val="20"/>
                <w:szCs w:val="20"/>
              </w:rPr>
              <w:t xml:space="preserve">111.3068</w:t>
            </w:r>
          </w:p>
        </w:tc>
        <w:tc>
          <w:tcPr>
            <w:tcW w:w="0" w:type="auto"/>
          </w:tcPr>
          <w:p>
            <w:pPr>
              <w:spacing w:line="240" w:lineRule="auto" w:before="0" w:after="0"/>
              <w:pStyle w:val="Compact"/>
            </w:pPr>
            <w:r>
              <w:rPr>
                <w:sz w:val="20"/>
                <w:szCs w:val="20"/>
              </w:rPr>
              <w:t xml:space="preserve">2.6859</w:t>
            </w:r>
          </w:p>
        </w:tc>
        <w:tc>
          <w:tcPr>
            <w:tcW w:w="0" w:type="auto"/>
          </w:tcPr>
          <w:p>
            <w:pPr>
              <w:spacing w:line="240" w:lineRule="auto" w:before="0" w:after="0"/>
              <w:pStyle w:val="Compact"/>
            </w:pPr>
            <w:r>
              <w:rPr>
                <w:sz w:val="20"/>
                <w:szCs w:val="20"/>
              </w:rPr>
              <w:t xml:space="preserve">0.0072</w:t>
            </w:r>
          </w:p>
        </w:tc>
        <w:tc>
          <w:tcPr>
            <w:tcW w:w="0" w:type="auto"/>
          </w:tcPr>
          <w:p>
            <w:pPr>
              <w:spacing w:line="240" w:lineRule="auto" w:before="0" w:after="0"/>
              <w:pStyle w:val="Compact"/>
            </w:pPr>
            <w:r>
              <w:rPr>
                <w:sz w:val="20"/>
                <w:szCs w:val="20"/>
              </w:rPr>
              <w:t xml:space="preserve">[80.7993, 517.1139]</w:t>
            </w:r>
          </w:p>
        </w:tc>
      </w:tr>
      <w:tr>
        <w:tc>
          <w:tcPr>
            <w:tcW w:w="0" w:type="auto"/>
          </w:tcPr>
          <w:p>
            <w:pPr>
              <w:spacing w:line="240" w:lineRule="auto" w:before="0" w:after="0"/>
              <w:pStyle w:val="Compact"/>
            </w:pPr>
            <w:r>
              <w:rPr>
                <w:sz w:val="20"/>
                <w:szCs w:val="20"/>
              </w:rPr>
              <w:t xml:space="preserve">obs_class</w:t>
            </w:r>
          </w:p>
        </w:tc>
        <w:tc>
          <w:tcPr>
            <w:tcW w:w="0" w:type="auto"/>
          </w:tcPr>
          <w:p>
            <w:pPr>
              <w:spacing w:line="240" w:lineRule="auto" w:before="0" w:after="0"/>
              <w:pStyle w:val="Compact"/>
            </w:pPr>
            <w:r>
              <w:rPr>
                <w:sz w:val="20"/>
                <w:szCs w:val="20"/>
              </w:rPr>
              <w:t xml:space="preserve">2576.1173</w:t>
            </w:r>
          </w:p>
        </w:tc>
        <w:tc>
          <w:tcPr>
            <w:tcW w:w="0" w:type="auto"/>
          </w:tcPr>
          <w:p>
            <w:pPr>
              <w:spacing w:line="240" w:lineRule="auto" w:before="0" w:after="0"/>
              <w:pStyle w:val="Compact"/>
            </w:pPr>
            <w:r>
              <w:rPr>
                <w:sz w:val="20"/>
                <w:szCs w:val="20"/>
              </w:rPr>
              <w:t xml:space="preserve">822.9975</w:t>
            </w:r>
          </w:p>
        </w:tc>
        <w:tc>
          <w:tcPr>
            <w:tcW w:w="0" w:type="auto"/>
          </w:tcPr>
          <w:p>
            <w:pPr>
              <w:spacing w:line="240" w:lineRule="auto" w:before="0" w:after="0"/>
              <w:pStyle w:val="Compact"/>
            </w:pPr>
            <w:r>
              <w:rPr>
                <w:sz w:val="20"/>
                <w:szCs w:val="20"/>
              </w:rPr>
              <w:t xml:space="preserve">3.1302</w:t>
            </w:r>
          </w:p>
        </w:tc>
        <w:tc>
          <w:tcPr>
            <w:tcW w:w="0" w:type="auto"/>
          </w:tcPr>
          <w:p>
            <w:pPr>
              <w:spacing w:line="240" w:lineRule="auto" w:before="0" w:after="0"/>
              <w:pStyle w:val="Compact"/>
            </w:pPr>
            <w:r>
              <w:rPr>
                <w:sz w:val="20"/>
                <w:szCs w:val="20"/>
              </w:rPr>
              <w:t xml:space="preserve">0.0017</w:t>
            </w:r>
          </w:p>
        </w:tc>
        <w:tc>
          <w:tcPr>
            <w:tcW w:w="0" w:type="auto"/>
          </w:tcPr>
          <w:p>
            <w:pPr>
              <w:spacing w:line="240" w:lineRule="auto" w:before="0" w:after="0"/>
              <w:pStyle w:val="Compact"/>
            </w:pPr>
            <w:r>
              <w:rPr>
                <w:sz w:val="20"/>
                <w:szCs w:val="20"/>
              </w:rPr>
              <w:t xml:space="preserve">[963.072, 4189.1627]</w:t>
            </w:r>
          </w:p>
        </w:tc>
      </w:tr>
      <w:tr>
        <w:tc>
          <w:tcPr>
            <w:tcW w:w="0" w:type="auto"/>
          </w:tcPr>
          <w:p>
            <w:pPr>
              <w:spacing w:line="240" w:lineRule="auto" w:before="0" w:after="0"/>
              <w:pStyle w:val="Compact"/>
            </w:pPr>
            <w:r>
              <w:rPr>
                <w:sz w:val="20"/>
                <w:szCs w:val="20"/>
              </w:rPr>
              <w:t xml:space="preserve">era_2000plus</w:t>
            </w:r>
          </w:p>
        </w:tc>
        <w:tc>
          <w:tcPr>
            <w:tcW w:w="0" w:type="auto"/>
          </w:tcPr>
          <w:p>
            <w:pPr>
              <w:spacing w:line="240" w:lineRule="auto" w:before="0" w:after="0"/>
              <w:pStyle w:val="Compact"/>
            </w:pPr>
            <w:r>
              <w:rPr>
                <w:sz w:val="20"/>
                <w:szCs w:val="20"/>
              </w:rPr>
              <w:t xml:space="preserve">764.3626</w:t>
            </w:r>
          </w:p>
        </w:tc>
        <w:tc>
          <w:tcPr>
            <w:tcW w:w="0" w:type="auto"/>
          </w:tcPr>
          <w:p>
            <w:pPr>
              <w:spacing w:line="240" w:lineRule="auto" w:before="0" w:after="0"/>
              <w:pStyle w:val="Compact"/>
            </w:pPr>
            <w:r>
              <w:rPr>
                <w:sz w:val="20"/>
                <w:szCs w:val="20"/>
              </w:rPr>
              <w:t xml:space="preserve">927.5579</w:t>
            </w:r>
          </w:p>
        </w:tc>
        <w:tc>
          <w:tcPr>
            <w:tcW w:w="0" w:type="auto"/>
          </w:tcPr>
          <w:p>
            <w:pPr>
              <w:spacing w:line="240" w:lineRule="auto" w:before="0" w:after="0"/>
              <w:pStyle w:val="Compact"/>
            </w:pPr>
            <w:r>
              <w:rPr>
                <w:sz w:val="20"/>
                <w:szCs w:val="20"/>
              </w:rPr>
              <w:t xml:space="preserve">0.8241</w:t>
            </w:r>
          </w:p>
        </w:tc>
        <w:tc>
          <w:tcPr>
            <w:tcW w:w="0" w:type="auto"/>
          </w:tcPr>
          <w:p>
            <w:pPr>
              <w:spacing w:line="240" w:lineRule="auto" w:before="0" w:after="0"/>
              <w:pStyle w:val="Compact"/>
            </w:pPr>
            <w:r>
              <w:rPr>
                <w:sz w:val="20"/>
                <w:szCs w:val="20"/>
              </w:rPr>
              <w:t xml:space="preserve">0.4099</w:t>
            </w:r>
          </w:p>
        </w:tc>
        <w:tc>
          <w:tcPr>
            <w:tcW w:w="0" w:type="auto"/>
          </w:tcPr>
          <w:p>
            <w:pPr>
              <w:spacing w:line="240" w:lineRule="auto" w:before="0" w:after="0"/>
              <w:pStyle w:val="Compact"/>
            </w:pPr>
            <w:r>
              <w:rPr>
                <w:sz w:val="20"/>
                <w:szCs w:val="20"/>
              </w:rPr>
              <w:t xml:space="preserve">[-1053.6175, 2582.3426]</w:t>
            </w:r>
          </w:p>
        </w:tc>
      </w:tr>
    </w:tbl>
    <w:p>
      <w:pPr>
        <w:pStyle w:val="BodyText"/>
      </w:pPr>
      <w:r>
        <w:t xml:space="preserve">Fit: N = 28 R2 = 0.583 R2_adj = 0.5309 F = 5.9123 F_p = 0.0036</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70" Target="https://doi.org/10.1016/j.actaastro.2019.09.030" TargetMode="External" /><Relationship Type="http://schemas.openxmlformats.org/officeDocument/2006/relationships/hyperlink" Id="rId73" Target="https://doi.org/10.1016/j.actaastro.2025.11.006"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19.09.030" TargetMode="External" /><Relationship Type="http://schemas.openxmlformats.org/officeDocument/2006/relationships/hyperlink" Id="rId73" Target="https://doi.org/10.1016/j.actaastro.2025.11.00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2026-06-22T20:32:22Z</dcterms:created>
  <dcterms:modified xsi:type="dcterms:W3CDTF">2026-06-22T20:32:22Z</dcterms:modified>
</cp:coreProperties>
</file>

<file path=docProps/custom.xml><?xml version="1.0" encoding="utf-8"?>
<Properties xmlns="http://schemas.openxmlformats.org/officeDocument/2006/custom-properties" xmlns:vt="http://schemas.openxmlformats.org/officeDocument/2006/docPropsVTypes"/>
</file>