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 DECADAL PRIORITIES PREDICT REALIZED SCIENCE RETURN? A LONG-RUN CLIOMETRIC OF MISSION TASKING AND OBSERVATIONAL YIELD</w:t>
      </w:r>
    </w:p>
    <w:p>
      <w:pPr>
        <w:jc w:val="center"/>
      </w:pPr>
    </w:p>
    <w:p>
      <w:pPr>
        <w:jc w:val="center"/>
      </w:pPr>
      <w:r>
        <w:rPr>
          <w:rFonts w:ascii="Times New Roman" w:hAnsi="Times New Roman"/>
          <w:sz w:val="24"/>
        </w:rPr>
        <w:t>by</w:t>
      </w:r>
    </w:p>
    <w:p>
      <w:pPr>
        <w:jc w:val="center"/>
      </w:pPr>
      <w:r>
        <w:rPr>
          <w:rFonts w:ascii="Times New Roman" w:hAnsi="Times New Roman"/>
          <w:b/>
          <w:sz w:val="28"/>
        </w:rPr>
        <w:t>Tessa Holloway</w:t>
      </w:r>
    </w:p>
    <w:p>
      <w:pPr>
        <w:jc w:val="center"/>
      </w:pPr>
      <w:r>
        <w:rPr>
          <w:rFonts w:ascii="Times New Roman" w:hAnsi="Times New Roman"/>
          <w:sz w:val="24"/>
        </w:rPr>
        <w:t>1B-SDS-035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load-bearing-presumption"/>
    <w:p>
      <w:pPr>
        <w:pStyle w:val="Heading2"/>
        <w:spacing w:line="480" w:lineRule="auto"/>
      </w:pPr>
      <w:r>
        <w:t xml:space="preserve">1.1 The Load-Bearing Presumption</w:t>
      </w:r>
    </w:p>
    <w:p>
      <w:pPr>
        <w:pStyle w:val="FirstParagraph"/>
        <w:spacing w:line="480" w:lineRule="auto"/>
      </w:pPr>
      <w:r>
        <w:t xml:space="preserve">Every decadal cycle, a consensus panel of the scientific community convenes, deliberates, and ranks candidate observation programs by anticipated scientific value. The ranking that emerges is not treated as a suggestion. It is treated as a forecast. The highest-priority program is presumed to deliver the largest science return, and the community, the agency, and the appropriations process all act on that presumption. Budget wedges open in the order the survey dictates. Instrument starts queue behind the flagship the panel placed first. Ground-segment tasking commitments and senior-review extension decisions inherit the same ordering. The priority rank assigned at survey time becomes, in operational fact, a prediction about where the largest realized return will be found a decade or more later.</w:t>
      </w:r>
    </w:p>
    <w:p>
      <w:pPr>
        <w:pStyle w:val="BodyText"/>
        <w:spacing w:line="480" w:lineRule="auto"/>
        <w:ind w:firstLine="720"/>
      </w:pPr>
      <w:r>
        <w:t xml:space="preserve">This presumption is load-bearing. If it holds, the prioritization apparatus is doing exactly what the community asks of it: pointing scarce observing capacity, scarce engineering talent, and scarce public money at the programs that will repay that investment most richly. If it does not hold, the apparatus is allocating those scarce resources on a signal that does not carry the information it is assumed to carry. The stakes of the distinction are not academic. The National Aeronautics and Space Administration commits multi-decade budgets against decadal rankings, and the Jet Propulsion Laboratory, which builds and operates a disproportionate share of the flagship-class missions those rankings authorize, organizes its capture posture, its workforce planning, and its institutional roadmap around the same ordering. A rank-to-return relationship that is strong vindicates the survey process and justifies the institutional weight placed on it. A rank-to-return relationship that is weak means the most consequential resource-allocation instrument in civil space science is being trusted to do something it has never been shown to do.</w:t>
      </w:r>
    </w:p>
    <w:p>
      <w:pPr>
        <w:pStyle w:val="BodyText"/>
        <w:spacing w:line="480" w:lineRule="auto"/>
        <w:ind w:firstLine="720"/>
      </w:pPr>
      <w:r>
        <w:t xml:space="preserve">What is striking is that the presumption has almost never been audited as an empirical proposition. The decadal survey is itself an exercise in expert prediction, yet the predictions it issues are rarely scored against the outcomes they anticipate. Agencies routinely measure realized scientific return: they count the refereed publications that make direct use of a mission’s data, and they use those counts to justify continued funding at senior review</w:t>
      </w:r>
      <w:r>
        <w:t xml:space="preserve"> </w:t>
      </w:r>
      <w:hyperlink w:anchor="ref-1">
        <w:r>
          <w:rPr>
            <w:rStyle w:val="Hyperlink"/>
          </w:rPr>
          <w:t xml:space="preserve">[1]</w:t>
        </w:r>
      </w:hyperlink>
      <w:r>
        <w:t xml:space="preserve">[2]. The Jet Propulsion Laboratory maintains its own mission bibliometric record for precisely this purpose</w:t>
      </w:r>
      <w:r>
        <w:t xml:space="preserve"> </w:t>
      </w:r>
      <w:hyperlink w:anchor="ref-2">
        <w:r>
          <w:rPr>
            <w:rStyle w:val="Hyperlink"/>
          </w:rPr>
          <w:t xml:space="preserve">[2]</w:t>
        </w:r>
      </w:hyperlink>
      <w:r>
        <w:t xml:space="preserve">. The European Space Agency’s Science Programme maintains a uniform publication census across its facilities and partner missions</w:t>
      </w:r>
      <w:r>
        <w:t xml:space="preserve"> </w:t>
      </w:r>
      <w:hyperlink w:anchor="ref-1">
        <w:r>
          <w:rPr>
            <w:rStyle w:val="Hyperlink"/>
          </w:rPr>
          <w:t xml:space="preserve">[1]</w:t>
        </w:r>
      </w:hyperlink>
      <w:r>
        <w:t xml:space="preserve">. The raw material to score the forecast exists. What has not existed is the closed loop: a single estimated relationship that places the priority rank assigned ex ante on one side and the realized return measured ex post on the other, and reports whether the first predicts the second. This dissertation builds that loop and reports the verdict.</w:t>
      </w:r>
    </w:p>
    <w:bookmarkEnd w:id="61"/>
    <w:bookmarkStart w:id="62" w:name="Xf5427f82f8e1059e8eeb22d04736fa423f9d3f1"/>
    <w:p>
      <w:pPr>
        <w:pStyle w:val="Heading2"/>
        <w:spacing w:line="480" w:lineRule="auto"/>
      </w:pPr>
      <w:r>
        <w:t xml:space="preserve">1.2 Why the Question Is Both Consequential and Answerable</w:t>
      </w:r>
    </w:p>
    <w:p>
      <w:pPr>
        <w:pStyle w:val="FirstParagraph"/>
        <w:spacing w:line="480" w:lineRule="auto"/>
      </w:pPr>
      <w:r>
        <w:t xml:space="preserve">Whether priorities predict return is consequential for the reasons already given. It is also, and less obviously, answerable. The reason it is answerable is that the two quantities at issue can be measured independently of each other and independently of the survey that links them.</w:t>
      </w:r>
    </w:p>
    <w:p>
      <w:pPr>
        <w:pStyle w:val="BodyText"/>
        <w:spacing w:line="480" w:lineRule="auto"/>
        <w:ind w:firstLine="720"/>
      </w:pPr>
      <w:r>
        <w:t xml:space="preserve">Priority rank is recorded in the survey text at survey time. The 2010 astrophysics survey published a ranked list of large missions; the 2013 planetary survey published a flagship ordering; the Earth-science surveys published tier-one recommendations; the 2020s-decade surveys published their own flagship recommendations; and the competed Discovery, New Frontiers, and Explorer-class selections impose their own rank order through the announcement-of-opportunity process. These are public, dated, consensus-study documents with recorded program rankings at known survey dates. The ex-ante covariate is therefore directly readable from the published record, and it is fixed before any of the outcomes it is supposed to predict can be observed.</w:t>
      </w:r>
    </w:p>
    <w:p>
      <w:pPr>
        <w:pStyle w:val="BodyText"/>
        <w:spacing w:line="480" w:lineRule="auto"/>
        <w:ind w:firstLine="720"/>
      </w:pPr>
      <w:r>
        <w:t xml:space="preserve">Realized return is recorded downstream, in a record that is not a black box. The crucial methodological asset of this study is that the downstream production of observational yield has an independently documented mechanism, and that mechanism owes nothing to the survey rank. The space-domain-awareness scheduling literature establishes that observational yield is the output of an optimization layer that allocates finite sensor time against competing targets on value-of-information grounds</w:t>
      </w:r>
      <w:r>
        <w:t xml:space="preserve"> </w:t>
      </w:r>
      <w:hyperlink w:anchor="ref-1">
        <w:r>
          <w:rPr>
            <w:rStyle w:val="Hyperlink"/>
          </w:rPr>
          <w:t xml:space="preserve">[1]</w:t>
        </w:r>
      </w:hyperlink>
      <w:r>
        <w:t xml:space="preserve">, that this layer can extract usable signal even from heterogeneous and non-traditional sensor networks</w:t>
      </w:r>
      <w:r>
        <w:t xml:space="preserve"> </w:t>
      </w:r>
      <w:hyperlink w:anchor="ref-2">
        <w:r>
          <w:rPr>
            <w:rStyle w:val="Hyperlink"/>
          </w:rPr>
          <w:t xml:space="preserve">[2]</w:t>
        </w:r>
      </w:hyperlink>
      <w:r>
        <w:t xml:space="preserve">, and that the scheduling solutions themselves can be characterized for optimality</w:t>
      </w:r>
      <w:r>
        <w:t xml:space="preserve"> </w:t>
      </w:r>
      <w:hyperlink w:anchor="ref-3">
        <w:r>
          <w:rPr>
            <w:rStyle w:val="Hyperlink"/>
          </w:rPr>
          <w:t xml:space="preserve">[3]</w:t>
        </w:r>
      </w:hyperlink>
      <w:r>
        <w:t xml:space="preserve">. That layer determines how much usable observation a program of a given scale actually returns, and it does so on grounds that have nothing to do with the survey priority rank. In parallel, the Earth-observation economics literature establishes that the value of an observation data product is a measurable property of the realized product rather than an assumed property of the program that commissioned it</w:t>
      </w:r>
      <w:r>
        <w:t xml:space="preserve"> </w:t>
      </w:r>
      <w:hyperlink w:anchor="ref-4">
        <w:r>
          <w:rPr>
            <w:rStyle w:val="Hyperlink"/>
          </w:rPr>
          <w:t xml:space="preserve">[4]</w:t>
        </w:r>
      </w:hyperlink>
      <w:r>
        <w:t xml:space="preserve">. Because the outcome can be anchored in these two documented mechanisms rather than in the survey’s own self-report, the rank-to-return test is clean rather than circular. The covariate comes from the survey; the outcome comes from a downstream record the survey does not govern; and the relationship between them can be estimated without the one contaminating the other.</w:t>
      </w:r>
    </w:p>
    <w:p>
      <w:pPr>
        <w:pStyle w:val="BodyText"/>
        <w:spacing w:line="480" w:lineRule="auto"/>
        <w:ind w:firstLine="720"/>
      </w:pPr>
      <w:r>
        <w:t xml:space="preserve">This is what separates the present study from a narrative retrospective on whether the surveys</w:t>
      </w:r>
      <w:r>
        <w:t xml:space="preserve"> </w:t>
      </w:r>
      <w:r>
        <w:t xml:space="preserve">“got it right.”</w:t>
      </w:r>
      <w:r>
        <w:t xml:space="preserve"> </w:t>
      </w:r>
      <w:r>
        <w:t xml:space="preserve">A narrative retrospective relies on the same community judgment that produced the rankings to assess them. The present study substitutes a measured covariate and a measured outcome, joined by an estimated coefficient with a sign, a magnitude, and a confidence interval. The result is not an opinion about the surveys. It is a number, an interval around that number, and an accept-or-reject verdict on a stated null.</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The gap this dissertation fills is specific and structural. Three mature bodies of literature each own one piece of the problem, and none of them closes the loop that joins the pieces.</w:t>
      </w:r>
    </w:p>
    <w:p>
      <w:pPr>
        <w:pStyle w:val="BodyText"/>
        <w:spacing w:line="480" w:lineRule="auto"/>
        <w:ind w:firstLine="720"/>
      </w:pPr>
      <w:r>
        <w:t xml:space="preserve">The first body of work is the space-domain-awareness sensor-tasking and scheduling literature. It is mature on the mechanism by which observational yield is produced. It models sensor-network efficiency under accuracy-based tasking</w:t>
      </w:r>
      <w:r>
        <w:t xml:space="preserve"> </w:t>
      </w:r>
      <w:hyperlink w:anchor="ref-1">
        <w:r>
          <w:rPr>
            <w:rStyle w:val="Hyperlink"/>
          </w:rPr>
          <w:t xml:space="preserve">[1]</w:t>
        </w:r>
      </w:hyperlink>
      <w:r>
        <w:t xml:space="preserve">, the utility extractable from heterogeneous and non-traditional sensor networks</w:t>
      </w:r>
      <w:r>
        <w:t xml:space="preserve"> </w:t>
      </w:r>
      <w:hyperlink w:anchor="ref-2">
        <w:r>
          <w:rPr>
            <w:rStyle w:val="Hyperlink"/>
          </w:rPr>
          <w:t xml:space="preserve">[2]</w:t>
        </w:r>
      </w:hyperlink>
      <w:r>
        <w:t xml:space="preserve">, and the optimality of the scheduling solutions themselves</w:t>
      </w:r>
      <w:r>
        <w:t xml:space="preserve"> </w:t>
      </w:r>
      <w:hyperlink w:anchor="ref-3">
        <w:r>
          <w:rPr>
            <w:rStyle w:val="Hyperlink"/>
          </w:rPr>
          <w:t xml:space="preserve">[3]</w:t>
        </w:r>
      </w:hyperlink>
      <w:r>
        <w:t xml:space="preserve">. This literature treats yield as the quantity to be maximized. But it takes the priority structure that points the sensors as exogenous and given. It optimizes the allocation of sensor time against a target list it does not interrogate, and it never asks whether the priorities that generated the target list were good predictors of where yield would in fact be found. The mechanism is owned; the question of whether the priorities feeding the mechanism are sound is not posed.</w:t>
      </w:r>
    </w:p>
    <w:p>
      <w:pPr>
        <w:pStyle w:val="BodyText"/>
        <w:spacing w:line="480" w:lineRule="auto"/>
        <w:ind w:firstLine="720"/>
      </w:pPr>
      <w:r>
        <w:t xml:space="preserve">The second body of work is the Earth-observation economics literature. It is mature on the value side. It characterizes how observation systems and their data markets evolve and how data value is realized in information production</w:t>
      </w:r>
      <w:r>
        <w:t xml:space="preserve"> </w:t>
      </w:r>
      <w:hyperlink w:anchor="ref-4">
        <w:r>
          <w:rPr>
            <w:rStyle w:val="Hyperlink"/>
          </w:rPr>
          <w:t xml:space="preserve">[4]</w:t>
        </w:r>
      </w:hyperlink>
      <w:r>
        <w:t xml:space="preserve">. This literature treats value as a property of the realized product. But it does not connect that realized value backward to the ex-ante prioritization rank that authorized the system. The value of the output is owned; its traceability to the priority that commissioned the output is not.</w:t>
      </w:r>
    </w:p>
    <w:p>
      <w:pPr>
        <w:pStyle w:val="BodyText"/>
        <w:spacing w:line="480" w:lineRule="auto"/>
        <w:ind w:firstLine="720"/>
      </w:pPr>
      <w:r>
        <w:t xml:space="preserve">The third body of work is the research-investment and space-economy literature. It establishes that prioritized investment in research and technology is consequential for outcomes</w:t>
      </w:r>
      <w:r>
        <w:t xml:space="preserve"> </w:t>
      </w:r>
      <w:hyperlink w:anchor="ref-5">
        <w:r>
          <w:rPr>
            <w:rStyle w:val="Hyperlink"/>
          </w:rPr>
          <w:t xml:space="preserve">[5]</w:t>
        </w:r>
      </w:hyperlink>
      <w:r>
        <w:t xml:space="preserve">[6], and that value capture in the space economy requires deliberate prior investment in enabling capability</w:t>
      </w:r>
      <w:r>
        <w:t xml:space="preserve"> </w:t>
      </w:r>
      <w:hyperlink w:anchor="ref-7">
        <w:r>
          <w:rPr>
            <w:rStyle w:val="Hyperlink"/>
          </w:rPr>
          <w:t xml:space="preserve">[7]</w:t>
        </w:r>
      </w:hyperlink>
      <w:r>
        <w:t xml:space="preserve">. But this literature reasons about investment in the aggregate. It argues that prioritizing investment matters; it does not test, program by program, whether the priority rank assigned to a specific program ex ante predicts the return that specific program realized ex post.</w:t>
      </w:r>
    </w:p>
    <w:p>
      <w:pPr>
        <w:pStyle w:val="BodyText"/>
        <w:spacing w:line="480" w:lineRule="auto"/>
        <w:ind w:firstLine="720"/>
      </w:pPr>
      <w:r>
        <w:t xml:space="preserve">The structural shape of the gap is therefore clear. One body of work owns the yield mechanism, a second owns the value of the realized product, and a third owns the logic of prioritized investment. Each is internally rigorous. Yet none of the three regresses realized return on the prior priority rank. No published source treats decadal priority rank as a covariate and realized observational return as the outcome in a single estimated relationship. The domain literature knows how return is produced and what return is worth; the method literature of econometric program evaluation knows how to estimate a partial association net of confounders. The two have not been joined on this question. That untested loop, the regression of realized return on prior priority rank, conditioned on the confounders that would otherwise corrupt it, is the gap this dissertation fills.</w:t>
      </w:r>
    </w:p>
    <w:p>
      <w:pPr>
        <w:pStyle w:val="BodyText"/>
        <w:spacing w:line="480" w:lineRule="auto"/>
        <w:ind w:firstLine="720"/>
      </w:pPr>
      <w:r>
        <w:t xml:space="preserve">The reason the loop has stayed open is also instructive. Closing it requires two things to be true at once: an outcome measured on a basis the priority rank does not control, and a method that can isolate the partial contribution of rank from the confounders of scale and epoch that drive both rank and return. The domain literature supplies the first through its independent documentation of the yield mechanism</w:t>
      </w:r>
      <w:r>
        <w:t xml:space="preserve"> </w:t>
      </w:r>
      <w:hyperlink w:anchor="ref-1">
        <w:r>
          <w:rPr>
            <w:rStyle w:val="Hyperlink"/>
          </w:rPr>
          <w:t xml:space="preserve">[1]</w:t>
        </w:r>
      </w:hyperlink>
      <w:r>
        <w:t xml:space="preserve">[2][3] and the data-product value</w:t>
      </w:r>
      <w:r>
        <w:t xml:space="preserve"> </w:t>
      </w:r>
      <w:hyperlink w:anchor="ref-4">
        <w:r>
          <w:rPr>
            <w:rStyle w:val="Hyperlink"/>
          </w:rPr>
          <w:t xml:space="preserve">[4]</w:t>
        </w:r>
      </w:hyperlink>
      <w:r>
        <w:t xml:space="preserve">. The method literature supplies the second through fixed-effects regression, survival analysis, and bibliometric census construction. Neither literature alone closes the loop. The contribution is the join.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This dissertation makes exactly one falsifiable claim, and it states that claim precisely so that the data can refute it.</w:t>
      </w:r>
    </w:p>
    <w:p>
      <w:pPr>
        <w:pStyle w:val="BodyText"/>
        <w:spacing w:line="480" w:lineRule="auto"/>
        <w:ind w:firstLine="720"/>
      </w:pPr>
      <w:r>
        <w:t xml:space="preserve">Let</w:t>
      </w:r>
      <w:r>
        <w:t xml:space="preserve"> </w:t>
      </w:r>
      <w:r>
        <w:rPr>
          <w:rStyle w:val="VerbatimChar"/>
        </w:rPr>
        <w:t xml:space="preserve">rank_i</w:t>
      </w:r>
      <w:r>
        <w:t xml:space="preserve"> </w:t>
      </w:r>
      <w:r>
        <w:t xml:space="preserve">be the priority rank assigned to observation program</w:t>
      </w:r>
      <w:r>
        <w:t xml:space="preserve"> </w:t>
      </w:r>
      <w:r>
        <w:rPr>
          <w:rStyle w:val="VerbatimChar"/>
        </w:rPr>
        <w:t xml:space="preserve">i</w:t>
      </w:r>
      <w:r>
        <w:t xml:space="preserve"> </w:t>
      </w:r>
      <w:r>
        <w:t xml:space="preserve">at survey time, coded so that a lower rank number means higher priority. Let the realized return of program</w:t>
      </w:r>
      <w:r>
        <w:t xml:space="preserve"> </w:t>
      </w:r>
      <w:r>
        <w:rPr>
          <w:rStyle w:val="VerbatimChar"/>
        </w:rPr>
        <w:t xml:space="preserve">i</w:t>
      </w:r>
      <w:r>
        <w:t xml:space="preserve"> </w:t>
      </w:r>
      <w:r>
        <w:t xml:space="preserve">be measured at a fixed downstream horizon, after conditioning on program scale and survey epoch. The estimand is the coefficient</w:t>
      </w:r>
      <w:r>
        <w:t xml:space="preserve"> </w:t>
      </w:r>
      <w:r>
        <w:rPr>
          <w:rStyle w:val="VerbatimChar"/>
        </w:rPr>
        <w:t xml:space="preserve">beta</w:t>
      </w:r>
      <w:r>
        <w:t xml:space="preserve"> </w:t>
      </w:r>
      <w:r>
        <w:t xml:space="preserve">on</w:t>
      </w:r>
      <w:r>
        <w:t xml:space="preserve"> </w:t>
      </w:r>
      <w:r>
        <w:rPr>
          <w:rStyle w:val="VerbatimChar"/>
        </w:rPr>
        <w:t xml:space="preserve">rank_i</w:t>
      </w:r>
      <w:r>
        <w:t xml:space="preserve"> </w:t>
      </w:r>
      <w:r>
        <w:t xml:space="preserve">in a model of that realized return.</w:t>
      </w:r>
    </w:p>
    <w:p>
      <w:pPr>
        <w:pStyle w:val="BodyText"/>
        <w:spacing w:line="480" w:lineRule="auto"/>
        <w:ind w:firstLine="720"/>
      </w:pPr>
      <w:r>
        <w:rPr>
          <w:b/>
          <w:bCs/>
        </w:rPr>
        <w:t xml:space="preserve">H0 (null):</w:t>
      </w:r>
      <w:r>
        <w:t xml:space="preserve"> </w:t>
      </w:r>
      <w:r>
        <w:rPr>
          <w:rStyle w:val="VerbatimChar"/>
        </w:rPr>
        <w:t xml:space="preserve">beta = 0</w:t>
      </w:r>
      <w:r>
        <w:t xml:space="preserve">. Priority rank carries no information about realized return once scale and epoch are held fixed. The prioritization apparatus does not predict return.</w:t>
      </w:r>
    </w:p>
    <w:p>
      <w:pPr>
        <w:pStyle w:val="BodyText"/>
        <w:spacing w:line="480" w:lineRule="auto"/>
        <w:ind w:firstLine="720"/>
      </w:pPr>
      <w:r>
        <w:rPr>
          <w:b/>
          <w:bCs/>
        </w:rPr>
        <w:t xml:space="preserve">H1 (alternative):</w:t>
      </w:r>
      <w:r>
        <w:t xml:space="preserve"> </w:t>
      </w:r>
      <w:r>
        <w:rPr>
          <w:rStyle w:val="VerbatimChar"/>
        </w:rPr>
        <w:t xml:space="preserve">beta &lt; 0</w:t>
      </w:r>
      <w:r>
        <w:t xml:space="preserve">. Higher priority, that is, a lower rank number, is associated with higher realized return, with non-trivial magnitude. Priority rank predicts return in the direction the community assumes.</w:t>
      </w:r>
    </w:p>
    <w:p>
      <w:pPr>
        <w:pStyle w:val="BodyText"/>
        <w:spacing w:line="480" w:lineRule="auto"/>
        <w:ind w:firstLine="720"/>
      </w:pPr>
      <w:r>
        <w:t xml:space="preserve">The contribution is the signed, sized, interval-bounded estimate of</w:t>
      </w:r>
      <w:r>
        <w:t xml:space="preserve"> </w:t>
      </w:r>
      <w:r>
        <w:rPr>
          <w:rStyle w:val="VerbatimChar"/>
        </w:rPr>
        <w:t xml:space="preserve">beta</w:t>
      </w:r>
      <w:r>
        <w:t xml:space="preserve"> </w:t>
      </w:r>
      <w:r>
        <w:t xml:space="preserve">and the resulting accept-or-reject verdict on H0. The claim is falsifiable in both directions, and the study commits in advance to reporting whichever obtains. A precisely estimated</w:t>
      </w:r>
      <w:r>
        <w:t xml:space="preserve"> </w:t>
      </w:r>
      <w:r>
        <w:rPr>
          <w:rStyle w:val="VerbatimChar"/>
        </w:rPr>
        <w:t xml:space="preserve">beta</w:t>
      </w:r>
      <w:r>
        <w:t xml:space="preserve"> </w:t>
      </w:r>
      <w:r>
        <w:t xml:space="preserve">indistinguishable from zero falsifies the predictive value of the prioritization. A</w:t>
      </w:r>
      <w:r>
        <w:t xml:space="preserve"> </w:t>
      </w:r>
      <w:r>
        <w:rPr>
          <w:rStyle w:val="VerbatimChar"/>
        </w:rPr>
        <w:t xml:space="preserve">beta &lt; 0</w:t>
      </w:r>
      <w:r>
        <w:t xml:space="preserve"> </w:t>
      </w:r>
      <w:r>
        <w:t xml:space="preserve">of material magnitude confirms it. An imprecise estimate, signed in the predicted direction but with an interval that crosses zero, is itself a reportable verdict: a failure to reject H0 that distinguishes a weak and unconfirmed predictor from a confirmed one. The discipline of the contribution lies in this advance commitment. The study does not seek the verdict it would prefer; it estimates</w:t>
      </w:r>
      <w:r>
        <w:t xml:space="preserve"> </w:t>
      </w:r>
      <w:r>
        <w:rPr>
          <w:rStyle w:val="VerbatimChar"/>
        </w:rPr>
        <w:t xml:space="preserve">beta</w:t>
      </w:r>
      <w:r>
        <w:t xml:space="preserve">, bounds it, and reports the bound.</w:t>
      </w:r>
    </w:p>
    <w:p>
      <w:pPr>
        <w:pStyle w:val="BodyText"/>
        <w:spacing w:line="480" w:lineRule="auto"/>
        <w:ind w:firstLine="720"/>
      </w:pPr>
      <w:r>
        <w:t xml:space="preserve">Because realized return has two distinct margins, magnitude and timing, the single estimand is tested on both. The magnitude margin asks whether higher-priority programs return more science. The timing margin asks whether higher-priority programs return science sooner. The two margins are complementary, and the timing margin is where the central threat to the analysis, survivorship, bites hardest, because programs that were prioritized but never built produce no magnitude to measure yet are the most informative cases a timing model can retain. The two research papers underlying this dissertation estimate the two margins respectively, and Chapter 1 frames both as instances of the single falsifiable proposition stated above.</w:t>
      </w:r>
    </w:p>
    <w:p>
      <w:pPr>
        <w:pStyle w:val="BodyText"/>
        <w:spacing w:line="480" w:lineRule="auto"/>
        <w:ind w:firstLine="720"/>
      </w:pPr>
      <w:r>
        <w:t xml:space="preserve">The findings the chapters develop can be previewed without overstating them. On the magnitude margin, realized return proves substantially predictable, but the predictive power resides in operational design rather than in target priority alone: operational lifetime and observatory-class openness jointly explain most of the cross-mission variance in refereed publication yield, with an open-time observatory or survey mission associated with on the order of two and a half thousand more refereed publications than a targeted single-purpose mission, holding lifetime and launch era fixed</w:t>
      </w:r>
      <w:r>
        <w:t xml:space="preserve"> </w:t>
      </w:r>
      <w:hyperlink w:anchor="ref-1">
        <w:r>
          <w:rPr>
            <w:rStyle w:val="Hyperlink"/>
          </w:rPr>
          <w:t xml:space="preserve">[1]</w:t>
        </w:r>
      </w:hyperlink>
      <w:r>
        <w:t xml:space="preserve">[2][4]. On the timing margin, priority rank predicts the speed of first material return in the direction H1 predicts, but the estimate is underpowered and does not clear conventional significance, while program scale emerges as the more precisely estimated driver of how long a prioritized program takes to fly. The composite verdict is not that priorities are worthless. It is that priorities expressed only as target rankings leave a large, forecastable share of realized return implicit, and that the operational and scale attributes set partly after selection carry predictive weight the ranking does not capture.</w:t>
      </w:r>
    </w:p>
    <w:bookmarkEnd w:id="64"/>
    <w:bookmarkStart w:id="65" w:name="stakes-for-nasa-and-jpl"/>
    <w:p>
      <w:pPr>
        <w:pStyle w:val="Heading2"/>
        <w:spacing w:line="480" w:lineRule="auto"/>
      </w:pPr>
      <w:r>
        <w:t xml:space="preserve">1.5 Stakes for NASA and JPL</w:t>
      </w:r>
    </w:p>
    <w:p>
      <w:pPr>
        <w:pStyle w:val="FirstParagraph"/>
        <w:spacing w:line="480" w:lineRule="auto"/>
      </w:pPr>
      <w:r>
        <w:t xml:space="preserve">The practical stakes of this verdict fall most directly on NASA and on JPL. NASA’s portfolio is assembled, defended, and extended on the strength of decadal rankings. If realized return is predictable from operational design and only weakly from target priority, then portfolio value can be raised not only by reordering targets but by weighting operational lifetime and open-data architecture in the selection and extension decisions, which is where senior-review publication counts already exert institutional pressure</w:t>
      </w:r>
      <w:r>
        <w:t xml:space="preserve"> </w:t>
      </w:r>
      <w:hyperlink w:anchor="ref-2">
        <w:r>
          <w:rPr>
            <w:rStyle w:val="Hyperlink"/>
          </w:rPr>
          <w:t xml:space="preserve">[2]</w:t>
        </w:r>
      </w:hyperlink>
      <w:r>
        <w:t xml:space="preserve">. A decadal ranking that scores missions only on the intrinsic interest of their targets captures one input to realized return while leaving two large and forecastable inputs, lifetime and community breadth, implicit. The same target pursued by a long-lived open observatory and by a short targeted probe will, on the evidence assembled here, return very different amounts of science.</w:t>
      </w:r>
    </w:p>
    <w:p>
      <w:pPr>
        <w:pStyle w:val="BodyText"/>
        <w:spacing w:line="480" w:lineRule="auto"/>
        <w:ind w:firstLine="720"/>
      </w:pPr>
      <w:r>
        <w:t xml:space="preserve">For JPL the stakes are sharper still. As the institution that builds and operates a large share of the flagship-class missions the surveys rank first, JPL absorbs the consequences of the rank-to-return relationship more than any other center. The cost literature is complementary here: parametric cost models price the build, but the science return accrues across the operating life and the breadth of the user community, which is where the predictive content of realized return is shown to lie</w:t>
      </w:r>
      <w:r>
        <w:t xml:space="preserve"> </w:t>
      </w:r>
      <w:hyperlink w:anchor="ref-3">
        <w:r>
          <w:rPr>
            <w:rStyle w:val="Hyperlink"/>
          </w:rPr>
          <w:t xml:space="preserve">[3]</w:t>
        </w:r>
      </w:hyperlink>
      <w:r>
        <w:t xml:space="preserve">[5]. An institution that organizes around being first on the survey list, without attending to the operational and scale attributes that the evidence shows to be decisive, optimizes for an input whose predictive power this dissertation finds to be weaker than assumed. The cliometric verdict is therefore directly actionable: it tells NASA and JPL which inputs to realized return are forecastable, and it locates the predictive weight in operational design and scale rather than in target ranking alone.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three literatures whose intersection defines the gap: the sensor-tasking and scheduling literature that owns the yield mechanism</w:t>
      </w:r>
      <w:r>
        <w:t xml:space="preserve"> </w:t>
      </w:r>
      <w:hyperlink w:anchor="ref-1">
        <w:r>
          <w:rPr>
            <w:rStyle w:val="Hyperlink"/>
          </w:rPr>
          <w:t xml:space="preserve">[1]</w:t>
        </w:r>
      </w:hyperlink>
      <w:r>
        <w:t xml:space="preserve">[2][3], the data-value literature that owns the worth of the realized product</w:t>
      </w:r>
      <w:r>
        <w:t xml:space="preserve"> </w:t>
      </w:r>
      <w:hyperlink w:anchor="ref-4">
        <w:r>
          <w:rPr>
            <w:rStyle w:val="Hyperlink"/>
          </w:rPr>
          <w:t xml:space="preserve">[4]</w:t>
        </w:r>
      </w:hyperlink>
      <w:r>
        <w:t xml:space="preserve">, and the research-investment and space-economy literature that owns the logic of prioritized investment</w:t>
      </w:r>
      <w:r>
        <w:t xml:space="preserve"> </w:t>
      </w:r>
      <w:hyperlink w:anchor="ref-5">
        <w:r>
          <w:rPr>
            <w:rStyle w:val="Hyperlink"/>
          </w:rPr>
          <w:t xml:space="preserve">[5]</w:t>
        </w:r>
      </w:hyperlink>
      <w:r>
        <w:t xml:space="preserve">[6][7]. It establishes precisely what each literature claims and where each stops, so that the untested loop is visible as the residual none of them closes.</w:t>
      </w:r>
    </w:p>
    <w:p>
      <w:pPr>
        <w:pStyle w:val="BodyText"/>
        <w:spacing w:line="480" w:lineRule="auto"/>
        <w:ind w:firstLine="720"/>
      </w:pPr>
      <w:r>
        <w:t xml:space="preserve">Chapter 3 develops the theory and states the hypotheses for both margins of realized return, deriving the directional predictions on magnitude and on timing from the mechanism by which a ranked program is converted into realized observation.</w:t>
      </w:r>
    </w:p>
    <w:p>
      <w:pPr>
        <w:pStyle w:val="BodyText"/>
        <w:spacing w:line="480" w:lineRule="auto"/>
        <w:ind w:firstLine="720"/>
      </w:pPr>
      <w:r>
        <w:t xml:space="preserve">Chapter 4 sets out the identification strategy and the econometric method. It confronts the central identification problem, that priority rank is not randomly assigned, and that program scale and survey epoch confound a naive regression of return on rank. It specifies the fixed-effects and survival estimators that condition on those confounders, the construction of the outcome as return normalized against documented tasking-and-scheduling throughput</w:t>
      </w:r>
      <w:r>
        <w:t xml:space="preserve"> </w:t>
      </w:r>
      <w:hyperlink w:anchor="ref-1">
        <w:r>
          <w:rPr>
            <w:rStyle w:val="Hyperlink"/>
          </w:rPr>
          <w:t xml:space="preserve">[1]</w:t>
        </w:r>
      </w:hyperlink>
      <w:r>
        <w:t xml:space="preserve">[2][3], and the placebo and permutation checks that bound how much of any estimated</w:t>
      </w:r>
      <w:r>
        <w:t xml:space="preserve"> </w:t>
      </w:r>
      <w:r>
        <w:rPr>
          <w:rStyle w:val="VerbatimChar"/>
        </w:rPr>
        <w:t xml:space="preserve">beta</w:t>
      </w:r>
      <w:r>
        <w:t xml:space="preserve"> </w:t>
      </w:r>
      <w:r>
        <w:t xml:space="preserve">could arise from rank structure alone.</w:t>
      </w:r>
    </w:p>
    <w:p>
      <w:pPr>
        <w:pStyle w:val="BodyText"/>
        <w:spacing w:line="480" w:lineRule="auto"/>
        <w:ind w:firstLine="720"/>
      </w:pPr>
      <w:r>
        <w:t xml:space="preserve">Chapter 5 documents the data and its provenance: the priority-rank layer drawn from the published consensus surveys and competed-selection orders, the yield-mechanism layer drawn from the bibliometric census</w:t>
      </w:r>
      <w:r>
        <w:t xml:space="preserve"> </w:t>
      </w:r>
      <w:hyperlink w:anchor="ref-1">
        <w:r>
          <w:rPr>
            <w:rStyle w:val="Hyperlink"/>
          </w:rPr>
          <w:t xml:space="preserve">[1]</w:t>
        </w:r>
      </w:hyperlink>
      <w:r>
        <w:t xml:space="preserve"> </w:t>
      </w:r>
      <w:r>
        <w:t xml:space="preserve">and the AMOS sensor-tasking corpus</w:t>
      </w:r>
      <w:r>
        <w:t xml:space="preserve"> </w:t>
      </w:r>
      <w:hyperlink w:anchor="ref-1">
        <w:r>
          <w:rPr>
            <w:rStyle w:val="Hyperlink"/>
          </w:rPr>
          <w:t xml:space="preserve">[1]</w:t>
        </w:r>
      </w:hyperlink>
      <w:r>
        <w:t xml:space="preserve">[2][3], and the data-value layer drawn from the peer-reviewed Earth-observation record</w:t>
      </w:r>
      <w:r>
        <w:t xml:space="preserve"> </w:t>
      </w:r>
      <w:hyperlink w:anchor="ref-4">
        <w:r>
          <w:rPr>
            <w:rStyle w:val="Hyperlink"/>
          </w:rPr>
          <w:t xml:space="preserve">[4]</w:t>
        </w:r>
      </w:hyperlink>
      <w:r>
        <w:t xml:space="preserve">, with every record logged to its corpus of origin and source identifier for audit.</w:t>
      </w:r>
    </w:p>
    <w:p>
      <w:pPr>
        <w:pStyle w:val="BodyText"/>
        <w:spacing w:line="480" w:lineRule="auto"/>
        <w:ind w:firstLine="720"/>
      </w:pPr>
      <w:r>
        <w:t xml:space="preserve">Chapter 6 reports the magnitude result: the cross-mission ordinary-least-squares estimate of how realized publication yield varies with operational lifetime and mission class, and what that estimate implies for the predictive content of target priority</w:t>
      </w:r>
      <w:r>
        <w:t xml:space="preserve"> </w:t>
      </w:r>
      <w:hyperlink w:anchor="ref-1">
        <w:r>
          <w:rPr>
            <w:rStyle w:val="Hyperlink"/>
          </w:rPr>
          <w:t xml:space="preserve">[1]</w:t>
        </w:r>
      </w:hyperlink>
      <w:r>
        <w:t xml:space="preserve">[2][4].</w:t>
      </w:r>
    </w:p>
    <w:p>
      <w:pPr>
        <w:pStyle w:val="BodyText"/>
        <w:spacing w:line="480" w:lineRule="auto"/>
        <w:ind w:firstLine="720"/>
      </w:pPr>
      <w:r>
        <w:t xml:space="preserve">Chapter 7 reports the timing result: the Cox proportional-hazards estimate of how the hazard of first material return varies with priority rank and program scale, the failure to reject H0 on rank, and the survivorship argument that the censored, prioritized-but-unbuilt programs are precisely the cases the survival framing must retain.</w:t>
      </w:r>
    </w:p>
    <w:p>
      <w:pPr>
        <w:pStyle w:val="BodyText"/>
        <w:spacing w:line="480" w:lineRule="auto"/>
        <w:ind w:firstLine="720"/>
      </w:pPr>
      <w:r>
        <w:t xml:space="preserve">Chapter 8 confronts the threats to validity, survivorship, outcome construction, epoch confounding, and the ordinal construct of rank itself, and shows how the design addresses each. Chapter 9 synthesizes the two margins into the composite verdict on the single falsifiable contribution, draws the implications for NASA and JPL portfolio design, states the bounded limits of the evidence, and identifies the longer observation window and larger sample that would resolve the questions this dissertation leaves open.</w:t>
      </w:r>
    </w:p>
    <w:bookmarkEnd w:id="66"/>
    <w:bookmarkEnd w:id="67"/>
    <w:bookmarkStart w:id="74" w:name="chapter-2.-literature-review"/>
    <w:p>
      <w:pPr>
        <w:pStyle w:val="Heading1"/>
        <w:spacing w:line="480" w:lineRule="auto"/>
      </w:pPr>
      <w:r>
        <w:t xml:space="preserve">Chapter 2. Literature Review</w:t>
      </w:r>
    </w:p>
    <w:bookmarkStart w:id="68" w:name="X45f39dbdb3f1fd2a0dcfb3946509018c0d6edd6"/>
    <w:p>
      <w:pPr>
        <w:pStyle w:val="Heading2"/>
        <w:spacing w:line="480" w:lineRule="auto"/>
      </w:pPr>
      <w:r>
        <w:t xml:space="preserve">2.1 Orientation and the Structure of the Review</w:t>
      </w:r>
    </w:p>
    <w:p>
      <w:pPr>
        <w:pStyle w:val="FirstParagraph"/>
        <w:spacing w:line="480" w:lineRule="auto"/>
      </w:pPr>
      <w:r>
        <w:t xml:space="preserve">This dissertation asks whether the priority rankings produced by consensus decadal surveys predict the science return that ranked observation programs subsequently realize. The question sits at the intersection of two scholarly traditions that have matured in parallel and have, to date, never been joined. The first tradition is the domain technical literature on observational systems: the body of work that models how finite observing capacity is allocated against competing targets, how scheduling and tasking decisions govern the conversion of raw sensing time into usable observation, and how the value of an observational data product is constituted once that product exists. The second tradition is the cliometric and econometric methodology literature: the body of work that estimates long-run associations between an ex ante decision variable and an ex post realized outcome, treats the realized outcome as a measurable quantity with documented provenance, and disciplines the estimate against the confounders that contaminate any non-experimental comparison. The central claim of this chapter is that each tradition owns a piece of the rank-to-return question and that neither closes the loop between them. The domain literature owns the mechanism by which yield is produced but treats the priorities that point the instruments as exogenous and given. The methodological and economic literature owns the logic by which prior decisions are evaluated against realized outcomes but reasons about investment in aggregate rather than program by program. The gap is the unestimated regression of realized yield on prior priority rank, and the purpose of this review is to locate that gap precisely, to show that it is real and not an artifact of incomplete reading, and to establish that the two literatures supply, between them, every ingredient the estimation requires except the estimation itself.</w:t>
      </w:r>
    </w:p>
    <w:p>
      <w:pPr>
        <w:pStyle w:val="BodyText"/>
        <w:spacing w:line="480" w:lineRule="auto"/>
        <w:ind w:firstLine="720"/>
      </w:pPr>
      <w:r>
        <w:t xml:space="preserve">The chapter proceeds in five movements. Section 2.2 reviews the domain technical literature on tasking, scheduling, and the value-of-information machinery that governs observational yield. Section 2.3 reviews the parallel literature on the realized value of observational data products and on the bibliometric measurement of science return, which together constitute the outcome side of the inquiry. Section 2.4 reviews the cliometric and econometric methodology literature, with attention to identification under non-random assignment, to the survival-analytic treatment of censored programs, and to the parametric cost and economic-value modeling that supplies the scale controls. Section 2.5 reviews the research-investment and space-economy literature that establishes prioritized investment as consequential while stopping short of the program-level test. Section 2.6 synthesizes the four bodies of work, names the structural gap, and states how the dissertation’s design, and the two companion studies that anchor it, fill that gap.</w:t>
      </w:r>
    </w:p>
    <w:bookmarkEnd w:id="68"/>
    <w:bookmarkStart w:id="69" w:name="X63028af339f1234c4d136284edbdb493fa80d11"/>
    <w:p>
      <w:pPr>
        <w:pStyle w:val="Heading2"/>
        <w:spacing w:line="480" w:lineRule="auto"/>
      </w:pPr>
      <w:r>
        <w:t xml:space="preserve">2.2 The Domain Technical Literature: Tasking, Scheduling, and the Production of Yield</w:t>
      </w:r>
    </w:p>
    <w:p>
      <w:pPr>
        <w:pStyle w:val="FirstParagraph"/>
        <w:spacing w:line="480" w:lineRule="auto"/>
      </w:pPr>
      <w:r>
        <w:t xml:space="preserve">The first literature relevant to this dissertation is the space-domain-awareness sensor-tasking and scheduling corpus. This literature is mature on a single, central point: observational yield is not an intrinsic property of an observing program but the output of an optimization layer that allocates finite sensor time against competing targets, and the allocation is driven by value-of-information considerations that are documented and quantifiable. The relevance of this corpus to a study of decadal priorities is that it dissolves any presumption that yield follows automatically from the act of prioritizing a program. Between the priority rank assigned at survey time and the observation realized years later sits a tasking-and-scheduling layer that responds to its own incentives, and the technical literature characterizes that layer in detail.</w:t>
      </w:r>
    </w:p>
    <w:p>
      <w:pPr>
        <w:pStyle w:val="BodyText"/>
        <w:spacing w:line="480" w:lineRule="auto"/>
        <w:ind w:firstLine="720"/>
      </w:pPr>
      <w:r>
        <w:t xml:space="preserve">The foundational contributions in this corpus model the efficiency of a sensor network as a function of how tasking is structured. Dhingra and colleagues establish that orbit accuracy-based tasking materially changes the efficiency with which a sensor network converts observing time into catalog maintenance, demonstrating that the same physical capacity returns more or less usable observation depending on how the tasking reward function is specified</w:t>
      </w:r>
      <w:r>
        <w:t xml:space="preserve"> </w:t>
      </w:r>
      <w:hyperlink w:anchor="ref-1">
        <w:r>
          <w:rPr>
            <w:rStyle w:val="Hyperlink"/>
          </w:rPr>
          <w:t xml:space="preserve">[1]</w:t>
        </w:r>
      </w:hyperlink>
      <w:r>
        <w:t xml:space="preserve">. This is the load-bearing result for the present dissertation, because it shows that yield-per-unit-capacity is a manipulable quantity governed by the tasking layer rather than a fixed return on prior prioritization. The same research group extends the analysis to non-traditional and heterogeneous sensor networks, demonstrating that an optimization layer can extract usable signal even from sensors that were never purpose-built for the surveillance task, provided the tasking reward function is constructed to value their marginal contribution correctly</w:t>
      </w:r>
      <w:r>
        <w:t xml:space="preserve"> </w:t>
      </w:r>
      <w:hyperlink w:anchor="ref-2">
        <w:r>
          <w:rPr>
            <w:rStyle w:val="Hyperlink"/>
          </w:rPr>
          <w:t xml:space="preserve">[2]</w:t>
        </w:r>
      </w:hyperlink>
      <w:r>
        <w:t xml:space="preserve">. The implication for the rank-to-return question is direct: the conversion of a ranked program into realized observation depends on a scheduling stage whose behavior is independent of the priority rank that authorized the program. The third contribution in this line moves from heuristic efficiency to formal optimality, attaching optimality certificates to scheduling solutions so that the quality of a tasking schedule can be characterized rather than merely asserted</w:t>
      </w:r>
      <w:r>
        <w:t xml:space="preserve"> </w:t>
      </w:r>
      <w:hyperlink w:anchor="ref-3">
        <w:r>
          <w:rPr>
            <w:rStyle w:val="Hyperlink"/>
          </w:rPr>
          <w:t xml:space="preserve">[3]</w:t>
        </w:r>
      </w:hyperlink>
      <w:r>
        <w:t xml:space="preserve">. Taken together, these three papers establish that the tasking-and-scheduling layer is the proximate determinant of yield, that its behavior is value-of-information driven, and that its parameters are documented with sufficient rigor to support an outcome construction that normalizes raw yield against throughput.</w:t>
      </w:r>
    </w:p>
    <w:p>
      <w:pPr>
        <w:pStyle w:val="BodyText"/>
        <w:spacing w:line="480" w:lineRule="auto"/>
        <w:ind w:firstLine="720"/>
      </w:pPr>
      <w:r>
        <w:t xml:space="preserve">The corpus is broader than these three anchor papers, and the wider technical literature reinforces the same theme. Federici and colleagues formalize sensor tasking as a search problem and solve it with a beam-search algorithm, again treating the priority structure that points the sensors as exogenous and optimizing the schedule that serves it</w:t>
      </w:r>
      <w:r>
        <w:t xml:space="preserve"> </w:t>
      </w:r>
      <w:hyperlink w:anchor="ref-13">
        <w:r>
          <w:rPr>
            <w:rStyle w:val="Hyperlink"/>
          </w:rPr>
          <w:t xml:space="preserve">[13]</w:t>
        </w:r>
      </w:hyperlink>
      <w:r>
        <w:t xml:space="preserve">. Gehly and Bennett incorporate explicit target priorities into the sensor-tasking reward function, which is the closest the technical literature comes to engaging the priority structure directly; even here, however, the priorities enter as inputs to the reward function rather than as objects whose predictive validity is itself tested</w:t>
      </w:r>
      <w:r>
        <w:t xml:space="preserve"> </w:t>
      </w:r>
      <w:hyperlink w:anchor="ref-18">
        <w:r>
          <w:rPr>
            <w:rStyle w:val="Hyperlink"/>
          </w:rPr>
          <w:t xml:space="preserve">[18]</w:t>
        </w:r>
      </w:hyperlink>
      <w:r>
        <w:t xml:space="preserve">. The distinction is the crux of the gap. The technical literature treats priority as a control knob to be respected, not as a forecast to be audited. It asks how to schedule observations given priorities; it does not ask whether the priorities were good predictors of where yield would in fact be found.</w:t>
      </w:r>
    </w:p>
    <w:p>
      <w:pPr>
        <w:pStyle w:val="BodyText"/>
        <w:spacing w:line="480" w:lineRule="auto"/>
        <w:ind w:firstLine="720"/>
      </w:pPr>
      <w:r>
        <w:t xml:space="preserve">A second strand of the domain literature concerns the instruments and observing facilities whose architectures determine the raw capacity that the tasking layer then allocates. The astronomical survey literature documents the transition to wide-field, high-throughput survey facilities. Burgett and Kaiser describe the Pan-STARRS project as the arrival of a new generation of survey astronomy, in which the observing architecture is designed from the outset to maximize the breadth of the data product rather than the depth of any single target</w:t>
      </w:r>
      <w:r>
        <w:t xml:space="preserve"> </w:t>
      </w:r>
      <w:hyperlink w:anchor="ref-19">
        <w:r>
          <w:rPr>
            <w:rStyle w:val="Hyperlink"/>
          </w:rPr>
          <w:t xml:space="preserve">[19]</w:t>
        </w:r>
      </w:hyperlink>
      <w:r>
        <w:t xml:space="preserve">. The adaptive-optics and laser-guide-star literature characterizes the engineering substrate that conditions yield at the level of individual large telescopes. Wyman and colleagues provide an operations and maintenance overview of the Gemini North artificial guide star laser, documenting the operational burden that conditions how much usable observing time a facility actually delivers</w:t>
      </w:r>
      <w:r>
        <w:t xml:space="preserve"> </w:t>
      </w:r>
      <w:hyperlink w:anchor="ref-17">
        <w:r>
          <w:rPr>
            <w:rStyle w:val="Hyperlink"/>
          </w:rPr>
          <w:t xml:space="preserve">[17]</w:t>
        </w:r>
      </w:hyperlink>
      <w:r>
        <w:t xml:space="preserve">. Kibblewhite analyzes the physics of the sodium laser guide star and the prediction and enhancement of photon returns, which is, at the instrument level, a value-of-information problem isomorphic to the network-level tasking problem</w:t>
      </w:r>
      <w:r>
        <w:t xml:space="preserve"> </w:t>
      </w:r>
      <w:hyperlink w:anchor="ref-21">
        <w:r>
          <w:rPr>
            <w:rStyle w:val="Hyperlink"/>
          </w:rPr>
          <w:t xml:space="preserve">[21]</w:t>
        </w:r>
      </w:hyperlink>
      <w:r>
        <w:t xml:space="preserve">. These contributions matter to the present study because they establish that observing capacity is itself heterogeneous and engineered, which is precisely why a raw yield count must be normalized against documented throughput before it can be compared across programs. The space-environment literature extends this point to the forecasting infrastructure that conditions observation quality; Mlynczak and colleagues describe a cubesat solution for thermospheric density forecasting in service of improved space situational awareness, illustrating that even the environmental inputs to observation are objects of deliberate capability investment</w:t>
      </w:r>
      <w:r>
        <w:t xml:space="preserve"> </w:t>
      </w:r>
      <w:hyperlink w:anchor="ref-14">
        <w:r>
          <w:rPr>
            <w:rStyle w:val="Hyperlink"/>
          </w:rPr>
          <w:t xml:space="preserve">[14]</w:t>
        </w:r>
      </w:hyperlink>
      <w:r>
        <w:t xml:space="preserve">.</w:t>
      </w:r>
    </w:p>
    <w:p>
      <w:pPr>
        <w:pStyle w:val="BodyText"/>
        <w:spacing w:line="480" w:lineRule="auto"/>
        <w:ind w:firstLine="720"/>
      </w:pPr>
      <w:r>
        <w:t xml:space="preserve">A third strand documents the specific mission architectures whose realized return the dissertation ultimately seeks to predict, exposing the heterogeneity the analysis must control. The planetary-science mission-concept literature is explicit that science return is an engineered, architecture-dependent quantity. Elder and colleagues present OCEANUS as a high-science-return Uranus orbiter built around a deliberately low-cost instrument suite, framing science return as the optimization target of the mission design itself</w:t>
      </w:r>
      <w:r>
        <w:t xml:space="preserve"> </w:t>
      </w:r>
      <w:hyperlink w:anchor="ref-22">
        <w:r>
          <w:rPr>
            <w:rStyle w:val="Hyperlink"/>
          </w:rPr>
          <w:t xml:space="preserve">[22]</w:t>
        </w:r>
      </w:hyperlink>
      <w:r>
        <w:t xml:space="preserve">. Jarmak and colleagues present the QUEST Uranus orbiter concept study in the same idiom, treating anticipated return as a designed property traceable to instrument and architecture choices</w:t>
      </w:r>
      <w:r>
        <w:t xml:space="preserve"> </w:t>
      </w:r>
      <w:hyperlink w:anchor="ref-29">
        <w:r>
          <w:rPr>
            <w:rStyle w:val="Hyperlink"/>
          </w:rPr>
          <w:t xml:space="preserve">[29]</w:t>
        </w:r>
      </w:hyperlink>
      <w:r>
        <w:t xml:space="preserve">. The Rosetta science-planning literature is particularly instructive: Vallat and colleagues document the science-planning process by which a flying mission converts its raw observing opportunities into realized science, which is the operational analogue of the sensor-tasking layer for a deep-space mission</w:t>
      </w:r>
      <w:r>
        <w:t xml:space="preserve"> </w:t>
      </w:r>
      <w:hyperlink w:anchor="ref-28">
        <w:r>
          <w:rPr>
            <w:rStyle w:val="Hyperlink"/>
          </w:rPr>
          <w:t xml:space="preserve">[28]</w:t>
        </w:r>
      </w:hyperlink>
      <w:r>
        <w:t xml:space="preserve">. The planetary-defense and demonstration literature provides cases in which realized return is unusually legible. Chabot and colleagues report the latest results from the DART impact at Dimorphos, a mission whose realized return is directly observable as a measured deflection</w:t>
      </w:r>
      <w:r>
        <w:t xml:space="preserve"> </w:t>
      </w:r>
      <w:hyperlink w:anchor="ref-23">
        <w:r>
          <w:rPr>
            <w:rStyle w:val="Hyperlink"/>
          </w:rPr>
          <w:t xml:space="preserve">[23]</w:t>
        </w:r>
      </w:hyperlink>
      <w:r>
        <w:t xml:space="preserve">. The cislunar and space-traffic-management literature, including Wysack and Ferrant on contrasting architectures for cislunar awareness</w:t>
      </w:r>
      <w:r>
        <w:t xml:space="preserve"> </w:t>
      </w:r>
      <w:hyperlink w:anchor="ref-16">
        <w:r>
          <w:rPr>
            <w:rStyle w:val="Hyperlink"/>
          </w:rPr>
          <w:t xml:space="preserve">[16]</w:t>
        </w:r>
      </w:hyperlink>
      <w:r>
        <w:t xml:space="preserve"> </w:t>
      </w:r>
      <w:r>
        <w:t xml:space="preserve">and Bilka and colleagues on architectural solutions for lunar traffic management</w:t>
      </w:r>
      <w:r>
        <w:t xml:space="preserve"> </w:t>
      </w:r>
      <w:hyperlink w:anchor="ref-20">
        <w:r>
          <w:rPr>
            <w:rStyle w:val="Hyperlink"/>
          </w:rPr>
          <w:t xml:space="preserve">[20]</w:t>
        </w:r>
      </w:hyperlink>
      <w:r>
        <w:t xml:space="preserve">, documents the newest observing domains in which the tasking-and-scheduling logic is being extended. The lunar-laser-ranging literature, with Currie and colleagues on a retroreflector for the twenty-first century, documents a long-baseline instrument whose realized scientific return accrues over decades</w:t>
      </w:r>
      <w:r>
        <w:t xml:space="preserve"> </w:t>
      </w:r>
      <w:hyperlink w:anchor="ref-15">
        <w:r>
          <w:rPr>
            <w:rStyle w:val="Hyperlink"/>
          </w:rPr>
          <w:t xml:space="preserve">[15]</w:t>
        </w:r>
      </w:hyperlink>
      <w:r>
        <w:t xml:space="preserve">. Even the materials-and-custody literature, with Walsh and colleagues on postorbital discard and chain of custody for artifacts returning from the International Space Station, illustrates that the realized output of an observing or sampling program is a documented, traceable object rather than an assumed one</w:t>
      </w:r>
      <w:r>
        <w:t xml:space="preserve"> </w:t>
      </w:r>
      <w:hyperlink w:anchor="ref-24">
        <w:r>
          <w:rPr>
            <w:rStyle w:val="Hyperlink"/>
          </w:rPr>
          <w:t xml:space="preserve">[24]</w:t>
        </w:r>
      </w:hyperlink>
      <w:r>
        <w:t xml:space="preserve">. The exoplanet and astrobiology mission literature, including Haqq-Misra and colleagues on searching for technosignatures with current and future missions</w:t>
      </w:r>
      <w:r>
        <w:t xml:space="preserve"> </w:t>
      </w:r>
      <w:hyperlink w:anchor="ref-25">
        <w:r>
          <w:rPr>
            <w:rStyle w:val="Hyperlink"/>
          </w:rPr>
          <w:t xml:space="preserve">[25]</w:t>
        </w:r>
      </w:hyperlink>
      <w:r>
        <w:t xml:space="preserve"> </w:t>
      </w:r>
      <w:r>
        <w:t xml:space="preserve">and Coustenis and colleagues on the quest for habitats in the outer Solar System</w:t>
      </w:r>
      <w:r>
        <w:t xml:space="preserve"> </w:t>
      </w:r>
      <w:hyperlink w:anchor="ref-26">
        <w:r>
          <w:rPr>
            <w:rStyle w:val="Hyperlink"/>
          </w:rPr>
          <w:t xml:space="preserve">[26]</w:t>
        </w:r>
      </w:hyperlink>
      <w:r>
        <w:t xml:space="preserve">, documents the high-priority science cases that decadal surveys rank, and does so without ever connecting the rank to the realized return.</w:t>
      </w:r>
    </w:p>
    <w:p>
      <w:pPr>
        <w:pStyle w:val="BodyText"/>
        <w:spacing w:line="480" w:lineRule="auto"/>
        <w:ind w:firstLine="720"/>
      </w:pPr>
      <w:r>
        <w:t xml:space="preserve">The cumulative reading of the domain technical literature is therefore as follows. The corpus is rich, quantitative, and internally rigorous on the production of yield. It establishes that yield is the output of a documented optimization layer [1, 2, 3, 13], that the optimization can incorporate priorities as inputs without ever testing their predictive validity</w:t>
      </w:r>
      <w:r>
        <w:t xml:space="preserve"> </w:t>
      </w:r>
      <w:hyperlink w:anchor="ref-18">
        <w:r>
          <w:rPr>
            <w:rStyle w:val="Hyperlink"/>
          </w:rPr>
          <w:t xml:space="preserve">[18]</w:t>
        </w:r>
      </w:hyperlink>
      <w:r>
        <w:t xml:space="preserve">, that observing capacity is engineered and heterogeneous and therefore demands normalization [17, 19, 21, 14], and that mission-level science return is an architecture-dependent quantity traceable to design choices [22, 28, 29]. What the corpus does not contain, anywhere, is a regression of realized yield on the prior priority rank. The priority structure is treated as the boundary condition of the analysis, never as its dependent or independent variable. This is the first half of the gap.</w:t>
      </w:r>
    </w:p>
    <w:bookmarkEnd w:id="69"/>
    <w:bookmarkStart w:id="70" w:name="Xafe147f176d4d31bf852189e5e76dc4c30ace66"/>
    <w:p>
      <w:pPr>
        <w:pStyle w:val="Heading2"/>
        <w:spacing w:line="480" w:lineRule="auto"/>
      </w:pPr>
      <w:r>
        <w:t xml:space="preserve">2.3 The Value of the Realized Product and the Measurement of Science Return</w:t>
      </w:r>
    </w:p>
    <w:p>
      <w:pPr>
        <w:pStyle w:val="FirstParagraph"/>
        <w:spacing w:line="480" w:lineRule="auto"/>
      </w:pPr>
      <w:r>
        <w:t xml:space="preserve">The second literature relevant to the dissertation concerns the realized value of observational data products and, more specifically for the companion bibliometric study, the measurement of realized science return. This literature is mature on a complementary point to the tasking corpus: the value of an observation is a measurable property of the realized product, not an assumed property of the program that commissioned it.</w:t>
      </w:r>
    </w:p>
    <w:p>
      <w:pPr>
        <w:pStyle w:val="BodyText"/>
        <w:spacing w:line="480" w:lineRule="auto"/>
        <w:ind w:firstLine="720"/>
      </w:pPr>
      <w:r>
        <w:t xml:space="preserve">The Earth-observation economics literature is the canonical source here. Denis and colleagues characterize the evolution of new Earth-observation systems and their data markets, modeling how the informational and economic value of observation data is realized in downstream information production rather than fixed at the moment of system authorization</w:t>
      </w:r>
      <w:r>
        <w:t xml:space="preserve"> </w:t>
      </w:r>
      <w:hyperlink w:anchor="ref-4">
        <w:r>
          <w:rPr>
            <w:rStyle w:val="Hyperlink"/>
          </w:rPr>
          <w:t xml:space="preserve">[4]</w:t>
        </w:r>
      </w:hyperlink>
      <w:r>
        <w:t xml:space="preserve">. The relevance of this characterization to the present study is twofold. First, it supplies the conceptual warrant for treating realized yield as a quantity that can be measured independently of, and validated against, the program that produced it, which is what makes the rank-to-return test clean rather than circular. Second, it establishes that the realized value of an observation system is contingent on a market and a user community that the original prioritization decision could not fully anticipate, which foreshadows the community-breadth mechanism that the companion bibliometric study identifies as a dominant lever on realized return.</w:t>
      </w:r>
    </w:p>
    <w:p>
      <w:pPr>
        <w:pStyle w:val="BodyText"/>
        <w:spacing w:line="480" w:lineRule="auto"/>
        <w:ind w:firstLine="720"/>
      </w:pPr>
      <w:r>
        <w:t xml:space="preserve">The bibliometric measurement of science return is the operational counterpart to the data-value literature, and it is the foundation of the companion publication-yield study. The standard method for quantifying the realized scientific return of a mission is to count the refereed publications that make direct use of that mission’s data, a method that space agencies employ internally to justify continued funding at senior review. De Marchi and Parmar provide the most uniform available census of this kind, applying a single set of inclusion criteria across the European Space Agency Science Programme missions and partner-led missions and reporting per-mission publication totals and operational spans</w:t>
      </w:r>
      <w:r>
        <w:t xml:space="preserve"> </w:t>
      </w:r>
      <w:hyperlink w:anchor="ref-8">
        <w:r>
          <w:rPr>
            <w:rStyle w:val="Hyperlink"/>
          </w:rPr>
          <w:t xml:space="preserve">[8]</w:t>
        </w:r>
      </w:hyperlink>
      <w:r>
        <w:t xml:space="preserve">. This census is the documented data layer that makes the magnitude side of the dissertation’s question answerable, because it supplies a comparable, provenance-tracked realized-return measure across a heterogeneous set of missions. The Jet Propulsion Laboratory mission-bibliometrics record establishes that the same counting practice is used institutionally to track the scientific productivity of facilities over time, which is what licenses the use of the publication count as a proxy for realized return</w:t>
      </w:r>
      <w:r>
        <w:t xml:space="preserve"> </w:t>
      </w:r>
      <w:hyperlink w:anchor="ref-9">
        <w:r>
          <w:rPr>
            <w:rStyle w:val="Hyperlink"/>
          </w:rPr>
          <w:t xml:space="preserve">[9]</w:t>
        </w:r>
      </w:hyperlink>
      <w:r>
        <w:t xml:space="preserve">. The Gaia mission documentation, in Perryman and colleagues’ programmatic account, exemplifies the open-observatory and survey-mission archetype whose data are distributed to a broad competitive community, the mechanism by which an observatory-class facility multiplies the number of independent investigators who can convert its data into refereed results</w:t>
      </w:r>
      <w:r>
        <w:t xml:space="preserve"> </w:t>
      </w:r>
      <w:hyperlink w:anchor="ref-11">
        <w:r>
          <w:rPr>
            <w:rStyle w:val="Hyperlink"/>
          </w:rPr>
          <w:t xml:space="preserve">[11]</w:t>
        </w:r>
      </w:hyperlink>
      <w:r>
        <w:t xml:space="preserve">. The Pan-STARRS survey-astronomy account reinforces the same architectural distinction from the instrument side</w:t>
      </w:r>
      <w:r>
        <w:t xml:space="preserve"> </w:t>
      </w:r>
      <w:hyperlink w:anchor="ref-19">
        <w:r>
          <w:rPr>
            <w:rStyle w:val="Hyperlink"/>
          </w:rPr>
          <w:t xml:space="preserve">[19]</w:t>
        </w:r>
      </w:hyperlink>
      <w:r>
        <w:t xml:space="preserve">.</w:t>
      </w:r>
    </w:p>
    <w:p>
      <w:pPr>
        <w:pStyle w:val="BodyText"/>
        <w:spacing w:line="480" w:lineRule="auto"/>
        <w:ind w:firstLine="720"/>
      </w:pPr>
      <w:r>
        <w:t xml:space="preserve">The publication-count proxy is imperfect, and the literature is candid about its limits. The count does not weight the depth or citation impact of individual papers, and the digital indexing of the refereed literature expanded sharply after 2000, which could inflate the recorded counts of newer missions independent of their scientific merit</w:t>
      </w:r>
      <w:r>
        <w:t xml:space="preserve"> </w:t>
      </w:r>
      <w:hyperlink w:anchor="ref-8">
        <w:r>
          <w:rPr>
            <w:rStyle w:val="Hyperlink"/>
          </w:rPr>
          <w:t xml:space="preserve">[8]</w:t>
        </w:r>
      </w:hyperlink>
      <w:r>
        <w:t xml:space="preserve">. These limitations are not fatal to the proxy, because a uniform inclusion rule makes counts comparable across missions and the inflation confound can be absorbed by an era control, but they do establish that any cliometric use of publication yield must discipline the outcome against scale and epoch. That requirement is precisely where the measurement literature hands the inquiry to the methodology literature.</w:t>
      </w:r>
    </w:p>
    <w:p>
      <w:pPr>
        <w:pStyle w:val="BodyText"/>
        <w:spacing w:line="480" w:lineRule="auto"/>
        <w:ind w:firstLine="720"/>
      </w:pPr>
      <w:r>
        <w:t xml:space="preserve">The cumulative reading of this second body of work is that the outcome side of the rank-to-return question is well constituted. The value of a realized observation product is measurable</w:t>
      </w:r>
      <w:r>
        <w:t xml:space="preserve"> </w:t>
      </w:r>
      <w:hyperlink w:anchor="ref-4">
        <w:r>
          <w:rPr>
            <w:rStyle w:val="Hyperlink"/>
          </w:rPr>
          <w:t xml:space="preserve">[4]</w:t>
        </w:r>
      </w:hyperlink>
      <w:r>
        <w:t xml:space="preserve">, the realized science return of a mission is measurable by a uniform bibliometric census [8, 9], and the observatory-class architectures that condition that return are documented [11, 19]. As with the tasking corpus, however, this literature stops at the boundary of the priority structure. It measures the realized value and the realized return of programs that were already selected and flown; it does not connect that realized value backward to the ex ante prioritization rank that authorized the program. This is the second half of the gap.</w:t>
      </w:r>
    </w:p>
    <w:bookmarkEnd w:id="70"/>
    <w:bookmarkStart w:id="71"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third literature relevant to the dissertation is the cliometric and econometric methodology that an empirical test of the rank-to-return relationship must deploy. The dissertation’s question is, in form, a long-run cliometric one: it treats a decision variable recorded at one date, the priority rank, as a covariate, and a realized outcome recorded years later, the observational yield, as a dependent variable, and it estimates the sign, magnitude, and interval of the association between them net of confounders. The methodological literature supplies the identification strategy, the estimators, and the validity controls.</w:t>
      </w:r>
    </w:p>
    <w:p>
      <w:pPr>
        <w:pStyle w:val="BodyText"/>
        <w:spacing w:line="480" w:lineRule="auto"/>
        <w:ind w:firstLine="720"/>
      </w:pPr>
      <w:r>
        <w:t xml:space="preserve">The central identification problem is that priority rank is not randomly assigned. A naive regression of yield on rank would conflate the predictive content of rank with confounders that drive both quantities. Two confounders dominate, and the methodology must condition on each. The first is program scale: large programs both attract priority and produce more raw yield, so a yield-on-rank coefficient that does not control for scale would attribute to rank an association that belongs to size. The second is epoch: sensing and processing capability improves across decades, inflating the yield of later programs independent of their rank, so that capability growth could masquerade as a rank effect unless survey-epoch is held fixed. The methodological response is a fixed-effects regression of realized yield on priority rank with survey-epoch fixed effects and an explicit scale control, so that the rank coefficient is identified from within-epoch, scale-adjusted variation in rank. This is the baseline specification the dissertation adopts, and it is a direct application of the standard cliometric strategy for estimating an ex-ante-to-ex-post association under non-random assignment.</w:t>
      </w:r>
    </w:p>
    <w:p>
      <w:pPr>
        <w:pStyle w:val="BodyText"/>
        <w:spacing w:line="480" w:lineRule="auto"/>
        <w:ind w:firstLine="720"/>
      </w:pPr>
      <w:r>
        <w:t xml:space="preserve">The companion publication-yield study operationalizes the magnitude side of this strategy as an ordinary least squares regression of realized return on operational design, estimated with heteroskedasticity-robust standard errors because the cross-section mixes small targeted probes with flagship observatories and is therefore evidently heteroskedastic</w:t>
      </w:r>
      <w:r>
        <w:t xml:space="preserve"> </w:t>
      </w:r>
      <w:hyperlink w:anchor="ref-8">
        <w:r>
          <w:rPr>
            <w:rStyle w:val="Hyperlink"/>
          </w:rPr>
          <w:t xml:space="preserve">[8]</w:t>
        </w:r>
      </w:hyperlink>
      <w:r>
        <w:t xml:space="preserve">. The choice of ordinary least squares is licensed by the structure of the outcome: a continuous count ranging over four orders of magnitude for which the question concerns the marginal contribution of each operational attribute to expected return. The deliberate parsimony of the specification, with few regressors relative to the sample, is itself a methodological commitment that guards against overfitting a modest sample, and it reflects the broader cliometric discipline of preferring transparent, traceable models over richly parameterized ones when the inferential target is a single signed coefficient.</w:t>
      </w:r>
    </w:p>
    <w:p>
      <w:pPr>
        <w:pStyle w:val="BodyText"/>
        <w:spacing w:line="480" w:lineRule="auto"/>
        <w:ind w:firstLine="720"/>
      </w:pPr>
      <w:r>
        <w:t xml:space="preserve">The scale and epoch controls that the methodology requires are not free parameters; they must themselves be grounded in documented quantities, and here the methodology literature draws on the parametric cost and economic-value modeling tradition. Friz and colleagues provide a blind validation study of the SEER-H parametric cost estimation tool for NASA space missions, establishing that mission build cost can be estimated parametrically with documented accuracy and, by implication, that program scale is a measurable covariate rather than an impressionistic one</w:t>
      </w:r>
      <w:r>
        <w:t xml:space="preserve"> </w:t>
      </w:r>
      <w:hyperlink w:anchor="ref-10">
        <w:r>
          <w:rPr>
            <w:rStyle w:val="Hyperlink"/>
          </w:rPr>
          <w:t xml:space="preserve">[10]</w:t>
        </w:r>
      </w:hyperlink>
      <w:r>
        <w:t xml:space="preserve">. This is the source that licenses the cost-scale control in both the magnitude regression and the survival model: scale enters as a documented quantity with a known estimation pedigree. Dorrington and Olsen extend the parametric-economic-modeling tradition to asteroid-mining architectures, building economic figures of merit that weight the breadth of exploitable output, which is the same logic by which the companion study weights observatory-class openness as a driver of realized return</w:t>
      </w:r>
      <w:r>
        <w:t xml:space="preserve"> </w:t>
      </w:r>
      <w:hyperlink w:anchor="ref-12">
        <w:r>
          <w:rPr>
            <w:rStyle w:val="Hyperlink"/>
          </w:rPr>
          <w:t xml:space="preserve">[12]</w:t>
        </w:r>
      </w:hyperlink>
      <w:r>
        <w:t xml:space="preserve">. The cost literature is complementary to the realized-return analysis in a precise way: parametric models price the build, but the science accrues over the operating life that the cliometric analysis shows to be decisive, so the two literatures partition the mission lifecycle between the cost of acquiring capacity and the return realized from operating it [10, 12].</w:t>
      </w:r>
    </w:p>
    <w:p>
      <w:pPr>
        <w:pStyle w:val="BodyText"/>
        <w:spacing w:line="480" w:lineRule="auto"/>
        <w:ind w:firstLine="720"/>
      </w:pPr>
      <w:r>
        <w:t xml:space="preserve">The methodology literature also supplies the survival-analytic apparatus that the dissertation’s timing analysis requires, and this is where the second companion study makes its distinctive methodological contribution. The magnitude regression has a structural blind spot: programs that were prioritized but never built produced no yield to measure, so they are invisible to a yield regression, which censors the low-priority and the unbuilt tail of the distribution and biases the estimate toward the optimistic conclusion that priorities deliver. The survival-analytic response is to model time-to-first-material-return as the outcome and to retain the unbuilt and not-yet-built programs as right-censored observations rather than discarding them. The companion timing study implements this as a Cox proportional-hazards regression of the hazard of first material return on priority rank and program cost scale. The proportional-hazards form factors the hazard into a non-parametric baseline shared across programs and a multiplicative term exponential in the covariates, so that the rank coefficient is identified from the order in which programs reach return rather than from any assumed shape of the baseline hazard. This estimator is the natural instrument for the timing margin precisely because it keeps the most informative cases, the prominently prioritized concepts that were never delivered, in the sample as censored observations. The methodological lesson the dissertation takes from this literature is that the choice of estimator is itself an identification decision: the survival model holds the prioritization apparatus accountable for the programs it ranked highly and did not deliver, which a magnitude regression conditioned on realized yield cannot do.</w:t>
      </w:r>
    </w:p>
    <w:p>
      <w:pPr>
        <w:pStyle w:val="BodyText"/>
        <w:spacing w:line="480" w:lineRule="auto"/>
        <w:ind w:firstLine="720"/>
      </w:pPr>
      <w:r>
        <w:t xml:space="preserve">The methodology literature, finally, supplies the validity-control vocabulary that disciplines the estimate against residual threats. Outcome construction must avoid contamination: if realized yield is measured on a scale that itself reflects prioritization, the outcome is contaminated by the covariate, which is why the dissertation normalizes yield against the independently documented tasking throughput [1, 2, 3] rather than against any prioritization-linked metric. Construct validity of the covariate must be checked: priority rank is ordinal and its spacing is not uniform across surveys, so the estimate must be re-run with rank entered ordinally and bounded by a permutation placebo that substitutes a randomly permuted rank for the true rank and confirms that the estimated coefficient collapses to zero under permutation. These are standard cliometric robustness instruments, and their availability is what makes the dissertation’s single falsifiable claim defensible in both directions. What the methodology literature does not supply, because it is general rather than domain-specific, is the application to decadal priorities. It tells the analyst how to estimate an ex-ante-to-ex-post association cleanly; it has not been pointed at the rank-to-return question.</w:t>
      </w:r>
    </w:p>
    <w:bookmarkEnd w:id="71"/>
    <w:bookmarkStart w:id="72" w:name="Xc2b953050be7cdf4b3e3eb5763cfbdd66f12fa4"/>
    <w:p>
      <w:pPr>
        <w:pStyle w:val="Heading2"/>
        <w:spacing w:line="480" w:lineRule="auto"/>
      </w:pPr>
      <w:r>
        <w:t xml:space="preserve">2.5 The Research-Investment and Space-Economy Literature</w:t>
      </w:r>
    </w:p>
    <w:p>
      <w:pPr>
        <w:pStyle w:val="FirstParagraph"/>
        <w:spacing w:line="480" w:lineRule="auto"/>
      </w:pPr>
      <w:r>
        <w:t xml:space="preserve">The fourth literature relevant to the dissertation is the research-investment and space-economy corpus, which establishes that prioritized investment is consequential while stopping short of the program-level test the dissertation performs. This literature is the closest in spirit to the dissertation’s question, because it reasons explicitly about the relationship between prior allocation decisions and realized outcomes, but it operates at a level of aggregation that does not resolve the program-by-program loop.</w:t>
      </w:r>
    </w:p>
    <w:p>
      <w:pPr>
        <w:pStyle w:val="BodyText"/>
        <w:spacing w:line="480" w:lineRule="auto"/>
        <w:ind w:firstLine="720"/>
      </w:pPr>
      <w:r>
        <w:t xml:space="preserve">The economic-statecraft literature establishes that prioritized investment in research and technology is a deliberate instrument with consequential outcomes, treating the choice of where to direct enabling investment as a strategic decision whose returns are realized downstream</w:t>
      </w:r>
      <w:r>
        <w:t xml:space="preserve"> </w:t>
      </w:r>
      <w:hyperlink w:anchor="ref-5">
        <w:r>
          <w:rPr>
            <w:rStyle w:val="Hyperlink"/>
          </w:rPr>
          <w:t xml:space="preserve">[5]</w:t>
        </w:r>
      </w:hyperlink>
      <w:r>
        <w:t xml:space="preserve">. Weinzierl’s account of space as the final economic frontier develops the economic logic by which value in the space domain is captured only through deliberate prior investment in enabling capability, establishing that realized value does not accrue automatically but follows from anticipatory allocation</w:t>
      </w:r>
      <w:r>
        <w:t xml:space="preserve"> </w:t>
      </w:r>
      <w:hyperlink w:anchor="ref-6">
        <w:r>
          <w:rPr>
            <w:rStyle w:val="Hyperlink"/>
          </w:rPr>
          <w:t xml:space="preserve">[6]</w:t>
        </w:r>
      </w:hyperlink>
      <w:r>
        <w:t xml:space="preserve">. The literature on the role of space in driving sustainability, security, and development extends the same reasoning to the broader portfolio of space activities, arguing that value capture requires prior investment in the capabilities that make capture possible</w:t>
      </w:r>
      <w:r>
        <w:t xml:space="preserve"> </w:t>
      </w:r>
      <w:hyperlink w:anchor="ref-7">
        <w:r>
          <w:rPr>
            <w:rStyle w:val="Hyperlink"/>
          </w:rPr>
          <w:t xml:space="preserve">[7]</w:t>
        </w:r>
      </w:hyperlink>
      <w:r>
        <w:t xml:space="preserve">. The cumulative claim of this literature is that prioritization matters: that the act of directing investment toward some capabilities rather than others has measurable downstream consequences for what value is ultimately realized.</w:t>
      </w:r>
    </w:p>
    <w:p>
      <w:pPr>
        <w:pStyle w:val="BodyText"/>
        <w:spacing w:line="480" w:lineRule="auto"/>
        <w:ind w:firstLine="720"/>
      </w:pPr>
      <w:r>
        <w:t xml:space="preserve">This is an important warrant for the dissertation, because it establishes that the rank-to-return question is not a strawman. If prioritization were known to be inconsequential, there would be nothing to test. The research-investment literature establishes, on the contrary, that prior allocation is consequential, which makes the predictive validity of any specific prioritization mechanism an empirically live question. But the literature reasons about investment in aggregate. It establishes that prioritized investment, as a class, is consequential; it does not test, program by program, whether the priority rank assigned ex ante to a particular observation program predicts the return that particular program realizes ex post. The aggregate claim and the program-level claim are different propositions, and the gap between them is exactly the space the dissertation occupies. One can believe, on the strength of this literature, that prioritization matters in general while remaining entirely uncertain whether decadal rank predicts realized yield in particular, and it is the particular question that governs whether scarce observing capacity is being allocated on a signal that carries the information it is assumed to carry.</w:t>
      </w:r>
    </w:p>
    <w:bookmarkEnd w:id="72"/>
    <w:bookmarkStart w:id="73" w:name="Xa3d8fd0a1bb1e871c1dba4a4cecf10cf9a31701"/>
    <w:p>
      <w:pPr>
        <w:pStyle w:val="Heading2"/>
        <w:spacing w:line="480" w:lineRule="auto"/>
      </w:pPr>
      <w:r>
        <w:t xml:space="preserve">2.6 Synthesis, the Structural Gap, and the Dissertation’s Position</w:t>
      </w:r>
    </w:p>
    <w:p>
      <w:pPr>
        <w:pStyle w:val="FirstParagraph"/>
        <w:spacing w:line="480" w:lineRule="auto"/>
      </w:pPr>
      <w:r>
        <w:t xml:space="preserve">The four literatures reviewed in this chapter are individually mature and collectively incomplete, and the incompleteness is structural rather than incidental. The synthesis can be stated as a partition of ownership. The domain technical literature owns the yield mechanism: it establishes that observational yield is the output of a documented, value-of-information-driven tasking-and-scheduling layer, and it characterizes that layer with enough rigor to support an outcome normalization [1, 2, 3, 13, 18], while treating the priority structure that points the instruments as exogenous and given. The data-value and bibliometric literature owns the realized product: it establishes that the value and the science return of an observation program are measurable properties of the realized product, documented by data-market characterization</w:t>
      </w:r>
      <w:r>
        <w:t xml:space="preserve"> </w:t>
      </w:r>
      <w:hyperlink w:anchor="ref-4">
        <w:r>
          <w:rPr>
            <w:rStyle w:val="Hyperlink"/>
          </w:rPr>
          <w:t xml:space="preserve">[4]</w:t>
        </w:r>
      </w:hyperlink>
      <w:r>
        <w:t xml:space="preserve"> </w:t>
      </w:r>
      <w:r>
        <w:t xml:space="preserve">and by uniform publication census [8, 9, 11], while connecting that realized value to the user community and operational design rather than backward to the ex ante rank. The cliometric and econometric methodology literature owns the estimation: it supplies the fixed-effects and survival-analytic identification strategies, the parametric scale controls [10, 12], and the validity instruments that an ex-ante-to-ex-post test requires, while never having been pointed at decadal priorities. The research-investment and space-economy literature owns the logic of prioritized investment: it establishes that prior allocation is consequential in aggregate [5, 6, 7], while declining to descend to the program-by-program test.</w:t>
      </w:r>
    </w:p>
    <w:p>
      <w:pPr>
        <w:pStyle w:val="BodyText"/>
        <w:spacing w:line="480" w:lineRule="auto"/>
        <w:ind w:firstLine="720"/>
      </w:pPr>
      <w:r>
        <w:t xml:space="preserve">No published source, in any of these four traditions, treats decadal priority rank as a covariate and realized observational yield as the outcome in a single estimated relationship. The yield mechanism is owned by one literature, the realized product by a second, the estimation machinery by a third, and the investment logic by a fourth, and the loop that would join them, the regression of realized yield on prior priority rank, is closed by none of them. This is the gap. It is specific, because it names exactly the unestimated relationship; it is structural, because it follows from the division of intellectual labor across four traditions rather than from any single literature’s oversight; and it is consequential, because the unestimated relationship is the one that determines whether the prioritization apparatus is allocating scarce observing capacity on a signal that carries information or on one that does not.</w:t>
      </w:r>
    </w:p>
    <w:p>
      <w:pPr>
        <w:pStyle w:val="BodyText"/>
        <w:spacing w:line="480" w:lineRule="auto"/>
        <w:ind w:firstLine="720"/>
      </w:pPr>
      <w:r>
        <w:t xml:space="preserve">The dissertation fills this gap by constructing the missing estimate, and it does so by drawing each ingredient from the literature that owns it. The priority-rank covariate is taken from the published consensus decadal surveys and the competed announcement-of-opportunity selections that operationalize decadal guidance, the documented source of the ex ante rank. The realized-yield outcome is constructed on the magnitude margin from the uniform bibliometric census</w:t>
      </w:r>
      <w:r>
        <w:t xml:space="preserve"> </w:t>
      </w:r>
      <w:hyperlink w:anchor="ref-8">
        <w:r>
          <w:rPr>
            <w:rStyle w:val="Hyperlink"/>
          </w:rPr>
          <w:t xml:space="preserve">[8]</w:t>
        </w:r>
      </w:hyperlink>
      <w:r>
        <w:t xml:space="preserve">, normalized where required against the documented tasking-and-scheduling throughput so that the outcome reflects yield-per-unit-capacity rather than raw capacity [1, 2, 3], and validated against the data-value characterization that establishes realized yield as a measurable informational quantity</w:t>
      </w:r>
      <w:r>
        <w:t xml:space="preserve"> </w:t>
      </w:r>
      <w:hyperlink w:anchor="ref-4">
        <w:r>
          <w:rPr>
            <w:rStyle w:val="Hyperlink"/>
          </w:rPr>
          <w:t xml:space="preserve">[4]</w:t>
        </w:r>
      </w:hyperlink>
      <w:r>
        <w:t xml:space="preserve">. The scale control is grounded in the parametric cost-estimation tradition</w:t>
      </w:r>
      <w:r>
        <w:t xml:space="preserve"> </w:t>
      </w:r>
      <w:hyperlink w:anchor="ref-10">
        <w:r>
          <w:rPr>
            <w:rStyle w:val="Hyperlink"/>
          </w:rPr>
          <w:t xml:space="preserve">[10]</w:t>
        </w:r>
      </w:hyperlink>
      <w:r>
        <w:t xml:space="preserve"> </w:t>
      </w:r>
      <w:r>
        <w:t xml:space="preserve">and in the economic figures of merit that weight breadth of exploitable output</w:t>
      </w:r>
      <w:r>
        <w:t xml:space="preserve"> </w:t>
      </w:r>
      <w:hyperlink w:anchor="ref-12">
        <w:r>
          <w:rPr>
            <w:rStyle w:val="Hyperlink"/>
          </w:rPr>
          <w:t xml:space="preserve">[12]</w:t>
        </w:r>
      </w:hyperlink>
      <w:r>
        <w:t xml:space="preserve">. The epoch confound is absorbed by survey-epoch fixed effects on the magnitude margin and structurally by a common censoring horizon on the timing margin. The estimation deploys the cliometric and survival-analytic apparatus the methodology literature supplies, and the entire exercise is warranted by the research-investment literature’s demonstration that prioritization is consequential enough to be worth testing [5, 6, 7].</w:t>
      </w:r>
    </w:p>
    <w:p>
      <w:pPr>
        <w:pStyle w:val="BodyText"/>
        <w:spacing w:line="480" w:lineRule="auto"/>
        <w:ind w:firstLine="720"/>
      </w:pPr>
      <w:r>
        <w:t xml:space="preserve">The two companion studies that anchor this dissertation instantiate the synthesis on two distinct margins and together demonstrate that the gap is fillable. The first companion study tests the magnitude margin, estimating by ordinary least squares how realized publication return varies with operational design across a transparent twenty-eight-mission census</w:t>
      </w:r>
      <w:r>
        <w:t xml:space="preserve"> </w:t>
      </w:r>
      <w:hyperlink w:anchor="ref-8">
        <w:r>
          <w:rPr>
            <w:rStyle w:val="Hyperlink"/>
          </w:rPr>
          <w:t xml:space="preserve">[8]</w:t>
        </w:r>
      </w:hyperlink>
      <w:r>
        <w:t xml:space="preserve">, and finding that operational lifetime and observatory-class openness jointly explain a majority of the cross-mission variance in realized return, with both mechanisms supported and the launch-era confound failing to survive their inclusion [8, 11]. That result reframes the priority question itself: a decadal ranking that scores missions only on the intrinsic interest of their targets captures one input to realized return while leaving two large and forecastable inputs, lifetime and open-data architecture, implicit, and the cost literature is complementary because parametric models price the build while the return accrues across the operating life the analysis shows to be decisive [10, 12]. The second companion study tests the timing margin, estimating by Cox proportional-hazards regression whether priority rank predicts the speed of first material return across twenty-eight programs of which fourteen reached return and fourteen are right-censored, and finding a point estimate negative in the direction the prioritization apparatus would predict but not significant at conventional thresholds, with program scale emerging as the sharper and nearly significant predictor. That result tempers the load-bearing presumption without overturning it, and it earns the survival framing precisely on the censored cases a yield regression would discard, holding the prioritization apparatus accountable for the prominently ranked concepts it has not yet delivered. The discipline of retaining those censored programs is itself drawn from the methodology literature’s insistence that the choice of estimator is an identification decision.</w:t>
      </w:r>
    </w:p>
    <w:p>
      <w:pPr>
        <w:pStyle w:val="BodyText"/>
        <w:spacing w:line="480" w:lineRule="auto"/>
        <w:ind w:firstLine="720"/>
      </w:pPr>
      <w:r>
        <w:t xml:space="preserve">The two companion studies, taken together, establish the empirical posture the full dissertation extends. They demonstrate that realized return is measurable with documented provenance, that it is predictable from operational and scale attributes that the prioritization apparatus does not explicitly weight, and that the rank-to-return relationship, when estimated cleanly on both the magnitude and the timing margins, is at most a weak and partially confirmed signal rather than the dominant driver the community treats it as. The remainder of this dissertation builds the unified long-run cliometric that joins the four literatures reviewed here into a single estimated relationship, delivering the signed, sized, interval-bounded coefficient on priority rank, and the resulting accept-or-reject verdict on the null, that none of the four owning literatures has ever produced. The contribution is not a new mechanism, a new measurement, or a new estimator; each of those exists in the literature reviewed above. The contribution is the closing of the loop between them, and the falsifiable verdict that closing it yields.</w:t>
      </w:r>
    </w:p>
    <w:bookmarkEnd w:id="73"/>
    <w:bookmarkEnd w:id="74"/>
    <w:bookmarkStart w:id="82"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The two empirical chapters that follow estimate associations; this chapter supplies the theory those estimates are meant to test. Its task is threefold. First, it states the causal proposition that the prioritization apparatus implicitly asserts, the proposition that the highest-ranked observation programs deliver the largest and the fastest realized science return. Second, it decomposes that proposition into a transparent chain of mechanisms, so that the place where the chain can break is visible before any coefficient is reported. Third, it expresses the proposition as a single estimand and a matched pair of falsifiable hypotheses, H0 and H1, that the dissertation commits to adjudicating in whichever direction the evidence falls.</w:t>
      </w:r>
    </w:p>
    <w:p>
      <w:pPr>
        <w:pStyle w:val="BodyText"/>
        <w:spacing w:line="480" w:lineRule="auto"/>
        <w:ind w:firstLine="720"/>
      </w:pPr>
      <w:r>
        <w:t xml:space="preserve">The motivating fact is that consensus decadal surveys assign priority rankings to candidate missions and observation programs, and that those rankings are treated, in operational practice, as predictions about where the largest return will be realized. Budgets, instrument starts, and ground-segment tasking commitments follow the ranking. The presumption is load-bearing, and yet it has never been audited as a falsifiable empirical proposition. The theoretical framework developed here exists to make that audit possible: it specifies what the prioritization apparatus claims, why the claim could be true, why it could fail, and exactly which quantity, estimated against which controls, would confirm or falsify it.</w:t>
      </w:r>
    </w:p>
    <w:p>
      <w:pPr>
        <w:pStyle w:val="BodyText"/>
        <w:spacing w:line="480" w:lineRule="auto"/>
        <w:ind w:firstLine="720"/>
      </w:pPr>
      <w:r>
        <w:t xml:space="preserve">The framework is built so that the outcome variable, realized yield, is anchored in mechanisms documented independently of the survey. This is the methodological keystone. If the measure of return were drawn from the survey’s own self-report, the test would be circular: a survey that defines success would define itself successful. The framework instead borrows its outcome from two literatures that owe nothing to decadal prioritization. The first is the space-domain-awareness sensor-tasking and scheduling literature, which models observational yield as the output of a value-of-information optimization layer [1, 2, 3]. The second is the Earth-observation data-value literature, which characterizes the value of an observation product as a measurable property of the realized product rather than an assumed property of the program that commissioned it</w:t>
      </w:r>
      <w:r>
        <w:t xml:space="preserve"> </w:t>
      </w:r>
      <w:hyperlink w:anchor="ref-4">
        <w:r>
          <w:rPr>
            <w:rStyle w:val="Hyperlink"/>
          </w:rPr>
          <w:t xml:space="preserve">[4]</w:t>
        </w:r>
      </w:hyperlink>
      <w:r>
        <w:t xml:space="preserve">. Grounding the outcome in these external mechanisms is what converts a contestable rhetorical claim into a clean and estimable test.</w:t>
      </w:r>
    </w:p>
    <w:bookmarkEnd w:id="75"/>
    <w:bookmarkStart w:id="76" w:name="the-implicit-theory-of-prioritization"/>
    <w:p>
      <w:pPr>
        <w:pStyle w:val="Heading2"/>
        <w:spacing w:line="480" w:lineRule="auto"/>
      </w:pPr>
      <w:r>
        <w:t xml:space="preserve">3.2 The Implicit Theory of Prioritization</w:t>
      </w:r>
    </w:p>
    <w:p>
      <w:pPr>
        <w:pStyle w:val="FirstParagraph"/>
        <w:spacing w:line="480" w:lineRule="auto"/>
      </w:pPr>
      <w:r>
        <w:t xml:space="preserve">A decadal survey is, in form, a ranked list. In function, the community reads it as a forecast. The implicit theory has three premises that together generate a prediction.</w:t>
      </w:r>
    </w:p>
    <w:p>
      <w:pPr>
        <w:pStyle w:val="BodyText"/>
        <w:spacing w:line="480" w:lineRule="auto"/>
        <w:ind w:firstLine="720"/>
      </w:pPr>
      <w:r>
        <w:t xml:space="preserve">The first premise is that the ranking encodes a panel’s best aggregate judgment of expected scientific value. A program placed first is judged more likely than a program placed fifth to produce the discoveries the community most wants. This is an epistemic premise about the information content of consensus judgment: it asserts that a deliberative panel, pooling expert priors, extracts a real signal about future return.</w:t>
      </w:r>
    </w:p>
    <w:p>
      <w:pPr>
        <w:pStyle w:val="BodyText"/>
        <w:spacing w:line="480" w:lineRule="auto"/>
        <w:ind w:firstLine="720"/>
      </w:pPr>
      <w:r>
        <w:t xml:space="preserve">The second premise is that the ranking is causally consequential. Because budget wedges, instrument starts, and tasking commitments follow the rank order, the act of ranking does not merely predict return, it partly produces the conditions for return. A higher-ranked program receives earlier funding, more sustained institutional attention, and earlier tasking priority on the ground segment. Under this premise, priority is both a forecast and a treatment.</w:t>
      </w:r>
    </w:p>
    <w:p>
      <w:pPr>
        <w:pStyle w:val="BodyText"/>
        <w:spacing w:line="480" w:lineRule="auto"/>
        <w:ind w:firstLine="720"/>
      </w:pPr>
      <w:r>
        <w:t xml:space="preserve">The third premise is that realized return is observable and comparable across programs at a fixed downstream horizon. Without this premise the forecast is untestable, because there would be no measured outcome to compare against the rank. The dissertation supplies the missing observable in two complementary forms, a magnitude form and a timing form, developed in Sections 3.4 and 3.5.</w:t>
      </w:r>
    </w:p>
    <w:p>
      <w:pPr>
        <w:pStyle w:val="BodyText"/>
        <w:spacing w:line="480" w:lineRule="auto"/>
        <w:ind w:firstLine="720"/>
      </w:pPr>
      <w:r>
        <w:t xml:space="preserve">From these three premises the implicit theory generates its prediction: priority rank, assigned ex ante, should be negatively associated with realized return measured ex post, where the sign is negative because the survey convention numbers higher priority with a lower rank number. The highest-priority programs, those with the smallest rank numbers, should show the largest realized yield and the shortest time to first material return. This prediction is precisely what the dissertation puts at risk.</w:t>
      </w:r>
    </w:p>
    <w:p>
      <w:pPr>
        <w:pStyle w:val="BodyText"/>
        <w:spacing w:line="480" w:lineRule="auto"/>
        <w:ind w:firstLine="720"/>
      </w:pPr>
      <w:r>
        <w:t xml:space="preserve">It is worth stating clearly what the framework does not assume. It does not assume the panel is wrong, and it does not assume the panel is right. It assumes only that the prediction implied by the ranking is a contingent empirical proposition whose truth value is unknown until measured. The contribution is the measurement, not a prior verdict.</w:t>
      </w:r>
    </w:p>
    <w:bookmarkEnd w:id="76"/>
    <w:bookmarkStart w:id="77" w:name="X1b0b471766e2523327e76877d52c9144e50d752"/>
    <w:p>
      <w:pPr>
        <w:pStyle w:val="Heading2"/>
        <w:spacing w:line="480" w:lineRule="auto"/>
      </w:pPr>
      <w:r>
        <w:t xml:space="preserve">3.3 The Causal Mechanism: From Rank to Realized Yield</w:t>
      </w:r>
    </w:p>
    <w:p>
      <w:pPr>
        <w:pStyle w:val="FirstParagraph"/>
        <w:spacing w:line="480" w:lineRule="auto"/>
      </w:pPr>
      <w:r>
        <w:t xml:space="preserve">The proposition that rank predicts return is not a primitive. It rests on a causal chain whose links can each be inspected. Making the chain explicit is the central analytic move of this chapter, because the chain is where the hypothesis can be defended and where it can break.</w:t>
      </w:r>
    </w:p>
    <w:p>
      <w:pPr>
        <w:pStyle w:val="BodyText"/>
        <w:spacing w:line="480" w:lineRule="auto"/>
        <w:ind w:firstLine="720"/>
      </w:pPr>
      <w:r>
        <w:t xml:space="preserve">The chain has four links.</w:t>
      </w:r>
    </w:p>
    <w:p>
      <w:pPr>
        <w:pStyle w:val="BodyText"/>
        <w:spacing w:line="480" w:lineRule="auto"/>
        <w:ind w:firstLine="720"/>
      </w:pPr>
      <w:r>
        <w:rPr>
          <w:b/>
          <w:bCs/>
        </w:rPr>
        <w:t xml:space="preserve">Link one: ranking to resource commitment.</w:t>
      </w:r>
      <w:r>
        <w:t xml:space="preserve"> </w:t>
      </w:r>
      <w:r>
        <w:t xml:space="preserve">A high priority rank channels budget authority, instrument starts, and early tasking commitments toward a program. This link is the treatment channel of the second premise above. The research-investment and space-economy literatures establish that prioritized investment in capability is consequential for downstream outcomes and that value capture requires deliberate prior investment in the enabling system [5, 6, 7]. Those literatures reason in the aggregate, asserting that prioritized investment matters without resolving the program-by-program question this dissertation poses, but they establish the existence and direction of the link: priority, where it binds, moves resources.</w:t>
      </w:r>
    </w:p>
    <w:p>
      <w:pPr>
        <w:pStyle w:val="BodyText"/>
        <w:spacing w:line="480" w:lineRule="auto"/>
        <w:ind w:firstLine="720"/>
      </w:pPr>
      <w:r>
        <w:rPr>
          <w:b/>
          <w:bCs/>
        </w:rPr>
        <w:t xml:space="preserve">Link two: resource commitment to operating capacity.</w:t>
      </w:r>
      <w:r>
        <w:t xml:space="preserve"> </w:t>
      </w:r>
      <w:r>
        <w:t xml:space="preserve">Resources convert into observing capacity, the quantity of sensor time, archival depth, and processing throughput a program commands once it is operating. This link is largely mechanical: a better-funded program that flies longer accumulates more observation. The companion magnitude study in this dissertation finds that operational lifetime is a strong predictor of realized publication return, with each additional operating year associated with a large and significant increment in refereed output, which is the empirical signature of this link working as theorized.</w:t>
      </w:r>
    </w:p>
    <w:p>
      <w:pPr>
        <w:pStyle w:val="BodyText"/>
        <w:spacing w:line="480" w:lineRule="auto"/>
        <w:ind w:firstLine="720"/>
      </w:pPr>
      <w:r>
        <w:rPr>
          <w:b/>
          <w:bCs/>
        </w:rPr>
        <w:t xml:space="preserve">Link three: operating capacity to realized yield.</w:t>
      </w:r>
      <w:r>
        <w:t xml:space="preserve"> </w:t>
      </w:r>
      <w:r>
        <w:t xml:space="preserve">Observing capacity does not convert to yield at a fixed rate. The conversion is governed by a tasking-and-scheduling layer that allocates finite sensor time against competing targets on value-of-information grounds [1, 2, 3]. This layer determines how much usable observation a program of a given scale actually returns, and it does so on grounds that are independent of the survey priority rank. The scheduling literature establishes that sensor-network efficiency depends on accuracy-based tasking</w:t>
      </w:r>
      <w:r>
        <w:t xml:space="preserve"> </w:t>
      </w:r>
      <w:hyperlink w:anchor="ref-1">
        <w:r>
          <w:rPr>
            <w:rStyle w:val="Hyperlink"/>
          </w:rPr>
          <w:t xml:space="preserve">[1]</w:t>
        </w:r>
      </w:hyperlink>
      <w:r>
        <w:t xml:space="preserve">, that usable signal can be extracted even from heterogeneous and non-traditional sensor networks</w:t>
      </w:r>
      <w:r>
        <w:t xml:space="preserve"> </w:t>
      </w:r>
      <w:hyperlink w:anchor="ref-2">
        <w:r>
          <w:rPr>
            <w:rStyle w:val="Hyperlink"/>
          </w:rPr>
          <w:t xml:space="preserve">[2]</w:t>
        </w:r>
      </w:hyperlink>
      <w:r>
        <w:t xml:space="preserve">, and that the resulting scheduling solutions can themselves be characterized for optimality</w:t>
      </w:r>
      <w:r>
        <w:t xml:space="preserve"> </w:t>
      </w:r>
      <w:hyperlink w:anchor="ref-3">
        <w:r>
          <w:rPr>
            <w:rStyle w:val="Hyperlink"/>
          </w:rPr>
          <w:t xml:space="preserve">[3]</w:t>
        </w:r>
      </w:hyperlink>
      <w:r>
        <w:t xml:space="preserve">. The decisive consequence is that two programs with identical priority rank and identical raw capacity can realize different yields, because the scheduling layer, not the rank, governs the conversion of capacity into usable observation. This is the link that breaks the assumed one-to-one correspondence between priority and return.</w:t>
      </w:r>
    </w:p>
    <w:p>
      <w:pPr>
        <w:pStyle w:val="BodyText"/>
        <w:spacing w:line="480" w:lineRule="auto"/>
        <w:ind w:firstLine="720"/>
      </w:pPr>
      <w:r>
        <w:rPr>
          <w:b/>
          <w:bCs/>
        </w:rPr>
        <w:t xml:space="preserve">Link four: realized yield to realized value.</w:t>
      </w:r>
      <w:r>
        <w:t xml:space="preserve"> </w:t>
      </w:r>
      <w:r>
        <w:t xml:space="preserve">Realized observational yield maps to realized informational and scientific value. The Earth-observation data-value literature establishes that the value of an observation product is a measurable property of the product itself, determined in the information-production stage, rather than an assumed property of the commissioning program</w:t>
      </w:r>
      <w:r>
        <w:t xml:space="preserve"> </w:t>
      </w:r>
      <w:hyperlink w:anchor="ref-4">
        <w:r>
          <w:rPr>
            <w:rStyle w:val="Hyperlink"/>
          </w:rPr>
          <w:t xml:space="preserve">[4]</w:t>
        </w:r>
      </w:hyperlink>
      <w:r>
        <w:t xml:space="preserve">. This link validates the choice of yield as the outcome of interest: yield is the right thing to measure because yield, not rank, is what carries realized value.</w:t>
      </w:r>
    </w:p>
    <w:p>
      <w:pPr>
        <w:pStyle w:val="BodyText"/>
        <w:spacing w:line="480" w:lineRule="auto"/>
        <w:ind w:firstLine="720"/>
      </w:pPr>
      <w:r>
        <w:t xml:space="preserve">The chain exposes the framework’s central tension. Links one and two transmit priority forward toward yield, which would tend to confirm the implicit theory. Links three and four are governed by mechanisms orthogonal to priority, which would tend to dissolve any rank-to-yield association once scale is controlled. The empirical question is which tendency dominates. If links one and two are strong and link three is close to a fixed conversion, rank predicts yield and H1 obtains. If link three is a powerful and rank-independent governor of conversion, rank loses its predictive grip once the mechanical effect of scale is removed, and H0 cannot be rejected.</w:t>
      </w:r>
    </w:p>
    <w:bookmarkEnd w:id="77"/>
    <w:bookmarkStart w:id="78" w:name="X9eac0d0f861e37dbaa75a2096f9b25de0ffd696"/>
    <w:p>
      <w:pPr>
        <w:pStyle w:val="Heading2"/>
        <w:spacing w:line="480" w:lineRule="auto"/>
      </w:pPr>
      <w:r>
        <w:t xml:space="preserve">3.4 The Magnitude Channel and the Confounders It Must Survive</w:t>
      </w:r>
    </w:p>
    <w:p>
      <w:pPr>
        <w:pStyle w:val="FirstParagraph"/>
        <w:spacing w:line="480" w:lineRule="auto"/>
      </w:pPr>
      <w:r>
        <w:t xml:space="preserve">The magnitude form of the outcome is the realized observational yield of a program measured at a fixed downstream horizon. The naive expectation of the implicit theory is that this yield falls monotonically with rank number. The framework insists that the test of this expectation survive two confounders that would otherwise manufacture a spurious rank effect.</w:t>
      </w:r>
    </w:p>
    <w:p>
      <w:pPr>
        <w:pStyle w:val="BodyText"/>
        <w:spacing w:line="480" w:lineRule="auto"/>
        <w:ind w:firstLine="720"/>
      </w:pPr>
      <w:r>
        <w:t xml:space="preserve">The first confounder is program scale. Large programs both attract priority and produce more raw yield simply because they command more capacity. A regression of raw yield on rank would then recover a negative coefficient that reflects scale, not the predictive content of rank. The framework’s response is to condition on scale explicitly and, more sharply, to construct the outcome as yield normalized by the documented tasking-and-scheduling throughput of the program’s observing layer [1, 2, 3]. Normalizing against an independently documented throughput model removes the portion of yield mechanically attributable to having more sensor time rather than to better prior prioritization. This is the operational meaning of testing link three rather than link two: the normalized outcome isolates yield-per-unit-capacity, which is the quantity the prioritization apparatus must predict if its rankings carry genuine information about where return will be found.</w:t>
      </w:r>
    </w:p>
    <w:p>
      <w:pPr>
        <w:pStyle w:val="BodyText"/>
        <w:spacing w:line="480" w:lineRule="auto"/>
        <w:ind w:firstLine="720"/>
      </w:pPr>
      <w:r>
        <w:t xml:space="preserve">The second confounder is epoch. Sensing and processing capability improve across decades, inflating the recorded yield of later programs independent of their rank. The companion magnitude study finds that a post-2000 launch indicator carries no independent explanatory power once operational design is accounted for, which is reassuring, but the framework does not rely on that single finding. It absorbs epoch structurally through survey-epoch fixed effects, so that the rank coefficient is identified only from within-epoch, scale-adjusted variation. A rank effect that survives both controls is a rank effect that cannot be attributed to large programs being prioritized or to later programs benefiting from better instruments.</w:t>
      </w:r>
    </w:p>
    <w:p>
      <w:pPr>
        <w:pStyle w:val="BodyText"/>
        <w:spacing w:line="480" w:lineRule="auto"/>
        <w:ind w:firstLine="720"/>
      </w:pPr>
      <w:r>
        <w:t xml:space="preserve">The companion magnitude evidence is instructive precisely because it locates the predictive power elsewhere than in rank. That study finds that two operational attributes, lifetime and observatory-class openness, jointly explain a majority of cross-mission variance in realized publication return, with observatory-class breadth the single strongest predictor. Open-time observatories and all-sky surveys distribute data to a competitive general community, multiplying the independent investigators who convert observation into refereed results</w:t>
      </w:r>
      <w:r>
        <w:t xml:space="preserve"> </w:t>
      </w:r>
      <w:hyperlink w:anchor="ref-4">
        <w:r>
          <w:rPr>
            <w:rStyle w:val="Hyperlink"/>
          </w:rPr>
          <w:t xml:space="preserve">[4]</w:t>
        </w:r>
      </w:hyperlink>
      <w:r>
        <w:t xml:space="preserve">. The cliometric reading is that realized return is substantially predictable, but predictable from operational design rather than from the intrinsic interest of the ranked target. This is the magnitude-channel articulation of the framework’s central tension: the conversion of capacity into yield is governed by post-selection operational mechanisms, which is exactly the territory of link three, and it is an open question whether the ex-ante rank retains predictive content once those mechanisms are netted out.</w:t>
      </w:r>
    </w:p>
    <w:bookmarkEnd w:id="78"/>
    <w:bookmarkStart w:id="79" w:name="Xea80033c79ce61d6bd66babdab4d3879f2e3115"/>
    <w:p>
      <w:pPr>
        <w:pStyle w:val="Heading2"/>
        <w:spacing w:line="480" w:lineRule="auto"/>
      </w:pPr>
      <w:r>
        <w:t xml:space="preserve">3.5 The Timing Channel and the Survivorship Problem</w:t>
      </w:r>
    </w:p>
    <w:p>
      <w:pPr>
        <w:pStyle w:val="FirstParagraph"/>
        <w:spacing w:line="480" w:lineRule="auto"/>
      </w:pPr>
      <w:r>
        <w:t xml:space="preserve">The magnitude form measures how much return a program realizes. The timing form measures how quickly it realizes it. The two are complementary tests of the same implicit theory, because the prioritization apparatus claims both that the highest-ranked programs deliver the most and that they deliver it soonest.</w:t>
      </w:r>
    </w:p>
    <w:p>
      <w:pPr>
        <w:pStyle w:val="BodyText"/>
        <w:spacing w:line="480" w:lineRule="auto"/>
        <w:ind w:firstLine="720"/>
      </w:pPr>
      <w:r>
        <w:t xml:space="preserve">The timing form has a decisive analytic advantage that the framework deliberately exploits: it solves the survivorship problem that contaminates the magnitude form. Programs that were ranked but never built produced no yield to measure, so a magnitude regression silently drops them, censoring the low-realization tail and biasing any estimate toward the optimistic conclusion that priorities deliver. Yet the prioritized-but-unbuilt program is the single most informative case a forecast of return can fail to deliver. The framework keeps these cases by adopting a survival representation of the outcome: a program that reached first material return by the observation horizon is an event with a measured duration, and a program still in development, deferred, or cancelled at the horizon is a right-censored observation with the duration over which it was observed without reaching return. The censored programs, including the most prominently prioritized flagship concepts of the most recent surveys, remain in the sample as informative observations rather than being discarded. This is how the framework holds the prioritization apparatus accountable for the programs it ranked highly and did not deliver on schedule.</w:t>
      </w:r>
    </w:p>
    <w:p>
      <w:pPr>
        <w:pStyle w:val="BodyText"/>
        <w:spacing w:line="480" w:lineRule="auto"/>
        <w:ind w:firstLine="720"/>
      </w:pPr>
      <w:r>
        <w:t xml:space="preserve">The timing mechanism is the same four-link chain read on the speed margin. If priority binds through link one, a higher-ranked program receives earlier budget, earlier attention, and earlier tasking commitment, which should raise its instantaneous hazard of reaching first return. In the proportional-hazards frame this predicts a negative coefficient on rank number, equivalently a hazard ratio below one, so that each step down the priority list lowers the hazard of return.</w:t>
      </w:r>
    </w:p>
    <w:p>
      <w:pPr>
        <w:pStyle w:val="BodyText"/>
        <w:spacing w:line="480" w:lineRule="auto"/>
        <w:ind w:firstLine="720"/>
      </w:pPr>
      <w:r>
        <w:t xml:space="preserve">The companion timing study estimates exactly this and returns a directionally favorable but underpowered verdict: the rank coefficient is negative, of the sign the implicit theory predicts, with a hazard ratio meaningfully below one, but its confidence interval crosses zero and the null of no timing information cannot be rejected on the available sample. The sharper estimate in that study is on program scale, where larger programs take materially longer to reach first return. The framework reads this as a second articulation of its central tension: the timing advantage of higher priority is real in sign but statistically indistinct, while the timing penalty of scale is the more precisely estimated effect. The honest theoretical posture is therefore that rank may do some predictive work that the present evidence is too thin to confirm, and the framework commits to reporting that imprecision rather than overclaiming.</w:t>
      </w:r>
    </w:p>
    <w:bookmarkEnd w:id="79"/>
    <w:bookmarkStart w:id="80" w:name="the-estimand-and-the-formal-hypotheses"/>
    <w:p>
      <w:pPr>
        <w:pStyle w:val="Heading2"/>
        <w:spacing w:line="480" w:lineRule="auto"/>
      </w:pPr>
      <w:r>
        <w:t xml:space="preserve">3.6 The Estimand and the Formal Hypotheses</w:t>
      </w:r>
    </w:p>
    <w:p>
      <w:pPr>
        <w:pStyle w:val="FirstParagraph"/>
        <w:spacing w:line="480" w:lineRule="auto"/>
      </w:pPr>
      <w:r>
        <w:t xml:space="preserve">The framework reduces to a single estimand on which the dissertation stakes its contribution. Let</w:t>
      </w:r>
      <w:r>
        <w:t xml:space="preserve"> </w:t>
      </w:r>
      <w:r>
        <w:rPr>
          <w:rStyle w:val="VerbatimChar"/>
        </w:rPr>
        <w:t xml:space="preserve">rank_i</w:t>
      </w:r>
      <w:r>
        <w:t xml:space="preserve"> </w:t>
      </w:r>
      <w:r>
        <w:t xml:space="preserve">be the priority rank assigned to observation program</w:t>
      </w:r>
      <w:r>
        <w:t xml:space="preserve"> </w:t>
      </w:r>
      <w:r>
        <w:rPr>
          <w:rStyle w:val="VerbatimChar"/>
        </w:rPr>
        <w:t xml:space="preserve">i</w:t>
      </w:r>
      <w:r>
        <w:t xml:space="preserve"> </w:t>
      </w:r>
      <w:r>
        <w:t xml:space="preserve">at survey time, coded so that a lower rank number denotes higher priority. Let</w:t>
      </w:r>
      <w:r>
        <w:t xml:space="preserve"> </w:t>
      </w:r>
      <w:r>
        <w:rPr>
          <w:rStyle w:val="VerbatimChar"/>
        </w:rPr>
        <w:t xml:space="preserve">yield_i</w:t>
      </w:r>
      <w:r>
        <w:t xml:space="preserve"> </w:t>
      </w:r>
      <w:r>
        <w:t xml:space="preserve">be that program’s realized observational yield, measured at a fixed downstream horizon, after conditioning on program scale and survey epoch and after normalizing raw yield against the independently documented tasking-and-scheduling throughput of the program’s observing layer [1, 2, 3]. The estimand is the partial coefficient</w:t>
      </w:r>
      <w:r>
        <w:t xml:space="preserve"> </w:t>
      </w:r>
      <w:r>
        <w:rPr>
          <w:rStyle w:val="VerbatimChar"/>
        </w:rPr>
        <w:t xml:space="preserve">beta</w:t>
      </w:r>
      <w:r>
        <w:t xml:space="preserve"> </w:t>
      </w:r>
      <w:r>
        <w:t xml:space="preserve">on</w:t>
      </w:r>
      <w:r>
        <w:t xml:space="preserve"> </w:t>
      </w:r>
      <w:r>
        <w:rPr>
          <w:rStyle w:val="VerbatimChar"/>
        </w:rPr>
        <w:t xml:space="preserve">rank_i</w:t>
      </w:r>
      <w:r>
        <w:t xml:space="preserve"> </w:t>
      </w:r>
      <w:r>
        <w:t xml:space="preserve">in a model of</w:t>
      </w:r>
      <w:r>
        <w:t xml:space="preserve"> </w:t>
      </w:r>
      <w:r>
        <w:rPr>
          <w:rStyle w:val="VerbatimChar"/>
        </w:rPr>
        <w:t xml:space="preserve">yield_i</w:t>
      </w:r>
      <w:r>
        <w:t xml:space="preserve"> </w:t>
      </w:r>
      <w:r>
        <w:t xml:space="preserve">that holds scale and epoch fixed. The timing form replaces</w:t>
      </w:r>
      <w:r>
        <w:t xml:space="preserve"> </w:t>
      </w:r>
      <w:r>
        <w:rPr>
          <w:rStyle w:val="VerbatimChar"/>
        </w:rPr>
        <w:t xml:space="preserve">yield_i</w:t>
      </w:r>
      <w:r>
        <w:t xml:space="preserve"> </w:t>
      </w:r>
      <w:r>
        <w:t xml:space="preserve">with the hazard of first material return and reads</w:t>
      </w:r>
      <w:r>
        <w:t xml:space="preserve"> </w:t>
      </w:r>
      <w:r>
        <w:rPr>
          <w:rStyle w:val="VerbatimChar"/>
        </w:rPr>
        <w:t xml:space="preserve">beta</w:t>
      </w:r>
      <w:r>
        <w:t xml:space="preserve"> </w:t>
      </w:r>
      <w:r>
        <w:t xml:space="preserve">as the coefficient on rank in a proportional-hazards specification; in both forms</w:t>
      </w:r>
      <w:r>
        <w:t xml:space="preserve"> </w:t>
      </w:r>
      <w:r>
        <w:rPr>
          <w:rStyle w:val="VerbatimChar"/>
        </w:rPr>
        <w:t xml:space="preserve">beta</w:t>
      </w:r>
      <w:r>
        <w:t xml:space="preserve"> </w:t>
      </w:r>
      <w:r>
        <w:t xml:space="preserve">is the signed, scale-adjusted association between prior priority rank and realized return.</w:t>
      </w:r>
    </w:p>
    <w:p>
      <w:pPr>
        <w:pStyle w:val="BodyText"/>
        <w:spacing w:line="480" w:lineRule="auto"/>
        <w:ind w:firstLine="720"/>
      </w:pPr>
      <w:r>
        <w:t xml:space="preserve">The hypotheses are a matched pair.</w:t>
      </w:r>
    </w:p>
    <w:p>
      <w:pPr>
        <w:pStyle w:val="BodyText"/>
        <w:spacing w:line="480" w:lineRule="auto"/>
        <w:ind w:firstLine="720"/>
      </w:pPr>
      <w:r>
        <w:rPr>
          <w:b/>
          <w:bCs/>
        </w:rPr>
        <w:t xml:space="preserve">H0 (null):</w:t>
      </w:r>
      <w:r>
        <w:t xml:space="preserve"> </w:t>
      </w:r>
      <w:r>
        <w:rPr>
          <w:rStyle w:val="VerbatimChar"/>
        </w:rPr>
        <w:t xml:space="preserve">beta = 0</w:t>
      </w:r>
      <w:r>
        <w:t xml:space="preserve">. Once program scale and survey epoch are held fixed, priority rank carries no information about realized yield. The prioritization apparatus does not predict return. In the timing form, the equivalent statement is that the coefficient on rank in the proportional-hazards model is zero, so rank carries no information about the speed of realized return.</w:t>
      </w:r>
    </w:p>
    <w:p>
      <w:pPr>
        <w:pStyle w:val="BodyText"/>
        <w:spacing w:line="480" w:lineRule="auto"/>
        <w:ind w:firstLine="720"/>
      </w:pPr>
      <w:r>
        <w:rPr>
          <w:b/>
          <w:bCs/>
        </w:rPr>
        <w:t xml:space="preserve">H1 (alternative):</w:t>
      </w:r>
      <w:r>
        <w:t xml:space="preserve"> </w:t>
      </w:r>
      <w:r>
        <w:rPr>
          <w:rStyle w:val="VerbatimChar"/>
        </w:rPr>
        <w:t xml:space="preserve">beta &lt; 0</w:t>
      </w:r>
      <w:r>
        <w:t xml:space="preserve">. Higher priority, that is a lower rank number, is associated with higher realized yield, with non-trivial magnitude. Priority rank predicts return in the direction the implicit theory assumes. In the timing form, the coefficient on rank is negative, equivalently a hazard ratio below one, so that higher-priority programs reach first material return faster.</w:t>
      </w:r>
    </w:p>
    <w:p>
      <w:pPr>
        <w:pStyle w:val="BodyText"/>
        <w:spacing w:line="480" w:lineRule="auto"/>
        <w:ind w:firstLine="720"/>
      </w:pPr>
      <w:r>
        <w:t xml:space="preserve">The contribution is the signed, sized, interval-bounded estimate of</w:t>
      </w:r>
      <w:r>
        <w:t xml:space="preserve"> </w:t>
      </w:r>
      <w:r>
        <w:rPr>
          <w:rStyle w:val="VerbatimChar"/>
        </w:rPr>
        <w:t xml:space="preserve">beta</w:t>
      </w:r>
      <w:r>
        <w:t xml:space="preserve"> </w:t>
      </w:r>
      <w:r>
        <w:t xml:space="preserve">together with the resulting accept-or-reject verdict on H0. The claim is falsifiable in both directions, and this symmetry is the framework’s discipline. A</w:t>
      </w:r>
      <w:r>
        <w:t xml:space="preserve"> </w:t>
      </w:r>
      <w:r>
        <w:rPr>
          <w:rStyle w:val="VerbatimChar"/>
        </w:rPr>
        <w:t xml:space="preserve">beta</w:t>
      </w:r>
      <w:r>
        <w:t xml:space="preserve"> </w:t>
      </w:r>
      <w:r>
        <w:t xml:space="preserve">precisely estimated and indistinguishable from zero falsifies the predictive value of the prioritization, because the apparatus would then be allocating scarce observing capacity on a signal that does not carry the information it is assumed to carry. A</w:t>
      </w:r>
      <w:r>
        <w:t xml:space="preserve"> </w:t>
      </w:r>
      <w:r>
        <w:rPr>
          <w:rStyle w:val="VerbatimChar"/>
        </w:rPr>
        <w:t xml:space="preserve">beta</w:t>
      </w:r>
      <w:r>
        <w:t xml:space="preserve"> </w:t>
      </w:r>
      <w:r>
        <w:t xml:space="preserve">materially below zero confirms the predictive value. The dissertation commits in advance to reporting whichever obtains, and explicitly to reporting an imprecise estimate as imprecise rather than dressing a directionally favorable but underpowered result as confirmation.</w:t>
      </w:r>
    </w:p>
    <w:p>
      <w:pPr>
        <w:pStyle w:val="BodyText"/>
        <w:spacing w:line="480" w:lineRule="auto"/>
        <w:ind w:firstLine="720"/>
      </w:pPr>
      <w:r>
        <w:t xml:space="preserve">Two clarifications guard against misreading the hypotheses. First, H0 is not a hypothesis of indifference. A failure to reject H0 in the presence of a directionally favorable point estimate, as the timing companion in fact finds, is a statement that the sample lacks the information to separate a real effect from sampling noise at conventional confidence, not a statement that no effect exists. The framework distinguishes a precisely estimated null, which would falsify the implicit theory, from an underpowered failure to reject, which merely declines to confirm it, and it requires the empirical chapters to report which of the two they have produced. Second, the sign convention is load-bearing and is fixed once: lower rank number means higher priority throughout, so the directional prediction of the implicit theory is always</w:t>
      </w:r>
      <w:r>
        <w:t xml:space="preserve"> </w:t>
      </w:r>
      <w:r>
        <w:rPr>
          <w:rStyle w:val="VerbatimChar"/>
        </w:rPr>
        <w:t xml:space="preserve">beta &lt; 0</w:t>
      </w:r>
      <w:r>
        <w:t xml:space="preserve">, never</w:t>
      </w:r>
      <w:r>
        <w:t xml:space="preserve"> </w:t>
      </w:r>
      <w:r>
        <w:rPr>
          <w:rStyle w:val="VerbatimChar"/>
        </w:rPr>
        <w:t xml:space="preserve">beta &gt; 0</w:t>
      </w:r>
      <w:r>
        <w:t xml:space="preserve">. Reporting a positive</w:t>
      </w:r>
      <w:r>
        <w:t xml:space="preserve"> </w:t>
      </w:r>
      <w:r>
        <w:rPr>
          <w:rStyle w:val="VerbatimChar"/>
        </w:rPr>
        <w:t xml:space="preserve">beta</w:t>
      </w:r>
      <w:r>
        <w:t xml:space="preserve"> </w:t>
      </w:r>
      <w:r>
        <w:t xml:space="preserve">would be the strongest possible falsification, indicating that the programs the panels ranked highest realized systematically less or slower return than those they ranked lowest.</w:t>
      </w:r>
    </w:p>
    <w:bookmarkEnd w:id="80"/>
    <w:bookmarkStart w:id="81" w:name="why-the-test-is-clean"/>
    <w:p>
      <w:pPr>
        <w:pStyle w:val="Heading2"/>
        <w:spacing w:line="480" w:lineRule="auto"/>
      </w:pPr>
      <w:r>
        <w:t xml:space="preserve">3.7 Why the Test Is Clean</w:t>
      </w:r>
    </w:p>
    <w:p>
      <w:pPr>
        <w:pStyle w:val="FirstParagraph"/>
        <w:spacing w:line="480" w:lineRule="auto"/>
      </w:pPr>
      <w:r>
        <w:t xml:space="preserve">The framework’s defensibility rests on the independence of the outcome from the covariate. Three features secure that independence and are restated here as the theoretical guarantees the empirical design must honor.</w:t>
      </w:r>
    </w:p>
    <w:p>
      <w:pPr>
        <w:pStyle w:val="BodyText"/>
        <w:spacing w:line="480" w:lineRule="auto"/>
        <w:ind w:firstLine="720"/>
      </w:pPr>
      <w:r>
        <w:t xml:space="preserve">First, the outcome is anchored in mechanisms external to the survey. Yield is governed by a tasking-and-scheduling layer documented in a literature that takes the priority structure pointing the sensors as exogenous and given and never asks whether the priorities predicted return [1, 2, 3]. Value is characterized in a literature that treats it as a property of the realized product, not the commissioning program</w:t>
      </w:r>
      <w:r>
        <w:t xml:space="preserve"> </w:t>
      </w:r>
      <w:hyperlink w:anchor="ref-4">
        <w:r>
          <w:rPr>
            <w:rStyle w:val="Hyperlink"/>
          </w:rPr>
          <w:t xml:space="preserve">[4]</w:t>
        </w:r>
      </w:hyperlink>
      <w:r>
        <w:t xml:space="preserve">. Because neither literature owes anything to decadal prioritization, the outcome cannot be an echo of the covariate.</w:t>
      </w:r>
    </w:p>
    <w:p>
      <w:pPr>
        <w:pStyle w:val="BodyText"/>
        <w:spacing w:line="480" w:lineRule="auto"/>
        <w:ind w:firstLine="720"/>
      </w:pPr>
      <w:r>
        <w:t xml:space="preserve">Second, the confounders that would manufacture a spurious association are named in advance and controlled by construction. Scale is removed by normalizing yield against documented throughput and by an explicit scale control [1, 2, 3]. Epoch is absorbed by survey-epoch fixed effects, with the common censoring horizon performing the same structural role in the timing form. The framework does not discover its confounders after the fact; it specifies them as part of the theory and identifies</w:t>
      </w:r>
      <w:r>
        <w:t xml:space="preserve"> </w:t>
      </w:r>
      <w:r>
        <w:rPr>
          <w:rStyle w:val="VerbatimChar"/>
        </w:rPr>
        <w:t xml:space="preserve">beta</w:t>
      </w:r>
      <w:r>
        <w:t xml:space="preserve"> </w:t>
      </w:r>
      <w:r>
        <w:t xml:space="preserve">only from the variation that survives them.</w:t>
      </w:r>
    </w:p>
    <w:p>
      <w:pPr>
        <w:pStyle w:val="BodyText"/>
        <w:spacing w:line="480" w:lineRule="auto"/>
        <w:ind w:firstLine="720"/>
      </w:pPr>
      <w:r>
        <w:t xml:space="preserve">Third, the survivorship threat that would bias the magnitude estimate toward H1 is met by the timing form’s censoring, which retains the prioritized-but-unbuilt programs as the most informative observations in the sample rather than dropping them. The two outcome forms are therefore not redundant. The magnitude form measures the size of return among programs that delivered, and the timing form holds the apparatus accountable for the programs it ranked and did not deliver. Together they bound the implicit theory from both sides.</w:t>
      </w:r>
    </w:p>
    <w:p>
      <w:pPr>
        <w:pStyle w:val="BodyText"/>
        <w:spacing w:line="480" w:lineRule="auto"/>
        <w:ind w:firstLine="720"/>
      </w:pPr>
      <w:r>
        <w:t xml:space="preserve">The gap this framework closes is specific and structural. One body of work owns the yield mechanism, a second owns the value of the realized product, and a third owns the logic of prioritized investment, yet none closes the loop by regressing realized return on the prior priority rank [1, 2, 3, 4, 5, 6, 7]. The theoretical contribution of this chapter is to assemble those three bodies into a single causal chain, to locate within that chain the precise link at which the implicit theory of prioritization can fail, and to express the test of that link as the estimand</w:t>
      </w:r>
      <w:r>
        <w:t xml:space="preserve"> </w:t>
      </w:r>
      <w:r>
        <w:rPr>
          <w:rStyle w:val="VerbatimChar"/>
        </w:rPr>
        <w:t xml:space="preserve">beta</w:t>
      </w:r>
      <w:r>
        <w:t xml:space="preserve"> </w:t>
      </w:r>
      <w:r>
        <w:t xml:space="preserve">and the falsifiable pair H0 and H1. The chapters that follow estimate</w:t>
      </w:r>
      <w:r>
        <w:t xml:space="preserve"> </w:t>
      </w:r>
      <w:r>
        <w:rPr>
          <w:rStyle w:val="VerbatimChar"/>
        </w:rPr>
        <w:t xml:space="preserve">beta</w:t>
      </w:r>
      <w:r>
        <w:t xml:space="preserve"> </w:t>
      </w:r>
      <w:r>
        <w:t xml:space="preserve">on the magnitude margin and on the timing margin and return the verdict the framework demands.</w:t>
      </w:r>
    </w:p>
    <w:bookmarkEnd w:id="81"/>
    <w:bookmarkEnd w:id="82"/>
    <w:bookmarkStart w:id="100" w:name="chapter-4.-data-and-measurement"/>
    <w:p>
      <w:pPr>
        <w:pStyle w:val="Heading1"/>
        <w:spacing w:line="480" w:lineRule="auto"/>
      </w:pPr>
      <w:r>
        <w:t xml:space="preserve">Chapter 4. Data and Measurement</w:t>
      </w:r>
    </w:p>
    <w:bookmarkStart w:id="83" w:name="purpose-and-scope-of-the-chapter"/>
    <w:p>
      <w:pPr>
        <w:pStyle w:val="Heading2"/>
        <w:spacing w:line="480" w:lineRule="auto"/>
      </w:pPr>
      <w:r>
        <w:t xml:space="preserve">4.1 Purpose and Scope of the Chapter</w:t>
      </w:r>
    </w:p>
    <w:p>
      <w:pPr>
        <w:pStyle w:val="FirstParagraph"/>
        <w:spacing w:line="480" w:lineRule="auto"/>
      </w:pPr>
      <w:r>
        <w:t xml:space="preserve">The two empirical studies that anchor this dissertation are only as credible as the records from which their variables are built. This chapter documents those records. It states, for each study, what the unit of analysis is, which authoritative source each variable is drawn from, and exactly how every analytic quantity is constructed from primary material rather than from secondary summary or investigator judgment. The chapter is deliberately granular because the central claim of the dissertation, that the predictive content of prior priority can be measured against realized return, is defensible only if the covariate and the outcome are measured independently of each other and of the prioritization apparatus whose forecasting power is under test. A reader who finishes this chapter should be able to reconstruct both datasets from the cited primary sources without consulting the author.</w:t>
      </w:r>
    </w:p>
    <w:p>
      <w:pPr>
        <w:pStyle w:val="BodyText"/>
        <w:spacing w:line="480" w:lineRule="auto"/>
        <w:ind w:firstLine="720"/>
      </w:pPr>
      <w:r>
        <w:t xml:space="preserve">Two distinct but coupled datasets are described. The first, used in the magnitude study, is a cross-section of twenty-eight space science missions whose realized return is measured as a refereed-publication census and whose operational design is coded from documented mission attributes</w:t>
      </w:r>
      <w:r>
        <w:t xml:space="preserve"> </w:t>
      </w:r>
      <w:hyperlink w:anchor="ref-8">
        <w:r>
          <w:rPr>
            <w:rStyle w:val="Hyperlink"/>
          </w:rPr>
          <w:t xml:space="preserve">[8]</w:t>
        </w:r>
      </w:hyperlink>
      <w:r>
        <w:t xml:space="preserve">. The second, used in the timing study, is a cross-section of twenty-eight ranked NASA observation and mission programs whose prior priority rank is read from consensus decadal surveys and competed-selection announcements and whose realized return is measured as the time from priority assignment to first material yield on orbit. The two datasets share the dissertation’s logic, that a quantity recorded ex ante is regressed on a quantity recorded ex post, but they differ in their unit of analysis, their outcome construction, and their authoritative sources, and they are therefore documented separately.</w:t>
      </w:r>
    </w:p>
    <w:p>
      <w:pPr>
        <w:pStyle w:val="BodyText"/>
        <w:spacing w:line="480" w:lineRule="auto"/>
        <w:ind w:firstLine="720"/>
      </w:pPr>
      <w:r>
        <w:t xml:space="preserve">A guiding rule governs the whole chapter and both datasets. No variable is constructed from a number that is not traceable to a named primary record, and every record carries its source in the final column of its data file so that any figure in the analysis can be audited back to the document that produced it. Where a value is illustrative rather than documented, it is marked as illustrative and excluded from the estimated relationships, and the share of such values is reported. This discipline is what permits the falsification test the dissertation commits to.</w:t>
      </w:r>
    </w:p>
    <w:bookmarkEnd w:id="83"/>
    <w:bookmarkStart w:id="90" w:name="X9d35518b58374c7c64b8cf110cc463c5f430e51"/>
    <w:p>
      <w:pPr>
        <w:pStyle w:val="Heading2"/>
        <w:spacing w:line="480" w:lineRule="auto"/>
      </w:pPr>
      <w:r>
        <w:t xml:space="preserve">4.2 The Magnitude Dataset: Refereed Publication Yield Across Missions</w:t>
      </w:r>
    </w:p>
    <w:bookmarkStart w:id="84" w:name="unit-of-analysis"/>
    <w:p>
      <w:pPr>
        <w:pStyle w:val="Heading3"/>
        <w:spacing w:line="480" w:lineRule="auto"/>
      </w:pPr>
      <w:r>
        <w:t xml:space="preserve">4.2.1 Unit of Analysis</w:t>
      </w:r>
    </w:p>
    <w:p>
      <w:pPr>
        <w:pStyle w:val="FirstParagraph"/>
        <w:spacing w:line="480" w:lineRule="auto"/>
      </w:pPr>
      <w:r>
        <w:t xml:space="preserve">Each row is a mission. The unit of analysis in the magnitude study is the individual space science mission. A mission is the analytic row: a single flown facility with a launch, an operations span, a community of users, and a cumulative record of refereed papers that drew on its data. The sample comprises twenty-eight missions for which a single uniform refereed-publication census exists. This sample frame is not a convenience selection; it is the set of missions covered by one authoritative bibliometric source applying one inclusion rule, which is the property that makes the cross-mission counts comparable. The choice of the mission as the unit, rather than the instrument or the observing program, follows from the outcome being measured, because the refereed-publication count is itself compiled and reported at the level of the mission.</w:t>
      </w:r>
    </w:p>
    <w:bookmarkEnd w:id="84"/>
    <w:bookmarkStart w:id="85" w:name="authoritative-source-for-the-outcome"/>
    <w:p>
      <w:pPr>
        <w:pStyle w:val="Heading3"/>
        <w:spacing w:line="480" w:lineRule="auto"/>
      </w:pPr>
      <w:r>
        <w:t xml:space="preserve">4.2.2 Authoritative Source for the Outcome</w:t>
      </w:r>
    </w:p>
    <w:p>
      <w:pPr>
        <w:pStyle w:val="FirstParagraph"/>
        <w:spacing w:line="480" w:lineRule="auto"/>
      </w:pPr>
      <w:r>
        <w:t xml:space="preserve">The dependent variable and the operational span of each mission are taken directly from the De Marchi and Parmar census of European Space Agency Science Programme missions and partner-led missions</w:t>
      </w:r>
      <w:r>
        <w:t xml:space="preserve"> </w:t>
      </w:r>
      <w:hyperlink w:anchor="ref-8">
        <w:r>
          <w:rPr>
            <w:rStyle w:val="Hyperlink"/>
          </w:rPr>
          <w:t xml:space="preserve">[8]</w:t>
        </w:r>
      </w:hyperlink>
      <w:r>
        <w:t xml:space="preserve">. This source is authoritative for the present purpose for three reasons. First, it applies a single set of inclusion criteria across every facility it covers, so that a paper counted for one mission would be counted on the same rule for another, which is the precondition for treating the counts as comparable across the cross-section. Second, it reports per-mission totals in its tabulated form, in Tables 1 and 2, so that the analytic outcome is a transcribed figure rather than a recomputed estimate. Third, it is a published and obtainable record, available by its preprint identifier, so that the transcription can be independently verified. Using one census for all twenty-eight rows removes the most common threat to bibliometric comparison, that different missions are counted under different conventions, and it is the reason the magnitude study can speak of cross-mission variance at all.</w:t>
      </w:r>
    </w:p>
    <w:bookmarkEnd w:id="85"/>
    <w:bookmarkStart w:id="86" w:name="construction-of-the-outcome-variable"/>
    <w:p>
      <w:pPr>
        <w:pStyle w:val="Heading3"/>
        <w:spacing w:line="480" w:lineRule="auto"/>
      </w:pPr>
      <w:r>
        <w:t xml:space="preserve">4.2.3 Construction of the Outcome Variable</w:t>
      </w:r>
    </w:p>
    <w:p>
      <w:pPr>
        <w:pStyle w:val="FirstParagraph"/>
        <w:spacing w:line="480" w:lineRule="auto"/>
      </w:pPr>
      <w:r>
        <w:t xml:space="preserve">The outcome variable is the total number of refereed publications that made direct use of a mission’s data, counted through the end of 2021. The construction is a direct transcription from the census tables</w:t>
      </w:r>
      <w:r>
        <w:t xml:space="preserve"> </w:t>
      </w:r>
      <w:hyperlink w:anchor="ref-8">
        <w:r>
          <w:rPr>
            <w:rStyle w:val="Hyperlink"/>
          </w:rPr>
          <w:t xml:space="preserve">[8]</w:t>
        </w:r>
      </w:hyperlink>
      <w:r>
        <w:t xml:space="preserve">; no derivation, weighting, or imputation is applied to the count itself. Counting refereed publications as the observable proxy for realized scientific return is a long-established method that agencies use internally to justify continued funding at senior review, and the proxy is taken in this dissertation precisely because it is independently validated by that practice</w:t>
      </w:r>
      <w:r>
        <w:t xml:space="preserve"> </w:t>
      </w:r>
      <w:hyperlink w:anchor="ref-8">
        <w:r>
          <w:rPr>
            <w:rStyle w:val="Hyperlink"/>
          </w:rPr>
          <w:t xml:space="preserve">[8]</w:t>
        </w:r>
      </w:hyperlink>
      <w:r>
        <w:t xml:space="preserve">[9]. The proxy is acknowledged to be imperfect, since publications vary in depth and citation impact and the raw count weights a deep discovery paper and a routine catalog paper equally. That imperfection is a limitation of the construct, not of the transcription, and it is held constant across missions by the uniform inclusion rule of the source. Because the count is comparable across missions only when one rule is applied, the dissertation does not supplement the census count with figures from other bibliographies, even where such figures exist, since mixing inclusion rules would reintroduce exactly the incomparability the single-source design is built to avoid.</w:t>
      </w:r>
    </w:p>
    <w:p>
      <w:pPr>
        <w:pStyle w:val="BodyText"/>
        <w:spacing w:line="480" w:lineRule="auto"/>
        <w:ind w:firstLine="720"/>
      </w:pPr>
      <w:r>
        <w:t xml:space="preserve">The spread of the outcome across the sample is wide by construction and is the property that lets the cross-section identify the relationships of interest. The missions range from short-lived targeted probes with fewer than one hundred refereed publications to the Hubble Space Telescope with more than nineteen thousand</w:t>
      </w:r>
      <w:r>
        <w:t xml:space="preserve"> </w:t>
      </w:r>
      <w:hyperlink w:anchor="ref-8">
        <w:r>
          <w:rPr>
            <w:rStyle w:val="Hyperlink"/>
          </w:rPr>
          <w:t xml:space="preserve">[8]</w:t>
        </w:r>
      </w:hyperlink>
      <w:r>
        <w:t xml:space="preserve">. This range of more than two orders of magnitude in the outcome is what gives the estimation leverage to detect how realized return varies with operational design, and it is also the source of the heteroskedasticity that the estimator must accommodate, a matter taken up in Chapter 5.</w:t>
      </w:r>
    </w:p>
    <w:bookmarkEnd w:id="86"/>
    <w:bookmarkStart w:id="87" w:name="Xc5ce8ae7b3d32448f1fe4e129ed7deefad78788"/>
    <w:p>
      <w:pPr>
        <w:pStyle w:val="Heading3"/>
        <w:spacing w:line="480" w:lineRule="auto"/>
      </w:pPr>
      <w:r>
        <w:t xml:space="preserve">4.2.4 Construction of the Operational-Lifetime Regressor</w:t>
      </w:r>
    </w:p>
    <w:p>
      <w:pPr>
        <w:pStyle w:val="FirstParagraph"/>
        <w:spacing w:line="480" w:lineRule="auto"/>
      </w:pPr>
      <w:r>
        <w:t xml:space="preserve">Operational lifetime is the first explanatory variable and is constructed, not transcribed, from the documented operations span reported in the census</w:t>
      </w:r>
      <w:r>
        <w:t xml:space="preserve"> </w:t>
      </w:r>
      <w:hyperlink w:anchor="ref-8">
        <w:r>
          <w:rPr>
            <w:rStyle w:val="Hyperlink"/>
          </w:rPr>
          <w:t xml:space="preserve">[8]</w:t>
        </w:r>
      </w:hyperlink>
      <w:r>
        <w:t xml:space="preserve">. For each mission the operational span runs from the launch year to the end-of-operations year, and operational years are computed as that documented interval. For missions still active at the census date, the span is computed to 2021, the census horizon, so that an active mission is credited with operating years through the cutoff rather than being left open-ended. This construction is deliberately mechanical and uses only documented dates, so that operational lifetime is a function of the recorded operations history and carries no judgment about whether a mission’s later years were scientifically productive. Anchoring the regressor in the operating span rather than in a design lifetime matters because the theory under test concerns realized exposure time, the accumulated opportunity for the community to convert data into papers, and realized exposure is governed by how long a mission actually operated, not by how long it was planned to operate.</w:t>
      </w:r>
    </w:p>
    <w:bookmarkEnd w:id="87"/>
    <w:bookmarkStart w:id="88" w:name="X8ee6f095896f95e7745c15ba08245b67457940f"/>
    <w:p>
      <w:pPr>
        <w:pStyle w:val="Heading3"/>
        <w:spacing w:line="480" w:lineRule="auto"/>
      </w:pPr>
      <w:r>
        <w:t xml:space="preserve">4.2.5 Construction of the Structural Indicators</w:t>
      </w:r>
    </w:p>
    <w:p>
      <w:pPr>
        <w:pStyle w:val="FirstParagraph"/>
        <w:spacing w:line="480" w:lineRule="auto"/>
      </w:pPr>
      <w:r>
        <w:t xml:space="preserve">Two binary structural indicators are coded from documented mission designations rather than estimated. The observatory-class indicator marks open-time observatories and all-sky surveys that distribute their data to a broad and competitive community of investigators, and it is set to one for the orbiting X-ray, infrared, ultraviolet, and astrometric facilities and to zero for targeted single-body probes and orbiters</w:t>
      </w:r>
      <w:r>
        <w:t xml:space="preserve"> </w:t>
      </w:r>
      <w:hyperlink w:anchor="ref-8">
        <w:r>
          <w:rPr>
            <w:rStyle w:val="Hyperlink"/>
          </w:rPr>
          <w:t xml:space="preserve">[8]</w:t>
        </w:r>
      </w:hyperlink>
      <w:r>
        <w:t xml:space="preserve">[11]. The coding rule is the design character of the mission as documented, namely whether the facility serves a general open-time community or a narrow team focused on a single object, and it is not inferred from the publication count it is meant to help explain. The motivating mechanism, that an open observatory makes a rich scientific resource directly available to the broad community and thereby multiplies the number of independent investigators who can turn the data into refereed results, is documented in the astrometric-facility literature and is the substantive reason the indicator is expected to carry explanatory weight</w:t>
      </w:r>
      <w:r>
        <w:t xml:space="preserve"> </w:t>
      </w:r>
      <w:hyperlink w:anchor="ref-11">
        <w:r>
          <w:rPr>
            <w:rStyle w:val="Hyperlink"/>
          </w:rPr>
          <w:t xml:space="preserve">[11]</w:t>
        </w:r>
      </w:hyperlink>
      <w:r>
        <w:t xml:space="preserve">.</w:t>
      </w:r>
    </w:p>
    <w:p>
      <w:pPr>
        <w:pStyle w:val="BodyText"/>
        <w:spacing w:line="480" w:lineRule="auto"/>
        <w:ind w:firstLine="720"/>
      </w:pPr>
      <w:r>
        <w:t xml:space="preserve">The second indicator is an era control marking missions launched in 2000 or later. It is coded from the documented launch year and is included not as a structural claim but as a nuisance control, because the digital literature indexed by abstract services expanded sharply after 2000 and that expansion could inflate the recorded publication counts of newer missions independent of their scientific merit</w:t>
      </w:r>
      <w:r>
        <w:t xml:space="preserve"> </w:t>
      </w:r>
      <w:hyperlink w:anchor="ref-8">
        <w:r>
          <w:rPr>
            <w:rStyle w:val="Hyperlink"/>
          </w:rPr>
          <w:t xml:space="preserve">[8]</w:t>
        </w:r>
      </w:hyperlink>
      <w:r>
        <w:t xml:space="preserve">. The indicator is therefore a guard against a measurement artifact in the outcome, and its coefficient is interpreted in Chapter 5 as a nuisance parameter rather than as a finding.</w:t>
      </w:r>
    </w:p>
    <w:bookmarkEnd w:id="88"/>
    <w:bookmarkStart w:id="89" w:name="Xbc4e36599db8b7cdcf0757859c33dcde965b37a"/>
    <w:p>
      <w:pPr>
        <w:pStyle w:val="Heading3"/>
        <w:spacing w:line="480" w:lineRule="auto"/>
      </w:pPr>
      <w:r>
        <w:t xml:space="preserve">4.2.6 The Supplementary Cost Column and Its Exclusion</w:t>
      </w:r>
    </w:p>
    <w:p>
      <w:pPr>
        <w:pStyle w:val="FirstParagraph"/>
        <w:spacing w:line="480" w:lineRule="auto"/>
      </w:pPr>
      <w:r>
        <w:t xml:space="preserve">The dataset carries a supplementary life-cycle cost column that records documented figures for the Hubble Space Telescope and Cassini and approximate agency estimates for the remaining missions. This column is reported for context only and is not used in the regression, so its illustrative entries do not enter the estimated relationships. Retaining it in the data file but excluding it from estimation is the conservative choice: the documented cost figures situate the missions on a familiar scale for the reader, but because the bulk of the column is approximate rather than primary-sourced, admitting it as a regressor would import unmeasured error into the model. The cost literature is nonetheless substantively relevant to the interpretation, since parametric cost models price the spacecraft build while the science accrues across the operating life that the analysis shows to be decisive, and the connection between build cost and realized operating value is the reason the column is retained for discussion even though it is withheld from estimation</w:t>
      </w:r>
      <w:r>
        <w:t xml:space="preserve"> </w:t>
      </w:r>
      <w:hyperlink w:anchor="ref-10">
        <w:r>
          <w:rPr>
            <w:rStyle w:val="Hyperlink"/>
          </w:rPr>
          <w:t xml:space="preserve">[10]</w:t>
        </w:r>
      </w:hyperlink>
      <w:r>
        <w:t xml:space="preserve">[12]. Every row of the magnitude dataset, including the excluded cost entries, carries its source in the final column, and the full table is reproduced in the embedded workbook so that each transcribed and constructed value is auditable.</w:t>
      </w:r>
    </w:p>
    <w:bookmarkEnd w:id="89"/>
    <w:bookmarkEnd w:id="90"/>
    <w:bookmarkStart w:id="97" w:name="X531d718a33a6f8d01f1188ea72d839ac38ace87"/>
    <w:p>
      <w:pPr>
        <w:pStyle w:val="Heading2"/>
        <w:spacing w:line="480" w:lineRule="auto"/>
      </w:pPr>
      <w:r>
        <w:t xml:space="preserve">4.3 The Timing Dataset: Time From Priority to First Material Return</w:t>
      </w:r>
    </w:p>
    <w:bookmarkStart w:id="91" w:name="unit-of-analysis-1"/>
    <w:p>
      <w:pPr>
        <w:pStyle w:val="Heading3"/>
        <w:spacing w:line="480" w:lineRule="auto"/>
      </w:pPr>
      <w:r>
        <w:t xml:space="preserve">4.3.1 Unit of Analysis</w:t>
      </w:r>
    </w:p>
    <w:p>
      <w:pPr>
        <w:pStyle w:val="FirstParagraph"/>
        <w:spacing w:line="480" w:lineRule="auto"/>
      </w:pPr>
      <w:r>
        <w:t xml:space="preserve">The unit of analysis in the timing study is the ranked NASA observation or mission program. A program is the analytic row: a candidate that was assigned a priority rank at a known date and that either has, or has not yet, reached its first material return. The sample comprises twenty-eight ranked programs. The shift of the unit from the flown mission of the magnitude study to the ranked program of the timing study is consequential and intentional. The magnitude study can only see missions that flew, because only flown missions have a publication record to count, whereas the timing study must see programs that were ranked whether or not they flew, because a program that was prioritized and never built is the single most informative case a forecast of return can fail to deliver. The program, defined at the moment a priority is assigned to it, is therefore the unit that keeps the unbuilt cases in the sample.</w:t>
      </w:r>
    </w:p>
    <w:bookmarkEnd w:id="91"/>
    <w:bookmarkStart w:id="92" w:name="Xad7ec4fde18759c42fad075a8275de0f9f5a121"/>
    <w:p>
      <w:pPr>
        <w:pStyle w:val="Heading3"/>
        <w:spacing w:line="480" w:lineRule="auto"/>
      </w:pPr>
      <w:r>
        <w:t xml:space="preserve">4.3.2 Authoritative Sources for the Priority Covariate</w:t>
      </w:r>
    </w:p>
    <w:p>
      <w:pPr>
        <w:pStyle w:val="FirstParagraph"/>
        <w:spacing w:line="480" w:lineRule="auto"/>
      </w:pPr>
      <w:r>
        <w:t xml:space="preserve">The priority-rank covariate is read directly from the consensus decadal surveys and from the competed announcement-of-opportunity selections that operationalize decadal guidance. The specific authoritative sources are the named survey volumes and selection orders: the large-mission ranking in the 2010 astrophysics survey, the flagship ranking in the 2013 planetary survey, the tier-one Earth-science recommendations, the 2020s-decade flagship recommendations, and the rank order of competed Discovery, New Frontiers, and Explorer-class selections. Each program’s rank is the position it occupies in the relevant published ordering, transcribed from the survey or selection document rather than assigned by the author. This is the core measurement-independence property of the dissertation. The covariate is recorded in the survey text at survey time and is fixed before any realized return is observed, so the rank cannot be contaminated by knowledge of the outcome it is later used to predict. Priority is coded so that a lower rank number denotes higher priority, the convention used throughout, which fixes the predicted sign of the rank coefficient as negative under the alternative hypothesis.</w:t>
      </w:r>
    </w:p>
    <w:bookmarkEnd w:id="92"/>
    <w:bookmarkStart w:id="93" w:name="X5e234687b947ea949092eea7c98d2d2be0b57c8"/>
    <w:p>
      <w:pPr>
        <w:pStyle w:val="Heading3"/>
        <w:spacing w:line="480" w:lineRule="auto"/>
      </w:pPr>
      <w:r>
        <w:t xml:space="preserve">4.3.3 Authoritative Sources for the Timing Outcome</w:t>
      </w:r>
    </w:p>
    <w:p>
      <w:pPr>
        <w:pStyle w:val="FirstParagraph"/>
        <w:spacing w:line="480" w:lineRule="auto"/>
      </w:pPr>
      <w:r>
        <w:t xml:space="preserve">The outcome sources are distinct from the covariate sources and are equally documented. For each program the timing record is built from NASA mission launch records and press kits for launch dates and program costs, from the named decadal survey volumes for the priority ranks, and from the competed-selection announcements for the announcement-of-opportunity orderings. The separation of outcome sources from covariate sources is what makes the timing test clean: a launch date drawn from a NASA launch record is established independently of the survey text that recorded the program’s rank, so the regression relates two quantities that were never measured against each other. The choice of the launch date as the marker of first material return is itself a measurement decision in favor of observability. A launch date is a hard, dated fact in the public record, whereas the eventual scientific yield of a program is realized over decades and is contested, so anchoring the timing outcome on the dated launch event sidesteps the contestation that surrounds yield magnitude.</w:t>
      </w:r>
    </w:p>
    <w:bookmarkEnd w:id="93"/>
    <w:bookmarkStart w:id="94" w:name="Xa76a189d2d0c33cea2c16ab371186ad19a27994"/>
    <w:p>
      <w:pPr>
        <w:pStyle w:val="Heading3"/>
        <w:spacing w:line="480" w:lineRule="auto"/>
      </w:pPr>
      <w:r>
        <w:t xml:space="preserve">4.3.4 Construction of the Duration and Event Variables</w:t>
      </w:r>
    </w:p>
    <w:p>
      <w:pPr>
        <w:pStyle w:val="FirstParagraph"/>
        <w:spacing w:line="480" w:lineRule="auto"/>
      </w:pPr>
      <w:r>
        <w:t xml:space="preserve">The outcome is constructed as a duration paired with an event indicator, in the survival sense. For each program the dataset records the year the priority was assigned and, where applicable, the year of first material return, and the duration is the interval in years between them. A program that had launched by the December 2025 horizon is coded as an event, with duration equal to the years from priority assignment to launch. A program still in development, deferred, or cancelled at that horizon is coded as right-censored, with duration equal to the number of years it was observed without reaching return. The censoring construction is the methodological core of the timing dataset, because it is what allows prioritized-but-unbuilt programs to remain in the sample as informative observations rather than being discarded. The censored set includes the most prominently prioritized concepts that did not reach return within the window, among them the Uranus Orbiter and Probe, the Space Interferometry Mission, the Terrestrial Planet Finder, and the 2020s-decade flagship concepts. Of the twenty-eight programs, fourteen reached first material return within the window and are coded as events, and fourteen are right-censored, an even split that is itself a feature of the design rather than an accident of the sample.</w:t>
      </w:r>
    </w:p>
    <w:bookmarkEnd w:id="94"/>
    <w:bookmarkStart w:id="95" w:name="X17320d6ce65d92c7a37ee3dae3065fa08184e64"/>
    <w:p>
      <w:pPr>
        <w:pStyle w:val="Heading3"/>
        <w:spacing w:line="480" w:lineRule="auto"/>
      </w:pPr>
      <w:r>
        <w:t xml:space="preserve">4.3.5 Construction of the Cost-Scale and Epoch Covariates</w:t>
      </w:r>
    </w:p>
    <w:p>
      <w:pPr>
        <w:pStyle w:val="FirstParagraph"/>
        <w:spacing w:line="480" w:lineRule="auto"/>
      </w:pPr>
      <w:r>
        <w:t xml:space="preserve">Two further variables are recorded for each program. The program cost scale is recorded in billions of dollars, drawn from the lifecycle cost reported in NASA records and press kits, and it enters the timing model as a control because large programs both attract priority and take longer to build, so that omitting scale would let a slow-build effect masquerade as a rank effect. The survey-decade epoch is recorded to mark the cohort each program belongs to and was specified in the design as a covariate intended to absorb capability growth across decades. As Chapter 5 documents, the epoch term induced quasi-complete separation in estimation, because every program in the 2020s-decade cohort is right-censored at the horizon, and it is therefore retained in the data file for provenance but excluded from the fitted covariate set. The common 2025 censoring horizon absorbs the capability-growth confound structurally, since every program is observed against the same calendar cutoff regardless of cohort, so the exclusion of the epoch regressor does not leave the confound unaddressed.</w:t>
      </w:r>
    </w:p>
    <w:bookmarkEnd w:id="95"/>
    <w:bookmarkStart w:id="96" w:name="X2e7eea19f8a611d315b6ee70c1bce5e0cdd8e16"/>
    <w:p>
      <w:pPr>
        <w:pStyle w:val="Heading3"/>
        <w:spacing w:line="480" w:lineRule="auto"/>
      </w:pPr>
      <w:r>
        <w:t xml:space="preserve">4.3.6 Provenance and Illustrative-Value Discipline</w:t>
      </w:r>
    </w:p>
    <w:p>
      <w:pPr>
        <w:pStyle w:val="FirstParagraph"/>
        <w:spacing w:line="480" w:lineRule="auto"/>
      </w:pPr>
      <w:r>
        <w:t xml:space="preserve">Every row of the timing dataset carries its own source in the final column of the data file, naming the launch record or press kit for the date and cost, the survey volume for the rank, and the selection announcement for the announcement-of-opportunity ordering. Where a program is a pre-formulation concept whose cost has no released project baseline, the cost scale is marked illustrative. Such illustrative values are confined to three of the twenty-eight rows, under eleven percent of the sample, and none of the rank, duration, or event values is illustrative. This is the central provenance guarantee of the timing study: the variables that carry the inferential weight, the priority rank that is the covariate of interest, the duration that is the outcome, and the event indicator that distinguishes realized from censored return, are documented for every program without exception, and the only illustrative entries are confined to the cost control and are a small minority of that column.</w:t>
      </w:r>
    </w:p>
    <w:bookmarkEnd w:id="96"/>
    <w:bookmarkEnd w:id="97"/>
    <w:bookmarkStart w:id="98" w:name="Xa189c66e6b4d5c0bc35c397031ca71facd2243b"/>
    <w:p>
      <w:pPr>
        <w:pStyle w:val="Heading2"/>
        <w:spacing w:line="480" w:lineRule="auto"/>
      </w:pPr>
      <w:r>
        <w:t xml:space="preserve">4.4 The Yield-Mechanism Layer and Its Measurement Role</w:t>
      </w:r>
    </w:p>
    <w:p>
      <w:pPr>
        <w:pStyle w:val="FirstParagraph"/>
        <w:spacing w:line="480" w:lineRule="auto"/>
      </w:pPr>
      <w:r>
        <w:t xml:space="preserve">Both studies rest on the premise that realized observational yield is not a free-floating quantity but the output of a documented tasking-and-scheduling layer, and the measurement of that layer is drawn from a distinct corpus. The space-domain-awareness literature establishes that observational yield is the output of an optimization layer that allocates finite sensor time against competing targets on value-of-information grounds</w:t>
      </w:r>
      <w:r>
        <w:t xml:space="preserve"> </w:t>
      </w:r>
      <w:hyperlink w:anchor="ref-1">
        <w:r>
          <w:rPr>
            <w:rStyle w:val="Hyperlink"/>
          </w:rPr>
          <w:t xml:space="preserve">[1]</w:t>
        </w:r>
      </w:hyperlink>
      <w:r>
        <w:t xml:space="preserve">, that this layer can extract usable signal even from heterogeneous and non-traditional sensor networks</w:t>
      </w:r>
      <w:r>
        <w:t xml:space="preserve"> </w:t>
      </w:r>
      <w:hyperlink w:anchor="ref-2">
        <w:r>
          <w:rPr>
            <w:rStyle w:val="Hyperlink"/>
          </w:rPr>
          <w:t xml:space="preserve">[2]</w:t>
        </w:r>
      </w:hyperlink>
      <w:r>
        <w:t xml:space="preserve">, and that the scheduling solutions themselves can be characterized for optimality</w:t>
      </w:r>
      <w:r>
        <w:t xml:space="preserve"> </w:t>
      </w:r>
      <w:hyperlink w:anchor="ref-3">
        <w:r>
          <w:rPr>
            <w:rStyle w:val="Hyperlink"/>
          </w:rPr>
          <w:t xml:space="preserve">[3]</w:t>
        </w:r>
      </w:hyperlink>
      <w:r>
        <w:t xml:space="preserve">. The specific obtainable source for this layer is the AMOS Conference sensor-tasking and scheduling corpus, queried through its search interface, whose value-of-information tasking and sensor-network-efficiency papers report the throughput parameters that motivate normalizing raw yield into yield per unit of observing capacity</w:t>
      </w:r>
      <w:r>
        <w:t xml:space="preserve"> </w:t>
      </w:r>
      <w:hyperlink w:anchor="ref-1">
        <w:r>
          <w:rPr>
            <w:rStyle w:val="Hyperlink"/>
          </w:rPr>
          <w:t xml:space="preserve">[1]</w:t>
        </w:r>
      </w:hyperlink>
      <w:r>
        <w:t xml:space="preserve">[2][3]. The measurement role of this corpus is to supply a model of throughput that is independent of any survey priority rank, so that the portion of yield mechanically attributable to having more sensor time can in principle be separated from the portion attributable to better prior prioritization. That this layer treats the priority structure pointing the sensors as exogenous and given is precisely what makes it a clean, non-circular reference for the outcome, because its throughput characterization is established without reference to the decadal ranks whose predictive power the dissertation tests.</w:t>
      </w:r>
    </w:p>
    <w:p>
      <w:pPr>
        <w:pStyle w:val="BodyText"/>
        <w:spacing w:line="480" w:lineRule="auto"/>
        <w:ind w:firstLine="720"/>
      </w:pPr>
      <w:r>
        <w:t xml:space="preserve">The parallel data-value layer is drawn from the Earth-observation economics record, which establishes that the value of an observation data product is a measurable property of the realized product rather than an assumed property of the program that commissioned it</w:t>
      </w:r>
      <w:r>
        <w:t xml:space="preserve"> </w:t>
      </w:r>
      <w:hyperlink w:anchor="ref-4">
        <w:r>
          <w:rPr>
            <w:rStyle w:val="Hyperlink"/>
          </w:rPr>
          <w:t xml:space="preserve">[4]</w:t>
        </w:r>
      </w:hyperlink>
      <w:r>
        <w:t xml:space="preserve">. This layer is used to validate that realized yield maps to realized informational value, so that the publication-count and time-to-return outcomes are anchored to a documented notion of data value rather than to survey self-report. The research-investment and space-economy literatures supply the surrounding warrant that prioritized investment is consequential in aggregate and that value capture requires deliberate prior investment in enabling capability</w:t>
      </w:r>
      <w:r>
        <w:t xml:space="preserve"> </w:t>
      </w:r>
      <w:hyperlink w:anchor="ref-5">
        <w:r>
          <w:rPr>
            <w:rStyle w:val="Hyperlink"/>
          </w:rPr>
          <w:t xml:space="preserve">[5]</w:t>
        </w:r>
      </w:hyperlink>
      <w:r>
        <w:t xml:space="preserve">[6][7], but those sources reason about investment in the aggregate and are used for framing rather than for the construction of any analytic variable.</w:t>
      </w:r>
    </w:p>
    <w:bookmarkEnd w:id="98"/>
    <w:bookmarkStart w:id="99" w:name="provenance-admission-and-auditability"/>
    <w:p>
      <w:pPr>
        <w:pStyle w:val="Heading2"/>
        <w:spacing w:line="480" w:lineRule="auto"/>
      </w:pPr>
      <w:r>
        <w:t xml:space="preserve">4.5 Provenance, Admission, and Auditability</w:t>
      </w:r>
    </w:p>
    <w:p>
      <w:pPr>
        <w:pStyle w:val="FirstParagraph"/>
        <w:spacing w:line="480" w:lineRule="auto"/>
      </w:pPr>
      <w:r>
        <w:t xml:space="preserve">A single admission rule governs every source used in both datasets. Only sources retrieved in the grounding sweep are admitted to the analysis, and each admitted source is logged with its corpus of origin, whether AMOS, ACTA, the Space Economy corpus, the ESA census, or the NASA launch and survey record, together with its source identifier, its digital object identifier where one exists, or its conference or repository URL retrieved at query time. The provenance for every analytic record is therefore the corpus identifier plus the document identifier, and that pairing is what makes the audit trail closed: a reader can move from any value in either dataset to the final-column source citation, and from that citation to the named primary document. No value enters either model that does not survive this rule.</w:t>
      </w:r>
    </w:p>
    <w:p>
      <w:pPr>
        <w:pStyle w:val="BodyText"/>
        <w:spacing w:line="480" w:lineRule="auto"/>
        <w:ind w:firstLine="720"/>
      </w:pPr>
      <w:r>
        <w:t xml:space="preserve">The two datasets together satisfy the measurement requirement that the dissertation’s falsification test depends on. In the magnitude study the outcome, the refereed-publication count, is transcribed from a single uniform census</w:t>
      </w:r>
      <w:r>
        <w:t xml:space="preserve"> </w:t>
      </w:r>
      <w:hyperlink w:anchor="ref-8">
        <w:r>
          <w:rPr>
            <w:rStyle w:val="Hyperlink"/>
          </w:rPr>
          <w:t xml:space="preserve">[8]</w:t>
        </w:r>
      </w:hyperlink>
      <w:r>
        <w:t xml:space="preserve"> </w:t>
      </w:r>
      <w:r>
        <w:t xml:space="preserve">and the regressors are constructed from documented operations spans and mission designations</w:t>
      </w:r>
      <w:r>
        <w:t xml:space="preserve"> </w:t>
      </w:r>
      <w:hyperlink w:anchor="ref-8">
        <w:r>
          <w:rPr>
            <w:rStyle w:val="Hyperlink"/>
          </w:rPr>
          <w:t xml:space="preserve">[8]</w:t>
        </w:r>
      </w:hyperlink>
      <w:r>
        <w:t xml:space="preserve">[11], with the cost column withheld from estimation. In the timing study the covariate, priority rank, is read from survey and selection documents recorded before any return was observed, and the outcome, the duration to first material return with its event indicator, is built from independently sourced launch records, with illustrative values confined to under eleven percent of the cost column and absent from every inferential variable. In both cases the ex-ante covariate and the ex-post outcome are measured from separate authoritative sources, which is the property that lets the chapters that follow estimate the association between prior priority and realized return as a clean test rather than a circular one. The estimation built on these measurements is the subject of Chapter 5.</w:t>
      </w:r>
    </w:p>
    <w:bookmarkEnd w:id="99"/>
    <w:bookmarkEnd w:id="100"/>
    <w:bookmarkStart w:id="108" w:name="chapter-5.-methods-and-identification"/>
    <w:p>
      <w:pPr>
        <w:pStyle w:val="Heading1"/>
        <w:spacing w:line="480" w:lineRule="auto"/>
      </w:pPr>
      <w:r>
        <w:t xml:space="preserve">Chapter 5. Methods and Identification</w:t>
      </w:r>
    </w:p>
    <w:bookmarkStart w:id="101" w:name="purpose-and-structure-of-the-chapter"/>
    <w:p>
      <w:pPr>
        <w:pStyle w:val="Heading2"/>
        <w:spacing w:line="480" w:lineRule="auto"/>
      </w:pPr>
      <w:r>
        <w:t xml:space="preserve">5.1 Purpose and Structure of the Chapter</w:t>
      </w:r>
    </w:p>
    <w:p>
      <w:pPr>
        <w:pStyle w:val="FirstParagraph"/>
        <w:spacing w:line="480" w:lineRule="auto"/>
      </w:pPr>
      <w:r>
        <w:t xml:space="preserve">This chapter specifies the estimators the dissertation uses, the identification strategy that gives the central coefficient a causal-predictive interpretation, and the threats to validity that could compromise that interpretation together with the bound placed on each. The chapter is the connective tissue between the falsifiable claim stated in the prospectus and the two empirical analyses already executed in the companion papers. The first analysis estimates the magnitude margin: how much realized science return is associated with operational and structural attributes of missions, by ordinary least squares over a 28-mission refereed-publication census</w:t>
      </w:r>
      <w:r>
        <w:t xml:space="preserve"> </w:t>
      </w:r>
      <w:hyperlink w:anchor="ref-1">
        <w:r>
          <w:rPr>
            <w:rStyle w:val="Hyperlink"/>
          </w:rPr>
          <w:t xml:space="preserve">[1]</w:t>
        </w:r>
      </w:hyperlink>
      <w:r>
        <w:t xml:space="preserve">. The second estimates the timing margin: whether prior priority rank predicts how quickly a program reaches first material return, by Cox proportional-hazards regression over 28 ranked decadal programs of which 14 reached launch and 14 are right-censored</w:t>
      </w:r>
      <w:r>
        <w:t xml:space="preserve"> </w:t>
      </w:r>
      <w:hyperlink w:anchor="ref-1">
        <w:r>
          <w:rPr>
            <w:rStyle w:val="Hyperlink"/>
          </w:rPr>
          <w:t xml:space="preserve">[1]</w:t>
        </w:r>
      </w:hyperlink>
      <w:r>
        <w:t xml:space="preserve">[2][3]. Both margins answer the same parent question, do priorities set ex ante track return realized ex post, and the chapter treats them as two estimators of one estimand rather than as two separate exercises.</w:t>
      </w:r>
    </w:p>
    <w:p>
      <w:pPr>
        <w:pStyle w:val="BodyText"/>
        <w:spacing w:line="480" w:lineRule="auto"/>
        <w:ind w:firstLine="720"/>
      </w:pPr>
      <w:r>
        <w:t xml:space="preserve">The order of exposition is deliberate. Section 5.2 states the estimand and the two hypotheses in the form the estimators test. Section 5.3 develops the magnitude estimator and Section 5.4 the timing estimator, in each case naming the functional form, the choice of standard errors, and the reason the estimator fits the outcome. Section 5.5 sets out the identification strategy common to both, the conditioning set that converts a naive association into a defensible partial association. Section 5.6 enumerates the threats to validity and the specific design feature that bounds each. Section 5.7 records the provenance discipline that keeps the data layers independent. The governing commitment throughout is that the design was fixed before the verdict was known, and that the study reports whichever verdict obtains.</w:t>
      </w:r>
    </w:p>
    <w:bookmarkEnd w:id="101"/>
    <w:bookmarkStart w:id="102" w:name="the-estimand-and-the-hypotheses"/>
    <w:p>
      <w:pPr>
        <w:pStyle w:val="Heading2"/>
        <w:spacing w:line="480" w:lineRule="auto"/>
      </w:pPr>
      <w:r>
        <w:t xml:space="preserve">5.2 The Estimand and the Hypotheses</w:t>
      </w:r>
    </w:p>
    <w:p>
      <w:pPr>
        <w:pStyle w:val="FirstParagraph"/>
        <w:spacing w:line="480" w:lineRule="auto"/>
      </w:pPr>
      <w:r>
        <w:t xml:space="preserve">The object of inference is the partial association between a priority or operational attribute assigned at survey time and a measure of realized return observed downstream, net of the confounders that drive both. In the timing analysis the attribute of interest is priority rank, coded so that a lower rank number denotes higher priority, and the estimand is the coefficient on rank in a hazard model of time-to-first-material-return</w:t>
      </w:r>
      <w:r>
        <w:t xml:space="preserve"> </w:t>
      </w:r>
      <w:hyperlink w:anchor="ref-2">
        <w:r>
          <w:rPr>
            <w:rStyle w:val="Hyperlink"/>
          </w:rPr>
          <w:t xml:space="preserve">[2]</w:t>
        </w:r>
      </w:hyperlink>
      <w:r>
        <w:t xml:space="preserve">. In the magnitude analysis the attributes of interest are operational lifetime and observatory-class openness, the two post-selection design levers, and the estimand is the marginal contribution of each to expected refereed publication count</w:t>
      </w:r>
      <w:r>
        <w:t xml:space="preserve"> </w:t>
      </w:r>
      <w:hyperlink w:anchor="ref-1">
        <w:r>
          <w:rPr>
            <w:rStyle w:val="Hyperlink"/>
          </w:rPr>
          <w:t xml:space="preserve">[1]</w:t>
        </w:r>
      </w:hyperlink>
      <w:r>
        <w:t xml:space="preserve">.</w:t>
      </w:r>
    </w:p>
    <w:p>
      <w:pPr>
        <w:pStyle w:val="BodyText"/>
        <w:spacing w:line="480" w:lineRule="auto"/>
        <w:ind w:firstLine="720"/>
      </w:pPr>
      <w:r>
        <w:t xml:space="preserve">The hypotheses are stated so that each estimator delivers a sign, a magnitude, and an interval. For the timing margin, H0 holds that the coefficient on priority rank is zero once program cost scale is held fixed, so that rank carries no information about the speed of realized return; H1 holds that the coefficient is negative and of non-trivial magnitude, so that a higher priority is associated with a higher hazard of reaching first return</w:t>
      </w:r>
      <w:r>
        <w:t xml:space="preserve"> </w:t>
      </w:r>
      <w:hyperlink w:anchor="ref-2">
        <w:r>
          <w:rPr>
            <w:rStyle w:val="Hyperlink"/>
          </w:rPr>
          <w:t xml:space="preserve">[2]</w:t>
        </w:r>
      </w:hyperlink>
      <w:r>
        <w:t xml:space="preserve">. For the magnitude margin, the directional hypotheses are that realized return rises with operational lifetime and that open-time observatory and survey missions yield higher return than targeted single-purpose missions holding lifetime constant</w:t>
      </w:r>
      <w:r>
        <w:t xml:space="preserve"> </w:t>
      </w:r>
      <w:hyperlink w:anchor="ref-1">
        <w:r>
          <w:rPr>
            <w:rStyle w:val="Hyperlink"/>
          </w:rPr>
          <w:t xml:space="preserve">[1]</w:t>
        </w:r>
      </w:hyperlink>
      <w:r>
        <w:t xml:space="preserve">. In every case the claim is falsifiable in both directions: a precisely estimated coefficient indistinguishable from zero falsifies the predictive content of the attribute, and a coefficient of material magnitude in the predicted direction confirms it. The study commits to reporting the interval whichever side of zero it favors, and the executed timing analysis demonstrates that commitment by reporting a directionally favorable but underpowered point estimate that fails to reject H0</w:t>
      </w:r>
      <w:r>
        <w:t xml:space="preserve"> </w:t>
      </w:r>
      <w:hyperlink w:anchor="ref-2">
        <w:r>
          <w:rPr>
            <w:rStyle w:val="Hyperlink"/>
          </w:rPr>
          <w:t xml:space="preserve">[2]</w:t>
        </w:r>
      </w:hyperlink>
      <w:r>
        <w:t xml:space="preserve">.</w:t>
      </w:r>
    </w:p>
    <w:bookmarkEnd w:id="102"/>
    <w:bookmarkStart w:id="103" w:name="X1eb4be8f45bf9464c7b36719a1dfeda95260425"/>
    <w:p>
      <w:pPr>
        <w:pStyle w:val="Heading2"/>
        <w:spacing w:line="480" w:lineRule="auto"/>
      </w:pPr>
      <w:r>
        <w:t xml:space="preserve">5.3 The Magnitude Estimator: Ordinary Least Squares on Realized Yield</w:t>
      </w:r>
    </w:p>
    <w:p>
      <w:pPr>
        <w:pStyle w:val="FirstParagraph"/>
        <w:spacing w:line="480" w:lineRule="auto"/>
      </w:pPr>
      <w:r>
        <w:t xml:space="preserve">The magnitude analysis estimates a linear model of realized return by ordinary least squares with heteroskedasticity-robust standard errors</w:t>
      </w:r>
      <w:r>
        <w:t xml:space="preserve"> </w:t>
      </w:r>
      <w:hyperlink w:anchor="ref-1">
        <w:r>
          <w:rPr>
            <w:rStyle w:val="Hyperlink"/>
          </w:rPr>
          <w:t xml:space="preserve">[1]</w:t>
        </w:r>
      </w:hyperlink>
      <w:r>
        <w:t xml:space="preserve">. The dependent variable is the total refereed publication count attributable to a mission through a fixed census date, the standard observable proxy for cumulative scientific return that agencies themselves use to justify continued funding at senior review</w:t>
      </w:r>
      <w:r>
        <w:t xml:space="preserve"> </w:t>
      </w:r>
      <w:hyperlink w:anchor="ref-1">
        <w:r>
          <w:rPr>
            <w:rStyle w:val="Hyperlink"/>
          </w:rPr>
          <w:t xml:space="preserve">[1]</w:t>
        </w:r>
      </w:hyperlink>
      <w:r>
        <w:t xml:space="preserve">. The regressors are operational years, an observatory-class indicator that marks open-time observatories and all-sky surveys against targeted single-body probes, and a post-2000 launch indicator entered as a nuisance control for the expansion of the indexed digital literature.</w:t>
      </w:r>
    </w:p>
    <w:p>
      <w:pPr>
        <w:pStyle w:val="BodyText"/>
        <w:spacing w:line="480" w:lineRule="auto"/>
        <w:ind w:firstLine="720"/>
      </w:pPr>
      <w:r>
        <w:t xml:space="preserve">Ordinary least squares is the appropriate estimator here for three reasons. First, the outcome is a continuous count that ranges over four orders of magnitude, from short-lived targeted probes with fewer than one hundred publications to a flagship observatory with more than nineteen thousand</w:t>
      </w:r>
      <w:r>
        <w:t xml:space="preserve"> </w:t>
      </w:r>
      <w:hyperlink w:anchor="ref-1">
        <w:r>
          <w:rPr>
            <w:rStyle w:val="Hyperlink"/>
          </w:rPr>
          <w:t xml:space="preserve">[1]</w:t>
        </w:r>
      </w:hyperlink>
      <w:r>
        <w:t xml:space="preserve">, and the question concerns the marginal contribution of each operational attribute to expected return rather than the shape of the count distribution. Second, robust standard errors are mandatory because a cross-section mixing small probes and flagship observatories is evidently heteroskedastic; the robust covariance estimator prevents the variance of the large facilities from being misattributed across the sample</w:t>
      </w:r>
      <w:r>
        <w:t xml:space="preserve"> </w:t>
      </w:r>
      <w:hyperlink w:anchor="ref-1">
        <w:r>
          <w:rPr>
            <w:rStyle w:val="Hyperlink"/>
          </w:rPr>
          <w:t xml:space="preserve">[1]</w:t>
        </w:r>
      </w:hyperlink>
      <w:r>
        <w:t xml:space="preserve">. Third, the specification is deliberately parsimonious, three regressors against 28 observations, to keep degrees of freedom adequate and to avoid overfitting a modest sample. The estimator output, including coefficients, robust standard errors, test statistics, p-values, and confidence intervals, is reproduced in the embedded workbook so that any figure in the text traces to its source. The fitted model explains a majority of the cross-mission variance, with the joint F-test rejecting the null of no relationship, and both operational mechanisms are supported with confidence intervals bounded away from zero</w:t>
      </w:r>
      <w:r>
        <w:t xml:space="preserve"> </w:t>
      </w:r>
      <w:hyperlink w:anchor="ref-1">
        <w:r>
          <w:rPr>
            <w:rStyle w:val="Hyperlink"/>
          </w:rPr>
          <w:t xml:space="preserve">[1]</w:t>
        </w:r>
      </w:hyperlink>
      <w:r>
        <w:t xml:space="preserve">. These executed results are not re-derived here; the chapter records the estimator that produced them.</w:t>
      </w:r>
    </w:p>
    <w:bookmarkEnd w:id="103"/>
    <w:bookmarkStart w:id="104" w:name="X64b388374ab192c06d7dad165bc7b08ed0cc1db"/>
    <w:p>
      <w:pPr>
        <w:pStyle w:val="Heading2"/>
        <w:spacing w:line="480" w:lineRule="auto"/>
      </w:pPr>
      <w:r>
        <w:t xml:space="preserve">5.4 The Timing Estimator: Cox Proportional-Hazards on Time-to-Return</w:t>
      </w:r>
    </w:p>
    <w:p>
      <w:pPr>
        <w:pStyle w:val="FirstParagraph"/>
        <w:spacing w:line="480" w:lineRule="auto"/>
      </w:pPr>
      <w:r>
        <w:t xml:space="preserve">The timing analysis estimates a Cox proportional-hazards regression of the hazard of first material return on priority rank and program cost scale</w:t>
      </w:r>
      <w:r>
        <w:t xml:space="preserve"> </w:t>
      </w:r>
      <w:hyperlink w:anchor="ref-2">
        <w:r>
          <w:rPr>
            <w:rStyle w:val="Hyperlink"/>
          </w:rPr>
          <w:t xml:space="preserve">[2]</w:t>
        </w:r>
      </w:hyperlink>
      <w:r>
        <w:t xml:space="preserve">. The proportional-hazards form factors the hazard into a non-parametric baseline shared across programs and a multiplicative term exponential in the covariates, so that the rank coefficient is identified from the order in which programs reach return rather than from any assumed parametric shape of the baseline hazard</w:t>
      </w:r>
      <w:r>
        <w:t xml:space="preserve"> </w:t>
      </w:r>
      <w:hyperlink w:anchor="ref-2">
        <w:r>
          <w:rPr>
            <w:rStyle w:val="Hyperlink"/>
          </w:rPr>
          <w:t xml:space="preserve">[2]</w:t>
        </w:r>
      </w:hyperlink>
      <w:r>
        <w:t xml:space="preserve">. This is the decisive property for the present problem. The analyst does not know, and does not need to assume, the functional form by which a paper priority converts into an instrument on orbit; the partial likelihood conditions that form out and recovers the rank coefficient from the ranking of event times alone.</w:t>
      </w:r>
    </w:p>
    <w:p>
      <w:pPr>
        <w:pStyle w:val="BodyText"/>
        <w:spacing w:line="480" w:lineRule="auto"/>
        <w:ind w:firstLine="720"/>
      </w:pPr>
      <w:r>
        <w:t xml:space="preserve">The Cox estimator is selected over a count or linear-duration model for a reason that is structural rather than stylistic. The most informative observations in the timing sample are the programs that were prioritized and never built, the Uranus Orbiter and Probe, the Space Interferometry Mission, the Terrestrial Planet Finder, and the 2020s-decade flagship concepts still in development at the horizon</w:t>
      </w:r>
      <w:r>
        <w:t xml:space="preserve"> </w:t>
      </w:r>
      <w:hyperlink w:anchor="ref-2">
        <w:r>
          <w:rPr>
            <w:rStyle w:val="Hyperlink"/>
          </w:rPr>
          <w:t xml:space="preserve">[2]</w:t>
        </w:r>
      </w:hyperlink>
      <w:r>
        <w:t xml:space="preserve">. A magnitude regression on realized yield cannot see these programs, because they produced no yield to measure, and conditioning on having produced yield biases any rank-to-return estimate toward the optimistic conclusion that priorities deliver. The survival framing keeps them in the sample as right-censored observations: a program that had launched by the December 2025 horizon is coded as an event with duration equal to years from priority assignment to launch, and a program still in development, deferred, or cancelled is coded as censored with duration equal to the years observed without reaching return</w:t>
      </w:r>
      <w:r>
        <w:t xml:space="preserve"> </w:t>
      </w:r>
      <w:hyperlink w:anchor="ref-2">
        <w:r>
          <w:rPr>
            <w:rStyle w:val="Hyperlink"/>
          </w:rPr>
          <w:t xml:space="preserve">[2]</w:t>
        </w:r>
      </w:hyperlink>
      <w:r>
        <w:t xml:space="preserve">. Of the 28 programs, 14 are events and 14 are censored, so half the identifying information lives in the censored tail that a yield regression would discard. Cost scale enters as a control because large programs both attract priority and take longer to build, and omitting it would let a slow-build effect masquerade as a rank effect</w:t>
      </w:r>
      <w:r>
        <w:t xml:space="preserve"> </w:t>
      </w:r>
      <w:hyperlink w:anchor="ref-2">
        <w:r>
          <w:rPr>
            <w:rStyle w:val="Hyperlink"/>
          </w:rPr>
          <w:t xml:space="preserve">[2]</w:t>
        </w:r>
      </w:hyperlink>
      <w:r>
        <w:t xml:space="preserve">. The exponentiated rank coefficient is the hazard ratio, the multiplicative change in the instantaneous hazard of return for a one-step increase in rank number.</w:t>
      </w:r>
    </w:p>
    <w:p>
      <w:pPr>
        <w:pStyle w:val="BodyText"/>
        <w:spacing w:line="480" w:lineRule="auto"/>
        <w:ind w:firstLine="720"/>
      </w:pPr>
      <w:r>
        <w:t xml:space="preserve">The executed estimate is the falsifiable result the design committed to in either direction: the rank coefficient is negative, in the direction H1 predicts, with a hazard ratio below one, but its confidence interval crosses zero and it does not clear the conventional significance threshold, so the null that rank carries no timing information cannot be rejected on these 28 programs while program scale emerges as the sharper and nearly significant predictor</w:t>
      </w:r>
      <w:r>
        <w:t xml:space="preserve"> </w:t>
      </w:r>
      <w:hyperlink w:anchor="ref-2">
        <w:r>
          <w:rPr>
            <w:rStyle w:val="Hyperlink"/>
          </w:rPr>
          <w:t xml:space="preserve">[2]</w:t>
        </w:r>
      </w:hyperlink>
      <w:r>
        <w:t xml:space="preserve">. The chapter records the estimator; the verdict is reported as it fell.</w:t>
      </w:r>
    </w:p>
    <w:bookmarkEnd w:id="104"/>
    <w:bookmarkStart w:id="105" w:name="identification-strategy"/>
    <w:p>
      <w:pPr>
        <w:pStyle w:val="Heading2"/>
        <w:spacing w:line="480" w:lineRule="auto"/>
      </w:pPr>
      <w:r>
        <w:t xml:space="preserve">5.5 Identification Strategy</w:t>
      </w:r>
    </w:p>
    <w:p>
      <w:pPr>
        <w:pStyle w:val="FirstParagraph"/>
        <w:spacing w:line="480" w:lineRule="auto"/>
      </w:pPr>
      <w:r>
        <w:t xml:space="preserve">The identification problem is shared across both margins and is stated plainly: priority rank and operational design are not randomly assigned, so a naive regression of return on either conflates the predictive content of the attribute with confounders that drive both the attribute and the outcome. Two confounders dominate. Program scale is the first: large programs both attract priority and produce more raw yield, so an uncontrolled regression would credit prioritization with return that scale alone explains. Epoch is the second: sensing, processing, and indexing capability improve across decades, inflating later return independent of any attribute assigned at survey time.</w:t>
      </w:r>
    </w:p>
    <w:p>
      <w:pPr>
        <w:pStyle w:val="BodyText"/>
        <w:spacing w:line="480" w:lineRule="auto"/>
        <w:ind w:firstLine="720"/>
      </w:pPr>
      <w:r>
        <w:t xml:space="preserve">The strategy conditions on both, by different devices suited to each estimator. In the magnitude analysis, the observatory-class indicator and operational years jointly absorb the structural and scale variation, and the post-2000 launch indicator absorbs the epoch confound directly; the estimated coefficient on the era control is not statistically significant, which establishes that the lifetime and class effects are not artifacts of the literature’s digital expansion</w:t>
      </w:r>
      <w:r>
        <w:t xml:space="preserve"> </w:t>
      </w:r>
      <w:hyperlink w:anchor="ref-1">
        <w:r>
          <w:rPr>
            <w:rStyle w:val="Hyperlink"/>
          </w:rPr>
          <w:t xml:space="preserve">[1]</w:t>
        </w:r>
      </w:hyperlink>
      <w:r>
        <w:t xml:space="preserve">. In the timing analysis, cost scale enters explicitly as a covariate so that the rank coefficient is identified from within-scale variation in the order of return</w:t>
      </w:r>
      <w:r>
        <w:t xml:space="preserve"> </w:t>
      </w:r>
      <w:hyperlink w:anchor="ref-2">
        <w:r>
          <w:rPr>
            <w:rStyle w:val="Hyperlink"/>
          </w:rPr>
          <w:t xml:space="preserve">[2]</w:t>
        </w:r>
      </w:hyperlink>
      <w:r>
        <w:t xml:space="preserve">. Epoch was specified in the design as a third covariate but induced quasi-complete separation in estimation, because every program in the 2020s-decade cohort is right-censored at the horizon, which drives the epoch coefficient to a degenerate value and destabilizes the partial likelihood. The epoch term is therefore retained in the data for provenance and treated as a discussed confound, while the common December 2025 censoring horizon absorbs the capability-growth confound structurally: every program is observed against the same calendar cutoff regardless of cohort, so the differential maturation of cohorts is handled by the censoring rather than by a covariate that the data cannot support</w:t>
      </w:r>
      <w:r>
        <w:t xml:space="preserve"> </w:t>
      </w:r>
      <w:hyperlink w:anchor="ref-2">
        <w:r>
          <w:rPr>
            <w:rStyle w:val="Hyperlink"/>
          </w:rPr>
          <w:t xml:space="preserve">[2]</w:t>
        </w:r>
      </w:hyperlink>
      <w:r>
        <w:t xml:space="preserve">.</w:t>
      </w:r>
    </w:p>
    <w:p>
      <w:pPr>
        <w:pStyle w:val="BodyText"/>
        <w:spacing w:line="480" w:lineRule="auto"/>
        <w:ind w:firstLine="720"/>
      </w:pPr>
      <w:r>
        <w:t xml:space="preserve">The deeper identifying assumption is that the outcome is governed by a tasking-and-scheduling layer whose value-of-information behavior is documented independently of any decadal survey. The space-domain-awareness literature establishes that observational yield is the output of an optimization layer allocating finite sensor time against competing targets on value-of-information grounds [1 of the timing pool], that this layer extracts usable signal even from heterogeneous and non-traditional sensor networks [2 of the timing pool], and that the scheduling solutions can be characterized for optimality [3 of the timing pool]. That layer determines how much usable observation a program of a given scale returns on grounds that have nothing to do with the survey priority rank, which is precisely what makes the rank-to-return test clean rather than circular. The Earth-observation economics literature establishes in parallel that the value of an observation data product is a measurable property of the realized product rather than an assumed property of the program that commissioned it</w:t>
      </w:r>
      <w:r>
        <w:t xml:space="preserve"> </w:t>
      </w:r>
      <w:hyperlink w:anchor="ref-4">
        <w:r>
          <w:rPr>
            <w:rStyle w:val="Hyperlink"/>
          </w:rPr>
          <w:t xml:space="preserve">[4]</w:t>
        </w:r>
      </w:hyperlink>
      <w:r>
        <w:t xml:space="preserve">, anchoring the outcome in a documented value mechanism rather than in survey self-report. Because the outcome’s two governing mechanisms, throughput and value, are characterized exogenously, the regression of return on rank is identified against an outcome that the prioritization apparatus did not itself define. The research-investment and space-economy literatures establish that prioritized investment is consequential in aggregate and that value capture requires deliberate prior investment in enabling capability</w:t>
      </w:r>
      <w:r>
        <w:t xml:space="preserve"> </w:t>
      </w:r>
      <w:hyperlink w:anchor="ref-5">
        <w:r>
          <w:rPr>
            <w:rStyle w:val="Hyperlink"/>
          </w:rPr>
          <w:t xml:space="preserve">[5]</w:t>
        </w:r>
      </w:hyperlink>
      <w:r>
        <w:t xml:space="preserve">[6][7], which motivates the parent question without supplying the program-by-program test the estimators perform.</w:t>
      </w:r>
    </w:p>
    <w:bookmarkEnd w:id="105"/>
    <w:bookmarkStart w:id="106"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Four threats are material, and each is bounded by a specific design feature rather than by assertion.</w:t>
      </w:r>
    </w:p>
    <w:p>
      <w:pPr>
        <w:pStyle w:val="BodyText"/>
        <w:spacing w:line="480" w:lineRule="auto"/>
        <w:ind w:firstLine="720"/>
      </w:pPr>
      <w:r>
        <w:t xml:space="preserve">The first is survivorship. Programs that were deprioritized may never have been built, censoring the low-priority tail of the return distribution and biasing the magnitude estimate toward H1. This is bounded by the timing analysis itself, whose Cox specification keeps the unbuilt and not-yet-built programs as right-censored observations rather than dropping them</w:t>
      </w:r>
      <w:r>
        <w:t xml:space="preserve"> </w:t>
      </w:r>
      <w:hyperlink w:anchor="ref-2">
        <w:r>
          <w:rPr>
            <w:rStyle w:val="Hyperlink"/>
          </w:rPr>
          <w:t xml:space="preserve">[2]</w:t>
        </w:r>
      </w:hyperlink>
      <w:r>
        <w:t xml:space="preserve">. The fourteen censored programs are the most prominently prioritized concepts of recent surveys together with several high-priority missions of earlier decades that were never built, and retaining them holds the prioritization apparatus accountable for the programs it ranked highly and did not deliver</w:t>
      </w:r>
      <w:r>
        <w:t xml:space="preserve"> </w:t>
      </w:r>
      <w:hyperlink w:anchor="ref-2">
        <w:r>
          <w:rPr>
            <w:rStyle w:val="Hyperlink"/>
          </w:rPr>
          <w:t xml:space="preserve">[2]</w:t>
        </w:r>
      </w:hyperlink>
      <w:r>
        <w:t xml:space="preserve">. The survivorship threat is therefore not merely acknowledged but converted into the identifying variation of the second estimator: the cases a yield regression would discard carry half the timing information.</w:t>
      </w:r>
    </w:p>
    <w:p>
      <w:pPr>
        <w:pStyle w:val="BodyText"/>
        <w:spacing w:line="480" w:lineRule="auto"/>
        <w:ind w:firstLine="720"/>
      </w:pPr>
      <w:r>
        <w:t xml:space="preserve">The second is outcome construction. If realized return were measured on a scale that itself reflects prioritization, so that more-prioritized programs receive richer downstream instrumentation, the outcome would be contaminated by the covariate. This is bounded by anchoring the outcome in mechanisms documented independently of prioritization. The magnitude analysis applies a single uniform refereed-inclusion rule across all facilities, drawn from one bibliometric census, so that counts are comparable across missions and the inclusion rule is not a function of rank</w:t>
      </w:r>
      <w:r>
        <w:t xml:space="preserve"> </w:t>
      </w:r>
      <w:hyperlink w:anchor="ref-1">
        <w:r>
          <w:rPr>
            <w:rStyle w:val="Hyperlink"/>
          </w:rPr>
          <w:t xml:space="preserve">[1]</w:t>
        </w:r>
      </w:hyperlink>
      <w:r>
        <w:t xml:space="preserve">. The throughput normalization that converts raw yield into yield-per-unit-capacity is taken from the independently documented tasking-and-scheduling record rather than from any prioritization-linked metric, which removes the portion of yield mechanically attributable to having more sensor time rather than to better prior prioritization</w:t>
      </w:r>
      <w:r>
        <w:t xml:space="preserve"> </w:t>
      </w:r>
      <w:hyperlink w:anchor="ref-1">
        <w:r>
          <w:rPr>
            <w:rStyle w:val="Hyperlink"/>
          </w:rPr>
          <w:t xml:space="preserve">[1]</w:t>
        </w:r>
      </w:hyperlink>
      <w:r>
        <w:t xml:space="preserve">[2][3]. The contamination threat is bounded by construction: the scale on which the outcome is measured is set by the throughput and census layers, not by the survey.</w:t>
      </w:r>
    </w:p>
    <w:p>
      <w:pPr>
        <w:pStyle w:val="BodyText"/>
        <w:spacing w:line="480" w:lineRule="auto"/>
        <w:ind w:firstLine="720"/>
      </w:pPr>
      <w:r>
        <w:t xml:space="preserve">The third is epoch confounding. Capability growth across decades could masquerade as an attribute effect. This is bounded in the magnitude analysis by the post-2000 launch indicator, whose estimated coefficient is insignificant once lifetime and class are included, demonstrating that the structural results do not rest on the literature’s digital expansion</w:t>
      </w:r>
      <w:r>
        <w:t xml:space="preserve"> </w:t>
      </w:r>
      <w:hyperlink w:anchor="ref-1">
        <w:r>
          <w:rPr>
            <w:rStyle w:val="Hyperlink"/>
          </w:rPr>
          <w:t xml:space="preserve">[1]</w:t>
        </w:r>
      </w:hyperlink>
      <w:r>
        <w:t xml:space="preserve">. It is bounded in the timing analysis by the common 2025 censoring horizon, which holds every program to the same calendar cutoff and so absorbs differential cohort maturation structurally even where the epoch covariate itself could not be estimated</w:t>
      </w:r>
      <w:r>
        <w:t xml:space="preserve"> </w:t>
      </w:r>
      <w:hyperlink w:anchor="ref-2">
        <w:r>
          <w:rPr>
            <w:rStyle w:val="Hyperlink"/>
          </w:rPr>
          <w:t xml:space="preserve">[2]</w:t>
        </w:r>
      </w:hyperlink>
      <w:r>
        <w:t xml:space="preserve">. The quasi-complete separation on epoch is itself a finding rather than a nuisance: that every 2020s-cohort flagship remains censored is the strongest single piece of evidence that the most recent priorities have not yet converted to return, and a longer observation window will resolve whether they eventually do</w:t>
      </w:r>
      <w:r>
        <w:t xml:space="preserve"> </w:t>
      </w:r>
      <w:hyperlink w:anchor="ref-2">
        <w:r>
          <w:rPr>
            <w:rStyle w:val="Hyperlink"/>
          </w:rPr>
          <w:t xml:space="preserve">[2]</w:t>
        </w:r>
      </w:hyperlink>
      <w:r>
        <w:t xml:space="preserve">.</w:t>
      </w:r>
    </w:p>
    <w:p>
      <w:pPr>
        <w:pStyle w:val="BodyText"/>
        <w:spacing w:line="480" w:lineRule="auto"/>
        <w:ind w:firstLine="720"/>
      </w:pPr>
      <w:r>
        <w:t xml:space="preserve">The fourth is construct validity of rank. Priority rank is ordinal and its spacing is not uniform across surveys, so a cardinal coefficient could misstate magnitude. This is bounded by re-estimating with rank entered ordinally and by a permutation placebo that substitutes a randomly permuted rank for the true rank and confirms the estimated coefficient collapses toward zero under permutation, which bounds how much of any estimated effect could arise from rank structure alone. The placebo and permutation checks are the design’s internal falsification of its own estimator, and they pair with the robustness re-estimations within method family and within observing regime to confine the reported coefficient to variation that genuinely tracks priority rather than the encoding of priority.</w:t>
      </w:r>
    </w:p>
    <w:p>
      <w:pPr>
        <w:pStyle w:val="BodyText"/>
        <w:spacing w:line="480" w:lineRule="auto"/>
        <w:ind w:firstLine="720"/>
      </w:pPr>
      <w:r>
        <w:t xml:space="preserve">A residual category remains. Confounding that survives all four controls would weaken, but not invalidate, the sign of the verdict on the null, because the verdict rests on a coefficient and an interval that the conditioning set has already purged of the dominant confounders. The executed timing analysis exhibits the honest form of this residual: with 28 programs and 14 events the design is underpowered to detect a rank effect of the magnitude the point estimate suggests, so a coefficient that is real in sign but imprecise in magnitude is reported as exactly that, with the explicit note that a sample two to three times larger would resolve it if the effect held</w:t>
      </w:r>
      <w:r>
        <w:t xml:space="preserve"> </w:t>
      </w:r>
      <w:hyperlink w:anchor="ref-2">
        <w:r>
          <w:rPr>
            <w:rStyle w:val="Hyperlink"/>
          </w:rPr>
          <w:t xml:space="preserve">[2]</w:t>
        </w:r>
      </w:hyperlink>
      <w:r>
        <w:t xml:space="preserve">. Underpowering is bounded by transparency rather than by overclaiming, which is the only defensible treatment when the population of ranked programs is itself small.</w:t>
      </w:r>
    </w:p>
    <w:bookmarkEnd w:id="106"/>
    <w:bookmarkStart w:id="107" w:name="provenance-discipline"/>
    <w:p>
      <w:pPr>
        <w:pStyle w:val="Heading2"/>
        <w:spacing w:line="480" w:lineRule="auto"/>
      </w:pPr>
      <w:r>
        <w:t xml:space="preserve">5.7 Provenance Discipline</w:t>
      </w:r>
    </w:p>
    <w:p>
      <w:pPr>
        <w:pStyle w:val="FirstParagraph"/>
        <w:spacing w:line="480" w:lineRule="auto"/>
      </w:pPr>
      <w:r>
        <w:t xml:space="preserve">The identification strategy depends on the three data layers remaining independent, so provenance is treated as a methodological control rather than as bookkeeping. The priority-rank layer is constructed from the published consensus decadal surveys and the competed announcement-of-opportunity selection orders, which are public consensus-study documents with recorded program rankings at known survey dates, supplying the ex-ante covariate directly from the survey text</w:t>
      </w:r>
      <w:r>
        <w:t xml:space="preserve"> </w:t>
      </w:r>
      <w:hyperlink w:anchor="ref-2">
        <w:r>
          <w:rPr>
            <w:rStyle w:val="Hyperlink"/>
          </w:rPr>
          <w:t xml:space="preserve">[2]</w:t>
        </w:r>
      </w:hyperlink>
      <w:r>
        <w:t xml:space="preserve">. The realized-return layers are constructed downstream and independently: the refereed-publication census supplies the magnitude outcome under a single uniform inclusion rule</w:t>
      </w:r>
      <w:r>
        <w:t xml:space="preserve"> </w:t>
      </w:r>
      <w:hyperlink w:anchor="ref-1">
        <w:r>
          <w:rPr>
            <w:rStyle w:val="Hyperlink"/>
          </w:rPr>
          <w:t xml:space="preserve">[1]</w:t>
        </w:r>
      </w:hyperlink>
      <w:r>
        <w:t xml:space="preserve">, the tasking-and-scheduling record supplies the throughput model used to normalize yield into yield-per-unit-capacity</w:t>
      </w:r>
      <w:r>
        <w:t xml:space="preserve"> </w:t>
      </w:r>
      <w:hyperlink w:anchor="ref-1">
        <w:r>
          <w:rPr>
            <w:rStyle w:val="Hyperlink"/>
          </w:rPr>
          <w:t xml:space="preserve">[1]</w:t>
        </w:r>
      </w:hyperlink>
      <w:r>
        <w:t xml:space="preserve">[2][3], and the Earth-observation data-value characterization validates that realized yield maps to realized informational value, obtainable by DOI</w:t>
      </w:r>
      <w:r>
        <w:t xml:space="preserve"> </w:t>
      </w:r>
      <w:hyperlink w:anchor="ref-4">
        <w:r>
          <w:rPr>
            <w:rStyle w:val="Hyperlink"/>
          </w:rPr>
          <w:t xml:space="preserve">[4]</w:t>
        </w:r>
      </w:hyperlink>
      <w:r>
        <w:t xml:space="preserve">. Every row of every analysis carries its own source in the final column of its data file, mission launch records and press kits for dates and costs, the named survey volumes for ranks, and the competed-selection announcements for the orderings, and where a program is a pre-formulation concept with no released cost baseline the value is marked illustrative and confined to under eleven percent of the timing sample, with no rank, duration, or event value ever illustrative</w:t>
      </w:r>
      <w:r>
        <w:t xml:space="preserve"> </w:t>
      </w:r>
      <w:hyperlink w:anchor="ref-1">
        <w:r>
          <w:rPr>
            <w:rStyle w:val="Hyperlink"/>
          </w:rPr>
          <w:t xml:space="preserve">[1]</w:t>
        </w:r>
      </w:hyperlink>
      <w:r>
        <w:t xml:space="preserve">[2]. Only sources retrieved in the grounding sweep are admitted, and each is logged with its corpus of origin for audit. This discipline is what allows the central regression to be read as a test of whether priorities set ex ante track return realized ex post, rather than as a circular restatement of a single self-reporting record.</w:t>
      </w:r>
    </w:p>
    <w:bookmarkEnd w:id="107"/>
    <w:bookmarkEnd w:id="108"/>
    <w:bookmarkStart w:id="119" w:name="chapter-6.-results"/>
    <w:p>
      <w:pPr>
        <w:pStyle w:val="Heading1"/>
        <w:spacing w:line="480" w:lineRule="auto"/>
      </w:pPr>
      <w:r>
        <w:t xml:space="preserve">Chapter 6. Results</w:t>
      </w:r>
    </w:p>
    <w:p>
      <w:pPr>
        <w:pStyle w:val="FirstParagraph"/>
        <w:spacing w:line="480" w:lineRule="auto"/>
      </w:pPr>
      <w:r>
        <w:t xml:space="preserve">This chapter reports the estimated results of the two empirical studies that constitute the dissertation’s evidentiary core. The first study estimates, by ordinary least squares, how the realized scientific return of a flying mission varies with its operational characteristics. The second study estimates, by Cox proportional-hazards regression, whether the priority rank assigned to a program at survey time predicts how quickly that program reaches its first material return. Together the two studies test the load-bearing presumption that animates the prioritization apparatus on two distinct margins, magnitude and timing, and they return two distinct verdicts. The presentation below proceeds estimator by estimator. For each, I state the fitted model and its global fit, then interpret every coefficient in turn by sign, by magnitude, by precision, and by what the estimate licenses one to conclude. Tables, formulas, charts, and the underlying data are reproduced in Appendix A and are not reproduced here; the discussion confines itself to the estimated quantities and their interpretation. No quantity is stated in this chapter that does not appear in the estimator output.</w:t>
      </w:r>
    </w:p>
    <w:bookmarkStart w:id="109" w:name="Xb08a55d890d4417c0f79114dfea93077ed2e7fc"/>
    <w:p>
      <w:pPr>
        <w:pStyle w:val="Heading2"/>
        <w:spacing w:line="480" w:lineRule="auto"/>
      </w:pPr>
      <w:r>
        <w:t xml:space="preserve">6.1 The Cross-Mission Yield Model: Specification and Global Fit</w:t>
      </w:r>
    </w:p>
    <w:p>
      <w:pPr>
        <w:pStyle w:val="FirstParagraph"/>
        <w:spacing w:line="480" w:lineRule="auto"/>
      </w:pPr>
      <w:r>
        <w:t xml:space="preserve">The first study estimates a linear model of realized scientific return across a cross-section of twenty-eight space science missions. The dependent variable is the total count of refereed publications that make direct use of a mission’s data, a quantity that agencies treat as the standard observable proxy for cumulative scientific return and that they count internally to justify continued operation at senior review [1, 2]. The regressors are three: the operational lifetime of the mission in years; a binary indicator distinguishing open-time observatory and survey facilities from targeted single-purpose probes; and a binary indicator marking missions launched in the year 2000 or later, included as a nuisance control for the expansion of the indexed literature rather than as a structural claim. The estimator is ordinary least squares with heteroskedasticity-consistent (HC1) standard errors, a choice dictated by the evident heteroskedasticity of a cross-section that mixes short-lived probes returning fewer than one hundred publications with flagship observatories returning more than nineteen thousand</w:t>
      </w:r>
      <w:r>
        <w:t xml:space="preserve"> </w:t>
      </w:r>
      <w:hyperlink w:anchor="ref-1">
        <w:r>
          <w:rPr>
            <w:rStyle w:val="Hyperlink"/>
          </w:rPr>
          <w:t xml:space="preserve">[1]</w:t>
        </w:r>
      </w:hyperlink>
      <w:r>
        <w:t xml:space="preserve">.</w:t>
      </w:r>
    </w:p>
    <w:p>
      <w:pPr>
        <w:pStyle w:val="BodyText"/>
        <w:spacing w:line="480" w:lineRule="auto"/>
        <w:ind w:firstLine="720"/>
      </w:pPr>
      <w:r>
        <w:t xml:space="preserve">The global fit of the model is strong for a cross-section of this size and parsimony. The coefficient of determination is 0.583, and the adjusted coefficient of determination, which penalizes the three degrees of freedom consumed by the regressors against twenty-eight observations, is 0.531. The model therefore accounts for a clear majority of the cross-mission variance in realized return, and the adjustment for model complexity erodes that share only modestly, from 0.583 to 0.531, which indicates that the explained variance is not an artifact of overfitting a small sample with too many parameters. The joint F-test of the hypothesis that all three slope coefficients are simultaneously zero returns an F-statistic of 5.91 with an associated p-value of 0.0036. The null of no relationship is rejected at the one-percent level. The three operational regressors, taken together, carry real and statistically robust information about how much science a mission returns.</w:t>
      </w:r>
    </w:p>
    <w:p>
      <w:pPr>
        <w:pStyle w:val="BodyText"/>
        <w:spacing w:line="480" w:lineRule="auto"/>
        <w:ind w:firstLine="720"/>
      </w:pPr>
      <w:r>
        <w:t xml:space="preserve">That the model explains a majority of the variance is itself the first substantive finding, and it is worth dwelling on before the individual coefficients are read. Realized scientific return, in this cross-section, is not idiosyncratic. It is not dominated by the unmodeled particulars of each mission, by the luck of a given discovery, or by the intrinsic interest of a given target. A specification with only three operational attributes, two of them structural and one of them a control, recovers more than half of the observed dispersion in publication yield. This is the empirical foundation on which the cliometric argument of the dissertation rests: if realized return were essentially unpredictable from operational design, there would be no forecastable share of return for priority-setting to capture or to leave on the table. The fit establishes that a forecastable share exists and that it is large.</w:t>
      </w:r>
    </w:p>
    <w:bookmarkEnd w:id="109"/>
    <w:bookmarkStart w:id="110" w:name="X9fd772c6eec163c0d2a7d522ed4be9e78313716"/>
    <w:p>
      <w:pPr>
        <w:pStyle w:val="Heading2"/>
        <w:spacing w:line="480" w:lineRule="auto"/>
      </w:pPr>
      <w:r>
        <w:t xml:space="preserve">6.2 Operational Lifetime as a Predictor of Realized Return</w:t>
      </w:r>
    </w:p>
    <w:p>
      <w:pPr>
        <w:pStyle w:val="FirstParagraph"/>
        <w:spacing w:line="480" w:lineRule="auto"/>
      </w:pPr>
      <w:r>
        <w:t xml:space="preserve">Consider operational years first. The coefficient on that regressor is 298.96, with a robust standard error of 111.31 and a p-value of 0.0072. The estimate is positive, statistically significant at the one-percent level, and substantively large. Read directly, each additional year of operational life is associated with approximately 299 additional refereed publications, holding mission class and launch era fixed. The ninety-five percent confidence interval, formed on the robust standard error, runs from roughly 80.8 to 517.1 additional publications per year. The entire interval lies above zero, and its lower bound, near 81 publications per operating year, is itself a non-trivial quantity. Even the most conservative reading consistent with the data attributes a material publication dividend to longevity.</w:t>
      </w:r>
    </w:p>
    <w:p>
      <w:pPr>
        <w:pStyle w:val="BodyText"/>
        <w:spacing w:line="480" w:lineRule="auto"/>
        <w:ind w:firstLine="720"/>
      </w:pPr>
      <w:r>
        <w:t xml:space="preserve">This is direct support for the first hypothesis of the study, that realized science return rises with operational lifetime. The mechanism the result confirms is the exposure-time mechanism articulated in the theory: a mission that operates longer accumulates more observations, deeper archives, and more opportunities for the community to convert data into refereed results, and publication activity from a mission characteristically persists for years after the operational phase has ended</w:t>
      </w:r>
      <w:r>
        <w:t xml:space="preserve"> </w:t>
      </w:r>
      <w:hyperlink w:anchor="ref-1">
        <w:r>
          <w:rPr>
            <w:rStyle w:val="Hyperlink"/>
          </w:rPr>
          <w:t xml:space="preserve">[1]</w:t>
        </w:r>
      </w:hyperlink>
      <w:r>
        <w:t xml:space="preserve">. The magnitude is consequential when set against the scale of the dependent variable. For the short-lived targeted probes at the low end of the sample, which return on the order of tens to low hundreds of publications across their lifetimes, an effect of roughly 299 publications per operating year is of the same order as the total realized return of such a mission. Longevity, on this evidence, is not a marginal contributor to return but a first-order driver of it.</w:t>
      </w:r>
    </w:p>
    <w:p>
      <w:pPr>
        <w:pStyle w:val="BodyText"/>
        <w:spacing w:line="480" w:lineRule="auto"/>
        <w:ind w:firstLine="720"/>
      </w:pPr>
      <w:r>
        <w:t xml:space="preserve">The precision of the estimate deserves comment because it bears on how the result should be used. The robust standard error of 111.31 against a point estimate of 298.96 yields a ratio of estimate to standard error of roughly 2.7, comfortably clearing the conventional threshold and consistent with the p-value of 0.0072. The width of the confidence interval, from about 81 to about 517, is wide in absolute terms, which reflects the modest sample and the heteroskedasticity that the robust errors are designed to accommodate. The appropriate reading is therefore directional and ordinal rather than point-precise: the data establish with confidence that the lifetime effect is positive and large, while the exact publications-per-year figure should be treated as a central estimate within a broad but strictly positive band. For the purpose to which the cliometric argument puts the result, namely demonstrating that a forecastable operational lever on return exists, the directional certainty is what matters, and the directional certainty is secure.</w:t>
      </w:r>
    </w:p>
    <w:bookmarkEnd w:id="110"/>
    <w:bookmarkStart w:id="111" w:name="mission-class-as-the-dominant-predictor"/>
    <w:p>
      <w:pPr>
        <w:pStyle w:val="Heading2"/>
        <w:spacing w:line="480" w:lineRule="auto"/>
      </w:pPr>
      <w:r>
        <w:t xml:space="preserve">6.3 Mission Class as the Dominant Predictor</w:t>
      </w:r>
    </w:p>
    <w:p>
      <w:pPr>
        <w:pStyle w:val="FirstParagraph"/>
        <w:spacing w:line="480" w:lineRule="auto"/>
      </w:pPr>
      <w:r>
        <w:t xml:space="preserve">Mission class dominates. The coefficient on the observatory-class indicator is 2576.12, with a robust standard error of 823.00 and a p-value of 0.0017. This is the largest coefficient in the model and the most statistically secure of the two structural effects, significant at better than the one-percent level. Holding operational lifetime and launch era constant, an open-time observatory or survey facility is associated with approximately 2576 more refereed publications than an otherwise comparable targeted single-purpose mission. The ninety-five percent confidence interval runs from roughly 963.0 to 4189.2 additional publications. As with the lifetime coefficient, the entire interval lies above zero, and even its lower bound, near 963 publications, exceeds the total lifetime publication return of most of the targeted probes in the sample.</w:t>
      </w:r>
    </w:p>
    <w:p>
      <w:pPr>
        <w:pStyle w:val="BodyText"/>
        <w:spacing w:line="480" w:lineRule="auto"/>
        <w:ind w:firstLine="720"/>
      </w:pPr>
      <w:r>
        <w:t xml:space="preserve">This is strong support for the second hypothesis, that open-time observatory and survey missions yield higher realized return than targeted single-purpose missions at fixed lifetime. The result confirms the community-breadth mechanism developed in the theory: facilities that distribute their data to a competitive general community of independent investigators convert a given quantity of observation into many more refereed results than missions that serve a single focused team built around one target [1, 4]. An open observatory makes a rich scientific resource available to the broad community, multiplying the number of investigators who can independently turn the data into papers</w:t>
      </w:r>
      <w:r>
        <w:t xml:space="preserve"> </w:t>
      </w:r>
      <w:hyperlink w:anchor="ref-4">
        <w:r>
          <w:rPr>
            <w:rStyle w:val="Hyperlink"/>
          </w:rPr>
          <w:t xml:space="preserve">[4]</w:t>
        </w:r>
      </w:hyperlink>
      <w:r>
        <w:t xml:space="preserve">. The cross-section quantifies the size of that multiplication, and the size is large. The class effect of roughly 2576 publications is more than eight times the per-year lifetime effect of roughly 299 publications, which means that the architectural decision to operate a mission as an open community facility rather than a closed targeted probe is, on this evidence, worth on the order of eight years of additional operational life in publication terms.</w:t>
      </w:r>
    </w:p>
    <w:p>
      <w:pPr>
        <w:pStyle w:val="BodyText"/>
        <w:spacing w:line="480" w:lineRule="auto"/>
        <w:ind w:firstLine="720"/>
      </w:pPr>
      <w:r>
        <w:t xml:space="preserve">The comparison between the two structural coefficients is itself a finding, and it sharpens the dissertation’s portfolio argument. Both levers, lifetime and openness, are partly within the control of operations and data policy after a mission has been selected, and both are estimated here to carry large, significant, positive associations with realized return. But the openness lever dominates the lifetime lever by roughly an order of magnitude per unit. The class coefficient of 2576.12 is not only larger in the point estimate than the lifetime coefficient of 298.96; its confidence interval, from about 963 to about 4189, sits almost entirely above the lifetime interval of about 81 to 517. The two effects are statistically distinguishable in magnitude, not merely both positive. A priority-setting process that scored missions only on the intrinsic interest of their targets would capture neither lever, and would in particular fail to capture the larger of the two.</w:t>
      </w:r>
    </w:p>
    <w:bookmarkEnd w:id="111"/>
    <w:bookmarkStart w:id="112" w:name="the-launch-era-control"/>
    <w:p>
      <w:pPr>
        <w:pStyle w:val="Heading2"/>
        <w:spacing w:line="480" w:lineRule="auto"/>
      </w:pPr>
      <w:r>
        <w:t xml:space="preserve">6.4 The Launch-Era Control</w:t>
      </w:r>
    </w:p>
    <w:p>
      <w:pPr>
        <w:pStyle w:val="FirstParagraph"/>
        <w:spacing w:line="480" w:lineRule="auto"/>
      </w:pPr>
      <w:r>
        <w:t xml:space="preserve">Now the control. The coefficient on the post-2000 launch indicator is 764.36, with a robust standard error of 927.56 and a p-value of 0.41. The estimate is positive in sign but statistically indistinguishable from zero. Its robust standard error of 927.56 exceeds the point estimate of 764.36, the ratio of estimate to standard error is below unity, and the ninety-five percent confidence interval runs from roughly negative 1053.7 to positive 2582.4, comfortably spanning zero. Once operational lifetime and mission class are held fixed, the era in which a mission was launched carries no independent explanatory power for its realized publication return.</w:t>
      </w:r>
    </w:p>
    <w:p>
      <w:pPr>
        <w:pStyle w:val="BodyText"/>
        <w:spacing w:line="480" w:lineRule="auto"/>
        <w:ind w:firstLine="720"/>
      </w:pPr>
      <w:r>
        <w:t xml:space="preserve">This null on the control is a constructive result rather than a disappointment, and its role in the argument is to protect the two structural findings. The era indicator was included to absorb a specific confound: the digital expansion of the abstract-indexed literature after the year 2000, which could inflate the recorded publication counts of newer missions independent of their scientific merit</w:t>
      </w:r>
      <w:r>
        <w:t xml:space="preserve"> </w:t>
      </w:r>
      <w:hyperlink w:anchor="ref-1">
        <w:r>
          <w:rPr>
            <w:rStyle w:val="Hyperlink"/>
          </w:rPr>
          <w:t xml:space="preserve">[1]</w:t>
        </w:r>
      </w:hyperlink>
      <w:r>
        <w:t xml:space="preserve">. Had that confound been driving the cross-mission pattern, the era coefficient would have absorbed substantial signal and the structural coefficients on lifetime and class would have weakened correspondingly. They do not. The era effect is small relative to its own noise and is statistically absent once the operational attributes are accounted for. The lifetime and class results are therefore not artifacts of when their missions happened to fly; they reflect operational design rather than the era of the literature in which their output was indexed. The control did the work it was placed in the model to do, and in returning a clean null it strengthens the structural reading of the other two coefficients.</w:t>
      </w:r>
    </w:p>
    <w:bookmarkEnd w:id="112"/>
    <w:bookmarkStart w:id="113" w:name="the-intercept"/>
    <w:p>
      <w:pPr>
        <w:pStyle w:val="Heading2"/>
        <w:spacing w:line="480" w:lineRule="auto"/>
      </w:pPr>
      <w:r>
        <w:t xml:space="preserve">6.5 The Intercept</w:t>
      </w:r>
    </w:p>
    <w:p>
      <w:pPr>
        <w:pStyle w:val="FirstParagraph"/>
        <w:spacing w:line="480" w:lineRule="auto"/>
      </w:pPr>
      <w:r>
        <w:t xml:space="preserve">The intercept is estimated at negative 2660.87, with a robust standard error of 1697.59 and a p-value of 0.117. It is negative and not individually significant, with a confidence interval running from roughly negative 5988.1 to positive 666.4. This value is expected and is not substantively interpretable. The intercept corresponds to the predicted publication return of a hypothetical mission with zero operational years, no observatory status, and a pre-2000 launch, a combination that lies outside the support of the data: no real mission in the sample operates for zero years. A negative fitted value at an unobserved corner of the regressor space is an ordinary feature of a linear specification fitted to a cross-section whose mass lies well away from the origin, and it carries no implication that any mission returns a negative number of publications. The intercept is reported for completeness and for the reconstruction of fitted values; it is not a quantity from which any scientific conclusion is drawn.</w:t>
      </w:r>
    </w:p>
    <w:bookmarkEnd w:id="113"/>
    <w:bookmarkStart w:id="114" w:name="summary-of-the-yield-study"/>
    <w:p>
      <w:pPr>
        <w:pStyle w:val="Heading2"/>
        <w:spacing w:line="480" w:lineRule="auto"/>
      </w:pPr>
      <w:r>
        <w:t xml:space="preserve">6.6 Summary of the Yield Study</w:t>
      </w:r>
    </w:p>
    <w:p>
      <w:pPr>
        <w:pStyle w:val="FirstParagraph"/>
        <w:spacing w:line="480" w:lineRule="auto"/>
      </w:pPr>
      <w:r>
        <w:t xml:space="preserve">The yield study returns an unambiguous verdict on its two hypotheses. Operational lifetime predicts realized return: the effect is positive, significant at the one-percent level, and large, at roughly 299 publications per operating year with a strictly positive confidence interval. Mission class predicts realized return even more strongly: open observatory and survey facilities return roughly 2576 more publications than targeted probes at fixed lifetime, the largest and most precisely signed effect in the model. The launch-era control is null, which immunizes both structural findings against the literature-expansion confound. The model as a whole explains a clear majority of the cross-mission variance, with an R-squared of 0.583 and an F-test rejecting the no-relationship null at p equal to 0.0036. The cliometric reading is that realized scientific return is substantially predictable from operational design, and that two of its largest determinants, how long a mission operates and whether it serves a broad community through open data, are partly set after the original priority ranking and are therefore not captured by a ranking expressed only as an ordering of targets [2, 3, 5].</w:t>
      </w:r>
    </w:p>
    <w:bookmarkEnd w:id="114"/>
    <w:bookmarkStart w:id="115" w:name="Xd5a77420b7eeb98029cdbca01af0ea43d5cadba"/>
    <w:p>
      <w:pPr>
        <w:pStyle w:val="Heading2"/>
        <w:spacing w:line="480" w:lineRule="auto"/>
      </w:pPr>
      <w:r>
        <w:t xml:space="preserve">6.7 The Timing Model: Specification and Estimation Set</w:t>
      </w:r>
    </w:p>
    <w:p>
      <w:pPr>
        <w:pStyle w:val="FirstParagraph"/>
        <w:spacing w:line="480" w:lineRule="auto"/>
      </w:pPr>
      <w:r>
        <w:t xml:space="preserve">The second study turns from the magnitude of realized return to its timing, and from the cross-section of flying missions to the population of ranked programs, built and unbuilt alike. The unit of analysis is a ranked NASA observation or mission program, and the sample comprises twenty-eight programs drawn from the published consensus decadal surveys and from the competed announcement-of-opportunity selections that operationalize decadal guidance. The outcome is the duration in years from the assignment of a priority to a program’s first material return, the launch that converts a paper priority into an instrument on orbit, together with an event indicator distinguishing programs that reached return within the observation window from those that did not. Of the twenty-eight programs, fourteen reached first material return by the December 2025 horizon and are coded as events; the remaining fourteen, programs still in development, deferred, or cancelled at the horizon, are coded as right-censored. The estimation set is therefore twenty-eight observations carrying fourteen events.</w:t>
      </w:r>
    </w:p>
    <w:p>
      <w:pPr>
        <w:pStyle w:val="BodyText"/>
        <w:spacing w:line="480" w:lineRule="auto"/>
        <w:ind w:firstLine="720"/>
      </w:pPr>
      <w:r>
        <w:t xml:space="preserve">The estimator is a Cox proportional-hazards regression of the hazard of first material return on two covariates: the priority rank assigned to the program at survey time, coded so that a lower rank number denotes higher priority, and the program lifecycle cost scale in billions of dollars. The proportional-hazards form factors the hazard into a non-parametric baseline shared across programs and a multiplicative term exponential in the covariates, so that the rank coefficient is identified from the order in which programs reach return rather than from any assumed shape of the baseline hazard. Cost scale enters as a control because large programs both attract priority and take longer to build, and omitting it would permit a slow-build effect to masquerade as a rank effect. Survey epoch was specified in the design as a third covariate to absorb capability growth across decades, but in estimation it induced quasi-complete separation, because every program in the most recent survey cohort is right-censored at the horizon; the epoch term was therefore excluded from the fitted covariate set, with the common 2025 censoring horizon absorbing the capability-growth confound structurally instead. The retention of fourteen censored programs in the estimation set is the central methodological asset of this study: the prioritized-but-unbuilt programs, which a yield regression conditioned on realized output would necessarily discard, are precisely the cases that hold the prioritization apparatus accountable for the forecasts it did not deliver, and the survival framing keeps them in the sample as informative observations rather than dropping them.</w:t>
      </w:r>
    </w:p>
    <w:bookmarkEnd w:id="115"/>
    <w:bookmarkStart w:id="116" w:name="X9c44f6043034061f62f045a2904d205f85793e4"/>
    <w:p>
      <w:pPr>
        <w:pStyle w:val="Heading2"/>
        <w:spacing w:line="480" w:lineRule="auto"/>
      </w:pPr>
      <w:r>
        <w:t xml:space="preserve">6.8 Priority Rank and the Hazard of First Return</w:t>
      </w:r>
    </w:p>
    <w:p>
      <w:pPr>
        <w:pStyle w:val="FirstParagraph"/>
        <w:spacing w:line="480" w:lineRule="auto"/>
      </w:pPr>
      <w:r>
        <w:t xml:space="preserve">The fitted coefficient on priority rank is negative 0.47, with a standard error of 0.31, a z-statistic of negative 1.51, and a p-value of 0.13. The exponentiated coefficient, the hazard ratio, is 0.62. The ninety-five percent confidence interval on the coefficient runs from roughly negative 1.08 to positive 0.14. Read as a hazard ratio, the point estimate says that each step down the priority list, that is, each unit increase in rank number toward lower priority, is associated with roughly a thirty-eight percent lower instantaneous hazard of reaching first material return. The sign is the one the prioritization apparatus would predict: higher-priority programs, with lower rank numbers, do reach return faster in the point estimate.</w:t>
      </w:r>
    </w:p>
    <w:p>
      <w:pPr>
        <w:pStyle w:val="BodyText"/>
        <w:spacing w:line="480" w:lineRule="auto"/>
        <w:ind w:firstLine="720"/>
      </w:pPr>
      <w:r>
        <w:t xml:space="preserve">The interpretation must hold two facts about this estimate together. The first is that its sign is correct and its magnitude is not negligible. A hazard ratio of 0.62 on a one-step rank increment is a substantial point estimate, consistent with priority rank doing real predictive work on the speed of realized return, in the direction the alternative hypothesis specified. The second fact is that the estimate is imprecise. The standard error of 0.31 against a coefficient of negative 0.47 yields a z-statistic of only negative 1.51, and the p-value of 0.13 does not clear the conventional five-percent threshold. The confidence interval on the coefficient, from about negative 1.08 to about positive 0.14, crosses zero. The data therefore do not permit rejection of the null that priority rank carries no information about the timing of return. On the evidence of these twenty-eight programs with fourteen events, the verdict on rank is a failure to reject the null, accompanied by a directionally favorable but underpowered point estimate.</w:t>
      </w:r>
    </w:p>
    <w:p>
      <w:pPr>
        <w:pStyle w:val="BodyText"/>
        <w:spacing w:line="480" w:lineRule="auto"/>
        <w:ind w:firstLine="720"/>
      </w:pPr>
      <w:r>
        <w:t xml:space="preserve">This verdict is the falsifiable result the design committed to reporting in whichever direction the estimate fell, and it must not be overstated in either direction. It is not a null of indifference. A null of indifference would show a coefficient near zero with a tight interval, licensing the conclusion that rank is demonstrably unrelated to timing. The estimate here is instead a sizeable negative coefficient with a wide interval, which is the signature of an effect that is real in sign but insufficiently resolved by a small sample. The honest reading, which the timing paper adopts and which this chapter affirms, is that decadal priority rank is, on this evidence, a weak and statistically unconfirmed predictor of how quickly a program reaches first material return. The prioritization apparatus is not shown to be uninformative about timing; it is shown not to be the dominant and reliably measurable driver of timing that the community treats it as.</w:t>
      </w:r>
    </w:p>
    <w:bookmarkEnd w:id="116"/>
    <w:bookmarkStart w:id="117" w:name="cost-scale-as-the-sharper-estimate"/>
    <w:p>
      <w:pPr>
        <w:pStyle w:val="Heading2"/>
        <w:spacing w:line="480" w:lineRule="auto"/>
      </w:pPr>
      <w:r>
        <w:t xml:space="preserve">6.9 Cost Scale as the Sharper Estimate</w:t>
      </w:r>
    </w:p>
    <w:p>
      <w:pPr>
        <w:pStyle w:val="FirstParagraph"/>
        <w:spacing w:line="480" w:lineRule="auto"/>
      </w:pPr>
      <w:r>
        <w:t xml:space="preserve">The coefficient on cost scale is negative 0.47, with a standard error of 0.24, a z-statistic of negative 1.94, and a p-value of 0.052. The exponentiated coefficient, the hazard ratio, is 0.63. This estimate sits just at the edge of conventional significance, with a p-value a hair above the five-percent threshold and a z-statistic of negative 1.94 against the critical value of roughly negative 1.96. Read as a hazard ratio, the estimate indicates that each additional billion dollars of program lifecycle cost is associated with roughly a thirty-seven percent lower instantaneous hazard of reaching first material return. Larger programs, that is, take materially longer to launch, which is the expected and mechanically sensible direction for a build-time effect.</w:t>
      </w:r>
    </w:p>
    <w:p>
      <w:pPr>
        <w:pStyle w:val="BodyText"/>
        <w:spacing w:line="480" w:lineRule="auto"/>
        <w:ind w:firstLine="720"/>
      </w:pPr>
      <w:r>
        <w:t xml:space="preserve">Of the two covariates in the timing model, cost scale is the sharper estimate. Its standard error of 0.24 is smaller than the rank standard error of 0.31, and its z-statistic of negative 1.94 is larger in absolute value than the rank z-statistic of negative 1.51. The cost-scale effect is, in this sample, the more precisely resolved of the two timing associations, and it is the one that comes within a margin of conventional significance. This near-significance of the scale control, set against the non-significance of the rank covariate, carries the central interpretive weight of the timing study. The variable most clearly associated with how long a prioritized program takes to fly is not its priority rank but its scale.</w:t>
      </w:r>
    </w:p>
    <w:p>
      <w:pPr>
        <w:pStyle w:val="BodyText"/>
        <w:spacing w:line="480" w:lineRule="auto"/>
        <w:ind w:firstLine="720"/>
      </w:pPr>
      <w:r>
        <w:t xml:space="preserve">The near-equality of the two point estimates is itself informative and deserves explicit statement. The rank coefficient of negative 0.47 and the cost coefficient of negative 0.47 are, to two decimal places, of the same magnitude, and their hazard ratios, 0.62 for rank and 0.63 for cost, are nearly identical. In this sample the apparent timing advantage conferred by higher priority is of the same order as the timing penalty imposed by larger scale, but the two are estimated with different precision: the scale penalty is resolved nearly to significance while the priority advantage is not. The reading that survives is that, once scale is held fixed, the independent contribution of rank to the speed of return is real in sign but imprecise in magnitude, while scale carries a comparably sized but more sharply estimated penalty. A prioritization process that wished its rankings to translate into faster return would, on this evidence, do well to attend to the scale of what it ranks first, since the timing penalty of large flagships is the more reliably measured effect in the sample.</w:t>
      </w:r>
    </w:p>
    <w:bookmarkEnd w:id="117"/>
    <w:bookmarkStart w:id="118" w:name="X061b250c449e668f1ee387f08e2e2495a0ee033"/>
    <w:p>
      <w:pPr>
        <w:pStyle w:val="Heading2"/>
        <w:spacing w:line="480" w:lineRule="auto"/>
      </w:pPr>
      <w:r>
        <w:t xml:space="preserve">6.10 The Censored Cohort and the Verdict on Timing</w:t>
      </w:r>
    </w:p>
    <w:p>
      <w:pPr>
        <w:pStyle w:val="FirstParagraph"/>
        <w:spacing w:line="480" w:lineRule="auto"/>
      </w:pPr>
      <w:r>
        <w:t xml:space="preserve">The fourteen right-censored programs are not a residual of the timing analysis; they are the cases on which the survival framing earns its keep, and their composition is itself a result. The censored set includes the most prominently prioritized concepts of the most recent survey cohort, every one of which remains unlaunched at the 2025 horizon, alongside several high-priority missions of earlier decades that were ranked highly and never built. It was this pattern, the entirety of the most recent cohort being censored, that induced the quasi-complete separation on the epoch covariate and forced its exclusion from the fitted set. That separation is not merely a numerical nuisance. That every program in the most recent flagship cohort is still censored is the single strongest piece of evidence in the dataset that the most recent priorities have not yet converted into return, and a longer observation window will be required to resolve whether they eventually do.</w:t>
      </w:r>
    </w:p>
    <w:p>
      <w:pPr>
        <w:pStyle w:val="BodyText"/>
        <w:spacing w:line="480" w:lineRule="auto"/>
        <w:ind w:firstLine="720"/>
      </w:pPr>
      <w:r>
        <w:t xml:space="preserve">The methodological payoff is that the Cox specification holds the prioritization apparatus accountable for exactly the programs that a magnitude analysis would have discarded. A yield regression conditioned on having produced output would have dropped the unbuilt high-priority concepts, retaining only the programs that flew, and would thereby have biased any rank-to-return estimate toward the optimistic conclusion that priorities deliver. By retaining the unbuilt and not-yet-built programs as right-censored observations, the timing study refuses that selection and prices the failures of the priority forecast into the estimate. That the rank coefficient nonetheless fails to reach significance, even with the failures retained, is a more demanding test of the prioritization apparatus than a yield regression could mount, and the apparatus does not clearly pass it on the timing margin.</w:t>
      </w:r>
    </w:p>
    <w:p>
      <w:pPr>
        <w:pStyle w:val="BodyText"/>
        <w:spacing w:line="480" w:lineRule="auto"/>
        <w:ind w:firstLine="720"/>
      </w:pPr>
      <w:r>
        <w:t xml:space="preserve">The timing study therefore returns a verdict that is the deliberate complement to the yield study’s. Where operational design predicts the magnitude of realized return with strength and significance, prior priority rank predicts the speed of realized return only weakly, in the correct sign but without conventional confidence, while program scale predicts it nearly significantly. With twenty-eight programs and fourteen events, the design is underpowered to detect a rank effect of the size the point estimate suggests; a coefficient of negative 0.47 with a standard error of 0.31 would reach significance in a sample two to three times larger were the effect to hold. The verdict stands as the design committed to report it: priority rank predicts the speed of realized return in sign but not, on this evidence, with confidence, and the relationship is weaker than the prioritization apparatus assumes [5, 6, 7]. Read alongside the yield study, the pair of results delivers the dissertation’s central empirical claim in two parts. Realized return is substantially predictable, but the predictive power resides in operational design rather than in the priority ranking itself, and a prioritization expressed only as an ordering of targets captures the smaller and less reliable of the two signals while leaving the larger and more robust one implicit.</w:t>
      </w:r>
    </w:p>
    <w:bookmarkEnd w:id="118"/>
    <w:bookmarkEnd w:id="119"/>
    <w:bookmarkStart w:id="126" w:name="X21322cb5e29cbf4eb576afddcad42f86ace4e0d"/>
    <w:p>
      <w:pPr>
        <w:pStyle w:val="Heading1"/>
        <w:spacing w:line="480" w:lineRule="auto"/>
      </w:pPr>
      <w:r>
        <w:t xml:space="preserve">Chapter 7. Discussion and Governance Implications</w:t>
      </w:r>
    </w:p>
    <w:bookmarkStart w:id="120" w:name="what-the-two-estimates-mean-together"/>
    <w:p>
      <w:pPr>
        <w:pStyle w:val="Heading2"/>
        <w:spacing w:line="480" w:lineRule="auto"/>
      </w:pPr>
      <w:r>
        <w:t xml:space="preserve">7.1 What the Two Estimates Mean Together</w:t>
      </w:r>
    </w:p>
    <w:p>
      <w:pPr>
        <w:pStyle w:val="FirstParagraph"/>
        <w:spacing w:line="480" w:lineRule="auto"/>
      </w:pPr>
      <w:r>
        <w:t xml:space="preserve">The dissertation set out to test a single load-bearing presumption in space science governance: that the priority a consensus survey assigns a program ex ante predicts the science that program returns ex post. The two empirical chapters approached that presumption from opposite ends of the realized-return construct, and their findings point in a consistent and, for program management, an actionable direction. The magnitude study estimated how much science a flying mission returns as a function of how it operates, and found that operational design explains a majority of the cross-mission variance in refereed publication yield</w:t>
      </w:r>
      <w:r>
        <w:t xml:space="preserve"> </w:t>
      </w:r>
      <w:hyperlink w:anchor="ref-1">
        <w:r>
          <w:rPr>
            <w:rStyle w:val="Hyperlink"/>
          </w:rPr>
          <w:t xml:space="preserve">[1]</w:t>
        </w:r>
      </w:hyperlink>
      <w:r>
        <w:t xml:space="preserve">. The timing study estimated how quickly a ranked program reaches its first material return as a function of the prior priority rank, and found that rank predicts speed in the expected sign but not with confidence at conventional thresholds [1, 2, 3]. Read jointly, the two results decompose the priority-to-return relationship into a part that is strong and forecastable and a part that is weak and contested, and they locate the strong part downstream of the survey rather than inside it.</w:t>
      </w:r>
    </w:p>
    <w:p>
      <w:pPr>
        <w:pStyle w:val="BodyText"/>
        <w:spacing w:line="480" w:lineRule="auto"/>
        <w:ind w:firstLine="720"/>
      </w:pPr>
      <w:r>
        <w:t xml:space="preserve">The magnitude chapter is the more decisive of the two. In a cross-section of twenty-eight space science missions drawn from a single uniform bibliometric census</w:t>
      </w:r>
      <w:r>
        <w:t xml:space="preserve"> </w:t>
      </w:r>
      <w:hyperlink w:anchor="ref-1">
        <w:r>
          <w:rPr>
            <w:rStyle w:val="Hyperlink"/>
          </w:rPr>
          <w:t xml:space="preserve">[1]</w:t>
        </w:r>
      </w:hyperlink>
      <w:r>
        <w:t xml:space="preserve">, two operational attributes, operational lifetime and observatory-class openness, jointly account for an R-squared of 0.583, with the joint F-test rejecting the null of no relationship at p equal to 0.0036. Each additional year of operations is associated with roughly 299 more refereed publications, with a ninety-five percent confidence interval running from 80.8 to 517.1 and a lower bound that remains well clear of zero. Mission class is the stronger lever still: an open-time observatory or all-sky survey returns on the order of 2,576 more refereed publications than a targeted single-purpose probe of comparable era, with a confidence interval from 963.1 to 4,189.2, once lifetime and launch epoch are held fixed. The launch-era control, included to absorb the post-2000 expansion of the indexed literature, carries no independent explanatory power once lifetime and class are in the model, which strengthens rather than weakens the structural reading: the lifetime and class effects are not artifacts of when the indexed record happened to thicken.</w:t>
      </w:r>
    </w:p>
    <w:p>
      <w:pPr>
        <w:pStyle w:val="BodyText"/>
        <w:spacing w:line="480" w:lineRule="auto"/>
        <w:ind w:firstLine="720"/>
      </w:pPr>
      <w:r>
        <w:t xml:space="preserve">The timing chapter is deliberately the more humbling. Fitting a Cox proportional-hazards model to twenty-eight ranked NASA programs, of which fourteen reached first material return within the December 2025 horizon and fourteen remained right-censored, the coefficient on priority rank is −0.47 with a standard error of 0.31, a z-statistic of −1.51, and a p-value of 0.13, corresponding to a hazard ratio of 0.62. The sign is the one the prioritization apparatus would predict, that higher priority accelerates the path to launch, but the confidence interval on the coefficient runs from −1.08 to 0.14 and crosses zero. On this evidence the null that rank carries no timing information cannot be rejected. The cost-scale control, by contrast, is the sharper estimate, with a coefficient of −0.47, a standard error of 0.24, and a p-value of 0.052 at the edge of conventional significance, indicating that larger programs take materially longer to reach return.</w:t>
      </w:r>
    </w:p>
    <w:p>
      <w:pPr>
        <w:pStyle w:val="BodyText"/>
        <w:spacing w:line="480" w:lineRule="auto"/>
        <w:ind w:firstLine="720"/>
      </w:pPr>
      <w:r>
        <w:t xml:space="preserve">The synthesis that the two chapters license is therefore precise. The variables that most clearly govern realized return are operational, not prioritizational: how long a mission flies, whether it opens its data to a competitive community, and how large a program is committed to building. The prior priority rank, the quantity the governance process treats as a forecast of return, does real but imprecise work on timing and is not the dominant driver the community assumes it to be. This is not a claim that priorities are meaningless. It is a quantified claim that priorities expressed only as target rankings leave a large, forecastable share of return implicit, and that the implicit share is captured by levers that sit downstream of survey ranking and partly within the control of operations and data policy.</w:t>
      </w:r>
    </w:p>
    <w:bookmarkEnd w:id="120"/>
    <w:bookmarkStart w:id="121"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and most direct implication for NASA program management is that the senior-review and mission-extension decision is a more powerful instrument of portfolio value than its customary framing admits. Agencies already count refereed publications to justify continued funding at senior review, and the practice is well established as a measure of a facility’s scientific productivity over time [1, 2]. The magnitude result gives that practice a quantitative warrant. If each additional operational year is worth on the order of 299 refereed publications at the sample mean, then the marginal science purchased by extending a productive long-lived facility is large relative to the publication output of the short-lived probes that populate the lower tail of the distribution</w:t>
      </w:r>
      <w:r>
        <w:t xml:space="preserve"> </w:t>
      </w:r>
      <w:hyperlink w:anchor="ref-1">
        <w:r>
          <w:rPr>
            <w:rStyle w:val="Hyperlink"/>
          </w:rPr>
          <w:t xml:space="preserve">[1]</w:t>
        </w:r>
      </w:hyperlink>
      <w:r>
        <w:t xml:space="preserve">. Extension is not a concession to inertia; it is, on this evidence, one of the highest-yield decisions in the portfolio, and the senior-review process is the venue where that yield is realized or forgone.</w:t>
      </w:r>
    </w:p>
    <w:p>
      <w:pPr>
        <w:pStyle w:val="BodyText"/>
        <w:spacing w:line="480" w:lineRule="auto"/>
        <w:ind w:firstLine="720"/>
      </w:pPr>
      <w:r>
        <w:t xml:space="preserve">The second implication concerns the architecture of data access. The observatory-class coefficient is the single strongest predictor in the magnitude model, and its mechanism is community breadth: open-time observatories and all-sky surveys distribute their data to a competitive general community of investigators, multiplying the number of independent researchers who can convert a given quantity of data into refereed results [1, 4]. Gaia is the canonical illustration of the mechanism, a survey facility whose archive is engineered for broad exploitation by a community far larger than any single mission team</w:t>
      </w:r>
      <w:r>
        <w:t xml:space="preserve"> </w:t>
      </w:r>
      <w:hyperlink w:anchor="ref-11">
        <w:r>
          <w:rPr>
            <w:rStyle w:val="Hyperlink"/>
          </w:rPr>
          <w:t xml:space="preserve">[11]</w:t>
        </w:r>
      </w:hyperlink>
      <w:r>
        <w:t xml:space="preserve">. For program management this means that the open-data architecture of a mission is not a downstream administrative choice but a first-order determinant of realized return, of the same order of magnitude as the decision to fly the mission at all. A targeted probe and an open observatory pursuing comparable science will, on the evidence here, return very different amounts of it, and the difference is forecastable at selection time from the data-access design rather than only from the target.</w:t>
      </w:r>
    </w:p>
    <w:p>
      <w:pPr>
        <w:pStyle w:val="BodyText"/>
        <w:spacing w:line="480" w:lineRule="auto"/>
        <w:ind w:firstLine="720"/>
      </w:pPr>
      <w:r>
        <w:t xml:space="preserve">The third implication is about the timing of large flagships, and it is the implication the Cox chapter speaks to most directly. The sharpest single estimate in the timing study is not on rank but on scale: each additional billion dollars of program lifecycle cost is associated with roughly a thirty-seven percent lower hazard of reaching first return, with a p-value of 0.052</w:t>
      </w:r>
      <w:r>
        <w:t xml:space="preserve"> </w:t>
      </w:r>
      <w:hyperlink w:anchor="ref-2">
        <w:r>
          <w:rPr>
            <w:rStyle w:val="Hyperlink"/>
          </w:rPr>
          <w:t xml:space="preserve">[2]</w:t>
        </w:r>
      </w:hyperlink>
      <w:r>
        <w:t xml:space="preserve">. A prioritization process that wants its highest rankings to convert into return on a governance-relevant horizon must therefore attend to the scale of what it ranks first, because the timing penalty of large flagships is the more precisely estimated effect in the sample. This does not argue against flagships, whose magnitude of eventual return is exactly what the open-observatory result rewards. It argues that the agency should hold an explicit and quantified expectation about how long a high-priority flagship will take to fly, and should not treat a high rank as a substitute for a credible schedule. The cost literature is complementary here: parametric models such as SEER-H price the build, but the science accrues across the operating life, which is the phase the magnitude analysis shows to be decisive [3, 10].</w:t>
      </w:r>
    </w:p>
    <w:p>
      <w:pPr>
        <w:pStyle w:val="BodyText"/>
        <w:spacing w:line="480" w:lineRule="auto"/>
        <w:ind w:firstLine="720"/>
      </w:pPr>
      <w:r>
        <w:t xml:space="preserve">The fourth implication follows from the censoring structure of the timing sample and is the most uncomfortable for the governance process. Of the twenty-eight ranked programs, fourteen are right-censored, and the censored set includes the most prominently prioritized concepts of the 2020s-decade surveys together with several high-priority missions of earlier decades that were never built, the Uranus Orbiter and Probe, the Space Interferometry Mission, and the Terrestrial Planet Finder among them</w:t>
      </w:r>
      <w:r>
        <w:t xml:space="preserve"> </w:t>
      </w:r>
      <w:hyperlink w:anchor="ref-2">
        <w:r>
          <w:rPr>
            <w:rStyle w:val="Hyperlink"/>
          </w:rPr>
          <w:t xml:space="preserve">[2]</w:t>
        </w:r>
      </w:hyperlink>
      <w:r>
        <w:t xml:space="preserve">. The survival framing keeps these programs in the sample precisely because never reaching return is the most informative way a priority forecast can fail. A magnitude analysis that conditioned on having produced yield would have dropped exactly these cases and biased any rank-to-return estimate toward the optimistic conclusion that priorities deliver. The governance implication is that the prioritization apparatus should be held accountable for the programs it ranks highly and does not deliver on schedule, and that an honest accounting of decadal performance must include the high-priority concepts that have not flown, not only the ones that have.</w:t>
      </w:r>
    </w:p>
    <w:bookmarkEnd w:id="121"/>
    <w:bookmarkStart w:id="122" w:name="implications-for-jpl-decision-making"/>
    <w:p>
      <w:pPr>
        <w:pStyle w:val="Heading2"/>
        <w:spacing w:line="480" w:lineRule="auto"/>
      </w:pPr>
      <w:r>
        <w:t xml:space="preserve">7.3 Implications for JPL Decision-Making</w:t>
      </w:r>
    </w:p>
    <w:p>
      <w:pPr>
        <w:pStyle w:val="FirstParagraph"/>
        <w:spacing w:line="480" w:lineRule="auto"/>
      </w:pPr>
      <w:r>
        <w:t xml:space="preserve">For JPL specifically, the findings bear on three recurring institutional decisions: which mission concepts to advance through formulation, how to weight operations and data architecture in proposal design, and how to position the laboratory’s portfolio against the realized-return record that senior review and recompete reviews will scrutinize.</w:t>
      </w:r>
    </w:p>
    <w:p>
      <w:pPr>
        <w:pStyle w:val="BodyText"/>
        <w:spacing w:line="480" w:lineRule="auto"/>
        <w:ind w:firstLine="720"/>
      </w:pPr>
      <w:r>
        <w:t xml:space="preserve">On concept advancement, the magnitude result counsels that a concept’s projected open-data breadth and expected operational lifetime be treated as estimable contributors to return at the earliest formulation stage, alongside the intrinsic interest of the target. JPL’s planetary and astrophysics concept studies routinely articulate target science, and the laboratory’s own mission bibliometrics already track publication output as a productivity measure</w:t>
      </w:r>
      <w:r>
        <w:t xml:space="preserve"> </w:t>
      </w:r>
      <w:hyperlink w:anchor="ref-9">
        <w:r>
          <w:rPr>
            <w:rStyle w:val="Hyperlink"/>
          </w:rPr>
          <w:t xml:space="preserve">[9]</w:t>
        </w:r>
      </w:hyperlink>
      <w:r>
        <w:t xml:space="preserve">. The dissertation’s contribution is to show that two design attributes that formulation teams partly control, how long the mission is architected to operate and how openly its data will be released, are forecastable predictors of the publication record those bibliometrics will later report. A concept study that quantifies expected lifetime and data-access breadth as explicitly as it quantifies target science is making a more complete return forecast than one that ranks on target alone. The OCEANUS and QUEST Uranus concepts and the OCEANUS-class low-cost instrument suite illustrate the formulation tension the laboratory navigates between a high-return target and the operational and cost design that determines whether the return is realized [22, 29].</w:t>
      </w:r>
    </w:p>
    <w:p>
      <w:pPr>
        <w:pStyle w:val="BodyText"/>
        <w:spacing w:line="480" w:lineRule="auto"/>
        <w:ind w:firstLine="720"/>
      </w:pPr>
      <w:r>
        <w:t xml:space="preserve">On proposal design, the observatory-class finding has a sharp corollary for competed-class missions. Discovery, New Frontiers, and Explorer proposals are evaluated partly on science-per-dollar, and the magnitude evidence indicates that a given quantity of data converts into far more refereed output when it is released to a competitive general community than when it is held within a single focused team [1, 4]. A JPL proposal that builds open-archive exploitation and guest-investigator access into its baseline is, on this evidence, designing for higher realized return per unit of build cost, and can defend that design quantitatively rather than rhetorically. DART is an instructive contrast and complement: a targeted single-purpose mission whose return is concentrated rather than broadly distributed, yet whose realized impact came through a sharply defined planetary-defense result rather than through community breadth</w:t>
      </w:r>
      <w:r>
        <w:t xml:space="preserve"> </w:t>
      </w:r>
      <w:hyperlink w:anchor="ref-23">
        <w:r>
          <w:rPr>
            <w:rStyle w:val="Hyperlink"/>
          </w:rPr>
          <w:t xml:space="preserve">[23]</w:t>
        </w:r>
      </w:hyperlink>
      <w:r>
        <w:t xml:space="preserve">. The lesson is not that every mission should be an open observatory, which is incompatible with targeted planetary science, but that the data-access architecture should be a deliberate and quantified choice matched to the mission’s return mechanism rather than a default.</w:t>
      </w:r>
    </w:p>
    <w:p>
      <w:pPr>
        <w:pStyle w:val="BodyText"/>
        <w:spacing w:line="480" w:lineRule="auto"/>
        <w:ind w:firstLine="720"/>
      </w:pPr>
      <w:r>
        <w:t xml:space="preserve">On portfolio positioning, the timing chapter’s near-significant scale effect is directly relevant to how JPL frames the schedule risk of its largest concepts. The laboratory’s flagship-class proposals carry exactly the lifecycle-cost magnitudes that the Cox model associates with the slowest paths to first return</w:t>
      </w:r>
      <w:r>
        <w:t xml:space="preserve"> </w:t>
      </w:r>
      <w:hyperlink w:anchor="ref-2">
        <w:r>
          <w:rPr>
            <w:rStyle w:val="Hyperlink"/>
          </w:rPr>
          <w:t xml:space="preserve">[2]</w:t>
        </w:r>
      </w:hyperlink>
      <w:r>
        <w:t xml:space="preserve">. Positioning a flagship credibly therefore means pairing its high expected magnitude of return, which the open-observatory and lifetime mechanisms reward, with an explicit and defensible schedule expectation that acknowledges the scale-driven timing penalty rather than assuming a high priority rank will overcome it. The asteroid-mining and cislunar architecture literatures reinforce that realized value depends on the deliberate prior investment in enabling capability and operating life, not on the ranking alone [12, 16, 20]. JPL is best served by making the operations-and-architecture case for its concepts in the same quantitative register the dissertation uses, because that is the register in which senior review and recompete decisions increasingly evaluate realized return.</w:t>
      </w:r>
    </w:p>
    <w:bookmarkEnd w:id="122"/>
    <w:bookmarkStart w:id="123" w:name="limitations"/>
    <w:p>
      <w:pPr>
        <w:pStyle w:val="Heading2"/>
        <w:spacing w:line="480" w:lineRule="auto"/>
      </w:pPr>
      <w:r>
        <w:t xml:space="preserve">7.4 Limitations</w:t>
      </w:r>
    </w:p>
    <w:p>
      <w:pPr>
        <w:pStyle w:val="FirstParagraph"/>
        <w:spacing w:line="480" w:lineRule="auto"/>
      </w:pPr>
      <w:r>
        <w:t xml:space="preserve">The findings are bounded by four limitations that the design surfaces honestly rather than conceals, and that condition the strength of the governance claims above.</w:t>
      </w:r>
    </w:p>
    <w:p>
      <w:pPr>
        <w:pStyle w:val="BodyText"/>
        <w:spacing w:line="480" w:lineRule="auto"/>
        <w:ind w:firstLine="720"/>
      </w:pPr>
      <w:r>
        <w:t xml:space="preserve">The first limitation is the publication-count proxy in the magnitude study. Refereed publication count measures the quantity of realized return but does not weight the depth, citation impact, or scientific significance of individual papers</w:t>
      </w:r>
      <w:r>
        <w:t xml:space="preserve"> </w:t>
      </w:r>
      <w:hyperlink w:anchor="ref-1">
        <w:r>
          <w:rPr>
            <w:rStyle w:val="Hyperlink"/>
          </w:rPr>
          <w:t xml:space="preserve">[1]</w:t>
        </w:r>
      </w:hyperlink>
      <w:r>
        <w:t xml:space="preserve">. A mission that returns a small number of paradigm-shifting results and one that returns a large number of incremental papers are scored differently by the count than by their true scientific value. The census mitigates this by applying a uniform refereed-inclusion rule that makes counts comparable across facilities</w:t>
      </w:r>
      <w:r>
        <w:t xml:space="preserve"> </w:t>
      </w:r>
      <w:hyperlink w:anchor="ref-1">
        <w:r>
          <w:rPr>
            <w:rStyle w:val="Hyperlink"/>
          </w:rPr>
          <w:t xml:space="preserve">[1]</w:t>
        </w:r>
      </w:hyperlink>
      <w:r>
        <w:t xml:space="preserve">, and the agency practice of using such counts at senior review establishes that the proxy carries real decision weight</w:t>
      </w:r>
      <w:r>
        <w:t xml:space="preserve"> </w:t>
      </w:r>
      <w:hyperlink w:anchor="ref-2">
        <w:r>
          <w:rPr>
            <w:rStyle w:val="Hyperlink"/>
          </w:rPr>
          <w:t xml:space="preserve">[2]</w:t>
        </w:r>
      </w:hyperlink>
      <w:r>
        <w:t xml:space="preserve">. But the proxy remains a quantity measure, and the magnitude coefficients should be read as estimates of how operational design predicts publication volume, not as estimates of how it predicts scientific importance. A future return measure that incorporated citation-weighted or impact-weighted output would sharpen the construct.</w:t>
      </w:r>
    </w:p>
    <w:p>
      <w:pPr>
        <w:pStyle w:val="BodyText"/>
        <w:spacing w:line="480" w:lineRule="auto"/>
        <w:ind w:firstLine="720"/>
      </w:pPr>
      <w:r>
        <w:t xml:space="preserve">The second limitation is statistical power in the timing study. With twenty-eight programs and fourteen events, the Cox specification is underpowered to detect a rank effect of the magnitude the point estimate suggests. A coefficient of −0.47 with a standard error of 0.31 would reach conventional significance in a sample two to three times larger if the effect held</w:t>
      </w:r>
      <w:r>
        <w:t xml:space="preserve"> </w:t>
      </w:r>
      <w:hyperlink w:anchor="ref-2">
        <w:r>
          <w:rPr>
            <w:rStyle w:val="Hyperlink"/>
          </w:rPr>
          <w:t xml:space="preserve">[2]</w:t>
        </w:r>
      </w:hyperlink>
      <w:r>
        <w:t xml:space="preserve">. The failure to reject the null on rank is therefore a statement about the information content of twenty-eight programs, not a demonstration that rank is inert. The honest reading is that rank predicts timing in sign but not with confidence, and that a larger sample is required to separate the directionally favorable point estimate from sampling noise. This is a limitation of evidence, not of design, and it is the limitation most likely to be relaxed by future data.</w:t>
      </w:r>
    </w:p>
    <w:p>
      <w:pPr>
        <w:pStyle w:val="BodyText"/>
        <w:spacing w:line="480" w:lineRule="auto"/>
        <w:ind w:firstLine="720"/>
      </w:pPr>
      <w:r>
        <w:t xml:space="preserve">The third limitation is the quasi-complete separation on survey epoch. Survey epoch was specified in the design as a covariate to absorb capability growth across decades, but in estimation it induced quasi-complete separation, because every program in the 2020s-decade cohort is right-censored at the horizon, which drives the epoch coefficient to a degenerate value and destabilizes the partial likelihood</w:t>
      </w:r>
      <w:r>
        <w:t xml:space="preserve"> </w:t>
      </w:r>
      <w:hyperlink w:anchor="ref-2">
        <w:r>
          <w:rPr>
            <w:rStyle w:val="Hyperlink"/>
          </w:rPr>
          <w:t xml:space="preserve">[2]</w:t>
        </w:r>
      </w:hyperlink>
      <w:r>
        <w:t xml:space="preserve">. The epoch term was therefore retained for provenance but excluded from the fitted covariate set, with the common 2025 censoring horizon absorbing the capability-growth confound structurally. This is defensible, but it means the epoch effect is not separately estimated, and the strong observation that every 2020s-cohort flagship remains censored is treated as a discussed finding rather than a fitted coefficient. That separation is itself informative, the single clearest piece of evidence in the dataset that the most recent priorities have not yet converted to return, but it is a descriptive finding, not an estimated one.</w:t>
      </w:r>
    </w:p>
    <w:p>
      <w:pPr>
        <w:pStyle w:val="BodyText"/>
        <w:spacing w:line="480" w:lineRule="auto"/>
        <w:ind w:firstLine="720"/>
      </w:pPr>
      <w:r>
        <w:t xml:space="preserve">The fourth limitation is sample scope and the selection-versus-treatment ambiguity. The magnitude cross-section is the ESA-led and partner-led set for which a single uniform census exists</w:t>
      </w:r>
      <w:r>
        <w:t xml:space="preserve"> </w:t>
      </w:r>
      <w:hyperlink w:anchor="ref-1">
        <w:r>
          <w:rPr>
            <w:rStyle w:val="Hyperlink"/>
          </w:rPr>
          <w:t xml:space="preserve">[1]</w:t>
        </w:r>
      </w:hyperlink>
      <w:r>
        <w:t xml:space="preserve">, so generalization to the full NASA planetary portfolio requires assembling a comparably uniform publication count for those missions. The timing sample is NASA programs from the decadal and competed-selection record</w:t>
      </w:r>
      <w:r>
        <w:t xml:space="preserve"> </w:t>
      </w:r>
      <w:hyperlink w:anchor="ref-2">
        <w:r>
          <w:rPr>
            <w:rStyle w:val="Hyperlink"/>
          </w:rPr>
          <w:t xml:space="preserve">[2]</w:t>
        </w:r>
      </w:hyperlink>
      <w:r>
        <w:t xml:space="preserve">, so the two chapters do not share a single mission set, and their synthesis is a synthesis of two complementary populations rather than of one. More fundamentally, neither cross-section can fully separate the causal effect of a design choice from the selection effect by which it was made. The magnitude study cannot distinguish the effect of extending a mission from the selection by which productive missions are extended, and the timing study cannot fully distinguish the effect of rank from the unobserved program characteristics that earned the rank. These are limitations on causal interpretation; the predictive claims, that operational design forecasts realized return and that scale forecasts timing, hold regardless of how the causal arrows ultimately resolve.</w:t>
      </w:r>
    </w:p>
    <w:bookmarkEnd w:id="123"/>
    <w:bookmarkStart w:id="124" w:name="future-research"/>
    <w:p>
      <w:pPr>
        <w:pStyle w:val="Heading2"/>
        <w:spacing w:line="480" w:lineRule="auto"/>
      </w:pPr>
      <w:r>
        <w:t xml:space="preserve">7.5 Future Research</w:t>
      </w:r>
    </w:p>
    <w:p>
      <w:pPr>
        <w:pStyle w:val="FirstParagraph"/>
        <w:spacing w:line="480" w:lineRule="auto"/>
      </w:pPr>
      <w:r>
        <w:t xml:space="preserve">Five extensions follow directly from the limitations and would each strengthen the governance claims the dissertation advances.</w:t>
      </w:r>
    </w:p>
    <w:p>
      <w:pPr>
        <w:pStyle w:val="BodyText"/>
        <w:spacing w:line="480" w:lineRule="auto"/>
        <w:ind w:firstLine="720"/>
      </w:pPr>
      <w:r>
        <w:t xml:space="preserve">The first and most tractable extension is the panel reconstruction. Both chapters use cross-sections, but the underlying De Marchi and Parmar census supports annual publication flows</w:t>
      </w:r>
      <w:r>
        <w:t xml:space="preserve"> </w:t>
      </w:r>
      <w:hyperlink w:anchor="ref-1">
        <w:r>
          <w:rPr>
            <w:rStyle w:val="Hyperlink"/>
          </w:rPr>
          <w:t xml:space="preserve">[1]</w:t>
        </w:r>
      </w:hyperlink>
      <w:r>
        <w:t xml:space="preserve">, and a panel of annual publication output by mission would let a future study separate the treatment effect of extending a mission from the selection effect by which productive missions are extended. A within-mission estimator on a publication panel would address the central causal ambiguity of the magnitude chapter and would convert the predictive lifetime result into a defensible statement about the marginal science purchased by a one-year extension. This is the highest-value next step because it uses data the present study has already validated and answers the question senior review most needs answered.</w:t>
      </w:r>
    </w:p>
    <w:p>
      <w:pPr>
        <w:pStyle w:val="BodyText"/>
        <w:spacing w:line="480" w:lineRule="auto"/>
        <w:ind w:firstLine="720"/>
      </w:pPr>
      <w:r>
        <w:t xml:space="preserve">The second extension is the citation-weighted outcome. Replacing raw publication count with a citation-weighted or impact-weighted measure of realized return would address the quantity-proxy limitation and would test whether the lifetime and observatory-class mechanisms predict scientific importance as well as they predict publication volume. It is possible that open observatories generate more papers but that targeted probes generate more highly cited ones, in which case the governance recommendation about data architecture would need to be conditioned on the return mechanism rather than stated uniformly. The technosignature and habitability-search literatures, where a small number of definitive results would dominate a large number of null ones, are exactly the domains where the quantity and impact constructs might diverge [25, 26].</w:t>
      </w:r>
    </w:p>
    <w:p>
      <w:pPr>
        <w:pStyle w:val="BodyText"/>
        <w:spacing w:line="480" w:lineRule="auto"/>
        <w:ind w:firstLine="720"/>
      </w:pPr>
      <w:r>
        <w:t xml:space="preserve">The third extension is the enlarged timing sample. The Cox chapter’s failure to reject the null on rank is an evidence limitation that a larger program set would relax. Extending the sample to include earlier decadal cohorts, the full competed-selection record, and partner-agency programs with comparable priority orderings would roughly double or triple the event count and would resolve whether the directionally favorable rank coefficient is real or noise</w:t>
      </w:r>
      <w:r>
        <w:t xml:space="preserve"> </w:t>
      </w:r>
      <w:hyperlink w:anchor="ref-2">
        <w:r>
          <w:rPr>
            <w:rStyle w:val="Hyperlink"/>
          </w:rPr>
          <w:t xml:space="preserve">[2]</w:t>
        </w:r>
      </w:hyperlink>
      <w:r>
        <w:t xml:space="preserve">. A natural companion is the placebo and permutation check anticipated in the design, which substitutes a randomly permuted rank for the true rank and confirms whether the estimated coefficient collapses under permutation, bounding how much of the negative rank coefficient could arise from rank structure alone.</w:t>
      </w:r>
    </w:p>
    <w:p>
      <w:pPr>
        <w:pStyle w:val="BodyText"/>
        <w:spacing w:line="480" w:lineRule="auto"/>
        <w:ind w:firstLine="720"/>
      </w:pPr>
      <w:r>
        <w:t xml:space="preserve">The fourth extension is the longer observation window for the 2020s cohort. The quasi-complete separation on epoch is a finding with an expiry date: every 2020s-decade flagship is currently censored, but a future horizon will resolve whether those high-priority concepts eventually convert to return</w:t>
      </w:r>
      <w:r>
        <w:t xml:space="preserve"> </w:t>
      </w:r>
      <w:hyperlink w:anchor="ref-2">
        <w:r>
          <w:rPr>
            <w:rStyle w:val="Hyperlink"/>
          </w:rPr>
          <w:t xml:space="preserve">[2]</w:t>
        </w:r>
      </w:hyperlink>
      <w:r>
        <w:t xml:space="preserve">. Re-estimating the timing model after the next decade of launches, when some of the currently censored flagships have either flown or been formally cancelled, would directly test whether the most recent priorities deliver on the schedule the prioritization apparatus implies, and would convert the present descriptive observation into an estimated coefficient. This extension requires only the passage of time and a recurring re-estimation discipline.</w:t>
      </w:r>
    </w:p>
    <w:p>
      <w:pPr>
        <w:pStyle w:val="BodyText"/>
        <w:spacing w:line="480" w:lineRule="auto"/>
        <w:ind w:firstLine="720"/>
      </w:pPr>
      <w:r>
        <w:t xml:space="preserve">The fifth extension connects the realized-return record to the value-of-information mechanism that the tasking-and-scheduling literature documents but that this dissertation invokes rather than instruments. The space-domain-awareness scheduling work establishes that observational yield is the output of an optimization layer that allocates finite sensor time on value-of-information grounds and can be characterized for optimality [1, 2, 3 in the operations literature; here cited as the tasking mechanism], and the priority-aware tasking literature shows that target priorities can be incorporated directly into the scheduling reward function</w:t>
      </w:r>
      <w:r>
        <w:t xml:space="preserve"> </w:t>
      </w:r>
      <w:hyperlink w:anchor="ref-18">
        <w:r>
          <w:rPr>
            <w:rStyle w:val="Hyperlink"/>
          </w:rPr>
          <w:t xml:space="preserve">[18]</w:t>
        </w:r>
      </w:hyperlink>
      <w:r>
        <w:t xml:space="preserve">. A future study could close the loop empirically by normalizing realized yield against documented tasking throughput at the observing-layer level rather than against operational lifetime alone, testing whether the portion of return attributable to better prioritization survives once the mechanical contribution of sensor time is removed. The Earth-observation data-value literature provides the parallel framework for validating that realized yield maps to realized informational value rather than to assumed program importance</w:t>
      </w:r>
      <w:r>
        <w:t xml:space="preserve"> </w:t>
      </w:r>
      <w:hyperlink w:anchor="ref-4">
        <w:r>
          <w:rPr>
            <w:rStyle w:val="Hyperlink"/>
          </w:rPr>
          <w:t xml:space="preserve">[4]</w:t>
        </w:r>
      </w:hyperlink>
      <w:r>
        <w:t xml:space="preserve">. This is the most ambitious extension and the one that would most fully discharge the dissertation’s original ambition of regressing realized return on prior priority net of the operational mechanism that produces it.</w:t>
      </w:r>
    </w:p>
    <w:bookmarkEnd w:id="124"/>
    <w:bookmarkStart w:id="125" w:name="synthesis"/>
    <w:p>
      <w:pPr>
        <w:pStyle w:val="Heading2"/>
        <w:spacing w:line="480" w:lineRule="auto"/>
      </w:pPr>
      <w:r>
        <w:t xml:space="preserve">7.6 Synthesis</w:t>
      </w:r>
    </w:p>
    <w:p>
      <w:pPr>
        <w:pStyle w:val="FirstParagraph"/>
        <w:spacing w:line="480" w:lineRule="auto"/>
      </w:pPr>
      <w:r>
        <w:t xml:space="preserve">The dissertation began with a presumption that governs how space science agencies allocate scarce observing and building capacity: that the priority a consensus survey assigns predicts the return a program realizes. The two estimates reported here qualify that presumption in a specific and constructive way. The presumption is strongest where the governance process exerts the least deliberate attention, in the operational design of a mission, its operating life and its data-access architecture, which jointly forecast a majority of realized publication return</w:t>
      </w:r>
      <w:r>
        <w:t xml:space="preserve"> </w:t>
      </w:r>
      <w:hyperlink w:anchor="ref-1">
        <w:r>
          <w:rPr>
            <w:rStyle w:val="Hyperlink"/>
          </w:rPr>
          <w:t xml:space="preserve">[1]</w:t>
        </w:r>
      </w:hyperlink>
      <w:r>
        <w:t xml:space="preserve">. The presumption is weakest where the governance process invests the most ceremony, in the priority rank itself, which predicts the timing of return in sign but not with confidence, and is outpaced as a timing predictor by the program scale the ranking sets in motion</w:t>
      </w:r>
      <w:r>
        <w:t xml:space="preserve"> </w:t>
      </w:r>
      <w:hyperlink w:anchor="ref-2">
        <w:r>
          <w:rPr>
            <w:rStyle w:val="Hyperlink"/>
          </w:rPr>
          <w:t xml:space="preserve">[2]</w:t>
        </w:r>
      </w:hyperlink>
      <w:r>
        <w:t xml:space="preserve">. The honest verdict is not that priorities do not matter, but that priorities expressed only as target rankings leave a large and forecastable share of return on the table, and that the levers which capture that share, longer operations, open data, and a realistic accounting of the schedule cost of scale, are available to NASA program management and to JPL decision-making in the same quantitative register the survey process itself aspires to. A prioritization apparatus that internalized these levers would not rank differently so much as rank more completely, scoring not only what a mission would study but how long it would fly, how widely it would share, and how soon, given its scale, it could realistically deliver. That is the cliometric input this dissertation offers to the next decadal cycle.</w:t>
      </w:r>
    </w:p>
    <w:bookmarkEnd w:id="125"/>
    <w:bookmarkEnd w:id="126"/>
    <w:bookmarkStart w:id="178" w:name="chapter-8.-conclusion"/>
    <w:p>
      <w:pPr>
        <w:pStyle w:val="Heading1"/>
        <w:spacing w:line="480" w:lineRule="auto"/>
      </w:pPr>
      <w:r>
        <w:t xml:space="preserve">Chapter 8. Conclusion</w:t>
      </w:r>
    </w:p>
    <w:bookmarkStart w:id="127" w:name="what-the-dissertation-set-out-to-settle"/>
    <w:p>
      <w:pPr>
        <w:pStyle w:val="Heading2"/>
        <w:spacing w:line="480" w:lineRule="auto"/>
      </w:pPr>
      <w:r>
        <w:t xml:space="preserve">8.1 What the Dissertation Set Out to Settle</w:t>
      </w:r>
    </w:p>
    <w:p>
      <w:pPr>
        <w:pStyle w:val="FirstParagraph"/>
        <w:spacing w:line="480" w:lineRule="auto"/>
      </w:pPr>
      <w:r>
        <w:t xml:space="preserve">The dissertation began from a presumption that the space science enterprise relies on but rarely audits. Each decadal cycle a consensus panel ranks candidate observation programs, and the ranking is treated, in practice, as a forecast of where the largest science return will be realized and how soon it will arrive. The presumption is load-bearing, because instrument starts, budget wedges, and ground-segment tasking commitments all follow the ranking. The dissertation took that presumption and converted it into a falsifiable empirical proposition: does the priority assigned to a program ex ante track the return realized by that program ex post, once the confounders that drive both are held fixed. The contribution promised at the outset was modest in form and demanding in discipline, namely a signed, sized, interval-bounded estimate of the rank-to-return relationship together with an explicit accept-or-reject verdict, reported in whichever direction the evidence fell.</w:t>
      </w:r>
    </w:p>
    <w:p>
      <w:pPr>
        <w:pStyle w:val="BodyText"/>
        <w:spacing w:line="480" w:lineRule="auto"/>
        <w:ind w:firstLine="720"/>
      </w:pPr>
      <w:r>
        <w:t xml:space="preserve">The strength of the design lay in refusing to measure the outcome by survey self-report. Realized return was anchored instead in two mechanisms documented independently of any decadal survey. The sensor-tasking and scheduling literature establishes that observational yield is the output of an optimization layer that allocates finite sensor time against competing targets on value-of-information grounds</w:t>
      </w:r>
      <w:r>
        <w:t xml:space="preserve"> </w:t>
      </w:r>
      <w:hyperlink w:anchor="ref-1">
        <w:r>
          <w:rPr>
            <w:rStyle w:val="Hyperlink"/>
          </w:rPr>
          <w:t xml:space="preserve">[1]</w:t>
        </w:r>
      </w:hyperlink>
      <w:r>
        <w:t xml:space="preserve">, that this layer extracts usable signal even from heterogeneous and non-traditional sensor networks</w:t>
      </w:r>
      <w:r>
        <w:t xml:space="preserve"> </w:t>
      </w:r>
      <w:hyperlink w:anchor="ref-2">
        <w:r>
          <w:rPr>
            <w:rStyle w:val="Hyperlink"/>
          </w:rPr>
          <w:t xml:space="preserve">[2]</w:t>
        </w:r>
      </w:hyperlink>
      <w:r>
        <w:t xml:space="preserve">, and that the scheduling solutions can be characterized for optimality</w:t>
      </w:r>
      <w:r>
        <w:t xml:space="preserve"> </w:t>
      </w:r>
      <w:hyperlink w:anchor="ref-3">
        <w:r>
          <w:rPr>
            <w:rStyle w:val="Hyperlink"/>
          </w:rPr>
          <w:t xml:space="preserve">[3]</w:t>
        </w:r>
      </w:hyperlink>
      <w:r>
        <w:t xml:space="preserve">. The Earth-observation economics literature establishes in parallel that the value of an observation data product is a measurable property of the realized product rather than an assumed property of the program that commissioned it</w:t>
      </w:r>
      <w:r>
        <w:t xml:space="preserve"> </w:t>
      </w:r>
      <w:hyperlink w:anchor="ref-4">
        <w:r>
          <w:rPr>
            <w:rStyle w:val="Hyperlink"/>
          </w:rPr>
          <w:t xml:space="preserve">[4]</w:t>
        </w:r>
      </w:hyperlink>
      <w:r>
        <w:t xml:space="preserve">. Because the outcome’s governing mechanisms, throughput and value, were characterized exogenously, the regression of return on rank could be read as a genuine test rather than as a circular restatement of a single self-reporting record. The aggregate research-investment and space-economy literatures motivated the parent question, establishing that prioritized investment is consequential and that value capture requires deliberate prior investment in enabling capability</w:t>
      </w:r>
      <w:r>
        <w:t xml:space="preserve"> </w:t>
      </w:r>
      <w:hyperlink w:anchor="ref-5">
        <w:r>
          <w:rPr>
            <w:rStyle w:val="Hyperlink"/>
          </w:rPr>
          <w:t xml:space="preserve">[5]</w:t>
        </w:r>
      </w:hyperlink>
      <w:r>
        <w:t xml:space="preserve">[6][7], but they reasoned about investment in the aggregate and did not supply the program-by-program test the dissertation performed.</w:t>
      </w:r>
    </w:p>
    <w:bookmarkEnd w:id="127"/>
    <w:bookmarkStart w:id="128" w:name="Xf7107102ac810794fc281bb09d9d365b696647f"/>
    <w:p>
      <w:pPr>
        <w:pStyle w:val="Heading2"/>
        <w:spacing w:line="480" w:lineRule="auto"/>
      </w:pPr>
      <w:r>
        <w:t xml:space="preserve">8.2 Synthesis of the Argument Across the Two Margins</w:t>
      </w:r>
    </w:p>
    <w:p>
      <w:pPr>
        <w:pStyle w:val="FirstParagraph"/>
        <w:spacing w:line="480" w:lineRule="auto"/>
      </w:pPr>
      <w:r>
        <w:t xml:space="preserve">The parent question was decomposed into two margins, each estimated by an estimator suited to its outcome, and the two estimates together form the argument the dissertation advances.</w:t>
      </w:r>
    </w:p>
    <w:p>
      <w:pPr>
        <w:pStyle w:val="BodyText"/>
        <w:spacing w:line="480" w:lineRule="auto"/>
        <w:ind w:firstLine="720"/>
      </w:pPr>
      <w:r>
        <w:t xml:space="preserve">The magnitude margin asked how much realized return is associated with the operational and structural attributes of a mission. It was estimated by ordinary least squares over a 28-mission refereed-publication census in which every publication count and every operational span was drawn from a single documented bibliometric source under a uniform inclusion rule</w:t>
      </w:r>
      <w:r>
        <w:t xml:space="preserve"> </w:t>
      </w:r>
      <w:hyperlink w:anchor="ref-1">
        <w:r>
          <w:rPr>
            <w:rStyle w:val="Hyperlink"/>
          </w:rPr>
          <w:t xml:space="preserve">[1]</w:t>
        </w:r>
      </w:hyperlink>
      <w:r>
        <w:t xml:space="preserve">. The dependent variable, total refereed publications, is the standard observable proxy for cumulative scientific return, and it is the proxy agencies themselves use to justify continued funding at senior review</w:t>
      </w:r>
      <w:r>
        <w:t xml:space="preserve"> </w:t>
      </w:r>
      <w:hyperlink w:anchor="ref-2">
        <w:r>
          <w:rPr>
            <w:rStyle w:val="Hyperlink"/>
          </w:rPr>
          <w:t xml:space="preserve">[2]</w:t>
        </w:r>
      </w:hyperlink>
      <w:r>
        <w:t xml:space="preserve">. The model explained a majority of the cross-mission variance, and both operational mechanisms hypothesized at the outset were supported. Operational lifetime was a significant predictor of return, with each additional year of operations associated with roughly three hundred more refereed publications and a confidence interval bounded well away from zero. Mission class was the strongest predictor in the model, with open-time observatory and survey facilities associated with on the order of two and a half thousand more publications than targeted single-purpose probes, holding lifetime and launch era constant. The launch-era control, included to absorb the post-2000 expansion of the indexed digital literature, carried no independent explanatory power once lifetime and class were accounted for, which strengthened the structural reading of the two operational results. The community-breadth mechanism that this finding exposes is consistent with the way open observatory facilities make a rich scientific resource directly available to a broad competitive community of investigators</w:t>
      </w:r>
      <w:r>
        <w:t xml:space="preserve"> </w:t>
      </w:r>
      <w:hyperlink w:anchor="ref-4">
        <w:r>
          <w:rPr>
            <w:rStyle w:val="Hyperlink"/>
          </w:rPr>
          <w:t xml:space="preserve">[4]</w:t>
        </w:r>
      </w:hyperlink>
      <w:r>
        <w:t xml:space="preserve">.</w:t>
      </w:r>
    </w:p>
    <w:p>
      <w:pPr>
        <w:pStyle w:val="BodyText"/>
        <w:spacing w:line="480" w:lineRule="auto"/>
        <w:ind w:firstLine="720"/>
      </w:pPr>
      <w:r>
        <w:t xml:space="preserve">The timing margin asked the complementary question: whether prior priority rank predicts how quickly a program reaches its first material return, the launch that converts a paper priority into an instrument on orbit. It was estimated by Cox proportional-hazards regression over 28 ranked decadal programs, of which fourteen reached launch within the December 2025 horizon and fourteen were right-censored. The survival framing was not a stylistic preference but a structural necessity, because the most informative observations in the timing sample are the programs that were prioritized and never built. A magnitude regression on realized yield cannot see those programs, since they produced no yield to measure, and conditioning on having produced yield biases any rank-to-return estimate toward the optimistic conclusion that priorities deliver. The Cox specification kept the prioritized-but-unbuilt concepts in the sample as right-censored observations, holding the prioritization apparatus accountable for the programs it ranked highly and did not deliver on schedule. The estimate on priority rank was negative, in the direction the prioritization apparatus would predict, with a hazard ratio below one indicating that higher-priority programs reach return faster in the point estimate. But the confidence interval on the coefficient crossed zero and the estimate did not clear the conventional significance threshold, so on the evidence of these 28 programs the null that rank carries no timing information could not be rejected. The sharper of the two estimates was the cost-scale control, nearly significant, indicating that larger programs take materially longer to reach first return. In this sample the apparent timing advantage of higher priority was of the same order as, and statistically less distinguishable from, the timing penalty of larger scale.</w:t>
      </w:r>
    </w:p>
    <w:p>
      <w:pPr>
        <w:pStyle w:val="BodyText"/>
        <w:spacing w:line="480" w:lineRule="auto"/>
        <w:ind w:firstLine="720"/>
      </w:pPr>
      <w:r>
        <w:t xml:space="preserve">Read together, the two margins tell one coherent story. On the magnitude margin, realized return is substantially predictable, but the levers that predict it are operational design choices that are partly set after a mission is selected, how long it operates and whether it serves a broad community through open data, rather than the original priority ranking itself. On the timing margin, priority rank does some predictive work in sign but not with confidence, while program scale is the variable most clearly associated with how long a prioritized program takes to fly. The synthesis is therefore neither a vindication of the prioritization apparatus nor a dismissal of it. It is a relocation of explanatory weight. The decadal ranking, expressed only as a ranking of targets, captures one input to realized return while leaving two large and forecastable inputs implicit on the magnitude side, and on the timing side it predicts speed only weakly once scale is held fixed. The same target pursued by a long-lived open observatory and by a short targeted probe will, on the evidence assembled here, return very different amounts of science, and a large flagship will pay a timing penalty that its priority rank does not offset.</w:t>
      </w:r>
    </w:p>
    <w:bookmarkEnd w:id="128"/>
    <w:bookmarkStart w:id="129" w:name="the-contribution-to-knowledge"/>
    <w:p>
      <w:pPr>
        <w:pStyle w:val="Heading2"/>
        <w:spacing w:line="480" w:lineRule="auto"/>
      </w:pPr>
      <w:r>
        <w:t xml:space="preserve">8.3 The Contribution to Knowledge</w:t>
      </w:r>
    </w:p>
    <w:p>
      <w:pPr>
        <w:pStyle w:val="FirstParagraph"/>
        <w:spacing w:line="480" w:lineRule="auto"/>
      </w:pPr>
      <w:r>
        <w:t xml:space="preserve">The contribution this dissertation makes to knowledge is the closing of an untested loop that three mature literatures had each left open at the same seam. One body of work owns the yield mechanism, modelling how a tasking-and-scheduling layer converts ranked targets into realized observation</w:t>
      </w:r>
      <w:r>
        <w:t xml:space="preserve"> </w:t>
      </w:r>
      <w:hyperlink w:anchor="ref-1">
        <w:r>
          <w:rPr>
            <w:rStyle w:val="Hyperlink"/>
          </w:rPr>
          <w:t xml:space="preserve">[1]</w:t>
        </w:r>
      </w:hyperlink>
      <w:r>
        <w:t xml:space="preserve">[2][3]. A second owns the value of the realized product, characterizing how the informational and economic worth of an observation data product is realized downstream</w:t>
      </w:r>
      <w:r>
        <w:t xml:space="preserve"> </w:t>
      </w:r>
      <w:hyperlink w:anchor="ref-4">
        <w:r>
          <w:rPr>
            <w:rStyle w:val="Hyperlink"/>
          </w:rPr>
          <w:t xml:space="preserve">[4]</w:t>
        </w:r>
      </w:hyperlink>
      <w:r>
        <w:t xml:space="preserve">. A third owns the logic of prioritized investment, establishing that ranked investment is consequential and that value capture requires prior investment in capability</w:t>
      </w:r>
      <w:r>
        <w:t xml:space="preserve"> </w:t>
      </w:r>
      <w:hyperlink w:anchor="ref-5">
        <w:r>
          <w:rPr>
            <w:rStyle w:val="Hyperlink"/>
          </w:rPr>
          <w:t xml:space="preserve">[5]</w:t>
        </w:r>
      </w:hyperlink>
      <w:r>
        <w:t xml:space="preserve">[6][7]. None of the three regressed realized return on the prior priority rank, program by program. The dissertation is the first to treat decadal priority and operational design as covariates and realized observational return as the outcome in a single estimated relationship, and to do so on both the magnitude margin and the timing margin with estimators chosen for the structure of each outcome.</w:t>
      </w:r>
    </w:p>
    <w:p>
      <w:pPr>
        <w:pStyle w:val="BodyText"/>
        <w:spacing w:line="480" w:lineRule="auto"/>
        <w:ind w:firstLine="720"/>
      </w:pPr>
      <w:r>
        <w:t xml:space="preserve">The contribution is methodological as much as substantive. The design fixed its hypotheses, its conditioning set, and its falsification criteria before the verdict was known, and it committed in advance to reporting whichever side of zero the interval favored. The executed timing analysis demonstrates that commitment in the most exacting way available, by reporting a directionally favorable but underpowered point estimate that fails to reject the null rather than overclaiming a result the sample cannot support. The provenance discipline that kept the three data layers independent was treated as a methodological control rather than as bookkeeping: the priority-rank layer was constructed from the published consensus surveys and competed selection orders, the realized-return layers were constructed downstream and independently, and every row of every analysis carried its own source so that the central regression could be read as a test of prediction rather than as a self-reporting tautology. The survivorship threat that would have biased a naive yield regression toward the conclusion that priorities deliver was not merely acknowledged but converted into the identifying variation of the second estimator, so that the cases a yield regression would discard carried half the timing information.</w:t>
      </w:r>
    </w:p>
    <w:p>
      <w:pPr>
        <w:pStyle w:val="BodyText"/>
        <w:spacing w:line="480" w:lineRule="auto"/>
        <w:ind w:firstLine="720"/>
      </w:pPr>
      <w:r>
        <w:t xml:space="preserve">The substantive contribution is a quantified, transparent estimate that can now be argued about rather than presumed. The magnitude result supplies a usable forecast: realized return rises measurably with operational lifetime and rises sharply with observatory-class openness, and those two attributes jointly explain most of the cross-mission variance in the publication record. The timing result supplies an honest boundary on what the prioritization apparatus can be credited with: priority rank predicts the speed of return in sign but not, on this evidence, with confidence, and the timing of a prioritized program is governed at least as much by the scale of what was ranked first as by the rank itself. Together they convert a load-bearing presumption into a measured relationship with a sign, a magnitude, an interval, and a verdict, which is the form in which a presumption becomes a finding.</w:t>
      </w:r>
    </w:p>
    <w:bookmarkEnd w:id="129"/>
    <w:bookmarkStart w:id="130" w:name="X0252d510233da6199929056e92c441bb103c2cf"/>
    <w:p>
      <w:pPr>
        <w:pStyle w:val="Heading2"/>
        <w:spacing w:line="480" w:lineRule="auto"/>
      </w:pPr>
      <w:r>
        <w:t xml:space="preserve">8.4 Implications and the Limits That Bound Them</w:t>
      </w:r>
    </w:p>
    <w:p>
      <w:pPr>
        <w:pStyle w:val="FirstParagraph"/>
        <w:spacing w:line="480" w:lineRule="auto"/>
      </w:pPr>
      <w:r>
        <w:t xml:space="preserve">Three implications follow, each disciplined by the limit that bounds it. First, portfolio value can be raised not only by reordering targets but by weighting operational lifetime and open-data architecture in selection and extension decisions, which is the channel through which senior-review publication counts already exert pressure</w:t>
      </w:r>
      <w:r>
        <w:t xml:space="preserve"> </w:t>
      </w:r>
      <w:hyperlink w:anchor="ref-2">
        <w:r>
          <w:rPr>
            <w:rStyle w:val="Hyperlink"/>
          </w:rPr>
          <w:t xml:space="preserve">[2]</w:t>
        </w:r>
      </w:hyperlink>
      <w:r>
        <w:t xml:space="preserve">. The cost literature is complementary here, since parametric models price the build while the science accrues across the operating life that the magnitude analysis shows to be decisive</w:t>
      </w:r>
      <w:r>
        <w:t xml:space="preserve"> </w:t>
      </w:r>
      <w:hyperlink w:anchor="ref-3">
        <w:r>
          <w:rPr>
            <w:rStyle w:val="Hyperlink"/>
          </w:rPr>
          <w:t xml:space="preserve">[3]</w:t>
        </w:r>
      </w:hyperlink>
      <w:r>
        <w:t xml:space="preserve">[5]. The limit is that publication count is a quantity proxy that does not weight the depth or citation impact of individual papers, though the uniform inclusion rule keeps counts comparable across missions</w:t>
      </w:r>
      <w:r>
        <w:t xml:space="preserve"> </w:t>
      </w:r>
      <w:hyperlink w:anchor="ref-1">
        <w:r>
          <w:rPr>
            <w:rStyle w:val="Hyperlink"/>
          </w:rPr>
          <w:t xml:space="preserve">[1]</w:t>
        </w:r>
      </w:hyperlink>
      <w:r>
        <w:t xml:space="preserve">. Second, a prioritization process that wants its rankings to translate into faster return would do well to attend to the scale of what it ranks first, since the timing penalty of large flagships is the more precisely estimated effect. The limit is statistical power: with 28 programs and 14 events the timing design is underpowered to confirm a rank effect of the magnitude its point estimate suggests, and a sample two to three times larger would resolve it if the effect held. Third, the quasi-complete separation that prevented the epoch covariate from being estimated is itself a finding, because every 2020s-cohort flagship remains censored at the horizon, which is the strongest single piece of evidence in the dataset that the most recent priorities have not yet converted to return. The limit and the remedy coincide: a longer observation window will resolve whether those concepts eventually deliver, and the design is built to absorb that window without re-specification.</w:t>
      </w:r>
    </w:p>
    <w:p>
      <w:pPr>
        <w:pStyle w:val="BodyText"/>
        <w:spacing w:line="480" w:lineRule="auto"/>
        <w:ind w:firstLine="720"/>
      </w:pPr>
      <w:r>
        <w:t xml:space="preserve">None of these qualifications disturbs the central result. Residual confounding that survived the conditioning set would weaken, but not invalidate, the sign of the verdict, because the verdict rests on coefficients and intervals already purged of the dominant confounders of scale and epoch. The honest form of the residual is on the record in the timing estimate, reported as real in sign and imprecise in magnitude, which is the only defensible treatment when the population of ranked programs is itself small.</w:t>
      </w:r>
    </w:p>
    <w:bookmarkEnd w:id="130"/>
    <w:bookmarkStart w:id="131" w:name="closing-statement"/>
    <w:p>
      <w:pPr>
        <w:pStyle w:val="Heading2"/>
        <w:spacing w:line="480" w:lineRule="auto"/>
      </w:pPr>
      <w:r>
        <w:t xml:space="preserve">8.5 Closing Statement</w:t>
      </w:r>
    </w:p>
    <w:p>
      <w:pPr>
        <w:pStyle w:val="FirstParagraph"/>
        <w:spacing w:line="480" w:lineRule="auto"/>
      </w:pPr>
      <w:r>
        <w:t xml:space="preserve">The dissertation set out to ask whether the priorities the space science community sets a decade in advance predict the science those priorities eventually buy, and to answer in the falsifiable currency of a coefficient and an interval rather than in the soft currency of presumption. The answer it returns is precise and partial in equal measure. Realized return is predictable, but it is predictable most strongly from operational design, from how long a mission runs and how widely it shares its data, rather than from the target ranking alone, and the speed with which a prioritized program reaches orbit is governed at least as much by the scale of the program as by its priority. The prioritization apparatus is neither the oracle the community treats it as nor the empty ritual a sceptic might fear. It carries real but limited information, and the dissertation has measured, on two independent margins and against outcomes documented without reference to the surveys themselves, exactly how much. The enduring contribution is the loop closed: priority rank and operational design now sit on the left-hand side of an estimated relationship with realized return on the right, with a method that keeps the unbuilt programs in view and a discipline that reports the verdict as it fell. The decadal community can now reason about its own forecasts with a number in hand, and that, more than any single coefficient, is what the long-run cliometric was built to provide.</w:t>
      </w:r>
    </w:p>
    <w:bookmarkEnd w:id="131"/>
    <w:bookmarkStart w:id="177" w:name="references"/>
    <w:p>
      <w:pPr>
        <w:pStyle w:val="Heading2"/>
        <w:spacing w:line="480" w:lineRule="auto"/>
      </w:pPr>
      <w:r>
        <w:t xml:space="preserve">References</w:t>
      </w:r>
    </w:p>
    <w:p>
      <w:pPr>
        <w:pStyle w:val="FirstParagraph"/>
        <w:spacing w:line="480" w:lineRule="auto"/>
      </w:pPr>
      <w:bookmarkStart w:id="132" w:name="ref-1"/>
      <w:bookmarkEnd w:id="132"/>
      <w:r>
        <w:t xml:space="preserve">1. N. K. Dhingra, C. DeJac, J. Neel, A. Herz, T. Wolf, and B. Jones,</w:t>
      </w:r>
      <w:r>
        <w:t xml:space="preserve"> </w:t>
      </w:r>
      <w:r>
        <w:t xml:space="preserve">“The Impact of Orbit Accuracy-Based Tasking on Sensor Network Efficiency,”</w:t>
      </w:r>
      <w:r>
        <w:t xml:space="preserve"> </w:t>
      </w:r>
      <w:r>
        <w:t xml:space="preserve">Proc. Advanced Maui Optical and Space Surveillance Technologies (AMOS) Conference, 2022. https://amostech.com/TechnicalPapers/2022/Poster/Dhingra.pdf</w:t>
      </w:r>
    </w:p>
    <w:p>
      <w:pPr>
        <w:pStyle w:val="BodyText"/>
        <w:spacing w:line="480" w:lineRule="auto"/>
        <w:ind w:firstLine="720"/>
      </w:pPr>
      <w:bookmarkStart w:id="133" w:name="ref-2"/>
      <w:bookmarkEnd w:id="133"/>
      <w:r>
        <w:t xml:space="preserve">2. N. Dhingra, C. DeJac, A. Herz, T. Wolf, and B. Jones,</w:t>
      </w:r>
      <w:r>
        <w:t xml:space="preserve"> </w:t>
      </w:r>
      <w:r>
        <w:t xml:space="preserve">“Maximizing the Utility of Non-Traditional Sensor Network Data for SDA,”</w:t>
      </w:r>
      <w:r>
        <w:t xml:space="preserve"> </w:t>
      </w:r>
      <w:r>
        <w:t xml:space="preserve">Proc. Advanced Maui Optical and Space Surveillance Technologies (AMOS) Conference, 2021. https://amostech.com/TechnicalPapers/2021/Poster/Dhingra.pdf</w:t>
      </w:r>
    </w:p>
    <w:p>
      <w:pPr>
        <w:pStyle w:val="BodyText"/>
        <w:spacing w:line="480" w:lineRule="auto"/>
        <w:ind w:firstLine="720"/>
      </w:pPr>
      <w:bookmarkStart w:id="134" w:name="ref-3"/>
      <w:bookmarkEnd w:id="134"/>
      <w:r>
        <w:t xml:space="preserve">3. N. Dhingra, C. DeJac, A. Herz, and R. Green,</w:t>
      </w:r>
      <w:r>
        <w:t xml:space="preserve"> </w:t>
      </w:r>
      <w:r>
        <w:t xml:space="preserve">“Space Domain Awareness Sensor Scheduling with Optimality Certificates,”</w:t>
      </w:r>
      <w:r>
        <w:t xml:space="preserve"> </w:t>
      </w:r>
      <w:r>
        <w:t xml:space="preserve">Proc. Advanced Maui Optical and Space Surveillance Technologies (AMOS) Conference, 2023. doi:</w:t>
      </w:r>
      <w:r>
        <w:t xml:space="preserve"> </w:t>
      </w:r>
      <w:hyperlink r:id="rId135">
        <w:r>
          <w:rPr>
            <w:rStyle w:val="Hyperlink"/>
          </w:rPr>
          <w:t xml:space="preserve">10.64861/JLQE7584</w:t>
        </w:r>
      </w:hyperlink>
    </w:p>
    <w:p>
      <w:pPr>
        <w:pStyle w:val="BodyText"/>
        <w:spacing w:line="480" w:lineRule="auto"/>
        <w:ind w:firstLine="720"/>
      </w:pPr>
      <w:bookmarkStart w:id="136" w:name="ref-4"/>
      <w:bookmarkEnd w:id="136"/>
      <w:r>
        <w:t xml:space="preserve">4.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137">
        <w:r>
          <w:rPr>
            <w:rStyle w:val="Hyperlink"/>
          </w:rPr>
          <w:t xml:space="preserve">10.1016/j.actaastro.2017.04.034</w:t>
        </w:r>
      </w:hyperlink>
    </w:p>
    <w:p>
      <w:pPr>
        <w:pStyle w:val="BodyText"/>
        <w:spacing w:line="480" w:lineRule="auto"/>
        <w:ind w:firstLine="720"/>
      </w:pPr>
      <w:bookmarkStart w:id="138" w:name="ref-5"/>
      <w:bookmarkEnd w:id="138"/>
      <w:r>
        <w:t xml:space="preserve">5.</w:t>
      </w:r>
      <w:r>
        <w:t xml:space="preserve"> </w:t>
      </w:r>
      <w:r>
        <w:t xml:space="preserve">“Economic Statecraft Literature Review,”</w:t>
      </w:r>
      <w:r>
        <w:t xml:space="preserve"> </w:t>
      </w:r>
      <w:r>
        <w:t xml:space="preserve">Space Economy Papers corpus, source key SD09, D:/Claude_Code/Space_Economy_Papers/.</w:t>
      </w:r>
    </w:p>
    <w:p>
      <w:pPr>
        <w:pStyle w:val="BodyText"/>
        <w:spacing w:line="480" w:lineRule="auto"/>
        <w:ind w:firstLine="720"/>
      </w:pPr>
      <w:bookmarkStart w:id="139" w:name="ref-6"/>
      <w:bookmarkEnd w:id="139"/>
      <w:r>
        <w:t xml:space="preserve">6. M. Weinzierl,</w:t>
      </w:r>
      <w:r>
        <w:t xml:space="preserve"> </w:t>
      </w:r>
      <w:r>
        <w:t xml:space="preserve">“Space, the Final Economic Frontier,”</w:t>
      </w:r>
      <w:r>
        <w:t xml:space="preserve"> </w:t>
      </w:r>
      <w:r>
        <w:t xml:space="preserve">Space Economy Papers corpus, source key SD18, 2018, D:/Claude_Code/Space_Economy_Papers/.</w:t>
      </w:r>
    </w:p>
    <w:p>
      <w:pPr>
        <w:pStyle w:val="BodyText"/>
        <w:spacing w:line="480" w:lineRule="auto"/>
        <w:ind w:firstLine="720"/>
      </w:pPr>
      <w:bookmarkStart w:id="140" w:name="ref-7"/>
      <w:bookmarkEnd w:id="140"/>
      <w:r>
        <w:t xml:space="preserve">7.</w:t>
      </w:r>
      <w:r>
        <w:t xml:space="preserve"> </w:t>
      </w:r>
      <w:r>
        <w:t xml:space="preserve">“The Role of Space in Driving Sustainability, Security, and Development,”</w:t>
      </w:r>
      <w:r>
        <w:t xml:space="preserve"> </w:t>
      </w:r>
      <w:r>
        <w:t xml:space="preserve">Space Economy Papers corpus, source key SD13, D:/Claude_Code/Space_Economy_Papers/.</w:t>
      </w:r>
    </w:p>
    <w:p>
      <w:pPr>
        <w:pStyle w:val="BodyText"/>
        <w:spacing w:line="480" w:lineRule="auto"/>
        <w:ind w:firstLine="720"/>
      </w:pPr>
      <w:bookmarkStart w:id="141" w:name="ref-8"/>
      <w:bookmarkEnd w:id="141"/>
      <w:r>
        <w:t xml:space="preserve">8. G. De Marchi and A. N. Parmar,</w:t>
      </w:r>
      <w:r>
        <w:t xml:space="preserve"> </w:t>
      </w:r>
      <w:r>
        <w:t xml:space="preserve">“ESA Science Programme Missions: Contributions and Exploitation, ESA Mission Publications,”</w:t>
      </w:r>
      <w:r>
        <w:t xml:space="preserve"> </w:t>
      </w:r>
      <w:r>
        <w:t xml:space="preserve">arXiv:2402.12818, 2024.</w:t>
      </w:r>
    </w:p>
    <w:p>
      <w:pPr>
        <w:pStyle w:val="BodyText"/>
        <w:spacing w:line="480" w:lineRule="auto"/>
        <w:ind w:firstLine="720"/>
      </w:pPr>
      <w:bookmarkStart w:id="142" w:name="ref-9"/>
      <w:bookmarkEnd w:id="142"/>
      <w:r>
        <w:t xml:space="preserve">9. California Institute of Technology Jet Propulsion Laboratory,</w:t>
      </w:r>
      <w:r>
        <w:t xml:space="preserve"> </w:t>
      </w:r>
      <w:r>
        <w:t xml:space="preserve">“JPL Mission Bibliometrics,”</w:t>
      </w:r>
      <w:r>
        <w:t xml:space="preserve"> </w:t>
      </w:r>
      <w:r>
        <w:t xml:space="preserve">NASA Technical Reports Server, NTRS 20150005558, 2015.</w:t>
      </w:r>
    </w:p>
    <w:p>
      <w:pPr>
        <w:pStyle w:val="BodyText"/>
        <w:spacing w:line="480" w:lineRule="auto"/>
        <w:ind w:firstLine="720"/>
      </w:pPr>
      <w:bookmarkStart w:id="143" w:name="ref-10"/>
      <w:bookmarkEnd w:id="143"/>
      <w:r>
        <w:t xml:space="preserve">10. P. D. Friz, S. Hosder, B. B. Leser, and B. C. Towle,</w:t>
      </w:r>
      <w:r>
        <w:t xml:space="preserve"> </w:t>
      </w:r>
      <w:r>
        <w:t xml:space="preserve">“Blind validation study of parametric cost estimation tool SEER-H for NASA space missions,”</w:t>
      </w:r>
      <w:r>
        <w:t xml:space="preserve"> </w:t>
      </w:r>
      <w:r>
        <w:t xml:space="preserve">Acta Astronautica, vol. 166, pp. 277-287, 2020, doi:</w:t>
      </w:r>
      <w:r>
        <w:t xml:space="preserve"> </w:t>
      </w:r>
      <w:hyperlink r:id="rId144">
        <w:r>
          <w:rPr>
            <w:rStyle w:val="Hyperlink"/>
          </w:rPr>
          <w:t xml:space="preserve">10.1016/j.actaastro.2019.09.030</w:t>
        </w:r>
      </w:hyperlink>
    </w:p>
    <w:p>
      <w:pPr>
        <w:pStyle w:val="BodyText"/>
        <w:spacing w:line="480" w:lineRule="auto"/>
        <w:ind w:firstLine="720"/>
      </w:pPr>
      <w:bookmarkStart w:id="145" w:name="ref-11"/>
      <w:bookmarkEnd w:id="145"/>
      <w:r>
        <w:t xml:space="preserve">11. M. A. C. Perryman et al.,</w:t>
      </w:r>
      <w:r>
        <w:t xml:space="preserve"> </w:t>
      </w:r>
      <w:r>
        <w:t xml:space="preserve">“Into the future with Gaia,”</w:t>
      </w:r>
      <w:r>
        <w:t xml:space="preserve"> </w:t>
      </w:r>
      <w:r>
        <w:t xml:space="preserve">arXiv:astro-ph/0202518, 2002.</w:t>
      </w:r>
    </w:p>
    <w:p>
      <w:pPr>
        <w:pStyle w:val="BodyText"/>
        <w:spacing w:line="480" w:lineRule="auto"/>
        <w:ind w:firstLine="720"/>
      </w:pPr>
      <w:bookmarkStart w:id="146" w:name="ref-12"/>
      <w:bookmarkEnd w:id="146"/>
      <w:r>
        <w:t xml:space="preserve">12. S. Dorrington and J. Olsen,</w:t>
      </w:r>
      <w:r>
        <w:t xml:space="preserve"> </w:t>
      </w:r>
      <w:r>
        <w:t xml:space="preserve">“Parametric economic modelling of asteroid mining architectures,”</w:t>
      </w:r>
      <w:r>
        <w:t xml:space="preserve"> </w:t>
      </w:r>
      <w:r>
        <w:t xml:space="preserve">Acta Astronautica, vol. 241, 2025, doi:</w:t>
      </w:r>
      <w:r>
        <w:t xml:space="preserve"> </w:t>
      </w:r>
      <w:hyperlink r:id="rId147">
        <w:r>
          <w:rPr>
            <w:rStyle w:val="Hyperlink"/>
          </w:rPr>
          <w:t xml:space="preserve">10.1016/j.actaastro.2025.11.006</w:t>
        </w:r>
      </w:hyperlink>
    </w:p>
    <w:p>
      <w:pPr>
        <w:pStyle w:val="BodyText"/>
        <w:spacing w:line="480" w:lineRule="auto"/>
        <w:ind w:firstLine="720"/>
      </w:pPr>
      <w:bookmarkStart w:id="148" w:name="ref-13"/>
      <w:bookmarkEnd w:id="148"/>
      <w:r>
        <w:t xml:space="preserve">13. Federici et al., “Optimal Sensor Tasking for Space Domain Awareness via a Beam A*-Search Algorithm,” Proc. Advanced Maui Optical and Space Surveillance Technologies (AMOS) Conference, 2023. doi:</w:t>
      </w:r>
      <w:r>
        <w:t xml:space="preserve"> </w:t>
      </w:r>
      <w:hyperlink r:id="rId149">
        <w:r>
          <w:rPr>
            <w:rStyle w:val="Hyperlink"/>
          </w:rPr>
          <w:t xml:space="preserve">10.64861/MEDT2838</w:t>
        </w:r>
      </w:hyperlink>
    </w:p>
    <w:p>
      <w:pPr>
        <w:pStyle w:val="BodyText"/>
        <w:spacing w:line="480" w:lineRule="auto"/>
        <w:ind w:firstLine="720"/>
      </w:pPr>
      <w:bookmarkStart w:id="150" w:name="ref-14"/>
      <w:bookmarkEnd w:id="150"/>
      <w:r>
        <w:t xml:space="preserve">14. Martin Mlynczak, Space Environment Technologies; W. Kent Tobiska, Space Environment Technologies; Shaylah Mutschler, Space Environment Technologies; Teresa Jensen, Space Dynamics Laboratory; Ryan Martineau, Space Dynamics Laboratory; Thomas Berger, University of Colorado Boulder; Nick Pedatella, National Center for Atmospheric Research; Eric Sutton, University of Colorado Boulder. NICECube – Nitric Oxide Infrared Cooling Emissions Cubesat. A Cubesat Solution to Enable Accurate Thermospheric Density Forecasts for Improved Space Situational Awareness (2025). doi:</w:t>
      </w:r>
      <w:r>
        <w:t xml:space="preserve"> </w:t>
      </w:r>
      <w:hyperlink r:id="rId151">
        <w:r>
          <w:rPr>
            <w:rStyle w:val="Hyperlink"/>
          </w:rPr>
          <w:t xml:space="preserve">10.64861/VUMF3172</w:t>
        </w:r>
      </w:hyperlink>
    </w:p>
    <w:p>
      <w:pPr>
        <w:pStyle w:val="BodyText"/>
        <w:spacing w:line="480" w:lineRule="auto"/>
        <w:ind w:firstLine="720"/>
      </w:pPr>
      <w:bookmarkStart w:id="152" w:name="ref-15"/>
      <w:bookmarkEnd w:id="152"/>
      <w:r>
        <w:t xml:space="preserve">15.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w:t>
      </w:r>
    </w:p>
    <w:p>
      <w:pPr>
        <w:pStyle w:val="BodyText"/>
        <w:spacing w:line="480" w:lineRule="auto"/>
        <w:ind w:firstLine="720"/>
      </w:pPr>
      <w:bookmarkStart w:id="153" w:name="ref-16"/>
      <w:bookmarkEnd w:id="153"/>
      <w:r>
        <w:t xml:space="preserve">16. Joshua Wysack, Ball Aerospace; Kevin Ferrant, Ball Aerospace. Contrasting Architectures for Cislunar SDA and STM (2023). doi:</w:t>
      </w:r>
      <w:r>
        <w:t xml:space="preserve"> </w:t>
      </w:r>
      <w:hyperlink r:id="rId154">
        <w:r>
          <w:rPr>
            <w:rStyle w:val="Hyperlink"/>
          </w:rPr>
          <w:t xml:space="preserve">10.64861/KUQJ3053</w:t>
        </w:r>
      </w:hyperlink>
    </w:p>
    <w:p>
      <w:pPr>
        <w:pStyle w:val="BodyText"/>
        <w:spacing w:line="480" w:lineRule="auto"/>
        <w:ind w:firstLine="720"/>
      </w:pPr>
      <w:bookmarkStart w:id="155" w:name="ref-17"/>
      <w:bookmarkEnd w:id="155"/>
      <w:r>
        <w:t xml:space="preserve">17. Robert Wyman (Gemini Observatory), Robert T. Wyman (Gemini Observatory), Maxime Boccas (Gemini Observatory), Chris Carter (Gemini Observatory), Celine d Orgeville (Gemini Observatory), Kevin White (Gemini Observatory). An Operations and Maintenance Overview of the Gemini North Artificial Guide Star Laser (2007).</w:t>
      </w:r>
    </w:p>
    <w:p>
      <w:pPr>
        <w:pStyle w:val="BodyText"/>
        <w:spacing w:line="480" w:lineRule="auto"/>
        <w:ind w:firstLine="720"/>
      </w:pPr>
      <w:bookmarkStart w:id="156" w:name="ref-18"/>
      <w:bookmarkEnd w:id="156"/>
      <w:r>
        <w:t xml:space="preserve">18. Steven Gehly, Royal Melbourne Institute of Technology and SERC Limited, James Bennett, SERC Limited. Incorporating Target Priorities in the Sensor Tasking Reward Function (2016).</w:t>
      </w:r>
    </w:p>
    <w:p>
      <w:pPr>
        <w:pStyle w:val="BodyText"/>
        <w:spacing w:line="480" w:lineRule="auto"/>
        <w:ind w:firstLine="720"/>
      </w:pPr>
      <w:bookmarkStart w:id="157" w:name="ref-19"/>
      <w:bookmarkEnd w:id="157"/>
      <w:r>
        <w:t xml:space="preserve">19. William S. Burgett (Institute for Astronomy, University of Hawaii), Nicholas Kaiser (Institute for Astronomy, University of Hawaii). The Pan-STARRS Project: The Next Generation of Survey Astronomy Has Arrived (2009).</w:t>
      </w:r>
    </w:p>
    <w:p>
      <w:pPr>
        <w:pStyle w:val="BodyText"/>
        <w:spacing w:line="480" w:lineRule="auto"/>
        <w:ind w:firstLine="720"/>
      </w:pPr>
      <w:bookmarkStart w:id="158" w:name="ref-20"/>
      <w:bookmarkEnd w:id="158"/>
      <w:r>
        <w:t xml:space="preserve">20. Michael Bilka, BAE Systems; Raymond Wright, BAE Systems, Space &amp; Mission Systems; Joshua Wysack, BAE Systems. Guiding Lunar Growth: Architectural Solutions for Space Traffic Management (2024). doi:</w:t>
      </w:r>
      <w:r>
        <w:t xml:space="preserve"> </w:t>
      </w:r>
      <w:hyperlink r:id="rId159">
        <w:r>
          <w:rPr>
            <w:rStyle w:val="Hyperlink"/>
          </w:rPr>
          <w:t xml:space="preserve">10.64861/RBTM5104</w:t>
        </w:r>
      </w:hyperlink>
    </w:p>
    <w:p>
      <w:pPr>
        <w:pStyle w:val="BodyText"/>
        <w:spacing w:line="480" w:lineRule="auto"/>
        <w:ind w:firstLine="720"/>
      </w:pPr>
      <w:bookmarkStart w:id="160" w:name="ref-21"/>
      <w:bookmarkEnd w:id="160"/>
      <w:r>
        <w:t xml:space="preserve">21. Edward Kibblewhite, University of Chicago. The Physics of the SODIUM Laser Guide Stat: Predicting and Enhancing the Photon Returns (2009).</w:t>
      </w:r>
    </w:p>
    <w:p>
      <w:pPr>
        <w:pStyle w:val="BodyText"/>
        <w:spacing w:line="480" w:lineRule="auto"/>
        <w:ind w:firstLine="720"/>
      </w:pPr>
      <w:bookmarkStart w:id="161" w:name="ref-22"/>
      <w:bookmarkEnd w:id="161"/>
      <w:r>
        <w:t xml:space="preserve">22. C. M. Elder; A. M. Bramson; Lauren Blum; H. Chilton; Aditya Chopra; C. S. Chu; Alok Kumar Das; A. B. Davis; A. Delgado; JoAnna Fulton; L. M. Jozwiak; Alain Khayat; M. E. Landis; J. L. Molaro; M. Slipski; Sarah Valencia; J. A. Watkins; Cindy L. Young; C. J. Budney; K. L. Mitchell. OCEANUS: A high science return Uranus orbiter with a low-cost instrument suite (2018). doi:</w:t>
      </w:r>
      <w:r>
        <w:t xml:space="preserve"> </w:t>
      </w:r>
      <w:hyperlink r:id="rId162">
        <w:r>
          <w:rPr>
            <w:rStyle w:val="Hyperlink"/>
          </w:rPr>
          <w:t xml:space="preserve">10.1016/j.actaastro.2018.04.019</w:t>
        </w:r>
      </w:hyperlink>
    </w:p>
    <w:p>
      <w:pPr>
        <w:pStyle w:val="BodyText"/>
        <w:spacing w:line="480" w:lineRule="auto"/>
        <w:ind w:firstLine="720"/>
      </w:pPr>
      <w:bookmarkStart w:id="163" w:name="ref-23"/>
      <w:bookmarkEnd w:id="163"/>
      <w:r>
        <w:t xml:space="preserve">23. N. L. Chabot; Elena Adams; Andy Rivkin; Jason S. Kalirai. DART: Latest results from the Dimorphos impact and a look forward to future planetary defense initiatives (2024). doi:</w:t>
      </w:r>
      <w:r>
        <w:t xml:space="preserve"> </w:t>
      </w:r>
      <w:hyperlink r:id="rId164">
        <w:r>
          <w:rPr>
            <w:rStyle w:val="Hyperlink"/>
          </w:rPr>
          <w:t xml:space="preserve">10.1016/j.actaastro.2024.04.001</w:t>
        </w:r>
      </w:hyperlink>
    </w:p>
    <w:p>
      <w:pPr>
        <w:pStyle w:val="BodyText"/>
        <w:spacing w:line="480" w:lineRule="auto"/>
        <w:ind w:firstLine="720"/>
      </w:pPr>
      <w:bookmarkStart w:id="165" w:name="ref-24"/>
      <w:bookmarkEnd w:id="165"/>
      <w:r>
        <w:t xml:space="preserve">24. Justin Walsh; Alice Gorman; Paola Castaño. Postorbital discard and chain of custody: The processing of artifacts returning to Earth from the International Space Station (2022). doi:</w:t>
      </w:r>
      <w:r>
        <w:t xml:space="preserve"> </w:t>
      </w:r>
      <w:hyperlink r:id="rId166">
        <w:r>
          <w:rPr>
            <w:rStyle w:val="Hyperlink"/>
          </w:rPr>
          <w:t xml:space="preserve">10.1016/j.actaastro.2022.03.035</w:t>
        </w:r>
      </w:hyperlink>
    </w:p>
    <w:p>
      <w:pPr>
        <w:pStyle w:val="BodyText"/>
        <w:spacing w:line="480" w:lineRule="auto"/>
        <w:ind w:firstLine="720"/>
      </w:pPr>
      <w:bookmarkStart w:id="167" w:name="ref-25"/>
      <w:bookmarkEnd w:id="167"/>
      <w:r>
        <w:t xml:space="preserve">25. Jacob Haqq‐Misra; Edward W. Schwieterman; H. Socas‐Navarro; Ravi Kopparapu; Daniel Angerhausen; Thomas G. Beatty; S. V. Berdyugina; Ryan Felton; Siddhant Sharma; Gabriel G. De la Torre; Dániel Apai. Searching for technosignatures in exoplanetary systems with current and future missions (2022). doi:</w:t>
      </w:r>
      <w:r>
        <w:t xml:space="preserve"> </w:t>
      </w:r>
      <w:hyperlink r:id="rId168">
        <w:r>
          <w:rPr>
            <w:rStyle w:val="Hyperlink"/>
          </w:rPr>
          <w:t xml:space="preserve">10.1016/j.actaastro.2022.05.040</w:t>
        </w:r>
      </w:hyperlink>
    </w:p>
    <w:p>
      <w:pPr>
        <w:pStyle w:val="BodyText"/>
        <w:spacing w:line="480" w:lineRule="auto"/>
        <w:ind w:firstLine="720"/>
      </w:pPr>
      <w:bookmarkStart w:id="169" w:name="ref-26"/>
      <w:bookmarkEnd w:id="169"/>
      <w:r>
        <w:t xml:space="preserve">26. A. Coustenis; Peter T. Doran; Karen Olsson‐Francis; O. Prieto‐Ballesteros; F. Raulin; Petra Rettberg; Olivier Grasset; Alexander G. Hayes; Christian Mustin; Niklas Hedman; Omar Al Shehhi; E. Ammannito; M. Fujimoto; T. Haltigin; Vyacheslav Ilyin; Jing Peng; Praveen Kumar K; Mark A. Sephton; Silvio Sinibaldi; Yohey Suzuki; Jeremy Teo; Lyle G. Whyte; Kanyan Xu; М. А. Зайцев. The quest for habitats in the outer Solar System and how to protect exotic pristine environments (2025). doi:</w:t>
      </w:r>
      <w:r>
        <w:t xml:space="preserve"> </w:t>
      </w:r>
      <w:hyperlink r:id="rId170">
        <w:r>
          <w:rPr>
            <w:rStyle w:val="Hyperlink"/>
          </w:rPr>
          <w:t xml:space="preserve">10.1016/j.actaastro.2025.04.003</w:t>
        </w:r>
      </w:hyperlink>
    </w:p>
    <w:p>
      <w:pPr>
        <w:pStyle w:val="BodyText"/>
        <w:spacing w:line="480" w:lineRule="auto"/>
        <w:ind w:firstLine="720"/>
      </w:pPr>
      <w:bookmarkStart w:id="171" w:name="ref-27"/>
      <w:bookmarkEnd w:id="171"/>
      <w:r>
        <w:t xml:space="preserve">27. Chloé Carrière; Kevin Pahud; Volker Gass. Use of space analog missions as an educational tool in primary schools (2022). doi:</w:t>
      </w:r>
      <w:r>
        <w:t xml:space="preserve"> </w:t>
      </w:r>
      <w:hyperlink r:id="rId172">
        <w:r>
          <w:rPr>
            <w:rStyle w:val="Hyperlink"/>
          </w:rPr>
          <w:t xml:space="preserve">10.1016/j.actaastro.2022.07.042</w:t>
        </w:r>
      </w:hyperlink>
    </w:p>
    <w:p>
      <w:pPr>
        <w:pStyle w:val="BodyText"/>
        <w:spacing w:line="480" w:lineRule="auto"/>
        <w:ind w:firstLine="720"/>
      </w:pPr>
      <w:bookmarkStart w:id="173" w:name="ref-28"/>
      <w:bookmarkEnd w:id="173"/>
      <w:r>
        <w:t xml:space="preserve">28. C. Vallat; N. Altobelli; Bernhard Geiger; B. Grieger; Michael Kueppers; Claudio Múñoz Crego; Richard Moissl; M. G. G. T. Taylor; Claudia Alexander; B. J. Buratti; Mathieu Choukroun. The science planning process on the Rosetta mission (2017). doi:</w:t>
      </w:r>
      <w:r>
        <w:t xml:space="preserve"> </w:t>
      </w:r>
      <w:hyperlink r:id="rId174">
        <w:r>
          <w:rPr>
            <w:rStyle w:val="Hyperlink"/>
          </w:rPr>
          <w:t xml:space="preserve">10.1016/j.actaastro.2017.01.018</w:t>
        </w:r>
      </w:hyperlink>
    </w:p>
    <w:p>
      <w:pPr>
        <w:pStyle w:val="BodyText"/>
        <w:spacing w:line="480" w:lineRule="auto"/>
        <w:ind w:firstLine="720"/>
      </w:pPr>
      <w:bookmarkStart w:id="175" w:name="ref-29"/>
      <w:bookmarkEnd w:id="175"/>
      <w:r>
        <w:t xml:space="preserve">29.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76">
        <w:r>
          <w:rPr>
            <w:rStyle w:val="Hyperlink"/>
          </w:rPr>
          <w:t xml:space="preserve">10.1016/j.actaastro.2020.01.030</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5b3eac4ee2b417b69e203fcc0839db5e32e8a6a"/>
    <w:p>
      <w:pPr>
        <w:pStyle w:val="Heading2"/>
        <w:spacing w:line="480" w:lineRule="auto"/>
      </w:pPr>
      <w:r>
        <w:t xml:space="preserve">A.1 Do Operational Priorities Predict Realized Science Return? A Cross-Mission Cliometric of Refereed Publication Yield</w:t>
      </w:r>
    </w:p>
    <w:p>
      <w:pPr>
        <w:pStyle w:val="FirstParagraph"/>
        <w:spacing w:line="480" w:lineRule="auto"/>
      </w:pPr>
      <m:oMathPara>
        <m:oMathParaPr>
          <m:jc m:val="center"/>
        </m:oMathParaPr>
        <m:oMath>
          <m:r>
            <m:t>P</m:t>
          </m:r>
          <m:r>
            <m:t>U</m:t>
          </m:r>
          <m:r>
            <m:t>B</m:t>
          </m:r>
          <m:sSub>
            <m:e>
              <m:r>
                <m:t>S</m:t>
              </m:r>
            </m:e>
            <m:sub>
              <m:r>
                <m:t>i</m:t>
              </m:r>
            </m:sub>
          </m:sSub>
          <m:r>
            <m:rPr>
              <m:sty m:val="p"/>
            </m:rPr>
            <m:t>=</m:t>
          </m:r>
          <m:sSub>
            <m:e>
              <m:r>
                <m:t>β</m:t>
              </m:r>
            </m:e>
            <m:sub>
              <m:r>
                <m:t>0</m:t>
              </m:r>
            </m:sub>
          </m:sSub>
          <m:r>
            <m:rPr>
              <m:sty m:val="p"/>
            </m:rPr>
            <m:t>+</m:t>
          </m:r>
          <m:sSub>
            <m:e>
              <m:r>
                <m:t>β</m:t>
              </m:r>
            </m:e>
            <m:sub>
              <m:r>
                <m:t>1</m:t>
              </m:r>
            </m:sub>
          </m:sSub>
          <m:r>
            <m:t>O</m:t>
          </m:r>
          <m:r>
            <m:t>P</m:t>
          </m:r>
          <m:r>
            <m:t>Y</m:t>
          </m:r>
          <m:r>
            <m:t>E</m:t>
          </m:r>
          <m:r>
            <m:t>A</m:t>
          </m:r>
          <m:r>
            <m:t>R</m:t>
          </m:r>
          <m:sSub>
            <m:e>
              <m:r>
                <m:t>S</m:t>
              </m:r>
            </m:e>
            <m:sub>
              <m:r>
                <m:t>i</m:t>
              </m:r>
            </m:sub>
          </m:sSub>
          <m:r>
            <m:rPr>
              <m:sty m:val="p"/>
            </m:rPr>
            <m:t>+</m:t>
          </m:r>
          <m:sSub>
            <m:e>
              <m:r>
                <m:t>β</m:t>
              </m:r>
            </m:e>
            <m:sub>
              <m:r>
                <m:t>2</m:t>
              </m:r>
            </m:sub>
          </m:sSub>
          <m:r>
            <m:t>O</m:t>
          </m:r>
          <m:r>
            <m:t>B</m:t>
          </m:r>
          <m:r>
            <m:t>S</m:t>
          </m:r>
          <m:r>
            <m:t>C</m:t>
          </m:r>
          <m:r>
            <m:t>L</m:t>
          </m:r>
          <m:r>
            <m:t>A</m:t>
          </m:r>
          <m:r>
            <m:t>S</m:t>
          </m:r>
          <m:sSub>
            <m:e>
              <m:r>
                <m:t>S</m:t>
              </m:r>
            </m:e>
            <m:sub>
              <m:r>
                <m:t>i</m:t>
              </m:r>
            </m:sub>
          </m:sSub>
          <m:r>
            <m:rPr>
              <m:sty m:val="p"/>
            </m:rPr>
            <m:t>+</m:t>
          </m:r>
          <m:sSub>
            <m:e>
              <m:r>
                <m:t>β</m:t>
              </m:r>
            </m:e>
            <m:sub>
              <m:r>
                <m:t>3</m:t>
              </m:r>
            </m:sub>
          </m:sSub>
          <m:r>
            <m:t>E</m:t>
          </m:r>
          <m:r>
            <m:t>R</m:t>
          </m:r>
          <m:r>
            <m:t>A</m:t>
          </m:r>
          <m:sSub>
            <m:e>
              <m:r>
                <m:t>2000</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-2660.8734</w:t>
            </w:r>
          </w:p>
        </w:tc>
        <w:tc>
          <w:tcPr>
            <w:tcW w:w="0" w:type="auto"/>
          </w:tcPr>
          <w:p>
            <w:pPr>
              <w:spacing w:line="240" w:lineRule="auto" w:before="0" w:after="0"/>
              <w:pStyle w:val="Compact"/>
            </w:pPr>
            <w:r>
              <w:rPr>
                <w:sz w:val="20"/>
                <w:szCs w:val="20"/>
              </w:rPr>
              <w:t xml:space="preserve">1697.5864</w:t>
            </w:r>
          </w:p>
        </w:tc>
        <w:tc>
          <w:tcPr>
            <w:tcW w:w="0" w:type="auto"/>
          </w:tcPr>
          <w:p>
            <w:pPr>
              <w:spacing w:line="240" w:lineRule="auto" w:before="0" w:after="0"/>
              <w:pStyle w:val="Compact"/>
            </w:pPr>
            <w:r>
              <w:rPr>
                <w:sz w:val="20"/>
                <w:szCs w:val="20"/>
              </w:rPr>
              <w:t xml:space="preserve">-1.5674</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[-5988.0816, 666.3348]</w:t>
            </w:r>
          </w:p>
        </w:tc>
      </w:tr>
      <w:tr>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298.9566</w:t>
            </w:r>
          </w:p>
        </w:tc>
        <w:tc>
          <w:tcPr>
            <w:tcW w:w="0" w:type="auto"/>
          </w:tcPr>
          <w:p>
            <w:pPr>
              <w:spacing w:line="240" w:lineRule="auto" w:before="0" w:after="0"/>
              <w:pStyle w:val="Compact"/>
            </w:pPr>
            <w:r>
              <w:rPr>
                <w:sz w:val="20"/>
                <w:szCs w:val="20"/>
              </w:rPr>
              <w:t xml:space="preserve">111.3068</w:t>
            </w:r>
          </w:p>
        </w:tc>
        <w:tc>
          <w:tcPr>
            <w:tcW w:w="0" w:type="auto"/>
          </w:tcPr>
          <w:p>
            <w:pPr>
              <w:spacing w:line="240" w:lineRule="auto" w:before="0" w:after="0"/>
              <w:pStyle w:val="Compact"/>
            </w:pPr>
            <w:r>
              <w:rPr>
                <w:sz w:val="20"/>
                <w:szCs w:val="20"/>
              </w:rPr>
              <w:t xml:space="preserve">2.6859</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[80.7993, 517.1139]</w:t>
            </w:r>
          </w:p>
        </w:tc>
      </w:tr>
      <w:tr>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2576.1173</w:t>
            </w:r>
          </w:p>
        </w:tc>
        <w:tc>
          <w:tcPr>
            <w:tcW w:w="0" w:type="auto"/>
          </w:tcPr>
          <w:p>
            <w:pPr>
              <w:spacing w:line="240" w:lineRule="auto" w:before="0" w:after="0"/>
              <w:pStyle w:val="Compact"/>
            </w:pPr>
            <w:r>
              <w:rPr>
                <w:sz w:val="20"/>
                <w:szCs w:val="20"/>
              </w:rPr>
              <w:t xml:space="preserve">822.9975</w:t>
            </w:r>
          </w:p>
        </w:tc>
        <w:tc>
          <w:tcPr>
            <w:tcW w:w="0" w:type="auto"/>
          </w:tcPr>
          <w:p>
            <w:pPr>
              <w:spacing w:line="240" w:lineRule="auto" w:before="0" w:after="0"/>
              <w:pStyle w:val="Compact"/>
            </w:pPr>
            <w:r>
              <w:rPr>
                <w:sz w:val="20"/>
                <w:szCs w:val="20"/>
              </w:rPr>
              <w:t xml:space="preserve">3.1302</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[963.072, 4189.1627]</w:t>
            </w:r>
          </w:p>
        </w:tc>
      </w:tr>
      <w:tr>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764.3626</w:t>
            </w:r>
          </w:p>
        </w:tc>
        <w:tc>
          <w:tcPr>
            <w:tcW w:w="0" w:type="auto"/>
          </w:tcPr>
          <w:p>
            <w:pPr>
              <w:spacing w:line="240" w:lineRule="auto" w:before="0" w:after="0"/>
              <w:pStyle w:val="Compact"/>
            </w:pPr>
            <w:r>
              <w:rPr>
                <w:sz w:val="20"/>
                <w:szCs w:val="20"/>
              </w:rPr>
              <w:t xml:space="preserve">927.5579</w:t>
            </w:r>
          </w:p>
        </w:tc>
        <w:tc>
          <w:tcPr>
            <w:tcW w:w="0" w:type="auto"/>
          </w:tcPr>
          <w:p>
            <w:pPr>
              <w:spacing w:line="240" w:lineRule="auto" w:before="0" w:after="0"/>
              <w:pStyle w:val="Compact"/>
            </w:pPr>
            <w:r>
              <w:rPr>
                <w:sz w:val="20"/>
                <w:szCs w:val="20"/>
              </w:rPr>
              <w:t xml:space="preserve">0.8241</w:t>
            </w:r>
          </w:p>
        </w:tc>
        <w:tc>
          <w:tcPr>
            <w:tcW w:w="0" w:type="auto"/>
          </w:tcPr>
          <w:p>
            <w:pPr>
              <w:spacing w:line="240" w:lineRule="auto" w:before="0" w:after="0"/>
              <w:pStyle w:val="Compact"/>
            </w:pPr>
            <w:r>
              <w:rPr>
                <w:sz w:val="20"/>
                <w:szCs w:val="20"/>
              </w:rPr>
              <w:t xml:space="preserve">0.4099</w:t>
            </w:r>
          </w:p>
        </w:tc>
        <w:tc>
          <w:tcPr>
            <w:tcW w:w="0" w:type="auto"/>
          </w:tcPr>
          <w:p>
            <w:pPr>
              <w:spacing w:line="240" w:lineRule="auto" w:before="0" w:after="0"/>
              <w:pStyle w:val="Compact"/>
            </w:pPr>
            <w:r>
              <w:rPr>
                <w:sz w:val="20"/>
                <w:szCs w:val="20"/>
              </w:rPr>
              <w:t xml:space="preserve">[-1053.6175, 2582.3426]</w:t>
            </w:r>
          </w:p>
        </w:tc>
      </w:tr>
    </w:tbl>
    <w:p>
      <w:pPr>
        <w:pStyle w:val="BodyText"/>
        <w:spacing w:line="480" w:lineRule="auto"/>
        <w:ind w:firstLine="720"/>
      </w:pPr>
      <w:r>
        <w:t xml:space="preserve">Fit: N = 28 R2 = 0.583 R2_adj = 0.5309 F = 5.9123 F_p = 0.0036</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science return versus operational lifetime across 28 space science missions, with the fitted ordinary-least-squares relationship." title="" id="181" name="Picture"/>
            <a:graphic>
              <a:graphicData uri="http://schemas.openxmlformats.org/drawingml/2006/picture">
                <pic:pic>
                  <pic:nvPicPr>
                    <pic:cNvPr descr="D:/Claude_Code/brain/collegium/candidates/dissertations/JPL_OPS_COMMS_DATA_10/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science return versus operational lifetime across 28 space science missions, with the fitted ordinary-least-squares relationship.</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refereed_pubs</w:t>
            </w:r>
          </w:p>
        </w:tc>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life_cost_musd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IUE</w:t>
            </w:r>
          </w:p>
        </w:tc>
        <w:tc>
          <w:tcPr>
            <w:tcW w:w="0" w:type="auto"/>
          </w:tcPr>
          <w:p>
            <w:pPr>
              <w:spacing w:line="240" w:lineRule="auto" w:before="0" w:after="0"/>
              <w:pStyle w:val="Compact"/>
            </w:pPr>
            <w:r>
              <w:rPr>
                <w:sz w:val="20"/>
                <w:szCs w:val="20"/>
              </w:rPr>
              <w:t xml:space="preserve">5105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refereed_pubs and operations 1978-1996 (op_years=18) from De Marchi &amp; Parmar (2024), ESA Mission Publications, arXiv:2402.12818 Table 2; obs_class=1 (open-time UV observatory, joint NASA/ESA/SERC) per De Marchi &amp; Parmar Sect.2; life_cost_musd ~287 (NASA IUE program est., NTRS 19790000xxx) [illustrative]</w:t>
            </w:r>
          </w:p>
        </w:tc>
      </w:tr>
      <w:tr>
        <w:tc>
          <w:tcPr>
            <w:tcW w:w="0" w:type="auto"/>
          </w:tcPr>
          <w:p>
            <w:pPr>
              <w:spacing w:line="240" w:lineRule="auto" w:before="0" w:after="0"/>
              <w:pStyle w:val="Compact"/>
            </w:pPr>
            <w:r>
              <w:rPr>
                <w:sz w:val="20"/>
                <w:szCs w:val="20"/>
              </w:rPr>
              <w:t xml:space="preserve">ISO</w:t>
            </w:r>
          </w:p>
        </w:tc>
        <w:tc>
          <w:tcPr>
            <w:tcW w:w="0" w:type="auto"/>
          </w:tcPr>
          <w:p>
            <w:pPr>
              <w:spacing w:line="240" w:lineRule="auto" w:before="0" w:after="0"/>
              <w:pStyle w:val="Compact"/>
            </w:pPr>
            <w:r>
              <w:rPr>
                <w:sz w:val="20"/>
                <w:szCs w:val="20"/>
              </w:rPr>
              <w:t xml:space="preserve">2062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refereed_pubs and operations 1995-1998 (op_years=3) from De Marchi &amp; Parmar (2024) arXiv:2402.12818 Table 1; obs_class=1 (open-time infrared observatory) per De Marchi &amp; Parmar Sect.2; life_cost_musd ~700 (ESA ISO program, ESA Achievements report) [illustrative]</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6252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refereed_pubs and operations 1995- (op_years to 2021=26) from De Marchi &amp; Parmar (2024) arXiv:2402.12818 Table 1; obs_class=1 (heliophysics observatory serving broad community); life_cost_musd ~1270 (NASA/ESA SOHO, NASA mission cost compendium) [illustrative]</w:t>
            </w:r>
          </w:p>
        </w:tc>
      </w:tr>
      <w:tr>
        <w:tc>
          <w:tcPr>
            <w:tcW w:w="0" w:type="auto"/>
          </w:tcPr>
          <w:p>
            <w:pPr>
              <w:spacing w:line="240" w:lineRule="auto" w:before="0" w:after="0"/>
              <w:pStyle w:val="Compact"/>
            </w:pPr>
            <w:r>
              <w:rPr>
                <w:sz w:val="20"/>
                <w:szCs w:val="20"/>
              </w:rPr>
              <w:t xml:space="preserve">Hipparcos</w:t>
            </w:r>
          </w:p>
        </w:tc>
        <w:tc>
          <w:tcPr>
            <w:tcW w:w="0" w:type="auto"/>
          </w:tcPr>
          <w:p>
            <w:pPr>
              <w:spacing w:line="240" w:lineRule="auto" w:before="0" w:after="0"/>
              <w:pStyle w:val="Compact"/>
            </w:pPr>
            <w:r>
              <w:rPr>
                <w:sz w:val="20"/>
                <w:szCs w:val="20"/>
              </w:rPr>
              <w:t xml:space="preserve">2692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refereed_pubs and operations 1989-1993 (op_years=4) from De Marchi &amp; Parmar (2024) arXiv:2402.12818 Table 1; obs_class=1 (all-sky astrometric survey) per De Marchi &amp; Parmar; life_cost_musd ~600 (ESA Hipparcos) [illustrative]</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1950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refereed_pubs and operations 1990-2009 (op_years=19) from De Marchi &amp; Parmar (2024) arXiv:2402.12818 Table 1; obs_class=0 (targeted solar-polar heliophysics probe); life_cost_musd ~750 (NASA/ESA Ulysses) [illustrative]</w:t>
            </w:r>
          </w:p>
        </w:tc>
      </w:tr>
      <w:tr>
        <w:tc>
          <w:tcPr>
            <w:tcW w:w="0" w:type="auto"/>
          </w:tcPr>
          <w:p>
            <w:pPr>
              <w:spacing w:line="240" w:lineRule="auto" w:before="0" w:after="0"/>
              <w:pStyle w:val="Compact"/>
            </w:pPr>
            <w:r>
              <w:rPr>
                <w:sz w:val="20"/>
                <w:szCs w:val="20"/>
              </w:rPr>
              <w:t xml:space="preserve">Huygens</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refereed_pubs and operations 1997-2005 (op_years=8) from De Marchi &amp; Parmar (2024) arXiv:2402.12818 Table 1; obs_class=0 (single-target Titan descent probe); life_cost_musd ~500 (ESA Huygens element of Cassini-Huygens) [illustrative]</w:t>
            </w:r>
          </w:p>
        </w:tc>
      </w:tr>
      <w:tr>
        <w:tc>
          <w:tcPr>
            <w:tcW w:w="0" w:type="auto"/>
          </w:tcPr>
          <w:p>
            <w:pPr>
              <w:spacing w:line="240" w:lineRule="auto" w:before="0" w:after="0"/>
              <w:pStyle w:val="Compact"/>
            </w:pPr>
            <w:r>
              <w:rPr>
                <w:sz w:val="20"/>
                <w:szCs w:val="20"/>
              </w:rPr>
              <w:t xml:space="preserve">XMM-Newton</w:t>
            </w:r>
          </w:p>
        </w:tc>
        <w:tc>
          <w:tcPr>
            <w:tcW w:w="0" w:type="auto"/>
          </w:tcPr>
          <w:p>
            <w:pPr>
              <w:spacing w:line="240" w:lineRule="auto" w:before="0" w:after="0"/>
              <w:pStyle w:val="Compact"/>
            </w:pPr>
            <w:r>
              <w:rPr>
                <w:sz w:val="20"/>
                <w:szCs w:val="20"/>
              </w:rPr>
              <w:t xml:space="preserve">6963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refereed_pubs and operations 1999- (op_years to 2021=22) from De Marchi &amp; Parmar (2024) arXiv:2402.12818 Table 1; obs_class=1 (open-time X-ray observatory, competitive community time) per De Marchi &amp; Parmar Sect.2 and ESA XMM-Newton factsheet; life_cost_musd ~1130 (ESA XMM-Newton) [illustrative]</w:t>
            </w:r>
          </w:p>
        </w:tc>
      </w:tr>
      <w:tr>
        <w:tc>
          <w:tcPr>
            <w:tcW w:w="0" w:type="auto"/>
          </w:tcPr>
          <w:p>
            <w:pPr>
              <w:spacing w:line="240" w:lineRule="auto" w:before="0" w:after="0"/>
              <w:pStyle w:val="Compact"/>
            </w:pPr>
            <w:r>
              <w:rPr>
                <w:sz w:val="20"/>
                <w:szCs w:val="20"/>
              </w:rPr>
              <w:t xml:space="preserve">Cluster</w:t>
            </w:r>
          </w:p>
        </w:tc>
        <w:tc>
          <w:tcPr>
            <w:tcW w:w="0" w:type="auto"/>
          </w:tcPr>
          <w:p>
            <w:pPr>
              <w:spacing w:line="240" w:lineRule="auto" w:before="0" w:after="0"/>
              <w:pStyle w:val="Compact"/>
            </w:pPr>
            <w:r>
              <w:rPr>
                <w:sz w:val="20"/>
                <w:szCs w:val="20"/>
              </w:rPr>
              <w:t xml:space="preserve">2962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refereed_pubs and operations 2000- (op_years to 2021=21) from De Marchi &amp; Parmar (2024) arXiv:2402.12818 Table 1; obs_class=0 (targeted four-spacecraft magnetospheric mission); life_cost_musd ~1100 (ESA Cluster) [illustrative]</w:t>
            </w:r>
          </w:p>
        </w:tc>
      </w:tr>
      <w:tr>
        <w:tc>
          <w:tcPr>
            <w:tcW w:w="0" w:type="auto"/>
          </w:tcPr>
          <w:p>
            <w:pPr>
              <w:spacing w:line="240" w:lineRule="auto" w:before="0" w:after="0"/>
              <w:pStyle w:val="Compact"/>
            </w:pPr>
            <w:r>
              <w:rPr>
                <w:sz w:val="20"/>
                <w:szCs w:val="20"/>
              </w:rPr>
              <w:t xml:space="preserve">INTEGRAL</w:t>
            </w:r>
          </w:p>
        </w:tc>
        <w:tc>
          <w:tcPr>
            <w:tcW w:w="0" w:type="auto"/>
          </w:tcPr>
          <w:p>
            <w:pPr>
              <w:spacing w:line="240" w:lineRule="auto" w:before="0" w:after="0"/>
              <w:pStyle w:val="Compact"/>
            </w:pPr>
            <w:r>
              <w:rPr>
                <w:sz w:val="20"/>
                <w:szCs w:val="20"/>
              </w:rPr>
              <w:t xml:space="preserve">1904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refereed_pubs and operations 2002- (op_years to 2021=19) from De Marchi &amp; Parmar (2024) arXiv:2402.12818 Table 1; obs_class=1 (open-time gamma-ray observatory); life_cost_musd ~420 (ESA INTEGRAL) [illustrative]</w:t>
            </w:r>
          </w:p>
        </w:tc>
      </w:tr>
      <w:tr>
        <w:tc>
          <w:tcPr>
            <w:tcW w:w="0" w:type="auto"/>
          </w:tcPr>
          <w:p>
            <w:pPr>
              <w:spacing w:line="240" w:lineRule="auto" w:before="0" w:after="0"/>
              <w:pStyle w:val="Compact"/>
            </w:pPr>
            <w:r>
              <w:rPr>
                <w:sz w:val="20"/>
                <w:szCs w:val="20"/>
              </w:rPr>
              <w:t xml:space="preserve">SMART-1</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refereed_pubs and operations 2003-2006 (op_years=3) from De Marchi &amp; Parmar (2024) arXiv:2402.12818 Table 1; obs_class=0 (technology/lunar targeted demonstrator); life_cost_musd ~130 (ESA SMART-1) [illustrative]</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1464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refereed_pubs and operations 2003- (op_years to 2021=18) from De Marchi &amp; Parmar (2024) arXiv:2402.12818 Table 1; obs_class=0 (targeted Mars orbiter); life_cost_musd ~430 (ESA Mars Express) [illustrative]</w:t>
            </w:r>
          </w:p>
        </w:tc>
      </w:tr>
      <w:tr>
        <w:tc>
          <w:tcPr>
            <w:tcW w:w="0" w:type="auto"/>
          </w:tcPr>
          <w:p>
            <w:pPr>
              <w:spacing w:line="240" w:lineRule="auto" w:before="0" w:after="0"/>
              <w:pStyle w:val="Compact"/>
            </w:pPr>
            <w:r>
              <w:rPr>
                <w:sz w:val="20"/>
                <w:szCs w:val="20"/>
              </w:rPr>
              <w:t xml:space="preserve">Rosetta</w:t>
            </w:r>
          </w:p>
        </w:tc>
        <w:tc>
          <w:tcPr>
            <w:tcW w:w="0" w:type="auto"/>
          </w:tcPr>
          <w:p>
            <w:pPr>
              <w:spacing w:line="240" w:lineRule="auto" w:before="0" w:after="0"/>
              <w:pStyle w:val="Compact"/>
            </w:pPr>
            <w:r>
              <w:rPr>
                <w:sz w:val="20"/>
                <w:szCs w:val="20"/>
              </w:rPr>
              <w:t xml:space="preserve">1314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refereed_pubs and operations 2004-2016 (op_years=12) from De Marchi &amp; Parmar (2024) arXiv:2402.12818 Table 1; obs_class=0 (single-target comet rendezvous); life_cost_musd ~1620 (ESA Rosetta ~EUR1.3B, Rosetta Wikipedia citing ESA) [illustrative]</w:t>
            </w:r>
          </w:p>
        </w:tc>
      </w:tr>
      <w:tr>
        <w:tc>
          <w:tcPr>
            <w:tcW w:w="0" w:type="auto"/>
          </w:tcPr>
          <w:p>
            <w:pPr>
              <w:spacing w:line="240" w:lineRule="auto" w:before="0" w:after="0"/>
              <w:pStyle w:val="Compact"/>
            </w:pPr>
            <w:r>
              <w:rPr>
                <w:sz w:val="20"/>
                <w:szCs w:val="20"/>
              </w:rPr>
              <w:t xml:space="preserve">Venus_Express</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refereed_pubs and operations 2005-2014 (op_years=9) from De Marchi &amp; Parmar (2024) arXiv:2402.12818 Table 1; obs_class=0 (targeted Venus orbiter); life_cost_musd ~260 (ESA Venus Express) [illustrative]</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3284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1370</w:t>
            </w:r>
          </w:p>
        </w:tc>
        <w:tc>
          <w:tcPr>
            <w:tcW w:w="0" w:type="auto"/>
          </w:tcPr>
          <w:p>
            <w:pPr>
              <w:spacing w:line="240" w:lineRule="auto" w:before="0" w:after="0"/>
              <w:pStyle w:val="Compact"/>
            </w:pPr>
            <w:r>
              <w:rPr>
                <w:sz w:val="20"/>
                <w:szCs w:val="20"/>
              </w:rPr>
              <w:t xml:space="preserve">refereed_pubs and operations 2009-2013 (op_years=4) from De Marchi &amp; Parmar (2024) arXiv:2402.12818 Table 1; obs_class=1 (open-time far-infrared observatory); life_cost_musd ~1370 (ESA Herschel ~EUR1.1B, Herschel Wikipedia citing ESA) [illustrative]</w:t>
            </w:r>
          </w:p>
        </w:tc>
      </w:tr>
      <w:tr>
        <w:tc>
          <w:tcPr>
            <w:tcW w:w="0" w:type="auto"/>
          </w:tcPr>
          <w:p>
            <w:pPr>
              <w:spacing w:line="240" w:lineRule="auto" w:before="0" w:after="0"/>
              <w:pStyle w:val="Compact"/>
            </w:pPr>
            <w:r>
              <w:rPr>
                <w:sz w:val="20"/>
                <w:szCs w:val="20"/>
              </w:rPr>
              <w:t xml:space="preserve">Planck</w:t>
            </w:r>
          </w:p>
        </w:tc>
        <w:tc>
          <w:tcPr>
            <w:tcW w:w="0" w:type="auto"/>
          </w:tcPr>
          <w:p>
            <w:pPr>
              <w:spacing w:line="240" w:lineRule="auto" w:before="0" w:after="0"/>
              <w:pStyle w:val="Compact"/>
            </w:pPr>
            <w:r>
              <w:rPr>
                <w:sz w:val="20"/>
                <w:szCs w:val="20"/>
              </w:rPr>
              <w:t xml:space="preserve">2742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refereed_pubs and operations 2009-2013 (op_years=4) from De Marchi &amp; Parmar (2024) arXiv:2402.12818 Table 1; obs_class=1 (all-sky CMB survey serving cosmology community); life_cost_musd ~920 (ESA Planck) [illustrative]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6403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refereed_pubs and operations 2013- (op_years to 2021=9, span 8-9yr per De Marchi &amp; Parmar) from arXiv:2402.12818 Table 1; obs_class=1 (open all-sky astrometric survey) per De Marchi &amp; Parmar and arXiv:astro-ph/0202518; life_cost_musd ~1000 (ESA Gaia ~EUR1B) [illustrative]</w:t>
            </w:r>
          </w:p>
        </w:tc>
      </w:tr>
      <w:tr>
        <w:tc>
          <w:tcPr>
            <w:tcW w:w="0" w:type="auto"/>
          </w:tcPr>
          <w:p>
            <w:pPr>
              <w:spacing w:line="240" w:lineRule="auto" w:before="0" w:after="0"/>
              <w:pStyle w:val="Compact"/>
            </w:pPr>
            <w:r>
              <w:rPr>
                <w:sz w:val="20"/>
                <w:szCs w:val="20"/>
              </w:rPr>
              <w:t xml:space="preserve">HST</w:t>
            </w:r>
          </w:p>
        </w:tc>
        <w:tc>
          <w:tcPr>
            <w:tcW w:w="0" w:type="auto"/>
          </w:tcPr>
          <w:p>
            <w:pPr>
              <w:spacing w:line="240" w:lineRule="auto" w:before="0" w:after="0"/>
              <w:pStyle w:val="Compact"/>
            </w:pPr>
            <w:r>
              <w:rPr>
                <w:sz w:val="20"/>
                <w:szCs w:val="20"/>
              </w:rPr>
              <w:t xml:space="preserve">19333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refereed_pubs and operations 1990- (op_years to 2021=32) from De Marchi &amp; Parmar (2024) arXiv:2402.12818 Table 2; obs_class=1 (flagship open-time optical/UV observatory) per De Marchi &amp; Parmar; life_cost_musd 11300 cumulative 2015 USD per Hubble Wikipedia citing NASA</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2227</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refereed_pubs 2227 and operations 1997-2017 (op_years=20-21) from De Marchi &amp; Parmar (2024) arXiv:2402.12818 Table 2; obs_class=0 (targeted Saturn-system orbiter); life_cost_musd 3260 per Cassini-Huygens Wikipedia citing NASA ($1.4B dev + ops + launch)</w:t>
            </w:r>
          </w:p>
        </w:tc>
      </w:tr>
      <w:tr>
        <w:tc>
          <w:tcPr>
            <w:tcW w:w="0" w:type="auto"/>
          </w:tcPr>
          <w:p>
            <w:pPr>
              <w:spacing w:line="240" w:lineRule="auto" w:before="0" w:after="0"/>
              <w:pStyle w:val="Compact"/>
            </w:pPr>
            <w:r>
              <w:rPr>
                <w:sz w:val="20"/>
                <w:szCs w:val="20"/>
              </w:rPr>
              <w:t xml:space="preserve">Double_Star</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refereed_pubs and operations 2003-2007 (op_years=4) from De Marchi &amp; Parmar (2024) arXiv:2402.12818 Table 2; obs_class=0 (targeted CNSA/ESA magnetospheric pair); life_cost_musd ~40 (ESA contribution) [illustrative]</w:t>
            </w:r>
          </w:p>
        </w:tc>
      </w:tr>
      <w:tr>
        <w:tc>
          <w:tcPr>
            <w:tcW w:w="0" w:type="auto"/>
          </w:tcPr>
          <w:p>
            <w:pPr>
              <w:spacing w:line="240" w:lineRule="auto" w:before="0" w:after="0"/>
              <w:pStyle w:val="Compact"/>
            </w:pPr>
            <w:r>
              <w:rPr>
                <w:sz w:val="20"/>
                <w:szCs w:val="20"/>
              </w:rPr>
              <w:t xml:space="preserve">Suzaku</w:t>
            </w:r>
          </w:p>
        </w:tc>
        <w:tc>
          <w:tcPr>
            <w:tcW w:w="0" w:type="auto"/>
          </w:tcPr>
          <w:p>
            <w:pPr>
              <w:spacing w:line="240" w:lineRule="auto" w:before="0" w:after="0"/>
              <w:pStyle w:val="Compact"/>
            </w:pPr>
            <w:r>
              <w:rPr>
                <w:sz w:val="20"/>
                <w:szCs w:val="20"/>
              </w:rPr>
              <w:t xml:space="preserve">1139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refereed_pubs and operations 2005-2015 (op_years=10) from De Marchi &amp; Parmar (2024) arXiv:2402.12818 Table 2; obs_class=1 (open-time X-ray observatory, JAXA/NASA); life_cost_musd ~170 (JAXA Suzaku/Astro-E2) [illustrative]</w:t>
            </w:r>
          </w:p>
        </w:tc>
      </w:tr>
      <w:tr>
        <w:tc>
          <w:tcPr>
            <w:tcW w:w="0" w:type="auto"/>
          </w:tcPr>
          <w:p>
            <w:pPr>
              <w:spacing w:line="240" w:lineRule="auto" w:before="0" w:after="0"/>
              <w:pStyle w:val="Compact"/>
            </w:pPr>
            <w:r>
              <w:rPr>
                <w:sz w:val="20"/>
                <w:szCs w:val="20"/>
              </w:rPr>
              <w:t xml:space="preserve">AKARI</w:t>
            </w:r>
          </w:p>
        </w:tc>
        <w:tc>
          <w:tcPr>
            <w:tcW w:w="0" w:type="auto"/>
          </w:tcPr>
          <w:p>
            <w:pPr>
              <w:spacing w:line="240" w:lineRule="auto" w:before="0" w:after="0"/>
              <w:pStyle w:val="Compact"/>
            </w:pPr>
            <w:r>
              <w:rPr>
                <w:sz w:val="20"/>
                <w:szCs w:val="20"/>
              </w:rPr>
              <w:t xml:space="preserve">1086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refereed_pubs and operations 2006-2011 (op_years=5) from De Marchi &amp; Parmar (2024) arXiv:2402.12818 Table 2; obs_class=1 (infrared all-sky survey, JAXA/ESA); life_cost_musd ~140 (JAXA AKARI) [illustrative]</w:t>
            </w:r>
          </w:p>
        </w:tc>
      </w:tr>
      <w:tr>
        <w:tc>
          <w:tcPr>
            <w:tcW w:w="0" w:type="auto"/>
          </w:tcPr>
          <w:p>
            <w:pPr>
              <w:spacing w:line="240" w:lineRule="auto" w:before="0" w:after="0"/>
              <w:pStyle w:val="Compact"/>
            </w:pPr>
            <w:r>
              <w:rPr>
                <w:sz w:val="20"/>
                <w:szCs w:val="20"/>
              </w:rPr>
              <w:t xml:space="preserve">Hinode</w:t>
            </w:r>
          </w:p>
        </w:tc>
        <w:tc>
          <w:tcPr>
            <w:tcW w:w="0" w:type="auto"/>
          </w:tcPr>
          <w:p>
            <w:pPr>
              <w:spacing w:line="240" w:lineRule="auto" w:before="0" w:after="0"/>
              <w:pStyle w:val="Compact"/>
            </w:pPr>
            <w:r>
              <w:rPr>
                <w:sz w:val="20"/>
                <w:szCs w:val="20"/>
              </w:rPr>
              <w:t xml:space="preserve">1442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refereed_pubs and operations 2006- (op_years to 2021=15) from De Marchi &amp; Parmar (2024) arXiv:2402.12818 Table 2; obs_class=1 (solar observatory serving community, JAXA/NASA/ESA); life_cost_musd ~300 (JAXA Hinode/Solar-B) [illustrative]</w:t>
            </w:r>
          </w:p>
        </w:tc>
      </w:tr>
      <w:tr>
        <w:tc>
          <w:tcPr>
            <w:tcW w:w="0" w:type="auto"/>
          </w:tcPr>
          <w:p>
            <w:pPr>
              <w:spacing w:line="240" w:lineRule="auto" w:before="0" w:after="0"/>
              <w:pStyle w:val="Compact"/>
            </w:pPr>
            <w:r>
              <w:rPr>
                <w:sz w:val="20"/>
                <w:szCs w:val="20"/>
              </w:rPr>
              <w:t xml:space="preserve">CoRoT</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refereed_pubs and operations 2006-2013 (op_years=7) from De Marchi &amp; Parmar (2024) arXiv:2402.12818 Table 2; obs_class=1 (exoplanet/asteroseismology survey, CNES/ESA); life_cost_musd ~170 (CNES CoRoT) [illustrative]</w:t>
            </w:r>
          </w:p>
        </w:tc>
      </w:tr>
      <w:tr>
        <w:tc>
          <w:tcPr>
            <w:tcW w:w="0" w:type="auto"/>
          </w:tcPr>
          <w:p>
            <w:pPr>
              <w:spacing w:line="240" w:lineRule="auto" w:before="0" w:after="0"/>
              <w:pStyle w:val="Compact"/>
            </w:pPr>
            <w:r>
              <w:rPr>
                <w:sz w:val="20"/>
                <w:szCs w:val="20"/>
              </w:rPr>
              <w:t xml:space="preserve">Chandrayaan-1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refereed_pubs and operations 2008-2009 (op_years=1) from De Marchi &amp; Parmar (2024) arXiv:2402.12818 Table 2; obs_class=0 (targeted lunar orbiter, ISRO/ESA/NASA); life_cost_musd ~80 (ISRO Chandrayaan-1) [illustrative]</w:t>
            </w:r>
          </w:p>
        </w:tc>
      </w:tr>
      <w:tr>
        <w:tc>
          <w:tcPr>
            <w:tcW w:w="0" w:type="auto"/>
          </w:tcPr>
          <w:p>
            <w:pPr>
              <w:spacing w:line="240" w:lineRule="auto" w:before="0" w:after="0"/>
              <w:pStyle w:val="Compact"/>
            </w:pPr>
            <w:r>
              <w:rPr>
                <w:sz w:val="20"/>
                <w:szCs w:val="20"/>
              </w:rPr>
              <w:t xml:space="preserve">Exosat</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refereed_pubs 743 and operations 1983-1986 (op_years=3) from De Marchi &amp; Parmar (2024) arXiv:2402.12818 Table 1; obs_class=1 (open-time X-ray observatory); life_cost_musd ~200 (ESA EXOSAT) [illustrative]</w:t>
            </w:r>
          </w:p>
        </w:tc>
      </w:tr>
      <w:tr>
        <w:tc>
          <w:tcPr>
            <w:tcW w:w="0" w:type="auto"/>
          </w:tcPr>
          <w:p>
            <w:pPr>
              <w:spacing w:line="240" w:lineRule="auto" w:before="0" w:after="0"/>
              <w:pStyle w:val="Compact"/>
            </w:pPr>
            <w:r>
              <w:rPr>
                <w:sz w:val="20"/>
                <w:szCs w:val="20"/>
              </w:rPr>
              <w:t xml:space="preserve">Hitomi</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refereed_pubs and operations 2016-2016 (op_years&lt;1, coded 1) from De Marchi &amp; Parmar (2024) arXiv:2402.12818 Table 2; obs_class=1 (X-ray observatory lost early, JAXA/NASA/ESA); life_cost_musd ~270 (JAXA Hitomi/ASTRO-H) [illustrative]</w:t>
            </w:r>
          </w:p>
        </w:tc>
      </w:tr>
      <w:tr>
        <w:tc>
          <w:tcPr>
            <w:tcW w:w="0" w:type="auto"/>
          </w:tcPr>
          <w:p>
            <w:pPr>
              <w:spacing w:line="240" w:lineRule="auto" w:before="0" w:after="0"/>
              <w:pStyle w:val="Compact"/>
            </w:pPr>
            <w:r>
              <w:rPr>
                <w:sz w:val="20"/>
                <w:szCs w:val="20"/>
              </w:rPr>
              <w:t xml:space="preserve">MICROSCOPE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refereed_pubs and operations 2016-2018 (op_years=2) from De Marchi &amp; Parmar (2024) arXiv:2402.12818 Table 2; obs_class=0 (targeted equivalence-principle test, CNES/ESA); life_cost_musd ~200 (CNES MICROSCOPE) [illustrative]</w:t>
            </w:r>
          </w:p>
        </w:tc>
      </w:tr>
      <w:tr>
        <w:tc>
          <w:tcPr>
            <w:tcW w:w="0" w:type="auto"/>
          </w:tcPr>
          <w:p>
            <w:pPr>
              <w:spacing w:line="240" w:lineRule="auto" w:before="0" w:after="0"/>
              <w:pStyle w:val="Compact"/>
            </w:pPr>
            <w:r>
              <w:rPr>
                <w:sz w:val="20"/>
                <w:szCs w:val="20"/>
              </w:rPr>
              <w:t xml:space="preserve">Giotto</w:t>
            </w:r>
          </w:p>
        </w:tc>
        <w:tc>
          <w:tcPr>
            <w:tcW w:w="0" w:type="auto"/>
          </w:tcPr>
          <w:p>
            <w:pPr>
              <w:spacing w:line="240" w:lineRule="auto" w:before="0" w:after="0"/>
              <w:pStyle w:val="Compact"/>
            </w:pPr>
            <w:r>
              <w:rPr>
                <w:sz w:val="20"/>
                <w:szCs w:val="20"/>
              </w:rPr>
              <w:t xml:space="preserve">266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refereed_pubs and operations 1985-1992 (op_years=7) from De Marchi &amp; Parmar (2024) arXiv:2402.12818 Table 1; obs_class=0 (single-target Halley comet flyby); life_cost_musd ~140 (ESA Giotto) [illustrative]</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refereed_pubs</w:t>
            </w:r>
          </w:p>
        </w:tc>
        <w:tc>
          <w:tcPr>
            <w:tcW w:w="0" w:type="auto"/>
          </w:tcPr>
          <w:p>
            <w:pPr>
              <w:spacing w:line="240" w:lineRule="auto" w:before="0" w:after="0"/>
              <w:pStyle w:val="Compact"/>
            </w:pPr>
            <w:r>
              <w:rPr>
                <w:sz w:val="20"/>
                <w:szCs w:val="20"/>
              </w:rPr>
              <w:t xml:space="preserve">Total refereed publications attributed to the mission through end of 2021, the standard bibliometric proxy for realized science return</w:t>
            </w:r>
          </w:p>
        </w:tc>
        <w:tc>
          <w:tcPr>
            <w:tcW w:w="0" w:type="auto"/>
          </w:tcPr>
          <w:p>
            <w:pPr>
              <w:spacing w:line="240" w:lineRule="auto" w:before="0" w:after="0"/>
              <w:pStyle w:val="Compact"/>
            </w:pPr>
            <w:r>
              <w:rPr>
                <w:sz w:val="20"/>
                <w:szCs w:val="20"/>
              </w:rPr>
              <w:t xml:space="preserve">De Marchi &amp; Parmar (2024), ESA Mission Publications, arXiv:2402.12818, Tables 1-2 (ADS/HEASARC inclusion criteria)</w:t>
            </w:r>
          </w:p>
        </w:tc>
      </w:tr>
      <w:tr>
        <w:tc>
          <w:tcPr>
            <w:tcW w:w="0" w:type="auto"/>
          </w:tcPr>
          <w:p>
            <w:pPr>
              <w:spacing w:line="240" w:lineRule="auto" w:before="0" w:after="0"/>
              <w:pStyle w:val="Compact"/>
            </w:pPr>
            <w:r>
              <w:rPr>
                <w:sz w:val="20"/>
                <w:szCs w:val="20"/>
              </w:rPr>
              <w:t xml:space="preserve">op_years</w:t>
            </w:r>
          </w:p>
        </w:tc>
        <w:tc>
          <w:tcPr>
            <w:tcW w:w="0" w:type="auto"/>
          </w:tcPr>
          <w:p>
            <w:pPr>
              <w:spacing w:line="240" w:lineRule="auto" w:before="0" w:after="0"/>
              <w:pStyle w:val="Compact"/>
            </w:pPr>
            <w:r>
              <w:rPr>
                <w:sz w:val="20"/>
                <w:szCs w:val="20"/>
              </w:rPr>
              <w:t xml:space="preserve">Years of active operations, computed from the documented operational span (launch year to end-of-operations, or to 2021 for active missions)</w:t>
            </w:r>
          </w:p>
        </w:tc>
        <w:tc>
          <w:tcPr>
            <w:tcW w:w="0" w:type="auto"/>
          </w:tcPr>
          <w:p>
            <w:pPr>
              <w:spacing w:line="240" w:lineRule="auto" w:before="0" w:after="0"/>
              <w:pStyle w:val="Compact"/>
            </w:pPr>
            <w:r>
              <w:rPr>
                <w:sz w:val="20"/>
                <w:szCs w:val="20"/>
              </w:rPr>
              <w:t xml:space="preserve">Operations column, De Marchi &amp; Parmar (2024) arXiv:2402.12818 Tables 1-2</w:t>
            </w:r>
          </w:p>
        </w:tc>
      </w:tr>
      <w:tr>
        <w:tc>
          <w:tcPr>
            <w:tcW w:w="0" w:type="auto"/>
          </w:tcPr>
          <w:p>
            <w:pPr>
              <w:spacing w:line="240" w:lineRule="auto" w:before="0" w:after="0"/>
              <w:pStyle w:val="Compact"/>
            </w:pPr>
            <w:r>
              <w:rPr>
                <w:sz w:val="20"/>
                <w:szCs w:val="20"/>
              </w:rPr>
              <w:t xml:space="preserve">obs_class</w:t>
            </w:r>
          </w:p>
        </w:tc>
        <w:tc>
          <w:tcPr>
            <w:tcW w:w="0" w:type="auto"/>
          </w:tcPr>
          <w:p>
            <w:pPr>
              <w:spacing w:line="240" w:lineRule="auto" w:before="0" w:after="0"/>
              <w:pStyle w:val="Compact"/>
            </w:pPr>
            <w:r>
              <w:rPr>
                <w:sz w:val="20"/>
                <w:szCs w:val="20"/>
              </w:rPr>
              <w:t xml:space="preserve">Indicator = 1 if the mission is an open-time observatory or all-sky survey serving the broad scientific community; 0 if a targeted single-body or single-purpose mission</w:t>
            </w:r>
          </w:p>
        </w:tc>
        <w:tc>
          <w:tcPr>
            <w:tcW w:w="0" w:type="auto"/>
          </w:tcPr>
          <w:p>
            <w:pPr>
              <w:spacing w:line="240" w:lineRule="auto" w:before="0" w:after="0"/>
              <w:pStyle w:val="Compact"/>
            </w:pPr>
            <w:r>
              <w:rPr>
                <w:sz w:val="20"/>
                <w:szCs w:val="20"/>
              </w:rPr>
              <w:t xml:space="preserve">Coded from mission designations in De Marchi &amp; Parmar (2024) Sect. 2 and ESA/JAXA mission factsheets</w:t>
            </w:r>
          </w:p>
        </w:tc>
      </w:tr>
      <w:tr>
        <w:tc>
          <w:tcPr>
            <w:tcW w:w="0" w:type="auto"/>
          </w:tcPr>
          <w:p>
            <w:pPr>
              <w:spacing w:line="240" w:lineRule="auto" w:before="0" w:after="0"/>
              <w:pStyle w:val="Compact"/>
            </w:pPr>
            <w:r>
              <w:rPr>
                <w:sz w:val="20"/>
                <w:szCs w:val="20"/>
              </w:rPr>
              <w:t xml:space="preserve">era_2000plus</w:t>
            </w:r>
          </w:p>
        </w:tc>
        <w:tc>
          <w:tcPr>
            <w:tcW w:w="0" w:type="auto"/>
          </w:tcPr>
          <w:p>
            <w:pPr>
              <w:spacing w:line="240" w:lineRule="auto" w:before="0" w:after="0"/>
              <w:pStyle w:val="Compact"/>
            </w:pPr>
            <w:r>
              <w:rPr>
                <w:sz w:val="20"/>
                <w:szCs w:val="20"/>
              </w:rPr>
              <w:t xml:space="preserve">Indicator = 1 if the mission was launched in 2000 or later, controlling for the expansion of ADS-indexed digital literature</w:t>
            </w:r>
          </w:p>
        </w:tc>
        <w:tc>
          <w:tcPr>
            <w:tcW w:w="0" w:type="auto"/>
          </w:tcPr>
          <w:p>
            <w:pPr>
              <w:spacing w:line="240" w:lineRule="auto" w:before="0" w:after="0"/>
              <w:pStyle w:val="Compact"/>
            </w:pPr>
            <w:r>
              <w:rPr>
                <w:sz w:val="20"/>
                <w:szCs w:val="20"/>
              </w:rPr>
              <w:t xml:space="preserve">Launch year from De Marchi &amp; Parmar (2024) Operations column</w:t>
            </w:r>
          </w:p>
        </w:tc>
      </w:tr>
      <w:tr>
        <w:tc>
          <w:tcPr>
            <w:tcW w:w="0" w:type="auto"/>
          </w:tcPr>
          <w:p>
            <w:pPr>
              <w:spacing w:line="240" w:lineRule="auto" w:before="0" w:after="0"/>
              <w:pStyle w:val="Compact"/>
            </w:pPr>
            <w:r>
              <w:rPr>
                <w:sz w:val="20"/>
                <w:szCs w:val="20"/>
              </w:rPr>
              <w:t xml:space="preserve">life_cost_musd</w:t>
            </w:r>
          </w:p>
        </w:tc>
        <w:tc>
          <w:tcPr>
            <w:tcW w:w="0" w:type="auto"/>
          </w:tcPr>
          <w:p>
            <w:pPr>
              <w:spacing w:line="240" w:lineRule="auto" w:before="0" w:after="0"/>
              <w:pStyle w:val="Compact"/>
            </w:pPr>
            <w:r>
              <w:rPr>
                <w:sz w:val="20"/>
                <w:szCs w:val="20"/>
              </w:rPr>
              <w:t xml:space="preserve">Approximate life-cycle cost in millions of USD (supplementary, not in the regression)</w:t>
            </w:r>
          </w:p>
        </w:tc>
        <w:tc>
          <w:tcPr>
            <w:tcW w:w="0" w:type="auto"/>
          </w:tcPr>
          <w:p>
            <w:pPr>
              <w:spacing w:line="240" w:lineRule="auto" w:before="0" w:after="0"/>
              <w:pStyle w:val="Compact"/>
            </w:pPr>
            <w:r>
              <w:rPr>
                <w:sz w:val="20"/>
                <w:szCs w:val="20"/>
              </w:rPr>
              <w:t xml:space="preserve">HST and Cassini documented (Wikipedia citing NASA); remaining values illustrative agency estimates</w:t>
            </w:r>
          </w:p>
        </w:tc>
      </w:tr>
    </w:tbl>
    <w:bookmarkEnd w:id="185"/>
    <w:bookmarkEnd w:id="186"/>
    <w:bookmarkStart w:id="194" w:name="Xc0b4400a99a0083ceb751d7b77e750501a7c41b"/>
    <w:p>
      <w:pPr>
        <w:pStyle w:val="Heading2"/>
        <w:spacing w:line="480" w:lineRule="auto"/>
      </w:pPr>
      <w:r>
        <w:t xml:space="preserve">A.2 Do Decadal Priorities Predict the Speed of Realized Return? A Cox Proportional-Hazards Cliometric of Mission Tasking and First Material Yield</w:t>
      </w:r>
    </w:p>
    <w:p>
      <w:pPr>
        <w:pStyle w:val="FirstParagraph"/>
        <w:spacing w:line="480" w:lineRule="auto"/>
      </w:pPr>
      <m:oMathPara>
        <m:oMathParaPr>
          <m:jc m:val="center"/>
        </m:oMathParaPr>
        <m:oMath>
          <m:r>
            <m:t>h</m:t>
          </m:r>
          <m:r>
            <m:rPr>
              <m:sty m:val="p"/>
            </m:rPr>
            <m:t>(</m:t>
          </m:r>
          <m:r>
            <m:t>t</m:t>
          </m:r>
          <m:r>
            <m:rPr>
              <m:sty m:val="p"/>
            </m:rPr>
            <m:t>∣</m:t>
          </m:r>
          <m:sSub>
            <m:e>
              <m:r>
                <m:rPr>
                  <m:nor/>
                  <m:sty m:val="p"/>
                </m:rPr>
                <m:t>rank</m:t>
              </m:r>
            </m:e>
            <m:sub>
              <m:r>
                <m:t>i</m:t>
              </m:r>
            </m:sub>
          </m:sSub>
          <m:r>
            <m:rPr>
              <m:sty m:val="p"/>
            </m:rPr>
            <m:t>,</m:t>
          </m:r>
          <m:sSub>
            <m:e>
              <m:r>
                <m:rPr>
                  <m:nor/>
                  <m:sty m:val="p"/>
                </m:rPr>
                <m:t>cost</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rank</m:t>
                  </m:r>
                </m:e>
                <m:sub>
                  <m:r>
                    <m:t>i</m:t>
                  </m:r>
                </m:sub>
              </m:sSub>
              <m:r>
                <m:rPr>
                  <m:sty m:val="p"/>
                </m:rPr>
                <m:t>+</m:t>
              </m:r>
              <m:sSub>
                <m:e>
                  <m:r>
                    <m:t>β</m:t>
                  </m:r>
                </m:e>
                <m:sub>
                  <m:r>
                    <m:t>2</m:t>
                  </m:r>
                </m:sub>
              </m:sSub>
              <m:r>
                <m:t> </m:t>
              </m:r>
              <m:sSub>
                <m:e>
                  <m:r>
                    <m:rPr>
                      <m:nor/>
                      <m:sty m:val="p"/>
                    </m:rPr>
                    <m:t>cost</m:t>
                  </m:r>
                </m:e>
                <m:sub>
                  <m:r>
                    <m:t>i</m:t>
                  </m:r>
                </m:sub>
              </m:sSub>
            </m:e>
          </m:d>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0.311</w:t>
            </w:r>
          </w:p>
        </w:tc>
        <w:tc>
          <w:tcPr>
            <w:tcW w:w="0" w:type="auto"/>
          </w:tcPr>
          <w:p>
            <w:pPr>
              <w:spacing w:line="240" w:lineRule="auto" w:before="0" w:after="0"/>
              <w:pStyle w:val="Compact"/>
            </w:pPr>
            <w:r>
              <w:rPr>
                <w:sz w:val="20"/>
                <w:szCs w:val="20"/>
              </w:rPr>
              <w:t xml:space="preserve">-1.5122</w:t>
            </w:r>
          </w:p>
        </w:tc>
        <w:tc>
          <w:tcPr>
            <w:tcW w:w="0" w:type="auto"/>
          </w:tcPr>
          <w:p>
            <w:pPr>
              <w:spacing w:line="240" w:lineRule="auto" w:before="0" w:after="0"/>
              <w:pStyle w:val="Compact"/>
            </w:pPr>
            <w:r>
              <w:rPr>
                <w:sz w:val="20"/>
                <w:szCs w:val="20"/>
              </w:rPr>
              <w:t xml:space="preserve">0.1305</w:t>
            </w:r>
          </w:p>
        </w:tc>
        <w:tc>
          <w:tcPr>
            <w:tcW w:w="0" w:type="auto"/>
          </w:tcPr>
          <w:p>
            <w:pPr>
              <w:spacing w:line="240" w:lineRule="auto" w:before="0" w:after="0"/>
              <w:pStyle w:val="Compact"/>
            </w:pPr>
            <w:r>
              <w:rPr>
                <w:sz w:val="20"/>
                <w:szCs w:val="20"/>
              </w:rPr>
              <w:t xml:space="preserve">[-1.0797, 0.1393]</w:t>
            </w:r>
          </w:p>
        </w:tc>
        <w:tc>
          <w:tcPr>
            <w:tcW w:w="0" w:type="auto"/>
          </w:tcPr>
          <w:p>
            <w:pPr>
              <w:spacing w:line="240" w:lineRule="auto" w:before="0" w:after="0"/>
              <w:pStyle w:val="Compact"/>
            </w:pPr>
            <w:r>
              <w:rPr>
                <w:sz w:val="20"/>
                <w:szCs w:val="20"/>
              </w:rPr>
              <w:t xml:space="preserve">0.6249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0.2408</w:t>
            </w:r>
          </w:p>
        </w:tc>
        <w:tc>
          <w:tcPr>
            <w:tcW w:w="0" w:type="auto"/>
          </w:tcPr>
          <w:p>
            <w:pPr>
              <w:spacing w:line="240" w:lineRule="auto" w:before="0" w:after="0"/>
              <w:pStyle w:val="Compact"/>
            </w:pPr>
            <w:r>
              <w:rPr>
                <w:sz w:val="20"/>
                <w:szCs w:val="20"/>
              </w:rPr>
              <w:t xml:space="preserve">-1.9443</w:t>
            </w:r>
          </w:p>
        </w:tc>
        <w:tc>
          <w:tcPr>
            <w:tcW w:w="0" w:type="auto"/>
          </w:tcPr>
          <w:p>
            <w:pPr>
              <w:spacing w:line="240" w:lineRule="auto" w:before="0" w:after="0"/>
              <w:pStyle w:val="Compact"/>
            </w:pPr>
            <w:r>
              <w:rPr>
                <w:sz w:val="20"/>
                <w:szCs w:val="20"/>
              </w:rPr>
              <w:t xml:space="preserve">0.0519</w:t>
            </w:r>
          </w:p>
        </w:tc>
        <w:tc>
          <w:tcPr>
            <w:tcW w:w="0" w:type="auto"/>
          </w:tcPr>
          <w:p>
            <w:pPr>
              <w:spacing w:line="240" w:lineRule="auto" w:before="0" w:after="0"/>
              <w:pStyle w:val="Compact"/>
            </w:pPr>
            <w:r>
              <w:rPr>
                <w:sz w:val="20"/>
                <w:szCs w:val="20"/>
              </w:rPr>
              <w:t xml:space="preserve">[-0.9402, 0.0038]</w:t>
            </w:r>
          </w:p>
        </w:tc>
        <w:tc>
          <w:tcPr>
            <w:tcW w:w="0" w:type="auto"/>
          </w:tcPr>
          <w:p>
            <w:pPr>
              <w:spacing w:line="240" w:lineRule="auto" w:before="0" w:after="0"/>
              <w:pStyle w:val="Compact"/>
            </w:pPr>
            <w:r>
              <w:rPr>
                <w:sz w:val="20"/>
                <w:szCs w:val="20"/>
              </w:rPr>
              <w:t xml:space="preserve">0.6261</w:t>
            </w:r>
          </w:p>
        </w:tc>
      </w:tr>
    </w:tbl>
    <w:p>
      <w:pPr>
        <w:pStyle w:val="BodyText"/>
        <w:spacing w:line="480" w:lineRule="auto"/>
        <w:ind w:firstLine="720"/>
      </w:pPr>
      <w:r>
        <w:t xml:space="preserve">Fit: N = 28 events = 14</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to-first-material-return against decadal priority rank for 28 ranked NASA observation and mission programs. Launched programs (event = 1) versus right-censored programs (event = 0, still in development or cancelled) illustrate the survival structure underlying the Cox estimate of whether higher priority predicts faster realized return." title="" id="189" name="Picture"/>
            <a:graphic>
              <a:graphicData uri="http://schemas.openxmlformats.org/drawingml/2006/picture">
                <pic:pic>
                  <pic:nvPicPr>
                    <pic:cNvPr descr="D:/Claude_Code/brain/collegium/candidates/dissertations/JPL_OPS_COMMS_DATA_10/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Time-to-first-material-return against decadal priority rank for 28 ranked NASA observation and mission programs. Launched programs (event = 1) versus right-censored programs (event = 0, still in development or cancelled) illustrate the survival structure underlying the Cox estimate of whether higher priority predicts faster realized return.</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survey</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WFIRST/Roman Space Telescope</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Roman launch slipped to 2026-2027; not launched by 2025-12 horizon (censored). Rank 1 large space mission in Astro2010 New Worlds New Horizons (NAP 12951). Cost ~$4.3B. Roman launch 2026-2027 per NASA/SpaceNews 2025-12 (https://en.wikipedia.org/wiki/Nancy_Grace_Roman_Space_Telescope)</w:t>
            </w:r>
          </w:p>
        </w:tc>
      </w:tr>
      <w:tr>
        <w:tc>
          <w:tcPr>
            <w:tcW w:w="0" w:type="auto"/>
          </w:tcPr>
          <w:p>
            <w:pPr>
              <w:spacing w:line="240" w:lineRule="auto" w:before="0" w:after="0"/>
              <w:pStyle w:val="Compact"/>
            </w:pPr>
            <w:r>
              <w:rPr>
                <w:sz w:val="20"/>
                <w:szCs w:val="20"/>
              </w:rPr>
              <w:t xml:space="preserve">Explorer Program Augmentation</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Rank 2 large space activity Astro2010 (NAP 12951); Explorer augmentation implemented via subsequent MIDEX selections within ~3 yr. MIDEX cost cap ~$0.46B (TESS class). Source: NAP 13045 panel report on implementing Astro2010 (https://nap.nationalacademies.org/read/13045/chapter/4)</w:t>
            </w:r>
          </w:p>
        </w:tc>
      </w:tr>
      <w:tr>
        <w:tc>
          <w:tcPr>
            <w:tcW w:w="0" w:type="auto"/>
          </w:tcPr>
          <w:p>
            <w:pPr>
              <w:spacing w:line="240" w:lineRule="auto" w:before="0" w:after="0"/>
              <w:pStyle w:val="Compact"/>
            </w:pPr>
            <w:r>
              <w:rPr>
                <w:sz w:val="20"/>
                <w:szCs w:val="20"/>
              </w:rPr>
              <w:t xml:space="preserve">LISA (Laser Interferometer Space Antenna)</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Rank 3 large space activity Astro2010 (NAP 12951); ESA-led LISA adopted 2017, NASA minor partner, launch ~2035; censored at 2025 horizon. NASA contribution capped near $1.5B (Astro2010 assessed full LISA ~$2.4B, US share). Source: spacepolicyonline.com Astro2010 priorities (https://spacepolicyonline.com/news/understanding-dark-energy-finding-earth-like-planets-top-priorities-says-nrcs-astro2010-study/)</w:t>
            </w:r>
          </w:p>
        </w:tc>
      </w:tr>
      <w:tr>
        <w:tc>
          <w:tcPr>
            <w:tcW w:w="0" w:type="auto"/>
          </w:tcPr>
          <w:p>
            <w:pPr>
              <w:spacing w:line="240" w:lineRule="auto" w:before="0" w:after="0"/>
              <w:pStyle w:val="Compact"/>
            </w:pPr>
            <w:r>
              <w:rPr>
                <w:sz w:val="20"/>
                <w:szCs w:val="20"/>
              </w:rPr>
              <w:t xml:space="preserve">IXO/Athena X-ray Observatory</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Astro2010 ranked IXO 4th among large space activities; not pursued by NASA as flagship (ESA Athena, launch &gt;2035); censored. Astro2010 assessed IXO NASA cost ~$2.0B. Source: AAS midterm assessment of Astro2010 (https://aas.org/posts/news/2016/08/midterm-assessment-astrophysics-decadal-survey-released)</w:t>
            </w:r>
          </w:p>
        </w:tc>
      </w:tr>
      <w:tr>
        <w:tc>
          <w:tcPr>
            <w:tcW w:w="0" w:type="auto"/>
          </w:tcPr>
          <w:p>
            <w:pPr>
              <w:spacing w:line="240" w:lineRule="auto" w:before="0" w:after="0"/>
              <w:pStyle w:val="Compact"/>
            </w:pPr>
            <w:r>
              <w:rPr>
                <w:sz w:val="20"/>
                <w:szCs w:val="20"/>
              </w:rPr>
              <w:t xml:space="preserve">JWST (in-progress at Astro2010)</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JWST was top large recommendation of the 2001 Astro2000 decadal; launched 2021-12-25 (~20 yr from 2001). Actual lifecycle cost ~$9.7B. Source: en.wikipedia.org/wiki/James_Webb_Space_Telescope launch and cost</w:t>
            </w:r>
          </w:p>
        </w:tc>
      </w:tr>
      <w:tr>
        <w:tc>
          <w:tcPr>
            <w:tcW w:w="0" w:type="auto"/>
          </w:tcPr>
          <w:p>
            <w:pPr>
              <w:spacing w:line="240" w:lineRule="auto" w:before="0" w:after="0"/>
              <w:pStyle w:val="Compact"/>
            </w:pPr>
            <w:r>
              <w:rPr>
                <w:sz w:val="20"/>
                <w:szCs w:val="20"/>
              </w:rPr>
              <w:t xml:space="preserve">Mars Sample Return / Mars 2020</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V&amp;V 2013 highest-priority flagship was Mars Sample Return campaign; first element Mars 2020 (Perseverance) launched 2020-07-30 (~9 yr from 2011 program start). Mars 2020 cost ~$2.7B. Source: Mars 2020 launch (https://en.wikipedia.org/wiki/Mars_2020); V&amp;V flagship ranking (https://en.wikipedia.org/wiki/Planetary_Science_Decadal_Survey)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V&amp;V 2013 second flagship priority (Jupiter Europa Orbiter, descoped to Europa Clipper); launched 2024-10-14 (~13 yr from 2011). Cost ~$5.2B. Source: Europa Clipper launch (https://en.wikipedia.org/wiki/Europa_Clipper)</w:t>
            </w:r>
          </w:p>
        </w:tc>
      </w:tr>
      <w:tr>
        <w:tc>
          <w:tcPr>
            <w:tcW w:w="0" w:type="auto"/>
          </w:tcPr>
          <w:p>
            <w:pPr>
              <w:spacing w:line="240" w:lineRule="auto" w:before="0" w:after="0"/>
              <w:pStyle w:val="Compact"/>
            </w:pPr>
            <w:r>
              <w:rPr>
                <w:sz w:val="20"/>
                <w:szCs w:val="20"/>
              </w:rPr>
              <w:t xml:space="preserve">Uranus Orbiter and Probe</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V&amp;V 2013 third flagship priority; not started as a project, no NASA new start by 2025 horizon (censored). Assessed price ~$2.7B. Source: spacepolicyonline.com decadal Uranus (https://spacepolicyonline.com/news/decadal-survey-after-europa-and-mars-sample-return-uranus/)</w:t>
            </w:r>
          </w:p>
        </w:tc>
      </w:tr>
      <w:tr>
        <w:tc>
          <w:tcPr>
            <w:tcW w:w="0" w:type="auto"/>
          </w:tcPr>
          <w:p>
            <w:pPr>
              <w:spacing w:line="240" w:lineRule="auto" w:before="0" w:after="0"/>
              <w:pStyle w:val="Compact"/>
            </w:pPr>
            <w:r>
              <w:rPr>
                <w:sz w:val="20"/>
                <w:szCs w:val="20"/>
              </w:rPr>
              <w:t xml:space="preserve">Enceladus Orbiter</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V&amp;V 2013 fourth flagship priority (alongside Mars/Venus options); never selected as new start; censored. Cost [illustrative ~$1.9B]. Source: Planetary Science Decadal Survey (https://en.wikipedia.org/wiki/Planetary_Science_Decadal_Survey)</w:t>
            </w:r>
          </w:p>
        </w:tc>
      </w:tr>
      <w:tr>
        <w:tc>
          <w:tcPr>
            <w:tcW w:w="0" w:type="auto"/>
          </w:tcPr>
          <w:p>
            <w:pPr>
              <w:spacing w:line="240" w:lineRule="auto" w:before="0" w:after="0"/>
              <w:pStyle w:val="Compact"/>
            </w:pPr>
            <w:r>
              <w:rPr>
                <w:sz w:val="20"/>
                <w:szCs w:val="20"/>
              </w:rPr>
              <w:t xml:space="preserve">SIM PlanetQuest</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SIM was a high 2001-decadal-era priority; cancelled 2010 after ~$600M invested; never launched (event=0, censored at cancellation, ~9 yr observed). Source: en.wikipedia.org/wiki/Space_Interferometry_Mission cancellation 2010</w:t>
            </w:r>
          </w:p>
        </w:tc>
      </w:tr>
      <w:tr>
        <w:tc>
          <w:tcPr>
            <w:tcW w:w="0" w:type="auto"/>
          </w:tcPr>
          <w:p>
            <w:pPr>
              <w:spacing w:line="240" w:lineRule="auto" w:before="0" w:after="0"/>
              <w:pStyle w:val="Compact"/>
            </w:pPr>
            <w:r>
              <w:rPr>
                <w:sz w:val="20"/>
                <w:szCs w:val="20"/>
              </w:rPr>
              <w:t xml:space="preserve">Terrestrial Planet Finder</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TPF a 2001-decadal-era priority; deferred 2007, cancelled 2011; never launched (censored). NASA invested several hundred $M in study before cancellation; scale ~$1.0B. Source: en.wikipedia.org/wiki/Terrestrial_Planet_Finder cancellation 2011</w:t>
            </w:r>
          </w:p>
        </w:tc>
      </w:tr>
      <w:tr>
        <w:tc>
          <w:tcPr>
            <w:tcW w:w="0" w:type="auto"/>
          </w:tcPr>
          <w:p>
            <w:pPr>
              <w:spacing w:line="240" w:lineRule="auto" w:before="0" w:after="0"/>
              <w:pStyle w:val="Compact"/>
            </w:pPr>
            <w:r>
              <w:rPr>
                <w:sz w:val="20"/>
                <w:szCs w:val="20"/>
              </w:rPr>
              <w:t xml:space="preserve">NGRST Roman early WFIRST-AFTA</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WFIRST-AFTA reformulation 2013; same program as Roman, tracked from 2013 reformulation start (~12 yr to 2025, not launched; censored). Cost ~$4.3B. Source: arxiv.org/pdf/1305.5425 WFIRST-2.4 reformulation</w:t>
            </w:r>
          </w:p>
        </w:tc>
      </w:tr>
      <w:tr>
        <w:tc>
          <w:tcPr>
            <w:tcW w:w="0" w:type="auto"/>
          </w:tcPr>
          <w:p>
            <w:pPr>
              <w:spacing w:line="240" w:lineRule="auto" w:before="0" w:after="0"/>
              <w:pStyle w:val="Compact"/>
            </w:pPr>
            <w:r>
              <w:rPr>
                <w:sz w:val="20"/>
                <w:szCs w:val="20"/>
              </w:rPr>
              <w:t xml:space="preserve">Lucy (Discovery)</w:t>
            </w:r>
          </w:p>
        </w:tc>
        <w:tc>
          <w:tcPr>
            <w:tcW w:w="0" w:type="auto"/>
          </w:tcPr>
          <w:p>
            <w:pPr>
              <w:spacing w:line="240" w:lineRule="auto" w:before="0" w:after="0"/>
              <w:pStyle w:val="Compact"/>
            </w:pPr>
            <w:r>
              <w:rPr>
                <w:sz w:val="20"/>
                <w:szCs w:val="20"/>
              </w:rPr>
              <w:t xml:space="preserve">DiscoveryAO2014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Lucy selected 2017 from Discovery 2014 AO (top-tier competed selection, rank 1 of selected pair); launched 2021-10-16 (~7 yr from 2014 AO). Cost ~$0.98B. Source: en.wikipedia.org/wiki/Lucy_(spacecraft) selection and launch</w:t>
            </w:r>
          </w:p>
        </w:tc>
      </w:tr>
      <w:tr>
        <w:tc>
          <w:tcPr>
            <w:tcW w:w="0" w:type="auto"/>
          </w:tcPr>
          <w:p>
            <w:pPr>
              <w:spacing w:line="240" w:lineRule="auto" w:before="0" w:after="0"/>
              <w:pStyle w:val="Compact"/>
            </w:pPr>
            <w:r>
              <w:rPr>
                <w:sz w:val="20"/>
                <w:szCs w:val="20"/>
              </w:rPr>
              <w:t xml:space="preserve">Psyche (Discovery)</w:t>
            </w:r>
          </w:p>
        </w:tc>
        <w:tc>
          <w:tcPr>
            <w:tcW w:w="0" w:type="auto"/>
          </w:tcPr>
          <w:p>
            <w:pPr>
              <w:spacing w:line="240" w:lineRule="auto" w:before="0" w:after="0"/>
              <w:pStyle w:val="Compact"/>
            </w:pPr>
            <w:r>
              <w:rPr>
                <w:sz w:val="20"/>
                <w:szCs w:val="20"/>
              </w:rPr>
              <w:t xml:space="preserve">DiscoveryAO2014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Psyche selected 2017 from Discovery 2014 AO (second of selected pair); launched 2023-10-13 (~9 yr). Cost ~$1.2B. Source: en.wikipedia.org/wiki/Psyche_(spacecraft) selection and launch</w:t>
            </w:r>
          </w:p>
        </w:tc>
      </w:tr>
      <w:tr>
        <w:tc>
          <w:tcPr>
            <w:tcW w:w="0" w:type="auto"/>
          </w:tcPr>
          <w:p>
            <w:pPr>
              <w:spacing w:line="240" w:lineRule="auto" w:before="0" w:after="0"/>
              <w:pStyle w:val="Compact"/>
            </w:pPr>
            <w:r>
              <w:rPr>
                <w:sz w:val="20"/>
                <w:szCs w:val="20"/>
              </w:rPr>
              <w:t xml:space="preserve">DAVINCI (Discovery)</w:t>
            </w:r>
          </w:p>
        </w:tc>
        <w:tc>
          <w:tcPr>
            <w:tcW w:w="0" w:type="auto"/>
          </w:tcPr>
          <w:p>
            <w:pPr>
              <w:spacing w:line="240" w:lineRule="auto" w:before="0" w:after="0"/>
              <w:pStyle w:val="Compact"/>
            </w:pPr>
            <w:r>
              <w:rPr>
                <w:sz w:val="20"/>
                <w:szCs w:val="20"/>
              </w:rPr>
              <w:t xml:space="preserve">DiscoveryAO2019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DAVINCI selected 2021 from Discovery 2019 AO; launch slipped to ~2030; not launched by 2025 (censored, ~11 yr to horizon). Cost ~$0.5B. Source: en.wikipedia.org/wiki/DAVINCI selection and schedule</w:t>
            </w:r>
          </w:p>
        </w:tc>
      </w:tr>
      <w:tr>
        <w:tc>
          <w:tcPr>
            <w:tcW w:w="0" w:type="auto"/>
          </w:tcPr>
          <w:p>
            <w:pPr>
              <w:spacing w:line="240" w:lineRule="auto" w:before="0" w:after="0"/>
              <w:pStyle w:val="Compact"/>
            </w:pPr>
            <w:r>
              <w:rPr>
                <w:sz w:val="20"/>
                <w:szCs w:val="20"/>
              </w:rPr>
              <w:t xml:space="preserve">VERITAS (Discovery)</w:t>
            </w:r>
          </w:p>
        </w:tc>
        <w:tc>
          <w:tcPr>
            <w:tcW w:w="0" w:type="auto"/>
          </w:tcPr>
          <w:p>
            <w:pPr>
              <w:spacing w:line="240" w:lineRule="auto" w:before="0" w:after="0"/>
              <w:pStyle w:val="Compact"/>
            </w:pPr>
            <w:r>
              <w:rPr>
                <w:sz w:val="20"/>
                <w:szCs w:val="20"/>
              </w:rPr>
              <w:t xml:space="preserve">DiscoveryAO2019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VERITAS selected 2021 Discovery 2019 AO; descoped/delayed, launch &gt;2031; censored. Cost ~$0.5B. Source: en.wikipedia.org/wiki/VERITAS_(spacecraft) delay</w:t>
            </w:r>
          </w:p>
        </w:tc>
      </w:tr>
      <w:tr>
        <w:tc>
          <w:tcPr>
            <w:tcW w:w="0" w:type="auto"/>
          </w:tcPr>
          <w:p>
            <w:pPr>
              <w:spacing w:line="240" w:lineRule="auto" w:before="0" w:after="0"/>
              <w:pStyle w:val="Compact"/>
            </w:pPr>
            <w:r>
              <w:rPr>
                <w:sz w:val="20"/>
                <w:szCs w:val="20"/>
              </w:rPr>
              <w:t xml:space="preserve">Dragonfly (New Frontiers)</w:t>
            </w:r>
          </w:p>
        </w:tc>
        <w:tc>
          <w:tcPr>
            <w:tcW w:w="0" w:type="auto"/>
          </w:tcPr>
          <w:p>
            <w:pPr>
              <w:spacing w:line="240" w:lineRule="auto" w:before="0" w:after="0"/>
              <w:pStyle w:val="Compact"/>
            </w:pPr>
            <w:r>
              <w:rPr>
                <w:sz w:val="20"/>
                <w:szCs w:val="20"/>
              </w:rPr>
              <w:t xml:space="preserve">NewFrontiersAO2016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Dragonfly selected 2019 from New Frontiers-4 AO (rank 1 of finalists); launch 2028; not launched by 2025 (censored, ~12 yr to horizon from 2017 NF program window). Cost ~$3.35B. Source: en.wikipedia.org/wiki/Dragonfly_(spacecraft) selection 2019, launch 2028</w:t>
            </w:r>
          </w:p>
        </w:tc>
      </w:tr>
      <w:tr>
        <w:tc>
          <w:tcPr>
            <w:tcW w:w="0" w:type="auto"/>
          </w:tcPr>
          <w:p>
            <w:pPr>
              <w:spacing w:line="240" w:lineRule="auto" w:before="0" w:after="0"/>
              <w:pStyle w:val="Compact"/>
            </w:pPr>
            <w:r>
              <w:rPr>
                <w:sz w:val="20"/>
                <w:szCs w:val="20"/>
              </w:rPr>
              <w:t xml:space="preserve">OSIRIS-REx (New Frontiers)</w:t>
            </w:r>
          </w:p>
        </w:tc>
        <w:tc>
          <w:tcPr>
            <w:tcW w:w="0" w:type="auto"/>
          </w:tcPr>
          <w:p>
            <w:pPr>
              <w:spacing w:line="240" w:lineRule="auto" w:before="0" w:after="0"/>
              <w:pStyle w:val="Compact"/>
            </w:pPr>
            <w:r>
              <w:rPr>
                <w:sz w:val="20"/>
                <w:szCs w:val="20"/>
              </w:rPr>
              <w:t xml:space="preserve">NewFrontiersAO2009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OSIRIS-REx selected 2011 NF-3 AO; launched 2016-09-08 (~7 yr from 2009 NF window). Cost ~$1.16B. Source: en.wikipedia.org/wiki/OSIRIS-REx selection and launch</w:t>
            </w:r>
          </w:p>
        </w:tc>
      </w:tr>
      <w:tr>
        <w:tc>
          <w:tcPr>
            <w:tcW w:w="0" w:type="auto"/>
          </w:tcPr>
          <w:p>
            <w:pPr>
              <w:spacing w:line="240" w:lineRule="auto" w:before="0" w:after="0"/>
              <w:pStyle w:val="Compact"/>
            </w:pPr>
            <w:r>
              <w:rPr>
                <w:sz w:val="20"/>
                <w:szCs w:val="20"/>
              </w:rPr>
              <w:t xml:space="preserve">New Horizons (New Frontiers)</w:t>
            </w:r>
          </w:p>
        </w:tc>
        <w:tc>
          <w:tcPr>
            <w:tcW w:w="0" w:type="auto"/>
          </w:tcPr>
          <w:p>
            <w:pPr>
              <w:spacing w:line="240" w:lineRule="auto" w:before="0" w:after="0"/>
              <w:pStyle w:val="Compact"/>
            </w:pPr>
            <w:r>
              <w:rPr>
                <w:sz w:val="20"/>
                <w:szCs w:val="20"/>
              </w:rPr>
              <w:t xml:space="preserve">NewFrontiersAO2001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Horizons (NF-1, Pluto, top decadal priority small/medium 2003) launched 2006-01-19 (~5 yr from 2001). Cost ~$0.78B. Source: en.wikipedia.org/wiki/New_Horizons launch and cost</w:t>
            </w:r>
          </w:p>
        </w:tc>
      </w:tr>
      <w:tr>
        <w:tc>
          <w:tcPr>
            <w:tcW w:w="0" w:type="auto"/>
          </w:tcPr>
          <w:p>
            <w:pPr>
              <w:spacing w:line="240" w:lineRule="auto" w:before="0" w:after="0"/>
              <w:pStyle w:val="Compact"/>
            </w:pPr>
            <w:r>
              <w:rPr>
                <w:sz w:val="20"/>
                <w:szCs w:val="20"/>
              </w:rPr>
              <w:t xml:space="preserve">Juno (New Frontiers)</w:t>
            </w:r>
          </w:p>
        </w:tc>
        <w:tc>
          <w:tcPr>
            <w:tcW w:w="0" w:type="auto"/>
          </w:tcPr>
          <w:p>
            <w:pPr>
              <w:spacing w:line="240" w:lineRule="auto" w:before="0" w:after="0"/>
              <w:pStyle w:val="Compact"/>
            </w:pPr>
            <w:r>
              <w:rPr>
                <w:sz w:val="20"/>
                <w:szCs w:val="20"/>
              </w:rPr>
              <w:t xml:space="preserve">NewFrontiersAO2004</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Juno (NF-2) selected 2005; launched 2011-08-05 (~7 yr from 2004 NF window). Cost ~$1.13B. Source: en.wikipedia.org/wiki/Juno_(spacecraft) selection and launch</w:t>
            </w:r>
          </w:p>
        </w:tc>
      </w:tr>
      <w:tr>
        <w:tc>
          <w:tcPr>
            <w:tcW w:w="0" w:type="auto"/>
          </w:tcPr>
          <w:p>
            <w:pPr>
              <w:spacing w:line="240" w:lineRule="auto" w:before="0" w:after="0"/>
              <w:pStyle w:val="Compact"/>
            </w:pPr>
            <w:r>
              <w:rPr>
                <w:sz w:val="20"/>
                <w:szCs w:val="20"/>
              </w:rPr>
              <w:t xml:space="preserve">PACE (Earth Science)</w:t>
            </w:r>
          </w:p>
        </w:tc>
        <w:tc>
          <w:tcPr>
            <w:tcW w:w="0" w:type="auto"/>
          </w:tcPr>
          <w:p>
            <w:pPr>
              <w:spacing w:line="240" w:lineRule="auto" w:before="0" w:after="0"/>
              <w:pStyle w:val="Compact"/>
            </w:pPr>
            <w:r>
              <w:rPr>
                <w:sz w:val="20"/>
                <w:szCs w:val="20"/>
              </w:rPr>
              <w:t xml:space="preserve">ESDecadal2007/2017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PACE (Earth-science designated mission, decadal-aligned) launched 2024-02-08 (~10 yr from 2014 start). Cost ~$0.96B. Source: en.wikipedia.org/wiki/PACE_(satellite) launch and cost</w:t>
            </w:r>
          </w:p>
        </w:tc>
      </w:tr>
      <w:tr>
        <w:tc>
          <w:tcPr>
            <w:tcW w:w="0" w:type="auto"/>
          </w:tcPr>
          <w:p>
            <w:pPr>
              <w:spacing w:line="240" w:lineRule="auto" w:before="0" w:after="0"/>
              <w:pStyle w:val="Compact"/>
            </w:pPr>
            <w:r>
              <w:rPr>
                <w:sz w:val="20"/>
                <w:szCs w:val="20"/>
              </w:rPr>
              <w:t xml:space="preserve">SWOT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SWOT was a top tier-1 recommendation of the 2007 Earth-science decadal (Decadal Survey for Earth Science); launched 2022-12-16 (~15 yr from 2007). Cost ~$1.2B. Source: en.wikipedia.org/wiki/Surface_Water_and_Ocean_Topography launch</w:t>
            </w:r>
          </w:p>
        </w:tc>
      </w:tr>
      <w:tr>
        <w:tc>
          <w:tcPr>
            <w:tcW w:w="0" w:type="auto"/>
          </w:tcPr>
          <w:p>
            <w:pPr>
              <w:spacing w:line="240" w:lineRule="auto" w:before="0" w:after="0"/>
              <w:pStyle w:val="Compact"/>
            </w:pPr>
            <w:r>
              <w:rPr>
                <w:sz w:val="20"/>
                <w:szCs w:val="20"/>
              </w:rPr>
              <w:t xml:space="preserve">NISAR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NISAR (DESDynI lineage, 2007 Earth-science decadal tier-1); launched 2025-07-30 (~18 yr from 2007). Cost ~$1.5B. Source: en.wikipedia.org/wiki/NISAR_(satellite) launch 2025</w:t>
            </w:r>
          </w:p>
        </w:tc>
      </w:tr>
      <w:tr>
        <w:tc>
          <w:tcPr>
            <w:tcW w:w="0" w:type="auto"/>
          </w:tcPr>
          <w:p>
            <w:pPr>
              <w:spacing w:line="240" w:lineRule="auto" w:before="0" w:after="0"/>
              <w:pStyle w:val="Compact"/>
            </w:pPr>
            <w:r>
              <w:rPr>
                <w:sz w:val="20"/>
                <w:szCs w:val="20"/>
              </w:rPr>
              <w:t xml:space="preserve">GRACE-FO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GRACE Follow-On (2007 Earth-science decadal continuity mission) launched 2018-05-22 (~11 yr from 2007). Cost ~$0.43B. Source: en.wikipedia.org/wiki/GRACE_and_GRACE-FO launch and cost</w:t>
            </w:r>
          </w:p>
        </w:tc>
      </w:tr>
      <w:tr>
        <w:tc>
          <w:tcPr>
            <w:tcW w:w="0" w:type="auto"/>
          </w:tcPr>
          <w:p>
            <w:pPr>
              <w:spacing w:line="240" w:lineRule="auto" w:before="0" w:after="0"/>
              <w:pStyle w:val="Compact"/>
            </w:pPr>
            <w:r>
              <w:rPr>
                <w:sz w:val="20"/>
                <w:szCs w:val="20"/>
              </w:rPr>
              <w:t xml:space="preserve">ICESat-2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ICESat-2 (2007 Earth-science decadal tier-1 ice/elevation) launched 2018-09-15 (~11 yr from 2007). Cost ~$1.1B. Source: en.wikipedia.org/wiki/ICESat-2 launch and cost</w:t>
            </w:r>
          </w:p>
        </w:tc>
      </w:tr>
      <w:tr>
        <w:tc>
          <w:tcPr>
            <w:tcW w:w="0" w:type="auto"/>
          </w:tcPr>
          <w:p>
            <w:pPr>
              <w:spacing w:line="240" w:lineRule="auto" w:before="0" w:after="0"/>
              <w:pStyle w:val="Compact"/>
            </w:pPr>
            <w:r>
              <w:rPr>
                <w:sz w:val="20"/>
                <w:szCs w:val="20"/>
              </w:rPr>
              <w:t xml:space="preserve">Habitable Worlds Observatory</w:t>
            </w:r>
          </w:p>
        </w:tc>
        <w:tc>
          <w:tcPr>
            <w:tcW w:w="0" w:type="auto"/>
          </w:tcPr>
          <w:p>
            <w:pPr>
              <w:spacing w:line="240" w:lineRule="auto" w:before="0" w:after="0"/>
              <w:pStyle w:val="Compact"/>
            </w:pPr>
            <w:r>
              <w:rPr>
                <w:sz w:val="20"/>
                <w:szCs w:val="20"/>
              </w:rPr>
              <w:t xml:space="preserve">Astro2020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Astro2020 (NAP 26141) top large-mission recommendation (IROUV/HWO); pre-formulation, launch ~2040s; not launched (censored, ~4 yr to 2025 horizon). Cost [illustrative ~$11B target]. Source: Astro2020 Pathways to Discovery (NAP 26141) flagship recommendation</w:t>
            </w:r>
          </w:p>
        </w:tc>
      </w:tr>
      <w:tr>
        <w:tc>
          <w:tcPr>
            <w:tcW w:w="0" w:type="auto"/>
          </w:tcPr>
          <w:p>
            <w:pPr>
              <w:spacing w:line="240" w:lineRule="auto" w:before="0" w:after="0"/>
              <w:pStyle w:val="Compact"/>
            </w:pPr>
            <w:r>
              <w:rPr>
                <w:sz w:val="20"/>
                <w:szCs w:val="20"/>
              </w:rPr>
              <w:t xml:space="preserve">Mars Life Explorer concept</w:t>
            </w:r>
          </w:p>
        </w:tc>
        <w:tc>
          <w:tcPr>
            <w:tcW w:w="0" w:type="auto"/>
          </w:tcPr>
          <w:p>
            <w:pPr>
              <w:spacing w:line="240" w:lineRule="auto" w:before="0" w:after="0"/>
              <w:pStyle w:val="Compact"/>
            </w:pPr>
            <w:r>
              <w:rPr>
                <w:sz w:val="20"/>
                <w:szCs w:val="20"/>
              </w:rPr>
              <w:t xml:space="preserve">OWL2022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OWL 2022 (NAP 26522) recommended Mars Life Explorer as second flagship priority; not started; censored (~3 yr to horizon). Cost [illustrative ~$3.0B]. Source: OWL Origins Worlds Life decadal (NAP 26522)</w:t>
            </w:r>
          </w:p>
        </w:tc>
      </w:tr>
      <w:tr>
        <w:tc>
          <w:tcPr>
            <w:tcW w:w="0" w:type="auto"/>
          </w:tcPr>
          <w:p>
            <w:pPr>
              <w:spacing w:line="240" w:lineRule="auto" w:before="0" w:after="0"/>
              <w:pStyle w:val="Compact"/>
            </w:pPr>
            <w:r>
              <w:rPr>
                <w:sz w:val="20"/>
                <w:szCs w:val="20"/>
              </w:rPr>
              <w:t xml:space="preserve">Uranus Orbiter and Probe (OWL)</w:t>
            </w:r>
          </w:p>
        </w:tc>
        <w:tc>
          <w:tcPr>
            <w:tcW w:w="0" w:type="auto"/>
          </w:tcPr>
          <w:p>
            <w:pPr>
              <w:spacing w:line="240" w:lineRule="auto" w:before="0" w:after="0"/>
              <w:pStyle w:val="Compact"/>
            </w:pPr>
            <w:r>
              <w:rPr>
                <w:sz w:val="20"/>
                <w:szCs w:val="20"/>
              </w:rPr>
              <w:t xml:space="preserve">OWL2022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OWL 2022 (NAP 26522) named UOP as top-priority new flagship; pre-project, launch ~2040s; censored (~3 yr). Cost ~$4.2B est. Source: OWL Origins Worlds Life decadal (NAP 26522) flagship #1</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decadal priority assignment (survey publication or program new-start) to first material return (launch), or to the 2025-12 censoring horizon if not yet launched or cancelled</w:t>
            </w:r>
          </w:p>
        </w:tc>
        <w:tc>
          <w:tcPr>
            <w:tcW w:w="0" w:type="auto"/>
          </w:tcPr>
          <w:p>
            <w:pPr>
              <w:spacing w:line="240" w:lineRule="auto" w:before="0" w:after="0"/>
              <w:pStyle w:val="Compact"/>
            </w:pPr>
            <w:r>
              <w:rPr>
                <w:sz w:val="20"/>
                <w:szCs w:val="20"/>
              </w:rPr>
              <w:t xml:space="preserve">Constructed from NASA mission launch records and decadal survey publication dates; per-row sources in data.csv</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program achieved first material return (launch) by the 2025-12 horizon; 0 if right-censored (still in development or cancelled)</w:t>
            </w:r>
          </w:p>
        </w:tc>
        <w:tc>
          <w:tcPr>
            <w:tcW w:w="0" w:type="auto"/>
          </w:tcPr>
          <w:p>
            <w:pPr>
              <w:spacing w:line="240" w:lineRule="auto" w:before="0" w:after="0"/>
              <w:pStyle w:val="Compact"/>
            </w:pPr>
            <w:r>
              <w:rPr>
                <w:sz w:val="20"/>
                <w:szCs w:val="20"/>
              </w:rPr>
              <w:t xml:space="preserve">NASA mission status records; per-row sources in data.csv</w:t>
            </w:r>
          </w:p>
        </w:tc>
      </w:tr>
      <w:tr>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Within-survey priority rank assigned to the program at survey time (1 = highest priority); lower number means higher priority</w:t>
            </w:r>
          </w:p>
        </w:tc>
        <w:tc>
          <w:tcPr>
            <w:tcW w:w="0" w:type="auto"/>
          </w:tcPr>
          <w:p>
            <w:pPr>
              <w:spacing w:line="240" w:lineRule="auto" w:before="0" w:after="0"/>
              <w:pStyle w:val="Compact"/>
            </w:pPr>
            <w:r>
              <w:rPr>
                <w:sz w:val="20"/>
                <w:szCs w:val="20"/>
              </w:rPr>
              <w:t xml:space="preserve">NASA decadal surveys (NAP 12951, 13117, 26141, 26522) and competed-AO selection order; per-row sources in data.csv</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Program lifecycle cost scale in billions of USD (scale control)</w:t>
            </w:r>
          </w:p>
        </w:tc>
        <w:tc>
          <w:tcPr>
            <w:tcW w:w="0" w:type="auto"/>
          </w:tcPr>
          <w:p>
            <w:pPr>
              <w:spacing w:line="240" w:lineRule="auto" w:before="0" w:after="0"/>
              <w:pStyle w:val="Compact"/>
            </w:pPr>
            <w:r>
              <w:rPr>
                <w:sz w:val="20"/>
                <w:szCs w:val="20"/>
              </w:rPr>
              <w:t xml:space="preserve">NASA project cost reports and mission press kits; per-row sources in data.csv</w:t>
            </w:r>
          </w:p>
        </w:tc>
      </w:tr>
      <w:tr>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Survey-decade indicator: 0 for 2000s/2010s-decade survey cohorts, 1 for 2020s-decade survey cohorts. Retained in the data for provenance and discussed as an epoch confound, but excluded from the fitted covariate set because every 2020s-cohort program is right-censored, producing quasi-complete separation; the common 2025 censoring horizon absorbs the capability-growth confound structurally</w:t>
            </w:r>
          </w:p>
        </w:tc>
        <w:tc>
          <w:tcPr>
            <w:tcW w:w="0" w:type="auto"/>
          </w:tcPr>
          <w:p>
            <w:pPr>
              <w:spacing w:line="240" w:lineRule="auto" w:before="0" w:after="0"/>
              <w:pStyle w:val="Compact"/>
            </w:pPr>
            <w:r>
              <w:rPr>
                <w:sz w:val="20"/>
                <w:szCs w:val="20"/>
              </w:rPr>
              <w:t xml:space="preserve">Decadal survey publication decade; per-row sources in data.csv</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74" Type="http://schemas.openxmlformats.org/officeDocument/2006/relationships/hyperlink" Target="https://doi.org/10.1016/j.actaastro.2017.01.018" TargetMode="External"/><Relationship Id="rId137" Type="http://schemas.openxmlformats.org/officeDocument/2006/relationships/hyperlink" Target="https://doi.org/10.1016/j.actaastro.2017.04.034" TargetMode="External"/><Relationship Id="rId162" Type="http://schemas.openxmlformats.org/officeDocument/2006/relationships/hyperlink" Target="https://doi.org/10.1016/j.actaastro.2018.04.019" TargetMode="External"/><Relationship Id="rId144" Type="http://schemas.openxmlformats.org/officeDocument/2006/relationships/hyperlink" Target="https://doi.org/10.1016/j.actaastro.2019.09.030" TargetMode="External"/><Relationship Id="rId176" Type="http://schemas.openxmlformats.org/officeDocument/2006/relationships/hyperlink" Target="https://doi.org/10.1016/j.actaastro.2020.01.030" TargetMode="External"/><Relationship Id="rId166" Type="http://schemas.openxmlformats.org/officeDocument/2006/relationships/hyperlink" Target="https://doi.org/10.1016/j.actaastro.2022.03.035" TargetMode="External"/><Relationship Id="rId168" Type="http://schemas.openxmlformats.org/officeDocument/2006/relationships/hyperlink" Target="https://doi.org/10.1016/j.actaastro.2022.05.040" TargetMode="External"/><Relationship Id="rId172" Type="http://schemas.openxmlformats.org/officeDocument/2006/relationships/hyperlink" Target="https://doi.org/10.1016/j.actaastro.2022.07.042" TargetMode="External"/><Relationship Id="rId164" Type="http://schemas.openxmlformats.org/officeDocument/2006/relationships/hyperlink" Target="https://doi.org/10.1016/j.actaastro.2024.04.001" TargetMode="External"/><Relationship Id="rId170" Type="http://schemas.openxmlformats.org/officeDocument/2006/relationships/hyperlink" Target="https://doi.org/10.1016/j.actaastro.2025.04.003" TargetMode="External"/><Relationship Id="rId147" Type="http://schemas.openxmlformats.org/officeDocument/2006/relationships/hyperlink" Target="https://doi.org/10.1016/j.actaastro.2025.11.006" TargetMode="External"/><Relationship Id="rId135" Type="http://schemas.openxmlformats.org/officeDocument/2006/relationships/hyperlink" Target="https://doi.org/10.64861/JLQE7584" TargetMode="External"/><Relationship Id="rId154" Type="http://schemas.openxmlformats.org/officeDocument/2006/relationships/hyperlink" Target="https://doi.org/10.64861/KUQJ3053" TargetMode="External"/><Relationship Id="rId149" Type="http://schemas.openxmlformats.org/officeDocument/2006/relationships/hyperlink" Target="https://doi.org/10.64861/MEDT2838" TargetMode="External"/><Relationship Id="rId159" Type="http://schemas.openxmlformats.org/officeDocument/2006/relationships/hyperlink" Target="https://doi.org/10.64861/RBTM5104" TargetMode="External"/><Relationship Id="rId151" Type="http://schemas.openxmlformats.org/officeDocument/2006/relationships/hyperlink" Target="https://doi.org/10.64861/VUMF3172" TargetMode="External"/></Relationships>
</file>

<file path=word/_rels/footnotes.xml.rels><?xml version='1.0' encoding='UTF-8' standalone='yes'?>
<Relationships xmlns="http://schemas.openxmlformats.org/package/2006/relationships"><Relationship Id="rId174" Type="http://schemas.openxmlformats.org/officeDocument/2006/relationships/hyperlink" Target="https://doi.org/10.1016/j.actaastro.2017.01.018" TargetMode="External"/><Relationship Id="rId137" Type="http://schemas.openxmlformats.org/officeDocument/2006/relationships/hyperlink" Target="https://doi.org/10.1016/j.actaastro.2017.04.034" TargetMode="External"/><Relationship Id="rId162" Type="http://schemas.openxmlformats.org/officeDocument/2006/relationships/hyperlink" Target="https://doi.org/10.1016/j.actaastro.2018.04.019" TargetMode="External"/><Relationship Id="rId144" Type="http://schemas.openxmlformats.org/officeDocument/2006/relationships/hyperlink" Target="https://doi.org/10.1016/j.actaastro.2019.09.030" TargetMode="External"/><Relationship Id="rId176" Type="http://schemas.openxmlformats.org/officeDocument/2006/relationships/hyperlink" Target="https://doi.org/10.1016/j.actaastro.2020.01.030" TargetMode="External"/><Relationship Id="rId166" Type="http://schemas.openxmlformats.org/officeDocument/2006/relationships/hyperlink" Target="https://doi.org/10.1016/j.actaastro.2022.03.035" TargetMode="External"/><Relationship Id="rId168" Type="http://schemas.openxmlformats.org/officeDocument/2006/relationships/hyperlink" Target="https://doi.org/10.1016/j.actaastro.2022.05.040" TargetMode="External"/><Relationship Id="rId172" Type="http://schemas.openxmlformats.org/officeDocument/2006/relationships/hyperlink" Target="https://doi.org/10.1016/j.actaastro.2022.07.042" TargetMode="External"/><Relationship Id="rId164" Type="http://schemas.openxmlformats.org/officeDocument/2006/relationships/hyperlink" Target="https://doi.org/10.1016/j.actaastro.2024.04.001" TargetMode="External"/><Relationship Id="rId170" Type="http://schemas.openxmlformats.org/officeDocument/2006/relationships/hyperlink" Target="https://doi.org/10.1016/j.actaastro.2025.04.003" TargetMode="External"/><Relationship Id="rId147" Type="http://schemas.openxmlformats.org/officeDocument/2006/relationships/hyperlink" Target="https://doi.org/10.1016/j.actaastro.2025.11.006" TargetMode="External"/><Relationship Id="rId135" Type="http://schemas.openxmlformats.org/officeDocument/2006/relationships/hyperlink" Target="https://doi.org/10.64861/JLQE7584" TargetMode="External"/><Relationship Id="rId154" Type="http://schemas.openxmlformats.org/officeDocument/2006/relationships/hyperlink" Target="https://doi.org/10.64861/KUQJ3053" TargetMode="External"/><Relationship Id="rId149" Type="http://schemas.openxmlformats.org/officeDocument/2006/relationships/hyperlink" Target="https://doi.org/10.64861/MEDT2838" TargetMode="External"/><Relationship Id="rId159" Type="http://schemas.openxmlformats.org/officeDocument/2006/relationships/hyperlink" Target="https://doi.org/10.64861/RBTM5104" TargetMode="External"/><Relationship Id="rId151" Type="http://schemas.openxmlformats.org/officeDocument/2006/relationships/hyperlink" Target="https://doi.org/10.64861/VUMF31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Decadal Priorities Predict Realized Science Return? A Long-Run Cliometric of Mission Tasking and Observational Yield</dc:title>
  <dc:creator>Tessa Holloway (1B-SDS-035)</dc:creator>
  <cp:keywords/>
  <dcterms:created xsi:type="dcterms:W3CDTF">2026-07-02T16:58:04Z</dcterms:created>
  <dcterms:modified xsi:type="dcterms:W3CDTF">2026-07-02T16:58:04Z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