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9f73ba848f59e7497ccd34bd022a41f8bd10cd6"/>
    <w:p>
      <w:pPr>
        <w:pStyle w:val="Heading1"/>
      </w:pPr>
      <w:r>
        <w:t xml:space="preserve">Time-to-First-Science in Planetary Data Archives: A Proportional-Hazards Model of Scientific Uptake</w:t>
      </w:r>
    </w:p>
    <w:bookmarkStart w:id="61" w:name="introduction"/>
    <w:p>
      <w:pPr>
        <w:pStyle w:val="Heading2"/>
      </w:pPr>
      <w:r>
        <w:t xml:space="preserve">1. Introduction</w:t>
      </w:r>
    </w:p>
    <w:p>
      <w:pPr>
        <w:pStyle w:val="FirstParagraph"/>
      </w:pPr>
      <w:r>
        <w:t xml:space="preserve">A planetary mission ends, but its archive does not. Once the calibrated products of an instrument are released to the public archive, a second clock starts: the interval between the moment the data become available and the moment the first peer-reviewed study actually uses them. That interval is the latency of scientific uptake, and it is the quantity this paper models. Where the production-function core of this dissertation asks how much science an archive eventually yields, this paper asks a sharper and more operational question: how quickly does an archived dataset begin to yield science at all, and what features of the dataset shorten that wait?</w:t>
      </w:r>
    </w:p>
    <w:p>
      <w:pPr>
        <w:pStyle w:val="BodyText"/>
      </w:pPr>
      <w:r>
        <w:t xml:space="preserve">The question matters because the asserted payoff of public archiving is downstream and deferred. Mission concepts justify the cost of curation and release on the expectation that public products multiply later science</w:t>
      </w:r>
      <w:r>
        <w:t xml:space="preserve"> </w:t>
      </w:r>
      <w:hyperlink w:anchor="ref-1">
        <m:oMathPara>
          <m:oMathParaPr>
            <m:jc m:val="center"/>
          </m:oMathParaPr>
          <m:oMath>
            <m:r>
              <m:t>1</m:t>
            </m:r>
          </m:oMath>
        </m:oMathPara>
      </w:hyperlink>
      <w:r>
        <w:t xml:space="preserve">, and space-economy syntheses treat data and derived knowledge as productive inputs whose value is realized after acquisition</w:t>
      </w:r>
      <w:r>
        <w:t xml:space="preserve"> </w:t>
      </w:r>
      <w:hyperlink w:anchor="ref-2">
        <m:oMathPara>
          <m:oMathParaPr>
            <m:jc m:val="center"/>
          </m:oMathParaPr>
          <m:oMath>
            <m:r>
              <m:t>2</m:t>
            </m:r>
          </m:oMath>
        </m:oMathPara>
      </w:hyperlink>
      <w:r>
        <w:t xml:space="preserve">[6]. If that value is real, the speed with which it is realized is a design variable, not a constant. An archive that is mined within a year of release converts an instrument investment into community science far faster than one that sits dormant for half a decade. This paper treats time-to-first-science as the outcome and estimates which dataset characteristics govern it.</w:t>
      </w:r>
    </w:p>
    <w:bookmarkEnd w:id="61"/>
    <w:bookmarkStart w:id="62" w:name="theory-and-hypotheses"/>
    <w:p>
      <w:pPr>
        <w:pStyle w:val="Heading2"/>
      </w:pPr>
      <w:r>
        <w:t xml:space="preserve">2. Theory and Hypotheses</w:t>
      </w:r>
    </w:p>
    <w:p>
      <w:pPr>
        <w:pStyle w:val="FirstParagraph"/>
      </w:pPr>
      <w:r>
        <w:t xml:space="preserve">The framing is a hazard model of scientific adoption. Each released dataset is at risk of an event, the first archival-science publication, and the hazard is the instantaneous rate at which that event occurs given that it has not yet occurred. Modeling adoption as a hazard rather than a level lets the analysis speak to speed directly and accommodates datasets that have not yet been used through right-censoring, although in the sampled population every dataset eventually reached first use.</w:t>
      </w:r>
    </w:p>
    <w:p>
      <w:pPr>
        <w:pStyle w:val="BodyText"/>
      </w:pPr>
      <w:r>
        <w:t xml:space="preserve">Three mechanisms motivate the covariates. First, accessibility: the modernized PDS4 standard couples datasets to programmatic access endpoints and machine-readable labels, which the machine-learning-for-space literature treats as the precondition for a dataset to seed a downstream research community</w:t>
      </w:r>
      <w:r>
        <w:t xml:space="preserve"> </w:t>
      </w:r>
      <w:hyperlink w:anchor="ref-3">
        <m:oMathPara>
          <m:oMathParaPr>
            <m:jc m:val="center"/>
          </m:oMathParaPr>
          <m:oMath>
            <m:r>
              <m:t>3</m:t>
            </m:r>
          </m:oMath>
        </m:oMathPara>
      </w:hyperlink>
      <w:r>
        <w:t xml:space="preserve">[5]. If access tooling speeds adoption, the PDS4 indicator should raise the hazard. Second, scale: larger holdings present more analyzable surface area, so released data volume may raise the hazard of early use. Third, community: a larger instrument team at release seeds a wider pool of investigators positioned to publish first, and decadal-priority target bodies attract denser standing communities that mine new data quickly</w:t>
      </w:r>
      <w:r>
        <w:t xml:space="preserve"> </w:t>
      </w:r>
      <w:hyperlink w:anchor="ref-4">
        <m:oMathPara>
          <m:oMathParaPr>
            <m:jc m:val="center"/>
          </m:oMathParaPr>
          <m:oMath>
            <m:r>
              <m:t>4</m:t>
            </m:r>
          </m:oMath>
        </m:oMathPara>
      </w:hyperlink>
      <w:r>
        <w:t xml:space="preserve">.</w:t>
      </w:r>
    </w:p>
    <w:p>
      <w:pPr>
        <w:pStyle w:val="FirstParagraph"/>
      </w:pPr>
      <w:r>
        <w:rPr>
          <w:b/>
          <w:bCs/>
        </w:rPr>
        <w:t xml:space="preserve">H1.</w:t>
      </w:r>
      <w:r>
        <w:t xml:space="preserve"> </w:t>
      </w:r>
      <w:r>
        <w:t xml:space="preserve">Datasets released under PDS4 reach first archival-science publication faster than legacy PDS3 datasets; the PDS4 hazard ratio exceeds one.</w:t>
      </w:r>
    </w:p>
    <w:p>
      <w:pPr>
        <w:pStyle w:val="BodyText"/>
      </w:pPr>
      <w:r>
        <w:rPr>
          <w:b/>
          <w:bCs/>
        </w:rPr>
        <w:t xml:space="preserve">H2.</w:t>
      </w:r>
      <w:r>
        <w:t xml:space="preserve"> </w:t>
      </w:r>
      <w:r>
        <w:t xml:space="preserve">Larger released volume and larger using-community proxies (team size, decadal-priority body) raise the hazard of first use.</w:t>
      </w:r>
    </w:p>
    <w:bookmarkEnd w:id="62"/>
    <w:bookmarkStart w:id="63" w:name="data"/>
    <w:p>
      <w:pPr>
        <w:pStyle w:val="Heading2"/>
      </w:pPr>
      <w:r>
        <w:t xml:space="preserve">3. Data</w:t>
      </w:r>
    </w:p>
    <w:p>
      <w:pPr>
        <w:pStyle w:val="FirstParagraph"/>
      </w:pPr>
      <w:r>
        <w:t xml:space="preserve">The unit of analysis is the archived instrument dataset. The sample is 34 datasets drawn from fourteen NASA planetary missions spanning Mars orbiters and landers (Mars Global Surveyor, Mars Odyssey, Mars Reconnaissance Orbiter, Phoenix, InSight), the Moon (Lunar Reconnaissance Orbiter, LADEE), the outer planets and their moons (Cassini, Juno), small bodies and dwarf planets (Dawn at Vesta and Ceres, OSIRIS-REx at Bennu), Mercury (MESSENGER), the Mars upper atmosphere (MAVEN), and the Pluto system (New Horizons). For each dataset the duration variable is the documented interval in years from public release to the first peer-reviewed publication using the archived data, anchored to the instrument overview paper in Space Science Reviews or the Journal of Geophysical Research joined to the relevant PDS node release record. Covariates are a PDS4 indicator keyed to the September 2013 PDS4 rollout and per-mission archive cohort, the base-ten log of released data volume in gigabytes, the count of named instrument-team co-investigators as a community proxy, and a decadal-priority-body indicator. Every row carries its source in the final column; two covariate cells that were genuinely unobtainable are marked illustrative and remain a small minority of the table.</w:t>
      </w:r>
    </w:p>
    <w:bookmarkEnd w:id="63"/>
    <w:bookmarkStart w:id="64" w:name="method"/>
    <w:p>
      <w:pPr>
        <w:pStyle w:val="Heading2"/>
      </w:pPr>
      <w:r>
        <w:t xml:space="preserve">4. Method</w:t>
      </w:r>
    </w:p>
    <w:p>
      <w:pPr>
        <w:pStyle w:val="FirstParagraph"/>
      </w:pPr>
      <w:r>
        <w:t xml:space="preserve">Estimation uses a Cox proportional-hazards model, which relates the hazard of first archival-science publication to the covariates without imposing a parametric form on the baseline hazard. The coefficient on each covariate is reported as a hazard ratio, the multiplicative effect of a one-unit change on the instantaneous rate of first use, where a ratio above one denotes faster uptake. This is a deliberately different method from the production-function core of the dissertation: rather than estimating an elasticity of output level, it estimates the rate of arrival of the first unit of output, which is the appropriate tool for a latency question. The model is fit by partial likelihood over the 34 datasets, all of which experienced the event.</w:t>
      </w:r>
    </w:p>
    <w:bookmarkEnd w:id="64"/>
    <w:bookmarkStart w:id="65" w:name="findings"/>
    <w:p>
      <w:pPr>
        <w:pStyle w:val="Heading2"/>
      </w:pPr>
      <w:r>
        <w:t xml:space="preserve">5. Findings</w:t>
      </w:r>
    </w:p>
    <w:p>
      <w:pPr>
        <w:pStyle w:val="FirstParagraph"/>
      </w:pPr>
      <w:r>
        <w:t xml:space="preserve">The fitted model covers 34 datasets with 34 observed first-use events. The estimated hazard ratios point in directions largely consistent with the theory, but none reaches conventional statistical significance at this sample size, so the findings are read as signed evidence rather than confirmed effects.</w:t>
      </w:r>
    </w:p>
    <w:p>
      <w:pPr>
        <w:pStyle w:val="BodyText"/>
      </w:pPr>
      <w:r>
        <w:t xml:space="preserve">Released data volume carries the largest estimated effect. Its coefficient is 1.3505 with a hazard ratio of 3.8593 and a p-value of 0.2034, indicating that a one-unit rise in log data volume is associated with a roughly fourfold increase in the estimated rate of first use, though the wide uncertainty leaves the effect short of significance. The direction supports the scale mechanism in H2: larger holdings appear to be mined sooner.</w:t>
      </w:r>
    </w:p>
    <w:p>
      <w:pPr>
        <w:pStyle w:val="BodyText"/>
      </w:pPr>
      <w:r>
        <w:t xml:space="preserve">The PDS4 accessibility indicator enters with a coefficient of 0.1185, a hazard ratio of 1.1258, and a p-value of 0.7631. The sign is consistent with H1, faster uptake under the modernized access standard, but the magnitude is small and the estimate is statistically indistinguishable from no effect. The decadal-priority-body indicator behaves similarly, with a coefficient of 0.1734, a hazard ratio of 1.1894, and a p-value of 0.6893, again positive and again insignificant.</w:t>
      </w:r>
    </w:p>
    <w:p>
      <w:pPr>
        <w:pStyle w:val="BodyText"/>
      </w:pPr>
      <w:r>
        <w:t xml:space="preserve">The team-size proxy runs against the predicted direction, with a coefficient of -0.1454, a hazard ratio of 0.8647, and a p-value of 0.5911. Taken literally this would imply that larger instrument teams reach first publication slightly more slowly, but the estimate is far from significant and is most plausibly read as collinear with data volume, since larger instruments tend to produce both bigger archives and bigger teams.</w:t>
      </w:r>
    </w:p>
    <w:p>
      <w:pPr>
        <w:pStyle w:val="BodyText"/>
      </w:pPr>
      <w:r>
        <w:t xml:space="preserve">On the evidence here, H1 is not supported in a statistically defensible sense even though its sign is correct, and H2 is partially and weakly supported through the volume channel while its community channels are not. The honest summary is that released scale, not the accessibility flag, is the strongest candidate driver of how quickly a planetary archive is first used, and that the present sample is too small to separate these channels with confidence.</w:t>
      </w:r>
    </w:p>
    <w:bookmarkEnd w:id="65"/>
    <w:bookmarkStart w:id="66" w:name="discussion"/>
    <w:p>
      <w:pPr>
        <w:pStyle w:val="Heading2"/>
      </w:pPr>
      <w:r>
        <w:t xml:space="preserve">6. Discussion</w:t>
      </w:r>
    </w:p>
    <w:p>
      <w:pPr>
        <w:pStyle w:val="FirstParagraph"/>
      </w:pPr>
      <w:r>
        <w:t xml:space="preserve">The result qualifies the accessibility premise that runs through the dissertation. The production-function core asks whether accessibility raises the eventual level of archive science; this latency analysis finds that the coarse PDS4 accessibility flag does not, on its own, measurably accelerate the arrival of the first science, while sheer released volume shows the strongest, if still uncertain, association with faster uptake. One reading is that the binary PDS4 indicator is too blunt to capture the latent quality of access and attenuates its own coefficient toward one, which would understate a real effect. Another is that early scientific uptake is driven less by access tooling than by how much analyzable data a release contains, a finding that would push curation priorities toward releasing substantial, coherent volumes early rather than toward access polish on small holdings.</w:t>
      </w:r>
    </w:p>
    <w:p>
      <w:pPr>
        <w:pStyle w:val="BodyText"/>
      </w:pPr>
      <w:r>
        <w:t xml:space="preserve">Three limits bound the claim. The sample is 34 datasets from a curated set of flagship missions, so the population is the well-studied core of the planetary archive rather than its long tail, where latencies are likely longer and the accessibility effect possibly larger. Every dataset experienced the event, so the model identifies effects on timing among always-eventually-used datasets and says nothing about datasets that never attract use. And the covariates are proxies: a single PDS4 flag stands in for a spectrum of access quality, and team size stands in for a community whose true size is unobserved. The companion production-function paper estimates the level effect this paper deliberately sets aside; together they bracket the accessibility question from both the speed and the magnitude of archive science.</w:t>
      </w:r>
    </w:p>
    <w:bookmarkEnd w:id="66"/>
    <w:bookmarkStart w:id="76" w:name="references"/>
    <w:p>
      <w:pPr>
        <w:pStyle w:val="Heading2"/>
      </w:pPr>
      <w:r>
        <w:t xml:space="preserve">References</w:t>
      </w:r>
    </w:p>
    <w:p>
      <w:pPr>
        <w:pStyle w:val="FirstParagraph"/>
      </w:pPr>
      <w:bookmarkStart w:id="67" w:name="ref-1"/>
      <w:bookmarkEnd w:id="67"/>
      <w:r>
        <w:t xml:space="preserve">1. R. L. McNutt, R. F. Wimmer-Schweingruber, M. Gruntman, S. M. Krimigis, E. C. Roelof, P. C. Brandt, S. R. Vernon, M. Paul, R. Stough, and J. D. Kinnison,</w:t>
      </w:r>
      <w:r>
        <w:t xml:space="preserve"> </w:t>
      </w:r>
      <w:r>
        <w:t xml:space="preserve">“Interstellar probe – Destination: Universe!,”</w:t>
      </w:r>
      <w:r>
        <w:t xml:space="preserve"> </w:t>
      </w:r>
      <w:r>
        <w:t xml:space="preserve">Acta Astronautica, vol. 196, 2022. doi:</w:t>
      </w:r>
      <w:r>
        <w:t xml:space="preserve"> </w:t>
      </w:r>
      <w:hyperlink r:id="rId68">
        <w:r>
          <w:rPr>
            <w:rStyle w:val="Hyperlink"/>
          </w:rPr>
          <w:t xml:space="preserve">10.1016/j.actaastro.2022.04.001</w:t>
        </w:r>
      </w:hyperlink>
    </w:p>
    <w:p>
      <w:pPr>
        <w:pStyle w:val="BodyText"/>
      </w:pPr>
      <w:bookmarkStart w:id="69" w:name="ref-2"/>
      <w:bookmarkEnd w:id="69"/>
      <w:r>
        <w:t xml:space="preserve">2. Organisation for Economic Co-operation and Development, OCEA: Forecasting the Space Economy (Space Economy Papers corpus, source SD08).</w:t>
      </w:r>
    </w:p>
    <w:p>
      <w:pPr>
        <w:pStyle w:val="BodyText"/>
      </w:pPr>
      <w:bookmarkStart w:id="70" w:name="ref-3"/>
      <w:bookmarkEnd w:id="70"/>
      <w:r>
        <w:t xml:space="preserve">3. P. M. Siew, H. Solera, T. G. Roberts, D. Jang, V. Rodriguez-Fernandez, J. How, and R. Linares,</w:t>
      </w:r>
      <w:r>
        <w:t xml:space="preserve"> </w:t>
      </w:r>
      <w:r>
        <w:t xml:space="preserve">“AI SSA Challenge Problem: Satellite Pattern-of-Life Characterization Dataset and Benchmark Suite,”</w:t>
      </w:r>
      <w:r>
        <w:t xml:space="preserve"> </w:t>
      </w:r>
      <w:r>
        <w:t xml:space="preserve">Proc. Advanced Maui Optical and Space Surveillance Technologies (AMOS) Conference, 2023. doi:</w:t>
      </w:r>
      <w:r>
        <w:t xml:space="preserve"> </w:t>
      </w:r>
      <w:hyperlink r:id="rId71">
        <w:r>
          <w:rPr>
            <w:rStyle w:val="Hyperlink"/>
          </w:rPr>
          <w:t xml:space="preserve">10.64861/KSXC7986</w:t>
        </w:r>
      </w:hyperlink>
    </w:p>
    <w:p>
      <w:pPr>
        <w:pStyle w:val="BodyText"/>
      </w:pPr>
      <w:bookmarkStart w:id="72" w:name="ref-4"/>
      <w:bookmarkEnd w:id="72"/>
      <w:r>
        <w:t xml:space="preserve">4.</w:t>
      </w:r>
      <w:r>
        <w:t xml:space="preserve"> </w:t>
      </w:r>
      <w:r>
        <w:t xml:space="preserve">“Architectural Socio-Technological Transformative Change of Space-Use Norms”</w:t>
      </w:r>
      <w:r>
        <w:t xml:space="preserve"> </w:t>
      </w:r>
      <w:r>
        <w:t xml:space="preserve">(Space Economy Papers corpus, source SD03).</w:t>
      </w:r>
    </w:p>
    <w:p>
      <w:pPr>
        <w:pStyle w:val="BodyText"/>
      </w:pPr>
      <w:bookmarkStart w:id="73" w:name="ref-5"/>
      <w:bookmarkEnd w:id="73"/>
      <w:r>
        <w:t xml:space="preserve">5. A. Lorenz, S. Abernethy, M. Fischer, J. Griesbach, W. J. Mandeville, S. Arora, T. McLaughlin, H. Challa, and P. Mehta,</w:t>
      </w:r>
      <w:r>
        <w:t xml:space="preserve"> </w:t>
      </w:r>
      <w:r>
        <w:t xml:space="preserve">“Applying Deep Learning Object Detection Techniques to Detect RSOs for Ground-Based EO Sensors,”</w:t>
      </w:r>
      <w:r>
        <w:t xml:space="preserve"> </w:t>
      </w:r>
      <w:r>
        <w:t xml:space="preserve">Proc. Advanced Maui Optical and Space Surveillance Technologies (AMOS) Conference, 2025. doi:</w:t>
      </w:r>
      <w:r>
        <w:t xml:space="preserve"> </w:t>
      </w:r>
      <w:hyperlink r:id="rId74">
        <w:r>
          <w:rPr>
            <w:rStyle w:val="Hyperlink"/>
          </w:rPr>
          <w:t xml:space="preserve">10.64861/PWTG6037</w:t>
        </w:r>
      </w:hyperlink>
    </w:p>
    <w:p>
      <w:pPr>
        <w:pStyle w:val="BodyText"/>
      </w:pPr>
      <w:bookmarkStart w:id="75" w:name="ref-6"/>
      <w:bookmarkEnd w:id="75"/>
      <w:r>
        <w:t xml:space="preserve">6.</w:t>
      </w:r>
      <w:r>
        <w:t xml:space="preserve"> </w:t>
      </w:r>
      <w:r>
        <w:t xml:space="preserve">“The Role of Space in Driving Sustainability, Security, and Development”</w:t>
      </w:r>
      <w:r>
        <w:t xml:space="preserve"> </w:t>
      </w:r>
      <w:r>
        <w:t xml:space="preserve">(Space Economy Papers corpus, source SD13).</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pds4</m:t>
              </m:r>
              <m:r>
                <m:rPr>
                  <m:sty m:val="p"/>
                </m:rPr>
                <m:t>+</m:t>
              </m:r>
              <m:sSub>
                <m:e>
                  <m:r>
                    <m:t>β</m:t>
                  </m:r>
                </m:e>
                <m:sub>
                  <m:r>
                    <m:t>2</m:t>
                  </m:r>
                </m:sub>
              </m:sSub>
              <m:r>
                <m:t> </m:t>
              </m:r>
              <m:r>
                <m:rPr>
                  <m:sty m:val="p"/>
                </m:rPr>
                <m:t>ln</m:t>
              </m:r>
              <m:r>
                <m:t>V</m:t>
              </m:r>
              <m:r>
                <m:rPr>
                  <m:sty m:val="p"/>
                </m:rPr>
                <m:t>+</m:t>
              </m:r>
              <m:sSub>
                <m:e>
                  <m:r>
                    <m:t>β</m:t>
                  </m:r>
                </m:e>
                <m:sub>
                  <m:r>
                    <m:t>3</m:t>
                  </m:r>
                </m:sub>
              </m:sSub>
              <m:r>
                <m:t> </m:t>
              </m:r>
              <m:r>
                <m:rPr>
                  <m:nor/>
                  <m:sty m:val="p"/>
                </m:rPr>
                <m:t>team</m:t>
              </m:r>
              <m:r>
                <m:rPr>
                  <m:sty m:val="p"/>
                </m:rPr>
                <m:t>+</m:t>
              </m:r>
              <m:sSub>
                <m:e>
                  <m:r>
                    <m:t>β</m:t>
                  </m:r>
                </m:e>
                <m:sub>
                  <m:r>
                    <m:t>4</m:t>
                  </m:r>
                </m:sub>
              </m:sSub>
              <m:r>
                <m:t> </m:t>
              </m:r>
              <m:r>
                <m:rPr>
                  <m:nor/>
                  <m:sty m:val="p"/>
                </m:rPr>
                <m:t>priority</m:t>
              </m:r>
            </m:e>
          </m:d>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pds4</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0.3933</w:t>
            </w:r>
          </w:p>
        </w:tc>
        <w:tc>
          <w:tcPr>
            <w:tcW w:w="0" w:type="auto"/>
          </w:tcPr>
          <w:p>
            <w:pPr>
              <w:spacing w:line="240" w:lineRule="auto" w:before="0" w:after="0"/>
              <w:pStyle w:val="Compact"/>
            </w:pPr>
            <w:r>
              <w:rPr>
                <w:sz w:val="20"/>
                <w:szCs w:val="20"/>
              </w:rPr>
              <w:t xml:space="preserve">0.3014</w:t>
            </w:r>
          </w:p>
        </w:tc>
        <w:tc>
          <w:tcPr>
            <w:tcW w:w="0" w:type="auto"/>
          </w:tcPr>
          <w:p>
            <w:pPr>
              <w:spacing w:line="240" w:lineRule="auto" w:before="0" w:after="0"/>
              <w:pStyle w:val="Compact"/>
            </w:pPr>
            <w:r>
              <w:rPr>
                <w:sz w:val="20"/>
                <w:szCs w:val="20"/>
              </w:rPr>
              <w:t xml:space="preserve">0.7631</w:t>
            </w:r>
          </w:p>
        </w:tc>
        <w:tc>
          <w:tcPr>
            <w:tcW w:w="0" w:type="auto"/>
          </w:tcPr>
          <w:p>
            <w:pPr>
              <w:spacing w:line="240" w:lineRule="auto" w:before="0" w:after="0"/>
              <w:pStyle w:val="Compact"/>
            </w:pPr>
            <w:r>
              <w:rPr>
                <w:sz w:val="20"/>
                <w:szCs w:val="20"/>
              </w:rPr>
              <w:t xml:space="preserve">[-0.6523, 0.8893]</w:t>
            </w:r>
          </w:p>
        </w:tc>
        <w:tc>
          <w:tcPr>
            <w:tcW w:w="0" w:type="auto"/>
          </w:tcPr>
          <w:p>
            <w:pPr>
              <w:spacing w:line="240" w:lineRule="auto" w:before="0" w:after="0"/>
              <w:pStyle w:val="Compact"/>
            </w:pPr>
            <w:r>
              <w:rPr>
                <w:sz w:val="20"/>
                <w:szCs w:val="20"/>
              </w:rPr>
              <w:t xml:space="preserve">1.1258</w:t>
            </w:r>
          </w:p>
        </w:tc>
      </w:tr>
      <w:tr>
        <w:tc>
          <w:tcPr>
            <w:tcW w:w="0" w:type="auto"/>
          </w:tcPr>
          <w:p>
            <w:pPr>
              <w:spacing w:line="240" w:lineRule="auto" w:before="0" w:after="0"/>
              <w:pStyle w:val="Compact"/>
            </w:pPr>
            <w:r>
              <w:rPr>
                <w:sz w:val="20"/>
                <w:szCs w:val="20"/>
              </w:rPr>
              <w:t xml:space="preserve">data_volume_log</w:t>
            </w:r>
          </w:p>
        </w:tc>
        <w:tc>
          <w:tcPr>
            <w:tcW w:w="0" w:type="auto"/>
          </w:tcPr>
          <w:p>
            <w:pPr>
              <w:spacing w:line="240" w:lineRule="auto" w:before="0" w:after="0"/>
              <w:pStyle w:val="Compact"/>
            </w:pPr>
            <w:r>
              <w:rPr>
                <w:sz w:val="20"/>
                <w:szCs w:val="20"/>
              </w:rPr>
              <w:t xml:space="preserve">1.3505</w:t>
            </w:r>
          </w:p>
        </w:tc>
        <w:tc>
          <w:tcPr>
            <w:tcW w:w="0" w:type="auto"/>
          </w:tcPr>
          <w:p>
            <w:pPr>
              <w:spacing w:line="240" w:lineRule="auto" w:before="0" w:after="0"/>
              <w:pStyle w:val="Compact"/>
            </w:pPr>
            <w:r>
              <w:rPr>
                <w:sz w:val="20"/>
                <w:szCs w:val="20"/>
              </w:rPr>
              <w:t xml:space="preserve">1.0617</w:t>
            </w:r>
          </w:p>
        </w:tc>
        <w:tc>
          <w:tcPr>
            <w:tcW w:w="0" w:type="auto"/>
          </w:tcPr>
          <w:p>
            <w:pPr>
              <w:spacing w:line="240" w:lineRule="auto" w:before="0" w:after="0"/>
              <w:pStyle w:val="Compact"/>
            </w:pPr>
            <w:r>
              <w:rPr>
                <w:sz w:val="20"/>
                <w:szCs w:val="20"/>
              </w:rPr>
              <w:t xml:space="preserve">1.272</w:t>
            </w:r>
          </w:p>
        </w:tc>
        <w:tc>
          <w:tcPr>
            <w:tcW w:w="0" w:type="auto"/>
          </w:tcPr>
          <w:p>
            <w:pPr>
              <w:spacing w:line="240" w:lineRule="auto" w:before="0" w:after="0"/>
              <w:pStyle w:val="Compact"/>
            </w:pPr>
            <w:r>
              <w:rPr>
                <w:sz w:val="20"/>
                <w:szCs w:val="20"/>
              </w:rPr>
              <w:t xml:space="preserve">0.2034</w:t>
            </w:r>
          </w:p>
        </w:tc>
        <w:tc>
          <w:tcPr>
            <w:tcW w:w="0" w:type="auto"/>
          </w:tcPr>
          <w:p>
            <w:pPr>
              <w:spacing w:line="240" w:lineRule="auto" w:before="0" w:after="0"/>
              <w:pStyle w:val="Compact"/>
            </w:pPr>
            <w:r>
              <w:rPr>
                <w:sz w:val="20"/>
                <w:szCs w:val="20"/>
              </w:rPr>
              <w:t xml:space="preserve">[-0.7305, 3.4315]</w:t>
            </w:r>
          </w:p>
        </w:tc>
        <w:tc>
          <w:tcPr>
            <w:tcW w:w="0" w:type="auto"/>
          </w:tcPr>
          <w:p>
            <w:pPr>
              <w:spacing w:line="240" w:lineRule="auto" w:before="0" w:after="0"/>
              <w:pStyle w:val="Compact"/>
            </w:pPr>
            <w:r>
              <w:rPr>
                <w:sz w:val="20"/>
                <w:szCs w:val="20"/>
              </w:rPr>
              <w:t xml:space="preserve">3.8593</w:t>
            </w:r>
          </w:p>
        </w:tc>
      </w:tr>
      <w:tr>
        <w:tc>
          <w:tcPr>
            <w:tcW w:w="0" w:type="auto"/>
          </w:tcPr>
          <w:p>
            <w:pPr>
              <w:spacing w:line="240" w:lineRule="auto" w:before="0" w:after="0"/>
              <w:pStyle w:val="Compact"/>
            </w:pPr>
            <w:r>
              <w:rPr>
                <w:sz w:val="20"/>
                <w:szCs w:val="20"/>
              </w:rPr>
              <w:t xml:space="preserve">team_size</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0.2706</w:t>
            </w:r>
          </w:p>
        </w:tc>
        <w:tc>
          <w:tcPr>
            <w:tcW w:w="0" w:type="auto"/>
          </w:tcPr>
          <w:p>
            <w:pPr>
              <w:spacing w:line="240" w:lineRule="auto" w:before="0" w:after="0"/>
              <w:pStyle w:val="Compact"/>
            </w:pPr>
            <w:r>
              <w:rPr>
                <w:sz w:val="20"/>
                <w:szCs w:val="20"/>
              </w:rPr>
              <w:t xml:space="preserve">-0.5373</w:t>
            </w:r>
          </w:p>
        </w:tc>
        <w:tc>
          <w:tcPr>
            <w:tcW w:w="0" w:type="auto"/>
          </w:tcPr>
          <w:p>
            <w:pPr>
              <w:spacing w:line="240" w:lineRule="auto" w:before="0" w:after="0"/>
              <w:pStyle w:val="Compact"/>
            </w:pPr>
            <w:r>
              <w:rPr>
                <w:sz w:val="20"/>
                <w:szCs w:val="20"/>
              </w:rPr>
              <w:t xml:space="preserve">0.5911</w:t>
            </w:r>
          </w:p>
        </w:tc>
        <w:tc>
          <w:tcPr>
            <w:tcW w:w="0" w:type="auto"/>
          </w:tcPr>
          <w:p>
            <w:pPr>
              <w:spacing w:line="240" w:lineRule="auto" w:before="0" w:after="0"/>
              <w:pStyle w:val="Compact"/>
            </w:pPr>
            <w:r>
              <w:rPr>
                <w:sz w:val="20"/>
                <w:szCs w:val="20"/>
              </w:rPr>
              <w:t xml:space="preserve">[-0.6758, 0.385]</w:t>
            </w:r>
          </w:p>
        </w:tc>
        <w:tc>
          <w:tcPr>
            <w:tcW w:w="0" w:type="auto"/>
          </w:tcPr>
          <w:p>
            <w:pPr>
              <w:spacing w:line="240" w:lineRule="auto" w:before="0" w:after="0"/>
              <w:pStyle w:val="Compact"/>
            </w:pPr>
            <w:r>
              <w:rPr>
                <w:sz w:val="20"/>
                <w:szCs w:val="20"/>
              </w:rPr>
              <w:t xml:space="preserve">0.8647</w:t>
            </w:r>
          </w:p>
        </w:tc>
      </w:tr>
      <w:tr>
        <w:tc>
          <w:tcPr>
            <w:tcW w:w="0" w:type="auto"/>
          </w:tcPr>
          <w:p>
            <w:pPr>
              <w:spacing w:line="240" w:lineRule="auto" w:before="0" w:after="0"/>
              <w:pStyle w:val="Compact"/>
            </w:pPr>
            <w:r>
              <w:rPr>
                <w:sz w:val="20"/>
                <w:szCs w:val="20"/>
              </w:rPr>
              <w:t xml:space="preserve">priority_body</w:t>
            </w:r>
          </w:p>
        </w:tc>
        <w:tc>
          <w:tcPr>
            <w:tcW w:w="0" w:type="auto"/>
          </w:tcPr>
          <w:p>
            <w:pPr>
              <w:spacing w:line="240" w:lineRule="auto" w:before="0" w:after="0"/>
              <w:pStyle w:val="Compact"/>
            </w:pPr>
            <w:r>
              <w:rPr>
                <w:sz w:val="20"/>
                <w:szCs w:val="20"/>
              </w:rPr>
              <w:t xml:space="preserve">0.1734</w:t>
            </w:r>
          </w:p>
        </w:tc>
        <w:tc>
          <w:tcPr>
            <w:tcW w:w="0" w:type="auto"/>
          </w:tcPr>
          <w:p>
            <w:pPr>
              <w:spacing w:line="240" w:lineRule="auto" w:before="0" w:after="0"/>
              <w:pStyle w:val="Compact"/>
            </w:pPr>
            <w:r>
              <w:rPr>
                <w:sz w:val="20"/>
                <w:szCs w:val="20"/>
              </w:rPr>
              <w:t xml:space="preserve">0.4338</w:t>
            </w:r>
          </w:p>
        </w:tc>
        <w:tc>
          <w:tcPr>
            <w:tcW w:w="0" w:type="auto"/>
          </w:tcPr>
          <w:p>
            <w:pPr>
              <w:spacing w:line="240" w:lineRule="auto" w:before="0" w:after="0"/>
              <w:pStyle w:val="Compact"/>
            </w:pPr>
            <w:r>
              <w:rPr>
                <w:sz w:val="20"/>
                <w:szCs w:val="20"/>
              </w:rPr>
              <w:t xml:space="preserve">0.3998</w:t>
            </w:r>
          </w:p>
        </w:tc>
        <w:tc>
          <w:tcPr>
            <w:tcW w:w="0" w:type="auto"/>
          </w:tcPr>
          <w:p>
            <w:pPr>
              <w:spacing w:line="240" w:lineRule="auto" w:before="0" w:after="0"/>
              <w:pStyle w:val="Compact"/>
            </w:pPr>
            <w:r>
              <w:rPr>
                <w:sz w:val="20"/>
                <w:szCs w:val="20"/>
              </w:rPr>
              <w:t xml:space="preserve">0.6893</w:t>
            </w:r>
          </w:p>
        </w:tc>
        <w:tc>
          <w:tcPr>
            <w:tcW w:w="0" w:type="auto"/>
          </w:tcPr>
          <w:p>
            <w:pPr>
              <w:spacing w:line="240" w:lineRule="auto" w:before="0" w:after="0"/>
              <w:pStyle w:val="Compact"/>
            </w:pPr>
            <w:r>
              <w:rPr>
                <w:sz w:val="20"/>
                <w:szCs w:val="20"/>
              </w:rPr>
              <w:t xml:space="preserve">[-0.6768, 1.0237]</w:t>
            </w:r>
          </w:p>
        </w:tc>
        <w:tc>
          <w:tcPr>
            <w:tcW w:w="0" w:type="auto"/>
          </w:tcPr>
          <w:p>
            <w:pPr>
              <w:spacing w:line="240" w:lineRule="auto" w:before="0" w:after="0"/>
              <w:pStyle w:val="Compact"/>
            </w:pPr>
            <w:r>
              <w:rPr>
                <w:sz w:val="20"/>
                <w:szCs w:val="20"/>
              </w:rPr>
              <w:t xml:space="preserve">1.1894</w:t>
            </w:r>
          </w:p>
        </w:tc>
      </w:tr>
    </w:tbl>
    <w:p>
      <w:pPr>
        <w:pStyle w:val="BodyText"/>
      </w:pPr>
      <w:r>
        <w:t xml:space="preserve">Fit: N = 34 events = 34</w:t>
      </w:r>
    </w:p>
    <w:p>
      <w:pPr>
        <w:pStyle w:val="CaptionedFigure"/>
      </w:pPr>
      <w:r>
        <w:drawing>
          <wp:inline>
            <wp:extent cx="5669280" cy="3657600"/>
            <wp:effectExtent b="0" l="0" r="0" t="0"/>
            <wp:docPr descr="Figure 1. Time from public release to first archival-science publication across NASA planetary mission datasets, against released data volume; PDS4-era datasets cluster at shorter latencies." title="" id="79" name="Picture"/>
            <a:graphic>
              <a:graphicData uri="http://schemas.openxmlformats.org/drawingml/2006/picture">
                <pic:pic>
                  <pic:nvPicPr>
                    <pic:cNvPr descr="D:\Claude_Code\brain\collegium\candidates\dissertations\JPL_OPS_COMMS_DATA_09\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public release to first archival-science publication across NASA planetary mission datasets, against released data volume; PDS4-era datasets cluster at shorter latencies.</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dataset</w:t>
            </w:r>
          </w:p>
        </w:tc>
        <w:tc>
          <w:tcPr>
            <w:tcW w:w="0" w:type="auto"/>
          </w:tcPr>
          <w:p>
            <w:pPr>
              <w:spacing w:line="240" w:lineRule="auto" w:before="0" w:after="0"/>
              <w:pStyle w:val="Compact"/>
            </w:pPr>
            <w:r>
              <w:rPr>
                <w:sz w:val="20"/>
                <w:szCs w:val="20"/>
              </w:rPr>
              <w:t xml:space="preserve">release_year</w:t>
            </w:r>
          </w:p>
        </w:tc>
        <w:tc>
          <w:tcPr>
            <w:tcW w:w="0" w:type="auto"/>
          </w:tcPr>
          <w:p>
            <w:pPr>
              <w:spacing w:line="240" w:lineRule="auto" w:before="0" w:after="0"/>
              <w:pStyle w:val="Compact"/>
            </w:pPr>
            <w:r>
              <w:rPr>
                <w:sz w:val="20"/>
                <w:szCs w:val="20"/>
              </w:rPr>
              <w:t xml:space="preserve">years_to_first_pub</w:t>
            </w:r>
          </w:p>
        </w:tc>
        <w:tc>
          <w:tcPr>
            <w:tcW w:w="0" w:type="auto"/>
          </w:tcPr>
          <w:p>
            <w:pPr>
              <w:spacing w:line="240" w:lineRule="auto" w:before="0" w:after="0"/>
              <w:pStyle w:val="Compact"/>
            </w:pPr>
            <w:r>
              <w:rPr>
                <w:sz w:val="20"/>
                <w:szCs w:val="20"/>
              </w:rPr>
              <w:t xml:space="preserve">observed</w:t>
            </w:r>
          </w:p>
        </w:tc>
        <w:tc>
          <w:tcPr>
            <w:tcW w:w="0" w:type="auto"/>
          </w:tcPr>
          <w:p>
            <w:pPr>
              <w:spacing w:line="240" w:lineRule="auto" w:before="0" w:after="0"/>
              <w:pStyle w:val="Compact"/>
            </w:pPr>
            <w:r>
              <w:rPr>
                <w:sz w:val="20"/>
                <w:szCs w:val="20"/>
              </w:rPr>
              <w:t xml:space="preserve">pds4</w:t>
            </w:r>
          </w:p>
        </w:tc>
        <w:tc>
          <w:tcPr>
            <w:tcW w:w="0" w:type="auto"/>
          </w:tcPr>
          <w:p>
            <w:pPr>
              <w:spacing w:line="240" w:lineRule="auto" w:before="0" w:after="0"/>
              <w:pStyle w:val="Compact"/>
            </w:pPr>
            <w:r>
              <w:rPr>
                <w:sz w:val="20"/>
                <w:szCs w:val="20"/>
              </w:rPr>
              <w:t xml:space="preserve">data_volume_log</w:t>
            </w:r>
          </w:p>
        </w:tc>
        <w:tc>
          <w:tcPr>
            <w:tcW w:w="0" w:type="auto"/>
          </w:tcPr>
          <w:p>
            <w:pPr>
              <w:spacing w:line="240" w:lineRule="auto" w:before="0" w:after="0"/>
              <w:pStyle w:val="Compact"/>
            </w:pPr>
            <w:r>
              <w:rPr>
                <w:sz w:val="20"/>
                <w:szCs w:val="20"/>
              </w:rPr>
              <w:t xml:space="preserve">team_size</w:t>
            </w:r>
          </w:p>
        </w:tc>
        <w:tc>
          <w:tcPr>
            <w:tcW w:w="0" w:type="auto"/>
          </w:tcPr>
          <w:p>
            <w:pPr>
              <w:spacing w:line="240" w:lineRule="auto" w:before="0" w:after="0"/>
              <w:pStyle w:val="Compact"/>
            </w:pPr>
            <w:r>
              <w:rPr>
                <w:sz w:val="20"/>
                <w:szCs w:val="20"/>
              </w:rPr>
              <w:t xml:space="preserve">priority_body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MRO_HiRISE</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McEwen et al. 2007 JGR Planets HiRISE instrument paper doi:10.1029/2005JE002605; MRO data via PDS Imaging/Geosciences Node https://pds-geosciences.wustl.edu/missions/mro/</w:t>
            </w:r>
          </w:p>
        </w:tc>
      </w:tr>
      <w:tr>
        <w:tc>
          <w:tcPr>
            <w:tcW w:w="0" w:type="auto"/>
          </w:tcPr>
          <w:p>
            <w:pPr>
              <w:spacing w:line="240" w:lineRule="auto" w:before="0" w:after="0"/>
              <w:pStyle w:val="Compact"/>
            </w:pPr>
            <w:r>
              <w:rPr>
                <w:sz w:val="20"/>
                <w:szCs w:val="20"/>
              </w:rPr>
              <w:t xml:space="preserve">MRO_CRISM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Murchie et al. 2007 JGR CRISM; MRO PDS Geosciences Node https://pds-geosciences.wustl.edu/missions/mro/</w:t>
            </w:r>
          </w:p>
        </w:tc>
      </w:tr>
      <w:tr>
        <w:tc>
          <w:tcPr>
            <w:tcW w:w="0" w:type="auto"/>
          </w:tcPr>
          <w:p>
            <w:pPr>
              <w:spacing w:line="240" w:lineRule="auto" w:before="0" w:after="0"/>
              <w:pStyle w:val="Compact"/>
            </w:pPr>
            <w:r>
              <w:rPr>
                <w:sz w:val="20"/>
                <w:szCs w:val="20"/>
              </w:rPr>
              <w:t xml:space="preserve">MRO_SHARAD</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Seu et al. 2007 JGR SHARAD; MRO PDS Geosciences Node release logs https://pds-geosciences.wustl.edu/missions/mro/</w:t>
            </w:r>
          </w:p>
        </w:tc>
      </w:tr>
      <w:tr>
        <w:tc>
          <w:tcPr>
            <w:tcW w:w="0" w:type="auto"/>
          </w:tcPr>
          <w:p>
            <w:pPr>
              <w:spacing w:line="240" w:lineRule="auto" w:before="0" w:after="0"/>
              <w:pStyle w:val="Compact"/>
            </w:pPr>
            <w:r>
              <w:rPr>
                <w:sz w:val="20"/>
                <w:szCs w:val="20"/>
              </w:rPr>
              <w:t xml:space="preserve">MGS_MOLA</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Smith et al. 2001 JGR MOLA experiment summary; PDS Geosciences Node MGS MOLA archive</w:t>
            </w:r>
          </w:p>
        </w:tc>
      </w:tr>
      <w:tr>
        <w:tc>
          <w:tcPr>
            <w:tcW w:w="0" w:type="auto"/>
          </w:tcPr>
          <w:p>
            <w:pPr>
              <w:spacing w:line="240" w:lineRule="auto" w:before="0" w:after="0"/>
              <w:pStyle w:val="Compact"/>
            </w:pPr>
            <w:r>
              <w:rPr>
                <w:sz w:val="20"/>
                <w:szCs w:val="20"/>
              </w:rPr>
              <w:t xml:space="preserve">MGS_TES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Christensen et al. 2001 JGR TES; PDS Geosciences Node MGS archive</w:t>
            </w:r>
          </w:p>
        </w:tc>
      </w:tr>
      <w:tr>
        <w:tc>
          <w:tcPr>
            <w:tcW w:w="0" w:type="auto"/>
          </w:tcPr>
          <w:p>
            <w:pPr>
              <w:spacing w:line="240" w:lineRule="auto" w:before="0" w:after="0"/>
              <w:pStyle w:val="Compact"/>
            </w:pPr>
            <w:r>
              <w:rPr>
                <w:sz w:val="20"/>
                <w:szCs w:val="20"/>
              </w:rPr>
              <w:t xml:space="preserve">ODY_THEMIS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Christensen et al. 2004 Space Sci Rev THEMIS; Mars Odyssey PDS archive</w:t>
            </w:r>
          </w:p>
        </w:tc>
      </w:tr>
      <w:tr>
        <w:tc>
          <w:tcPr>
            <w:tcW w:w="0" w:type="auto"/>
          </w:tcPr>
          <w:p>
            <w:pPr>
              <w:spacing w:line="240" w:lineRule="auto" w:before="0" w:after="0"/>
              <w:pStyle w:val="Compact"/>
            </w:pPr>
            <w:r>
              <w:rPr>
                <w:sz w:val="20"/>
                <w:szCs w:val="20"/>
              </w:rPr>
              <w:t xml:space="preserve">ODY_GRS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Boynton et al. 2004 Space Sci Rev GRS; Mars Odyssey PDS Geosciences Node</w:t>
            </w:r>
          </w:p>
        </w:tc>
      </w:tr>
      <w:tr>
        <w:tc>
          <w:tcPr>
            <w:tcW w:w="0" w:type="auto"/>
          </w:tcPr>
          <w:p>
            <w:pPr>
              <w:spacing w:line="240" w:lineRule="auto" w:before="0" w:after="0"/>
              <w:pStyle w:val="Compact"/>
            </w:pPr>
            <w:r>
              <w:rPr>
                <w:sz w:val="20"/>
                <w:szCs w:val="20"/>
              </w:rPr>
              <w:t xml:space="preserve">LRO_LROC</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Robinson et al. 2010 Space Sci Rev LROC; LROC PDS release via Arizona State / PDS Imaging Node</w:t>
            </w:r>
          </w:p>
        </w:tc>
      </w:tr>
      <w:tr>
        <w:tc>
          <w:tcPr>
            <w:tcW w:w="0" w:type="auto"/>
          </w:tcPr>
          <w:p>
            <w:pPr>
              <w:spacing w:line="240" w:lineRule="auto" w:before="0" w:after="0"/>
              <w:pStyle w:val="Compact"/>
            </w:pPr>
            <w:r>
              <w:rPr>
                <w:sz w:val="20"/>
                <w:szCs w:val="20"/>
              </w:rPr>
              <w:t xml:space="preserve">LRO_LOLA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Smith et al. 2010 Space Sci Rev LOLA; LRO PDS Geosciences Node archive</w:t>
            </w:r>
          </w:p>
        </w:tc>
      </w:tr>
      <w:tr>
        <w:tc>
          <w:tcPr>
            <w:tcW w:w="0" w:type="auto"/>
          </w:tcPr>
          <w:p>
            <w:pPr>
              <w:spacing w:line="240" w:lineRule="auto" w:before="0" w:after="0"/>
              <w:pStyle w:val="Compact"/>
            </w:pPr>
            <w:r>
              <w:rPr>
                <w:sz w:val="20"/>
                <w:szCs w:val="20"/>
              </w:rPr>
              <w:t xml:space="preserve">LRO_Diviner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Paige et al. 2010 Space Sci Rev Diviner; LRO PDS Geosciences Node</w:t>
            </w:r>
          </w:p>
        </w:tc>
      </w:tr>
      <w:tr>
        <w:tc>
          <w:tcPr>
            <w:tcW w:w="0" w:type="auto"/>
          </w:tcPr>
          <w:p>
            <w:pPr>
              <w:spacing w:line="240" w:lineRule="auto" w:before="0" w:after="0"/>
              <w:pStyle w:val="Compact"/>
            </w:pPr>
            <w:r>
              <w:rPr>
                <w:sz w:val="20"/>
                <w:szCs w:val="20"/>
              </w:rPr>
              <w:t xml:space="preserve">LRO_Mini-RF</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Nozette et al. 2010 Space Sci Rev Mini-RF; LRO PDS archive</w:t>
            </w:r>
          </w:p>
        </w:tc>
      </w:tr>
      <w:tr>
        <w:tc>
          <w:tcPr>
            <w:tcW w:w="0" w:type="auto"/>
          </w:tcPr>
          <w:p>
            <w:pPr>
              <w:spacing w:line="240" w:lineRule="auto" w:before="0" w:after="0"/>
              <w:pStyle w:val="Compact"/>
            </w:pPr>
            <w:r>
              <w:rPr>
                <w:sz w:val="20"/>
                <w:szCs w:val="20"/>
              </w:rPr>
              <w:t xml:space="preserve">Cassini_ISS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Porco et al. 2004 Space Sci Rev ISS; Cassini archive plan NTRS 2000-05 https://ntrs.nasa.gov + PDS Imaging Node</w:t>
            </w:r>
          </w:p>
        </w:tc>
      </w:tr>
      <w:tr>
        <w:tc>
          <w:tcPr>
            <w:tcW w:w="0" w:type="auto"/>
          </w:tcPr>
          <w:p>
            <w:pPr>
              <w:spacing w:line="240" w:lineRule="auto" w:before="0" w:after="0"/>
              <w:pStyle w:val="Compact"/>
            </w:pPr>
            <w:r>
              <w:rPr>
                <w:sz w:val="20"/>
                <w:szCs w:val="20"/>
              </w:rPr>
              <w:t xml:space="preserve">Cassini_VIMS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Brown et al. 2004 Space Sci Rev VIMS; Cassini PDS Atmospheres/Imaging Node archive</w:t>
            </w:r>
          </w:p>
        </w:tc>
      </w:tr>
      <w:tr>
        <w:tc>
          <w:tcPr>
            <w:tcW w:w="0" w:type="auto"/>
          </w:tcPr>
          <w:p>
            <w:pPr>
              <w:spacing w:line="240" w:lineRule="auto" w:before="0" w:after="0"/>
              <w:pStyle w:val="Compact"/>
            </w:pPr>
            <w:r>
              <w:rPr>
                <w:sz w:val="20"/>
                <w:szCs w:val="20"/>
              </w:rPr>
              <w:t xml:space="preserve">Cassini_CIRS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Flasar et al. 2004 Space Sci Rev CIRS; Cassini PDS archive</w:t>
            </w:r>
          </w:p>
        </w:tc>
      </w:tr>
      <w:tr>
        <w:tc>
          <w:tcPr>
            <w:tcW w:w="0" w:type="auto"/>
          </w:tcPr>
          <w:p>
            <w:pPr>
              <w:spacing w:line="240" w:lineRule="auto" w:before="0" w:after="0"/>
              <w:pStyle w:val="Compact"/>
            </w:pPr>
            <w:r>
              <w:rPr>
                <w:sz w:val="20"/>
                <w:szCs w:val="20"/>
              </w:rPr>
              <w:t xml:space="preserve">Cassini_RADAR</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Elachi et al. 2004 Space Sci Rev RADAR; Cassini PDS Imaging Node</w:t>
            </w:r>
          </w:p>
        </w:tc>
      </w:tr>
      <w:tr>
        <w:tc>
          <w:tcPr>
            <w:tcW w:w="0" w:type="auto"/>
          </w:tcPr>
          <w:p>
            <w:pPr>
              <w:spacing w:line="240" w:lineRule="auto" w:before="0" w:after="0"/>
              <w:pStyle w:val="Compact"/>
            </w:pPr>
            <w:r>
              <w:rPr>
                <w:sz w:val="20"/>
                <w:szCs w:val="20"/>
              </w:rPr>
              <w:t xml:space="preserve">MESSENGER_MDIS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Hawkins et al. 2007 Space Sci Rev MDIS; MESSENGER PDS Geosciences/Imaging Node release</w:t>
            </w:r>
          </w:p>
        </w:tc>
      </w:tr>
      <w:tr>
        <w:tc>
          <w:tcPr>
            <w:tcW w:w="0" w:type="auto"/>
          </w:tcPr>
          <w:p>
            <w:pPr>
              <w:spacing w:line="240" w:lineRule="auto" w:before="0" w:after="0"/>
              <w:pStyle w:val="Compact"/>
            </w:pPr>
            <w:r>
              <w:rPr>
                <w:sz w:val="20"/>
                <w:szCs w:val="20"/>
              </w:rPr>
              <w:t xml:space="preserve">MESSENGER_MASCS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McClintock &amp; Lankton 2007 Space Sci Rev MASCS; MESSENGER PDS Geosciences Node</w:t>
            </w:r>
          </w:p>
        </w:tc>
      </w:tr>
      <w:tr>
        <w:tc>
          <w:tcPr>
            <w:tcW w:w="0" w:type="auto"/>
          </w:tcPr>
          <w:p>
            <w:pPr>
              <w:spacing w:line="240" w:lineRule="auto" w:before="0" w:after="0"/>
              <w:pStyle w:val="Compact"/>
            </w:pPr>
            <w:r>
              <w:rPr>
                <w:sz w:val="20"/>
                <w:szCs w:val="20"/>
              </w:rPr>
              <w:t xml:space="preserve">MESSENGER_GRNS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Goldsten et al. 2007 Space Sci Rev GRNS; MESSENGER PDS archive</w:t>
            </w:r>
          </w:p>
        </w:tc>
      </w:tr>
      <w:tr>
        <w:tc>
          <w:tcPr>
            <w:tcW w:w="0" w:type="auto"/>
          </w:tcPr>
          <w:p>
            <w:pPr>
              <w:spacing w:line="240" w:lineRule="auto" w:before="0" w:after="0"/>
              <w:pStyle w:val="Compact"/>
            </w:pPr>
            <w:r>
              <w:rPr>
                <w:sz w:val="20"/>
                <w:szCs w:val="20"/>
              </w:rPr>
              <w:t xml:space="preserve">Dawn_FC</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Sierks et al. 2011 Space Sci Rev Framing Camera; Dawn Vesta PDS release 2012-11-09 https://www.planetary.org/articles/20121129-machacek-dawn-vesta</w:t>
            </w:r>
          </w:p>
        </w:tc>
      </w:tr>
      <w:tr>
        <w:tc>
          <w:tcPr>
            <w:tcW w:w="0" w:type="auto"/>
          </w:tcPr>
          <w:p>
            <w:pPr>
              <w:spacing w:line="240" w:lineRule="auto" w:before="0" w:after="0"/>
              <w:pStyle w:val="Compact"/>
            </w:pPr>
            <w:r>
              <w:rPr>
                <w:sz w:val="20"/>
                <w:szCs w:val="20"/>
              </w:rPr>
              <w:t xml:space="preserve">Dawn_VIR</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 Sanctis et al. 2011 Space Sci Rev VIR; Dawn Vesta PDS release 2012 https://www.lpi.usra.edu/planetary_news/2016/10/18/pds-dawn-vesta-and-ceres-data-release/</w:t>
            </w:r>
          </w:p>
        </w:tc>
      </w:tr>
      <w:tr>
        <w:tc>
          <w:tcPr>
            <w:tcW w:w="0" w:type="auto"/>
          </w:tcPr>
          <w:p>
            <w:pPr>
              <w:spacing w:line="240" w:lineRule="auto" w:before="0" w:after="0"/>
              <w:pStyle w:val="Compact"/>
            </w:pPr>
            <w:r>
              <w:rPr>
                <w:sz w:val="20"/>
                <w:szCs w:val="20"/>
              </w:rPr>
              <w:t xml:space="preserve">Dawn_GRaND</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Prettyman et al. 2011 Space Sci Rev GRaND; Dawn PDS Small Bodies Node</w:t>
            </w:r>
          </w:p>
        </w:tc>
      </w:tr>
      <w:tr>
        <w:tc>
          <w:tcPr>
            <w:tcW w:w="0" w:type="auto"/>
          </w:tcPr>
          <w:p>
            <w:pPr>
              <w:spacing w:line="240" w:lineRule="auto" w:before="0" w:after="0"/>
              <w:pStyle w:val="Compact"/>
            </w:pPr>
            <w:r>
              <w:rPr>
                <w:sz w:val="20"/>
                <w:szCs w:val="20"/>
              </w:rPr>
              <w:t xml:space="preserve">NH_LORRI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Cheng et al. 2008 Space Sci Rev LORRI; New Horizons Pluto PDS Small Bodies Node release 2017</w:t>
            </w:r>
          </w:p>
        </w:tc>
      </w:tr>
      <w:tr>
        <w:tc>
          <w:tcPr>
            <w:tcW w:w="0" w:type="auto"/>
          </w:tcPr>
          <w:p>
            <w:pPr>
              <w:spacing w:line="240" w:lineRule="auto" w:before="0" w:after="0"/>
              <w:pStyle w:val="Compact"/>
            </w:pPr>
            <w:r>
              <w:rPr>
                <w:sz w:val="20"/>
                <w:szCs w:val="20"/>
              </w:rPr>
              <w:t xml:space="preserve">NH_Ralph</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Reuter et al. 2008 Space Sci Rev Ralph; New Horizons PDS Small Bodies Node 2017 release</w:t>
            </w:r>
          </w:p>
        </w:tc>
      </w:tr>
      <w:tr>
        <w:tc>
          <w:tcPr>
            <w:tcW w:w="0" w:type="auto"/>
          </w:tcPr>
          <w:p>
            <w:pPr>
              <w:spacing w:line="240" w:lineRule="auto" w:before="0" w:after="0"/>
              <w:pStyle w:val="Compact"/>
            </w:pPr>
            <w:r>
              <w:rPr>
                <w:sz w:val="20"/>
                <w:szCs w:val="20"/>
              </w:rPr>
              <w:t xml:space="preserve">MAVEN_IUVS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McClintock et al. 2015 Space Sci Rev IUVS; MAVEN first PDS4 archive cohort https://science.data.nasa.gov/features-events/planetary-data-ecosystem-live</w:t>
            </w:r>
          </w:p>
        </w:tc>
      </w:tr>
      <w:tr>
        <w:tc>
          <w:tcPr>
            <w:tcW w:w="0" w:type="auto"/>
          </w:tcPr>
          <w:p>
            <w:pPr>
              <w:spacing w:line="240" w:lineRule="auto" w:before="0" w:after="0"/>
              <w:pStyle w:val="Compact"/>
            </w:pPr>
            <w:r>
              <w:rPr>
                <w:sz w:val="20"/>
                <w:szCs w:val="20"/>
              </w:rPr>
              <w:t xml:space="preserve">MAVEN_NGIMS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Mahaffy et al. 2015 Space Sci Rev NGIMS; MAVEN PDS4 Atmospheres Node release 2015</w:t>
            </w:r>
          </w:p>
        </w:tc>
      </w:tr>
      <w:tr>
        <w:tc>
          <w:tcPr>
            <w:tcW w:w="0" w:type="auto"/>
          </w:tcPr>
          <w:p>
            <w:pPr>
              <w:spacing w:line="240" w:lineRule="auto" w:before="0" w:after="0"/>
              <w:pStyle w:val="Compact"/>
            </w:pPr>
            <w:r>
              <w:rPr>
                <w:sz w:val="20"/>
                <w:szCs w:val="20"/>
              </w:rPr>
              <w:t xml:space="preserve">MAVEN_SWIA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Halekas et al. 2015 Space Sci Rev SWIA; MAVEN PDS4 PPI Node archive</w:t>
            </w:r>
          </w:p>
        </w:tc>
      </w:tr>
      <w:tr>
        <w:tc>
          <w:tcPr>
            <w:tcW w:w="0" w:type="auto"/>
          </w:tcPr>
          <w:p>
            <w:pPr>
              <w:spacing w:line="240" w:lineRule="auto" w:before="0" w:after="0"/>
              <w:pStyle w:val="Compact"/>
            </w:pPr>
            <w:r>
              <w:rPr>
                <w:sz w:val="20"/>
                <w:szCs w:val="20"/>
              </w:rPr>
              <w:t xml:space="preserve">LADEE_NMS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Mahaffy et al. 2015 Space Sci Rev LADEE NMS; LADEE first PDS4 mission cohort 2015</w:t>
            </w:r>
          </w:p>
        </w:tc>
      </w:tr>
      <w:tr>
        <w:tc>
          <w:tcPr>
            <w:tcW w:w="0" w:type="auto"/>
          </w:tcPr>
          <w:p>
            <w:pPr>
              <w:spacing w:line="240" w:lineRule="auto" w:before="0" w:after="0"/>
              <w:pStyle w:val="Compact"/>
            </w:pPr>
            <w:r>
              <w:rPr>
                <w:sz w:val="20"/>
                <w:szCs w:val="20"/>
              </w:rPr>
              <w:t xml:space="preserve">LADEE_UVS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Colaprete et al. 2014 LADEE UVS; LADEE PDS4 archive 2015 [illustrative team_size]</w:t>
            </w:r>
          </w:p>
        </w:tc>
      </w:tr>
      <w:tr>
        <w:tc>
          <w:tcPr>
            <w:tcW w:w="0" w:type="auto"/>
          </w:tcPr>
          <w:p>
            <w:pPr>
              <w:spacing w:line="240" w:lineRule="auto" w:before="0" w:after="0"/>
              <w:pStyle w:val="Compact"/>
            </w:pPr>
            <w:r>
              <w:rPr>
                <w:sz w:val="20"/>
                <w:szCs w:val="20"/>
              </w:rPr>
              <w:t xml:space="preserve">Juno_JunoCam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Hansen et al. 2017 Space Sci Rev JunoCam; Juno PDS4 Atmospheres Node release</w:t>
            </w:r>
          </w:p>
        </w:tc>
      </w:tr>
      <w:tr>
        <w:tc>
          <w:tcPr>
            <w:tcW w:w="0" w:type="auto"/>
          </w:tcPr>
          <w:p>
            <w:pPr>
              <w:spacing w:line="240" w:lineRule="auto" w:before="0" w:after="0"/>
              <w:pStyle w:val="Compact"/>
            </w:pPr>
            <w:r>
              <w:rPr>
                <w:sz w:val="20"/>
                <w:szCs w:val="20"/>
              </w:rPr>
              <w:t xml:space="preserve">Juno_MWR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Janssen et al. 2017 Space Sci Rev MWR; Juno PDS4 archive [illustrative volume]</w:t>
            </w:r>
          </w:p>
        </w:tc>
      </w:tr>
      <w:tr>
        <w:tc>
          <w:tcPr>
            <w:tcW w:w="0" w:type="auto"/>
          </w:tcPr>
          <w:p>
            <w:pPr>
              <w:spacing w:line="240" w:lineRule="auto" w:before="0" w:after="0"/>
              <w:pStyle w:val="Compact"/>
            </w:pPr>
            <w:r>
              <w:rPr>
                <w:sz w:val="20"/>
                <w:szCs w:val="20"/>
              </w:rPr>
              <w:t xml:space="preserve">Phoenix_SSI</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Lemmon et al. 2008 JGR Phoenix SSI; Phoenix Mars PDS Imaging/Geosciences Node</w:t>
            </w:r>
          </w:p>
        </w:tc>
      </w:tr>
      <w:tr>
        <w:tc>
          <w:tcPr>
            <w:tcW w:w="0" w:type="auto"/>
          </w:tcPr>
          <w:p>
            <w:pPr>
              <w:spacing w:line="240" w:lineRule="auto" w:before="0" w:after="0"/>
              <w:pStyle w:val="Compact"/>
            </w:pPr>
            <w:r>
              <w:rPr>
                <w:sz w:val="20"/>
                <w:szCs w:val="20"/>
              </w:rPr>
              <w:t xml:space="preserve">InSight_SEIS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Lognonne et al. 2019 Space Sci Rev SEIS; InSight PDS4 Geosciences Node release 2019</w:t>
            </w:r>
          </w:p>
        </w:tc>
      </w:tr>
      <w:tr>
        <w:tc>
          <w:tcPr>
            <w:tcW w:w="0" w:type="auto"/>
          </w:tcPr>
          <w:p>
            <w:pPr>
              <w:spacing w:line="240" w:lineRule="auto" w:before="0" w:after="0"/>
              <w:pStyle w:val="Compact"/>
            </w:pPr>
            <w:r>
              <w:rPr>
                <w:sz w:val="20"/>
                <w:szCs w:val="20"/>
              </w:rPr>
              <w:t xml:space="preserve">OSIRIS-REx_OCAMS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Rizk et al. 2018 Space Sci Rev OCAMS; OSIRIS-REx Bennu PDS4 Small Bodies Node 2020</w:t>
            </w:r>
          </w:p>
        </w:tc>
      </w:tr>
      <w:tr>
        <w:tc>
          <w:tcPr>
            <w:tcW w:w="0" w:type="auto"/>
          </w:tcPr>
          <w:p>
            <w:pPr>
              <w:spacing w:line="240" w:lineRule="auto" w:before="0" w:after="0"/>
              <w:pStyle w:val="Compact"/>
            </w:pPr>
            <w:r>
              <w:rPr>
                <w:sz w:val="20"/>
                <w:szCs w:val="20"/>
              </w:rPr>
              <w:t xml:space="preserve">OSIRIS-REx_OVIRS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Reuter et al. 2018 Space Sci Rev OVIRS; OSIRIS-REx PDS4 Small Bodies Node 2020</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years_to_first_pub</w:t>
            </w:r>
          </w:p>
        </w:tc>
        <w:tc>
          <w:tcPr>
            <w:tcW w:w="0" w:type="auto"/>
          </w:tcPr>
          <w:p>
            <w:pPr>
              <w:spacing w:line="240" w:lineRule="auto" w:before="0" w:after="0"/>
              <w:pStyle w:val="Compact"/>
            </w:pPr>
            <w:r>
              <w:rPr>
                <w:sz w:val="20"/>
                <w:szCs w:val="20"/>
              </w:rPr>
              <w:t xml:space="preserve">Duration in years from a dataset’s public release to the first peer-reviewed publication that uses the archived data</w:t>
            </w:r>
          </w:p>
        </w:tc>
        <w:tc>
          <w:tcPr>
            <w:tcW w:w="0" w:type="auto"/>
          </w:tcPr>
          <w:p>
            <w:pPr>
              <w:spacing w:line="240" w:lineRule="auto" w:before="0" w:after="0"/>
              <w:pStyle w:val="Compact"/>
            </w:pPr>
            <w:r>
              <w:rPr>
                <w:sz w:val="20"/>
                <w:szCs w:val="20"/>
              </w:rPr>
              <w:t xml:space="preserve">Instrument overview papers (Space Science Reviews / JGR) joined to documented PDS node release dates</w:t>
            </w:r>
          </w:p>
        </w:tc>
      </w:tr>
      <w:tr>
        <w:tc>
          <w:tcPr>
            <w:tcW w:w="0" w:type="auto"/>
          </w:tcPr>
          <w:p>
            <w:pPr>
              <w:spacing w:line="240" w:lineRule="auto" w:before="0" w:after="0"/>
              <w:pStyle w:val="Compact"/>
            </w:pPr>
            <w:r>
              <w:rPr>
                <w:sz w:val="20"/>
                <w:szCs w:val="20"/>
              </w:rPr>
              <w:t xml:space="preserve">observed</w:t>
            </w:r>
          </w:p>
        </w:tc>
        <w:tc>
          <w:tcPr>
            <w:tcW w:w="0" w:type="auto"/>
          </w:tcPr>
          <w:p>
            <w:pPr>
              <w:spacing w:line="240" w:lineRule="auto" w:before="0" w:after="0"/>
              <w:pStyle w:val="Compact"/>
            </w:pPr>
            <w:r>
              <w:rPr>
                <w:sz w:val="20"/>
                <w:szCs w:val="20"/>
              </w:rPr>
              <w:t xml:space="preserve">Event indicator equal to 1 when the first archival-science publication is observed, 0 if right-censored</w:t>
            </w:r>
          </w:p>
        </w:tc>
        <w:tc>
          <w:tcPr>
            <w:tcW w:w="0" w:type="auto"/>
          </w:tcPr>
          <w:p>
            <w:pPr>
              <w:spacing w:line="240" w:lineRule="auto" w:before="0" w:after="0"/>
              <w:pStyle w:val="Compact"/>
            </w:pPr>
            <w:r>
              <w:rPr>
                <w:sz w:val="20"/>
                <w:szCs w:val="20"/>
              </w:rPr>
              <w:t xml:space="preserve">Mission archival-science publication record; all sampled datasets reached first use</w:t>
            </w:r>
          </w:p>
        </w:tc>
      </w:tr>
      <w:tr>
        <w:tc>
          <w:tcPr>
            <w:tcW w:w="0" w:type="auto"/>
          </w:tcPr>
          <w:p>
            <w:pPr>
              <w:spacing w:line="240" w:lineRule="auto" w:before="0" w:after="0"/>
              <w:pStyle w:val="Compact"/>
            </w:pPr>
            <w:r>
              <w:rPr>
                <w:sz w:val="20"/>
                <w:szCs w:val="20"/>
              </w:rPr>
              <w:t xml:space="preserve">pds4</w:t>
            </w:r>
          </w:p>
        </w:tc>
        <w:tc>
          <w:tcPr>
            <w:tcW w:w="0" w:type="auto"/>
          </w:tcPr>
          <w:p>
            <w:pPr>
              <w:spacing w:line="240" w:lineRule="auto" w:before="0" w:after="0"/>
              <w:pStyle w:val="Compact"/>
            </w:pPr>
            <w:r>
              <w:rPr>
                <w:sz w:val="20"/>
                <w:szCs w:val="20"/>
              </w:rPr>
              <w:t xml:space="preserve">Indicator equal to 1 if the dataset was released under the modernized PDS4 standard with programmatic access, 0 for legacy PDS3</w:t>
            </w:r>
          </w:p>
        </w:tc>
        <w:tc>
          <w:tcPr>
            <w:tcW w:w="0" w:type="auto"/>
          </w:tcPr>
          <w:p>
            <w:pPr>
              <w:spacing w:line="240" w:lineRule="auto" w:before="0" w:after="0"/>
              <w:pStyle w:val="Compact"/>
            </w:pPr>
            <w:r>
              <w:rPr>
                <w:sz w:val="20"/>
                <w:szCs w:val="20"/>
              </w:rPr>
              <w:t xml:space="preserve">PDS Engineering Node PDS4 rollout (September 2013) and per-mission archive cohort records</w:t>
            </w:r>
          </w:p>
        </w:tc>
      </w:tr>
      <w:tr>
        <w:tc>
          <w:tcPr>
            <w:tcW w:w="0" w:type="auto"/>
          </w:tcPr>
          <w:p>
            <w:pPr>
              <w:spacing w:line="240" w:lineRule="auto" w:before="0" w:after="0"/>
              <w:pStyle w:val="Compact"/>
            </w:pPr>
            <w:r>
              <w:rPr>
                <w:sz w:val="20"/>
                <w:szCs w:val="20"/>
              </w:rPr>
              <w:t xml:space="preserve">data_volume_log</w:t>
            </w:r>
          </w:p>
        </w:tc>
        <w:tc>
          <w:tcPr>
            <w:tcW w:w="0" w:type="auto"/>
          </w:tcPr>
          <w:p>
            <w:pPr>
              <w:spacing w:line="240" w:lineRule="auto" w:before="0" w:after="0"/>
              <w:pStyle w:val="Compact"/>
            </w:pPr>
            <w:r>
              <w:rPr>
                <w:sz w:val="20"/>
                <w:szCs w:val="20"/>
              </w:rPr>
              <w:t xml:space="preserve">Base-10 logarithm of released data volume in gigabytes, a scale proxy for the holdings input</w:t>
            </w:r>
          </w:p>
        </w:tc>
        <w:tc>
          <w:tcPr>
            <w:tcW w:w="0" w:type="auto"/>
          </w:tcPr>
          <w:p>
            <w:pPr>
              <w:spacing w:line="240" w:lineRule="auto" w:before="0" w:after="0"/>
              <w:pStyle w:val="Compact"/>
            </w:pPr>
            <w:r>
              <w:rPr>
                <w:sz w:val="20"/>
                <w:szCs w:val="20"/>
              </w:rPr>
              <w:t xml:space="preserve">Mission and PDS node volume documentation; two values marked illustrative</w:t>
            </w:r>
          </w:p>
        </w:tc>
      </w:tr>
      <w:tr>
        <w:tc>
          <w:tcPr>
            <w:tcW w:w="0" w:type="auto"/>
          </w:tcPr>
          <w:p>
            <w:pPr>
              <w:spacing w:line="240" w:lineRule="auto" w:before="0" w:after="0"/>
              <w:pStyle w:val="Compact"/>
            </w:pPr>
            <w:r>
              <w:rPr>
                <w:sz w:val="20"/>
                <w:szCs w:val="20"/>
              </w:rPr>
              <w:t xml:space="preserve">team_size</w:t>
            </w:r>
          </w:p>
        </w:tc>
        <w:tc>
          <w:tcPr>
            <w:tcW w:w="0" w:type="auto"/>
          </w:tcPr>
          <w:p>
            <w:pPr>
              <w:spacing w:line="240" w:lineRule="auto" w:before="0" w:after="0"/>
              <w:pStyle w:val="Compact"/>
            </w:pPr>
            <w:r>
              <w:rPr>
                <w:sz w:val="20"/>
                <w:szCs w:val="20"/>
              </w:rPr>
              <w:t xml:space="preserve">Count of named instrument-team co-investigators on the instrument overview paper, a proxy for the using-community size at release</w:t>
            </w:r>
          </w:p>
        </w:tc>
        <w:tc>
          <w:tcPr>
            <w:tcW w:w="0" w:type="auto"/>
          </w:tcPr>
          <w:p>
            <w:pPr>
              <w:spacing w:line="240" w:lineRule="auto" w:before="0" w:after="0"/>
              <w:pStyle w:val="Compact"/>
            </w:pPr>
            <w:r>
              <w:rPr>
                <w:sz w:val="20"/>
                <w:szCs w:val="20"/>
              </w:rPr>
              <w:t xml:space="preserve">Instrument overview paper author and co-I rosters; two values marked illustrative</w:t>
            </w:r>
          </w:p>
        </w:tc>
      </w:tr>
      <w:tr>
        <w:tc>
          <w:tcPr>
            <w:tcW w:w="0" w:type="auto"/>
          </w:tcPr>
          <w:p>
            <w:pPr>
              <w:spacing w:line="240" w:lineRule="auto" w:before="0" w:after="0"/>
              <w:pStyle w:val="Compact"/>
            </w:pPr>
            <w:r>
              <w:rPr>
                <w:sz w:val="20"/>
                <w:szCs w:val="20"/>
              </w:rPr>
              <w:t xml:space="preserve">priority_body</w:t>
            </w:r>
          </w:p>
        </w:tc>
        <w:tc>
          <w:tcPr>
            <w:tcW w:w="0" w:type="auto"/>
          </w:tcPr>
          <w:p>
            <w:pPr>
              <w:spacing w:line="240" w:lineRule="auto" w:before="0" w:after="0"/>
              <w:pStyle w:val="Compact"/>
            </w:pPr>
            <w:r>
              <w:rPr>
                <w:sz w:val="20"/>
                <w:szCs w:val="20"/>
              </w:rPr>
              <w:t xml:space="preserve">Indicator equal to 1 if the target body is a Planetary Science Decadal high-priority body (Mars, Moon, ocean worlds, primitive bodies), 0 otherwise</w:t>
            </w:r>
          </w:p>
        </w:tc>
        <w:tc>
          <w:tcPr>
            <w:tcW w:w="0" w:type="auto"/>
          </w:tcPr>
          <w:p>
            <w:pPr>
              <w:spacing w:line="240" w:lineRule="auto" w:before="0" w:after="0"/>
              <w:pStyle w:val="Compact"/>
            </w:pPr>
            <w:r>
              <w:rPr>
                <w:sz w:val="20"/>
                <w:szCs w:val="20"/>
              </w:rPr>
              <w:t xml:space="preserve">NASA Planetary Science Decadal Survey priority-target framing</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pds4</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0.3933</w:t>
            </w:r>
          </w:p>
        </w:tc>
        <w:tc>
          <w:tcPr>
            <w:tcW w:w="0" w:type="auto"/>
          </w:tcPr>
          <w:p>
            <w:pPr>
              <w:spacing w:line="240" w:lineRule="auto" w:before="0" w:after="0"/>
              <w:pStyle w:val="Compact"/>
            </w:pPr>
            <w:r>
              <w:rPr>
                <w:sz w:val="20"/>
                <w:szCs w:val="20"/>
              </w:rPr>
              <w:t xml:space="preserve">0.3014</w:t>
            </w:r>
          </w:p>
        </w:tc>
        <w:tc>
          <w:tcPr>
            <w:tcW w:w="0" w:type="auto"/>
          </w:tcPr>
          <w:p>
            <w:pPr>
              <w:spacing w:line="240" w:lineRule="auto" w:before="0" w:after="0"/>
              <w:pStyle w:val="Compact"/>
            </w:pPr>
            <w:r>
              <w:rPr>
                <w:sz w:val="20"/>
                <w:szCs w:val="20"/>
              </w:rPr>
              <w:t xml:space="preserve">0.7631</w:t>
            </w:r>
          </w:p>
        </w:tc>
        <w:tc>
          <w:tcPr>
            <w:tcW w:w="0" w:type="auto"/>
          </w:tcPr>
          <w:p>
            <w:pPr>
              <w:spacing w:line="240" w:lineRule="auto" w:before="0" w:after="0"/>
              <w:pStyle w:val="Compact"/>
            </w:pPr>
            <w:r>
              <w:rPr>
                <w:sz w:val="20"/>
                <w:szCs w:val="20"/>
              </w:rPr>
              <w:t xml:space="preserve">[-0.6523, 0.8893]</w:t>
            </w:r>
          </w:p>
        </w:tc>
        <w:tc>
          <w:tcPr>
            <w:tcW w:w="0" w:type="auto"/>
          </w:tcPr>
          <w:p>
            <w:pPr>
              <w:spacing w:line="240" w:lineRule="auto" w:before="0" w:after="0"/>
              <w:pStyle w:val="Compact"/>
            </w:pPr>
            <w:r>
              <w:rPr>
                <w:sz w:val="20"/>
                <w:szCs w:val="20"/>
              </w:rPr>
              <w:t xml:space="preserve">1.1258</w:t>
            </w:r>
          </w:p>
        </w:tc>
      </w:tr>
      <w:tr>
        <w:tc>
          <w:tcPr>
            <w:tcW w:w="0" w:type="auto"/>
          </w:tcPr>
          <w:p>
            <w:pPr>
              <w:spacing w:line="240" w:lineRule="auto" w:before="0" w:after="0"/>
              <w:pStyle w:val="Compact"/>
            </w:pPr>
            <w:r>
              <w:rPr>
                <w:sz w:val="20"/>
                <w:szCs w:val="20"/>
              </w:rPr>
              <w:t xml:space="preserve">data_volume_log</w:t>
            </w:r>
          </w:p>
        </w:tc>
        <w:tc>
          <w:tcPr>
            <w:tcW w:w="0" w:type="auto"/>
          </w:tcPr>
          <w:p>
            <w:pPr>
              <w:spacing w:line="240" w:lineRule="auto" w:before="0" w:after="0"/>
              <w:pStyle w:val="Compact"/>
            </w:pPr>
            <w:r>
              <w:rPr>
                <w:sz w:val="20"/>
                <w:szCs w:val="20"/>
              </w:rPr>
              <w:t xml:space="preserve">1.3505</w:t>
            </w:r>
          </w:p>
        </w:tc>
        <w:tc>
          <w:tcPr>
            <w:tcW w:w="0" w:type="auto"/>
          </w:tcPr>
          <w:p>
            <w:pPr>
              <w:spacing w:line="240" w:lineRule="auto" w:before="0" w:after="0"/>
              <w:pStyle w:val="Compact"/>
            </w:pPr>
            <w:r>
              <w:rPr>
                <w:sz w:val="20"/>
                <w:szCs w:val="20"/>
              </w:rPr>
              <w:t xml:space="preserve">1.0617</w:t>
            </w:r>
          </w:p>
        </w:tc>
        <w:tc>
          <w:tcPr>
            <w:tcW w:w="0" w:type="auto"/>
          </w:tcPr>
          <w:p>
            <w:pPr>
              <w:spacing w:line="240" w:lineRule="auto" w:before="0" w:after="0"/>
              <w:pStyle w:val="Compact"/>
            </w:pPr>
            <w:r>
              <w:rPr>
                <w:sz w:val="20"/>
                <w:szCs w:val="20"/>
              </w:rPr>
              <w:t xml:space="preserve">1.272</w:t>
            </w:r>
          </w:p>
        </w:tc>
        <w:tc>
          <w:tcPr>
            <w:tcW w:w="0" w:type="auto"/>
          </w:tcPr>
          <w:p>
            <w:pPr>
              <w:spacing w:line="240" w:lineRule="auto" w:before="0" w:after="0"/>
              <w:pStyle w:val="Compact"/>
            </w:pPr>
            <w:r>
              <w:rPr>
                <w:sz w:val="20"/>
                <w:szCs w:val="20"/>
              </w:rPr>
              <w:t xml:space="preserve">0.2034</w:t>
            </w:r>
          </w:p>
        </w:tc>
        <w:tc>
          <w:tcPr>
            <w:tcW w:w="0" w:type="auto"/>
          </w:tcPr>
          <w:p>
            <w:pPr>
              <w:spacing w:line="240" w:lineRule="auto" w:before="0" w:after="0"/>
              <w:pStyle w:val="Compact"/>
            </w:pPr>
            <w:r>
              <w:rPr>
                <w:sz w:val="20"/>
                <w:szCs w:val="20"/>
              </w:rPr>
              <w:t xml:space="preserve">[-0.7305, 3.4315]</w:t>
            </w:r>
          </w:p>
        </w:tc>
        <w:tc>
          <w:tcPr>
            <w:tcW w:w="0" w:type="auto"/>
          </w:tcPr>
          <w:p>
            <w:pPr>
              <w:spacing w:line="240" w:lineRule="auto" w:before="0" w:after="0"/>
              <w:pStyle w:val="Compact"/>
            </w:pPr>
            <w:r>
              <w:rPr>
                <w:sz w:val="20"/>
                <w:szCs w:val="20"/>
              </w:rPr>
              <w:t xml:space="preserve">3.8593</w:t>
            </w:r>
          </w:p>
        </w:tc>
      </w:tr>
      <w:tr>
        <w:tc>
          <w:tcPr>
            <w:tcW w:w="0" w:type="auto"/>
          </w:tcPr>
          <w:p>
            <w:pPr>
              <w:spacing w:line="240" w:lineRule="auto" w:before="0" w:after="0"/>
              <w:pStyle w:val="Compact"/>
            </w:pPr>
            <w:r>
              <w:rPr>
                <w:sz w:val="20"/>
                <w:szCs w:val="20"/>
              </w:rPr>
              <w:t xml:space="preserve">team_size</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0.2706</w:t>
            </w:r>
          </w:p>
        </w:tc>
        <w:tc>
          <w:tcPr>
            <w:tcW w:w="0" w:type="auto"/>
          </w:tcPr>
          <w:p>
            <w:pPr>
              <w:spacing w:line="240" w:lineRule="auto" w:before="0" w:after="0"/>
              <w:pStyle w:val="Compact"/>
            </w:pPr>
            <w:r>
              <w:rPr>
                <w:sz w:val="20"/>
                <w:szCs w:val="20"/>
              </w:rPr>
              <w:t xml:space="preserve">-0.5373</w:t>
            </w:r>
          </w:p>
        </w:tc>
        <w:tc>
          <w:tcPr>
            <w:tcW w:w="0" w:type="auto"/>
          </w:tcPr>
          <w:p>
            <w:pPr>
              <w:spacing w:line="240" w:lineRule="auto" w:before="0" w:after="0"/>
              <w:pStyle w:val="Compact"/>
            </w:pPr>
            <w:r>
              <w:rPr>
                <w:sz w:val="20"/>
                <w:szCs w:val="20"/>
              </w:rPr>
              <w:t xml:space="preserve">0.5911</w:t>
            </w:r>
          </w:p>
        </w:tc>
        <w:tc>
          <w:tcPr>
            <w:tcW w:w="0" w:type="auto"/>
          </w:tcPr>
          <w:p>
            <w:pPr>
              <w:spacing w:line="240" w:lineRule="auto" w:before="0" w:after="0"/>
              <w:pStyle w:val="Compact"/>
            </w:pPr>
            <w:r>
              <w:rPr>
                <w:sz w:val="20"/>
                <w:szCs w:val="20"/>
              </w:rPr>
              <w:t xml:space="preserve">[-0.6758, 0.385]</w:t>
            </w:r>
          </w:p>
        </w:tc>
        <w:tc>
          <w:tcPr>
            <w:tcW w:w="0" w:type="auto"/>
          </w:tcPr>
          <w:p>
            <w:pPr>
              <w:spacing w:line="240" w:lineRule="auto" w:before="0" w:after="0"/>
              <w:pStyle w:val="Compact"/>
            </w:pPr>
            <w:r>
              <w:rPr>
                <w:sz w:val="20"/>
                <w:szCs w:val="20"/>
              </w:rPr>
              <w:t xml:space="preserve">0.8647</w:t>
            </w:r>
          </w:p>
        </w:tc>
      </w:tr>
      <w:tr>
        <w:tc>
          <w:tcPr>
            <w:tcW w:w="0" w:type="auto"/>
          </w:tcPr>
          <w:p>
            <w:pPr>
              <w:spacing w:line="240" w:lineRule="auto" w:before="0" w:after="0"/>
              <w:pStyle w:val="Compact"/>
            </w:pPr>
            <w:r>
              <w:rPr>
                <w:sz w:val="20"/>
                <w:szCs w:val="20"/>
              </w:rPr>
              <w:t xml:space="preserve">priority_body</w:t>
            </w:r>
          </w:p>
        </w:tc>
        <w:tc>
          <w:tcPr>
            <w:tcW w:w="0" w:type="auto"/>
          </w:tcPr>
          <w:p>
            <w:pPr>
              <w:spacing w:line="240" w:lineRule="auto" w:before="0" w:after="0"/>
              <w:pStyle w:val="Compact"/>
            </w:pPr>
            <w:r>
              <w:rPr>
                <w:sz w:val="20"/>
                <w:szCs w:val="20"/>
              </w:rPr>
              <w:t xml:space="preserve">0.1734</w:t>
            </w:r>
          </w:p>
        </w:tc>
        <w:tc>
          <w:tcPr>
            <w:tcW w:w="0" w:type="auto"/>
          </w:tcPr>
          <w:p>
            <w:pPr>
              <w:spacing w:line="240" w:lineRule="auto" w:before="0" w:after="0"/>
              <w:pStyle w:val="Compact"/>
            </w:pPr>
            <w:r>
              <w:rPr>
                <w:sz w:val="20"/>
                <w:szCs w:val="20"/>
              </w:rPr>
              <w:t xml:space="preserve">0.4338</w:t>
            </w:r>
          </w:p>
        </w:tc>
        <w:tc>
          <w:tcPr>
            <w:tcW w:w="0" w:type="auto"/>
          </w:tcPr>
          <w:p>
            <w:pPr>
              <w:spacing w:line="240" w:lineRule="auto" w:before="0" w:after="0"/>
              <w:pStyle w:val="Compact"/>
            </w:pPr>
            <w:r>
              <w:rPr>
                <w:sz w:val="20"/>
                <w:szCs w:val="20"/>
              </w:rPr>
              <w:t xml:space="preserve">0.3998</w:t>
            </w:r>
          </w:p>
        </w:tc>
        <w:tc>
          <w:tcPr>
            <w:tcW w:w="0" w:type="auto"/>
          </w:tcPr>
          <w:p>
            <w:pPr>
              <w:spacing w:line="240" w:lineRule="auto" w:before="0" w:after="0"/>
              <w:pStyle w:val="Compact"/>
            </w:pPr>
            <w:r>
              <w:rPr>
                <w:sz w:val="20"/>
                <w:szCs w:val="20"/>
              </w:rPr>
              <w:t xml:space="preserve">0.6893</w:t>
            </w:r>
          </w:p>
        </w:tc>
        <w:tc>
          <w:tcPr>
            <w:tcW w:w="0" w:type="auto"/>
          </w:tcPr>
          <w:p>
            <w:pPr>
              <w:spacing w:line="240" w:lineRule="auto" w:before="0" w:after="0"/>
              <w:pStyle w:val="Compact"/>
            </w:pPr>
            <w:r>
              <w:rPr>
                <w:sz w:val="20"/>
                <w:szCs w:val="20"/>
              </w:rPr>
              <w:t xml:space="preserve">[-0.6768, 1.0237]</w:t>
            </w:r>
          </w:p>
        </w:tc>
        <w:tc>
          <w:tcPr>
            <w:tcW w:w="0" w:type="auto"/>
          </w:tcPr>
          <w:p>
            <w:pPr>
              <w:spacing w:line="240" w:lineRule="auto" w:before="0" w:after="0"/>
              <w:pStyle w:val="Compact"/>
            </w:pPr>
            <w:r>
              <w:rPr>
                <w:sz w:val="20"/>
                <w:szCs w:val="20"/>
              </w:rPr>
              <w:t xml:space="preserve">1.1894</w:t>
            </w:r>
          </w:p>
        </w:tc>
      </w:tr>
    </w:tbl>
    <w:p>
      <w:pPr>
        <w:pStyle w:val="BodyText"/>
      </w:pPr>
      <w:r>
        <w:t xml:space="preserve">Fit: N = 34 events = 34</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68" Target="https://doi.org/10.1016/j.actaastro.2022.04.001" TargetMode="External" /><Relationship Type="http://schemas.openxmlformats.org/officeDocument/2006/relationships/hyperlink" Id="rId71" Target="https://doi.org/10.64861/KSXC7986" TargetMode="External" /><Relationship Type="http://schemas.openxmlformats.org/officeDocument/2006/relationships/hyperlink" Id="rId74" Target="https://doi.org/10.64861/PWTG6037"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2.04.001" TargetMode="External" /><Relationship Type="http://schemas.openxmlformats.org/officeDocument/2006/relationships/hyperlink" Id="rId71" Target="https://doi.org/10.64861/KSXC7986" TargetMode="External" /><Relationship Type="http://schemas.openxmlformats.org/officeDocument/2006/relationships/hyperlink" Id="rId74" Target="https://doi.org/10.64861/PWTG603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2026-06-22T20:32:20Z</dcterms:created>
  <dcterms:modified xsi:type="dcterms:W3CDTF">2026-06-22T20:32:20Z</dcterms:modified>
</cp:coreProperties>
</file>

<file path=docProps/custom.xml><?xml version="1.0" encoding="utf-8"?>
<Properties xmlns="http://schemas.openxmlformats.org/officeDocument/2006/custom-properties" xmlns:vt="http://schemas.openxmlformats.org/officeDocument/2006/docPropsVTypes"/>
</file>