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4f3db3cb1dbed0e65515ded1d2662295b6ef376"/>
    <w:p>
      <w:pPr>
        <w:pStyle w:val="Heading1"/>
      </w:pPr>
      <w:r>
        <w:t xml:space="preserve">The Archive Production Function: Operational Longevity, Observatory Breadth, and the Refereed Output of Planetary and Space-Science Data Archives</w:t>
      </w:r>
    </w:p>
    <w:bookmarkStart w:id="61" w:name="introduction"/>
    <w:p>
      <w:pPr>
        <w:pStyle w:val="Heading2"/>
      </w:pPr>
      <w:r>
        <w:t xml:space="preserve">1. Introduction</w:t>
      </w:r>
    </w:p>
    <w:p>
      <w:pPr>
        <w:pStyle w:val="FirstParagraph"/>
      </w:pPr>
      <w:r>
        <w:t xml:space="preserve">The data archive is the durable scientific product of a space mission. Long after a spacecraft has been decommissioned, its calibrated, peer-reviewed holdings continue to generate refereed literature, and that literature is the closest available proxy for the scientific return on the public investment that built the mission. NASA formalized this view when it established the Planetary Data System in 1989 to remedy a chronic neglect of mission data documentation and archiving, and the system has since grown to more than 1.2 petabytes distributed across six discipline nodes</w:t>
      </w:r>
      <w:r>
        <w:t xml:space="preserve"> </w:t>
      </w:r>
      <w:hyperlink w:anchor="ref-1">
        <m:oMathPara>
          <m:oMathParaPr>
            <m:jc m:val="center"/>
          </m:oMathParaPr>
          <m:oMath>
            <m:r>
              <m:t>1</m:t>
            </m:r>
          </m:oMath>
        </m:oMathPara>
      </w:hyperlink>
      <w:r>
        <w:t xml:space="preserve">. Yet the question of what makes one archive scientifically productive and another comparatively quiet remains under-theorized in quantitative terms.</w:t>
      </w:r>
    </w:p>
    <w:p>
      <w:pPr>
        <w:pStyle w:val="FirstParagraph"/>
      </w:pPr>
      <w:r>
        <w:t xml:space="preserve">This paper treats the data archive as the unit of production and asks a bibliometric production-function question: given documented mission attributes, what predicts the cumulative count of refereed publications that an archive supports? The framing borrows from the economics of research infrastructure, where the output of a shared facility is analyzed as a function of its measurable inputs and access regime</w:t>
      </w:r>
      <w:r>
        <w:t xml:space="preserve"> </w:t>
      </w:r>
      <w:hyperlink w:anchor="ref-2">
        <m:oMathPara>
          <m:oMathParaPr>
            <m:jc m:val="center"/>
          </m:oMathParaPr>
          <m:oMath>
            <m:r>
              <m:t>2</m:t>
            </m:r>
          </m:oMath>
        </m:oMathPara>
      </w:hyperlink>
      <w:r>
        <w:t xml:space="preserve">. I assemble a cross-section of 24 planetary and space-science missions whose cumulative refereed publication counts are documented in a single authoritative bibliometric census</w:t>
      </w:r>
      <w:r>
        <w:t xml:space="preserve"> </w:t>
      </w:r>
      <w:hyperlink w:anchor="ref-3">
        <m:oMathPara>
          <m:oMathParaPr>
            <m:jc m:val="center"/>
          </m:oMathParaPr>
          <m:oMath>
            <m:r>
              <m:t>3</m:t>
            </m:r>
          </m:oMath>
        </m:oMathPara>
      </w:hyperlink>
      <w:r>
        <w:t xml:space="preserve">, and I estimate how output scales with the operational longevity of the data-accumulation phase and with whether the mission served an open user community as an observatory rather than a single-target probe.</w:t>
      </w:r>
    </w:p>
    <w:p>
      <w:pPr>
        <w:pStyle w:val="FirstParagraph"/>
      </w:pPr>
      <w:r>
        <w:t xml:space="preserve">The contribution is threefold. First, the paper supplies an empirically estimated elasticity of scientific output with respect to archive operational lifetime, a quantity that mission planners and archive funders presently treat qualitatively. Second, it isolates the output premium associated with the observatory access model, a structural feature that the open-innovation literature in the space sector has argued matters but has rarely measured</w:t>
      </w:r>
      <w:r>
        <w:t xml:space="preserve"> </w:t>
      </w:r>
      <w:hyperlink w:anchor="ref-4">
        <m:oMathPara>
          <m:oMathParaPr>
            <m:jc m:val="center"/>
          </m:oMathParaPr>
          <m:oMath>
            <m:r>
              <m:t>4</m:t>
            </m:r>
          </m:oMath>
        </m:oMathPara>
      </w:hyperlink>
      <w:r>
        <w:t xml:space="preserve">. Third, it documents a directional surprise in the planetary-target association that disciplines any naive reading of</w:t>
      </w:r>
      <w:r>
        <w:t xml:space="preserve"> </w:t>
      </w:r>
      <w:r>
        <w:t xml:space="preserve">“robotic exploration produces less literature than astronomy.”</w:t>
      </w:r>
    </w:p>
    <w:bookmarkEnd w:id="61"/>
    <w:bookmarkStart w:id="62" w:name="theory-and-hypotheses"/>
    <w:p>
      <w:pPr>
        <w:pStyle w:val="Heading2"/>
      </w:pPr>
      <w:r>
        <w:t xml:space="preserve">2. Theory and Hypotheses</w:t>
      </w:r>
    </w:p>
    <w:p>
      <w:pPr>
        <w:pStyle w:val="FirstParagraph"/>
      </w:pPr>
      <w:r>
        <w:t xml:space="preserve">A data archive accumulates publishable content over its operational life. Each additional year of operations adds observations, extends time baselines, and enlarges the pool of derived products on which authors can draw. If publication opportunities accrued in simple proportion to operational time, the elasticity of cumulative output with respect to lifetime would be near unity. Several mechanisms push it higher. Longer-lived archives attract a widening user base as documentation matures and tools stabilize, and they enable longitudinal studies that short missions cannot support</w:t>
      </w:r>
      <w:r>
        <w:t xml:space="preserve"> </w:t>
      </w:r>
      <w:hyperlink w:anchor="ref-3">
        <m:oMathPara>
          <m:oMathParaPr>
            <m:jc m:val="center"/>
          </m:oMathParaPr>
          <m:oMath>
            <m:r>
              <m:t>3</m:t>
            </m:r>
          </m:oMath>
        </m:oMathPara>
      </w:hyperlink>
      <w:r>
        <w:t xml:space="preserve">. The economics of shared research infrastructure predicts increasing returns to the installed base of users and tooling, which compounds with time</w:t>
      </w:r>
      <w:r>
        <w:t xml:space="preserve"> </w:t>
      </w:r>
      <w:hyperlink w:anchor="ref-2">
        <m:oMathPara>
          <m:oMathParaPr>
            <m:jc m:val="center"/>
          </m:oMathParaPr>
          <m:oMath>
            <m:r>
              <m:t>2</m:t>
            </m:r>
          </m:oMath>
        </m:oMathPara>
      </w:hyperlink>
      <w:r>
        <w:t xml:space="preserve">. This motivates the first hypothesis.</w:t>
      </w:r>
    </w:p>
    <w:p>
      <w:pPr>
        <w:pStyle w:val="FirstParagraph"/>
      </w:pPr>
      <w:r>
        <w:t xml:space="preserve">H1: Cumulative refereed output rises with operational longevity, with an elasticity at or above unity.</w:t>
      </w:r>
    </w:p>
    <w:p>
      <w:pPr>
        <w:pStyle w:val="BodyText"/>
      </w:pPr>
      <w:r>
        <w:t xml:space="preserve">The second mechanism concerns the access regime. Observatory-class facilities allocate observing time or release survey data to an open community of guest observers and archival researchers, whereas single-target probes serve a comparatively concentrated team focused on one body. The space-sector innovation literature argues that open access regimes broaden the contributor base and accelerate knowledge production</w:t>
      </w:r>
      <w:r>
        <w:t xml:space="preserve"> </w:t>
      </w:r>
      <w:hyperlink w:anchor="ref-4">
        <m:oMathPara>
          <m:oMathParaPr>
            <m:jc m:val="center"/>
          </m:oMathParaPr>
          <m:oMath>
            <m:r>
              <m:t>4</m:t>
            </m:r>
          </m:oMath>
        </m:oMathPara>
      </w:hyperlink>
      <w:r>
        <w:t xml:space="preserve">, and the broader new-space scholarship links open models to wider downstream exploitation</w:t>
      </w:r>
      <w:r>
        <w:t xml:space="preserve"> </w:t>
      </w:r>
      <w:hyperlink w:anchor="ref-5">
        <m:oMathPara>
          <m:oMathParaPr>
            <m:jc m:val="center"/>
          </m:oMathParaPr>
          <m:oMath>
            <m:r>
              <m:t>5</m:t>
            </m:r>
          </m:oMath>
        </m:oMathPara>
      </w:hyperlink>
      <w:r>
        <w:t xml:space="preserve">. An archive engineered for general-observer or all-sky use should therefore convert a given operational lifetime into more refereed output than a probe of equal longevity.</w:t>
      </w:r>
    </w:p>
    <w:p>
      <w:pPr>
        <w:pStyle w:val="FirstParagraph"/>
      </w:pPr>
      <w:r>
        <w:t xml:space="preserve">H2: Observatory-class missions produce more refereed output than single-target probes, conditional on operational lifetime.</w:t>
      </w:r>
    </w:p>
    <w:p>
      <w:pPr>
        <w:pStyle w:val="BodyText"/>
      </w:pPr>
      <w:r>
        <w:t xml:space="preserve">The third hypothesis concerned the planetary-target indicator. The conventional intuition, voiced in debates over robotic versus astronomical science return, is that single-target planetary probes generate thinner literatures than survey astronomy</w:t>
      </w:r>
      <w:r>
        <w:t xml:space="preserve"> </w:t>
      </w:r>
      <w:hyperlink w:anchor="ref-6">
        <m:oMathPara>
          <m:oMathParaPr>
            <m:jc m:val="center"/>
          </m:oMathParaPr>
          <m:oMath>
            <m:r>
              <m:t>6</m:t>
            </m:r>
          </m:oMath>
        </m:oMathPara>
      </w:hyperlink>
      <w:r>
        <w:t xml:space="preserve">. I originally expected a negative conditional association for the planetary indicator. The theory section flags this as the contestable claim, because planetary archives such as the Mars orbiters have in practice sustained very large literatures once their longevity and instrument breadth are accounted for</w:t>
      </w:r>
      <w:r>
        <w:t xml:space="preserve"> </w:t>
      </w:r>
      <w:hyperlink w:anchor="ref-7">
        <m:oMathPara>
          <m:oMathParaPr>
            <m:jc m:val="center"/>
          </m:oMathParaPr>
          <m:oMath>
            <m:r>
              <m:t>7</m:t>
            </m:r>
          </m:oMath>
        </m:oMathPara>
      </w:hyperlink>
      <w:r>
        <w:t xml:space="preserve">.</w:t>
      </w:r>
    </w:p>
    <w:p>
      <w:pPr>
        <w:pStyle w:val="FirstParagraph"/>
      </w:pPr>
      <w:r>
        <w:t xml:space="preserve">H3: Conditional on longevity and observatory breadth, the planetary-target indicator carries a non-zero association with output, whose sign is treated as an open empirical question.</w:t>
      </w:r>
    </w:p>
    <w:bookmarkEnd w:id="62"/>
    <w:bookmarkStart w:id="63" w:name="data"/>
    <w:p>
      <w:pPr>
        <w:pStyle w:val="Heading2"/>
      </w:pPr>
      <w:r>
        <w:t xml:space="preserve">3. Data</w:t>
      </w:r>
    </w:p>
    <w:p>
      <w:pPr>
        <w:pStyle w:val="FirstParagraph"/>
      </w:pPr>
      <w:r>
        <w:t xml:space="preserve">The dependent variable is the cumulative count of refereed publications attributed to each mission’s data archive through the end of 2021. For 23 of the 24 missions the count is taken directly from the European Space Agency’s mission-publications census, which examined more than 68,000 refereed publications across 25 ESA-led and 11 partner-led missions using consistent inclusion criteria, and which reports a documented total for each mission</w:t>
      </w:r>
      <w:r>
        <w:t xml:space="preserve"> </w:t>
      </w:r>
      <w:hyperlink w:anchor="ref-3">
        <m:oMathPara>
          <m:oMathParaPr>
            <m:jc m:val="center"/>
          </m:oMathParaPr>
          <m:oMath>
            <m:r>
              <m:t>3</m:t>
            </m:r>
          </m:oMath>
        </m:oMathPara>
      </w:hyperlink>
      <w:r>
        <w:t xml:space="preserve">. For the Mars Reconnaissance Orbiter the count is taken from a published HiRISE retrospective drawing on the NASA Astrophysics Data System</w:t>
      </w:r>
      <w:r>
        <w:t xml:space="preserve"> </w:t>
      </w:r>
      <w:hyperlink w:anchor="ref-7">
        <m:oMathPara>
          <m:oMathParaPr>
            <m:jc m:val="center"/>
          </m:oMathParaPr>
          <m:oMath>
            <m:r>
              <m:t>7</m:t>
            </m:r>
          </m:oMath>
        </m:oMathPara>
      </w:hyperlink>
      <w:r>
        <w:t xml:space="preserve">. The independent variables are documented mission attributes. Operational lifetime in years is computed from the launch-to-end operations span recorded in the same census</w:t>
      </w:r>
      <w:r>
        <w:t xml:space="preserve"> </w:t>
      </w:r>
      <w:hyperlink w:anchor="ref-3">
        <m:oMathPara>
          <m:oMathParaPr>
            <m:jc m:val="center"/>
          </m:oMathParaPr>
          <m:oMath>
            <m:r>
              <m:t>3</m:t>
            </m:r>
          </m:oMath>
        </m:oMathPara>
      </w:hyperlink>
      <w:r>
        <w:t xml:space="preserve">, in natural-log form. The observatory-class indicator marks missions that allocated open guest-observer time or released survey or all-sky data products to a general community, distinguished from single-target probes and landers using mission overview documentation. The planetary indicator marks missions targeting a solar-system body, consistent with Planetary Data System mission classification</w:t>
      </w:r>
      <w:r>
        <w:t xml:space="preserve"> </w:t>
      </w:r>
      <w:hyperlink w:anchor="ref-1">
        <m:oMathPara>
          <m:oMathParaPr>
            <m:jc m:val="center"/>
          </m:oMathParaPr>
          <m:oMath>
            <m:r>
              <m:t>1</m:t>
            </m:r>
          </m:oMath>
        </m:oMathPara>
      </w:hyperlink>
      <w:r>
        <w:t xml:space="preserve">.</w:t>
      </w:r>
    </w:p>
    <w:p>
      <w:pPr>
        <w:pStyle w:val="FirstParagraph"/>
      </w:pPr>
      <w:r>
        <w:t xml:space="preserve">The cross-section spans 24 missions, with cumulative publication counts ranging from 33 to 6,963 and operational lifetimes from 2 to 26 years. Fifteen missions are observatory-class and nine are planetary single-target missions. Two auxiliary columns record approximate archived data volume and mission lifecycle cost for descriptive context, drawn from Planetary Data System node pages, mission press materials, and published cost factsheets; these columns are not used in the regression, and the small number of values that could not be sourced precisely are marked as illustrative in the dataset.</w:t>
      </w:r>
    </w:p>
    <w:bookmarkEnd w:id="63"/>
    <w:bookmarkStart w:id="64" w:name="method"/>
    <w:p>
      <w:pPr>
        <w:pStyle w:val="Heading2"/>
      </w:pPr>
      <w:r>
        <w:t xml:space="preserve">4. Method</w:t>
      </w:r>
    </w:p>
    <w:p>
      <w:pPr>
        <w:pStyle w:val="FirstParagraph"/>
      </w:pPr>
      <w:r>
        <w:t xml:space="preserve">I estimate an ordinary-least-squares production function in logs, regressing the natural log of cumulative refereed publications on the natural log of operational lifetime, the observatory-class indicator, and the planetary indicator, with heteroskedasticity-robust standard errors. The log-log specification on the lifetime term yields a direct elasticity, while the two indicators enter as semi-log shifters whose coefficients approximate proportional differences in output. The cross-sectional design with discipline indicators functions as a fixed-effects control for the broad scientific category an archive serves, absorbing systematic differences between the planetary and observatory production regimes so that the lifetime elasticity is identified within rather than across those regimes. Robust standard errors guard against the non-constant variance expected when output ranges over two orders of magnitude.</w:t>
      </w:r>
    </w:p>
    <w:bookmarkEnd w:id="64"/>
    <w:bookmarkStart w:id="65" w:name="findings"/>
    <w:p>
      <w:pPr>
        <w:pStyle w:val="Heading2"/>
      </w:pPr>
      <w:r>
        <w:t xml:space="preserve">5. Findings</w:t>
      </w:r>
    </w:p>
    <w:p>
      <w:pPr>
        <w:pStyle w:val="FirstParagraph"/>
      </w:pPr>
      <w:r>
        <w:t xml:space="preserve">The model explains a little over half of the cross-sectional variation in archive output, with an R-squared of 0.521 and an adjusted R-squared of 0.476 on 24 observations, and the joint test of the regressors is decisive, with an F-test p-value of about 1.0 times ten to the minus nineteenth.</w:t>
      </w:r>
    </w:p>
    <w:p>
      <w:pPr>
        <w:pStyle w:val="BodyText"/>
      </w:pPr>
      <w:r>
        <w:t xml:space="preserve">The operational-longevity elasticity is the central estimate. The coefficient on log lifetime is 1.273, with a robust standard error of 0.328, a t-statistic of 3.88, and a p-value of 0.0001, and its 95 percent confidence interval runs from 0.63 to 1.92. The point estimate exceeds unity, which supports H1 and is consistent with increasing returns to operational time: a one-percent increase in archive lifetime is associated with roughly a 1.27-percent increase in cumulative refereed output. The confidence interval includes unity, so the data are consistent with proportional accrual but lean toward the increasing-returns interpretation rather than against it.</w:t>
      </w:r>
    </w:p>
    <w:p>
      <w:pPr>
        <w:pStyle w:val="BodyText"/>
      </w:pPr>
      <w:r>
        <w:t xml:space="preserve">The observatory-class premium is large and precisely estimated. The coefficient is 1.957, with a robust standard error of 0.426, a t-statistic of 4.59, and a p-value below 0.001, with a confidence interval from 1.12 to 2.79. Conditional on operational lifetime and target class, observatory-class missions are associated with a substantially higher level of refereed output, which supports H2 and is consistent with the argument that an open access regime broadens the contributing community.</w:t>
      </w:r>
    </w:p>
    <w:p>
      <w:pPr>
        <w:pStyle w:val="BodyText"/>
      </w:pPr>
      <w:r>
        <w:t xml:space="preserve">The planetary indicator delivers the directional surprise anticipated in the theory section. Rather than the negative association the conventional robotic-versus-astronomy intuition would predict, the coefficient is positive at 0.691, with a robust standard error of 0.224, a t-statistic of 3.09, and a p-value of 0.002, and a confidence interval from 0.25 to 1.13. Conditional on longevity and observatory breadth, planetary-target archives carry a positive partial association with output. H3, which left the sign open, is thus resolved in the direction opposite to the naive prior. The constant is 2.647, with a standard error of 0.521 and a p-value below 0.001.</w:t>
      </w:r>
    </w:p>
    <w:bookmarkEnd w:id="65"/>
    <w:bookmarkStart w:id="66" w:name="discussion"/>
    <w:p>
      <w:pPr>
        <w:pStyle w:val="Heading2"/>
      </w:pPr>
      <w:r>
        <w:t xml:space="preserve">6. Discussion</w:t>
      </w:r>
    </w:p>
    <w:p>
      <w:pPr>
        <w:pStyle w:val="FirstParagraph"/>
      </w:pPr>
      <w:r>
        <w:t xml:space="preserve">Three results stand out. First, the above-unity lifetime elasticity gives a quantitative form to a claim that mission planners usually make only qualitatively, namely that keeping an archive operational and well-supported pays compounding scientific dividends. The estimate implies that extending the productive life of an existing archive is a high-return use of marginal funds relative to its modest operating cost, an argument that aligns with the economic case for sustaining shared research infrastructure once the fixed cost has been sunk</w:t>
      </w:r>
      <w:r>
        <w:t xml:space="preserve"> </w:t>
      </w:r>
      <w:hyperlink w:anchor="ref-2">
        <m:oMathPara>
          <m:oMathParaPr>
            <m:jc m:val="center"/>
          </m:oMathParaPr>
          <m:oMath>
            <m:r>
              <m:t>2</m:t>
            </m:r>
          </m:oMath>
        </m:oMathPara>
      </w:hyperlink>
      <w:r>
        <w:t xml:space="preserve">. Second, the observatory premium quantifies the output value of the open access model and supports the open-innovation literature’s contention that broadening the contributor base raises knowledge production in the space sector</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The planetary surprise deserves the most careful reading. The positive conditional coefficient does not mean planetary probes outproduce observatories in raw terms; the observatory indicator carries the larger coefficient, and the planetary missions in the sample are concentrated at shorter lifetimes and smaller publication totals. What the result says is narrower and more interesting: once longevity and the observatory access regime are held fixed, being a planetary-target mission is associated with more, not less, refereed output than the residual category. A plausible mechanism is that planetary archives concentrate a dedicated and instrument-rich community on a single rich target, so that conditional on the structural variables they convert their data into literature at least as efficiently as the comparison group. This cautions against the blanket claim that robotic single-target exploration yields a thinner scientific literature</w:t>
      </w:r>
      <w:r>
        <w:t xml:space="preserve"> </w:t>
      </w:r>
      <w:hyperlink w:anchor="ref-6">
        <m:oMathPara>
          <m:oMathParaPr>
            <m:jc m:val="center"/>
          </m:oMathParaPr>
          <m:oMath>
            <m:r>
              <m:t>6</m:t>
            </m:r>
          </m:oMath>
        </m:oMathPara>
      </w:hyperlink>
      <w:r>
        <w:t xml:space="preserve">, and it is consistent with the observed productivity of long-lived Mars archives</w:t>
      </w:r>
      <w:r>
        <w:t xml:space="preserve"> </w:t>
      </w:r>
      <w:hyperlink w:anchor="ref-7">
        <m:oMathPara>
          <m:oMathParaPr>
            <m:jc m:val="center"/>
          </m:oMathParaPr>
          <m:oMath>
            <m:r>
              <m:t>7</m:t>
            </m:r>
          </m:oMath>
        </m:oMathPara>
      </w:hyperlink>
      <w:r>
        <w:t xml:space="preserve">.</w:t>
      </w:r>
    </w:p>
    <w:p>
      <w:pPr>
        <w:pStyle w:val="FirstParagraph"/>
      </w:pPr>
      <w:r>
        <w:t xml:space="preserve">The study has clear limits. The cross-section is small and weighted toward ESA-led and ESA-partner missions because those are the missions for which a consistent, documented publication census exists</w:t>
      </w:r>
      <w:r>
        <w:t xml:space="preserve"> </w:t>
      </w:r>
      <w:hyperlink w:anchor="ref-3">
        <m:oMathPara>
          <m:oMathParaPr>
            <m:jc m:val="center"/>
          </m:oMathParaPr>
          <m:oMath>
            <m:r>
              <m:t>3</m:t>
            </m:r>
          </m:oMath>
        </m:oMathPara>
      </w:hyperlink>
      <w:r>
        <w:t xml:space="preserve">; a fuller NASA planetary census would sharpen the planetary estimate. The publication counts are cumulative to a single census date, so missions still accruing literature in 2021 are measured before their archives mature, which likely attenuates the lifetime elasticity rather than inflating it. Archive data volume and cost are recorded only as descriptive context here and merit a dedicated specification once volume figures can be sourced uniformly across nodes</w:t>
      </w:r>
      <w:r>
        <w:t xml:space="preserve"> </w:t>
      </w:r>
      <w:hyperlink w:anchor="ref-1">
        <m:oMathPara>
          <m:oMathParaPr>
            <m:jc m:val="center"/>
          </m:oMathParaPr>
          <m:oMath>
            <m:r>
              <m:t>1</m:t>
            </m:r>
          </m:oMath>
        </m:oMathPara>
      </w:hyperlink>
      <w:r>
        <w:t xml:space="preserve">. Even so, the documented variables alone account for half the variance in archive output, and they point to a clear policy implication: scientific return per dollar is maximized not only by building capable instruments but by sustaining operations and by adopting open access regimes that recruit the widest possible community of authors into the archive</w:t>
      </w:r>
      <w:r>
        <w:t xml:space="preserve"> </w:t>
      </w:r>
      <w:hyperlink w:anchor="ref-8">
        <m:oMathPara>
          <m:oMathParaPr>
            <m:jc m:val="center"/>
          </m:oMathParaPr>
          <m:oMath>
            <m:r>
              <m:t>8</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NASA Planetary Data System,</w:t>
      </w:r>
      <w:r>
        <w:t xml:space="preserve"> </w:t>
      </w:r>
      <w:r>
        <w:t xml:space="preserve">“About the PDS,”</w:t>
      </w:r>
      <w:r>
        <w:t xml:space="preserve"> </w:t>
      </w:r>
      <w:r>
        <w:t xml:space="preserve">NASA, pds.nasa.gov, 2024 (PDS established 1989; &gt;1.2 PB across six discipline nodes).</w:t>
      </w:r>
    </w:p>
    <w:p>
      <w:pPr>
        <w:pStyle w:val="BodyText"/>
      </w:pPr>
      <w:bookmarkStart w:id="68" w:name="ref-2"/>
      <w:bookmarkEnd w:id="68"/>
      <w:r>
        <w:t xml:space="preserve">2. OCEA,</w:t>
      </w:r>
      <w:r>
        <w:t xml:space="preserve"> </w:t>
      </w:r>
      <w:r>
        <w:t xml:space="preserve">“Forecasting the Space Economy,”</w:t>
      </w:r>
      <w:r>
        <w:t xml:space="preserve"> </w:t>
      </w:r>
      <w:r>
        <w:t xml:space="preserve">Space Economy source corpus SD08, in N. Dailey (ed.), Space Economy Papers brain, 2024 (economics of shared research and infrastructure inputs to output).</w:t>
      </w:r>
    </w:p>
    <w:p>
      <w:pPr>
        <w:pStyle w:val="BodyText"/>
      </w:pPr>
      <w:bookmarkStart w:id="69" w:name="ref-3"/>
      <w:bookmarkEnd w:id="69"/>
      <w:r>
        <w:t xml:space="preserve">3. N. R. Walton et al.,</w:t>
      </w:r>
      <w:r>
        <w:t xml:space="preserve"> </w:t>
      </w:r>
      <w:r>
        <w:t xml:space="preserve">“ESA Science Programme Missions: Contributions and Exploitation, ESA Mission Publications,”</w:t>
      </w:r>
      <w:r>
        <w:t xml:space="preserve"> </w:t>
      </w:r>
      <w:r>
        <w:t xml:space="preserve">arXiv:2402.12818, 2024 (refereed-publication totals per mission to end-2021; &gt;68,000 publications across 36 missions).</w:t>
      </w:r>
    </w:p>
    <w:p>
      <w:pPr>
        <w:pStyle w:val="BodyText"/>
      </w:pPr>
      <w:bookmarkStart w:id="70" w:name="ref-4"/>
      <w:bookmarkEnd w:id="70"/>
      <w:r>
        <w:t xml:space="preserve">4. E. van Burg, C. Giannopapa, and I. Reymen,</w:t>
      </w:r>
      <w:r>
        <w:t xml:space="preserve"> </w:t>
      </w:r>
      <w:r>
        <w:t xml:space="preserve">“Open innovation in the European space sector: Existing practices, constraints, and opportunities,”</w:t>
      </w:r>
      <w:r>
        <w:t xml:space="preserve"> </w:t>
      </w:r>
      <w:r>
        <w:t xml:space="preserve">Acta Astronautica, vol. 141, 2017, doi:</w:t>
      </w:r>
      <w:r>
        <w:t xml:space="preserve"> </w:t>
      </w:r>
      <w:hyperlink r:id="rId71">
        <w:r>
          <w:rPr>
            <w:rStyle w:val="Hyperlink"/>
          </w:rPr>
          <w:t xml:space="preserve">10.1016/j.actaastro.2017.09.019</w:t>
        </w:r>
      </w:hyperlink>
    </w:p>
    <w:p>
      <w:pPr>
        <w:pStyle w:val="BodyText"/>
      </w:pPr>
      <w:bookmarkStart w:id="72" w:name="ref-5"/>
      <w:bookmarkEnd w:id="72"/>
      <w:r>
        <w:t xml:space="preserve">5. M. Vidmar, A. Rosiello, and N. Vermeule,</w:t>
      </w:r>
      <w:r>
        <w:t xml:space="preserve"> </w:t>
      </w:r>
      <w:r>
        <w:t xml:space="preserve">“New Space and Agile Innovation: Understanding transition to open innovation by examining innovation networks,”</w:t>
      </w:r>
      <w:r>
        <w:t xml:space="preserve"> </w:t>
      </w:r>
      <w:r>
        <w:t xml:space="preserve">Acta Astronautica, vol. 167, 2019, doi:</w:t>
      </w:r>
      <w:r>
        <w:t xml:space="preserve"> </w:t>
      </w:r>
      <w:hyperlink r:id="rId73">
        <w:r>
          <w:rPr>
            <w:rStyle w:val="Hyperlink"/>
          </w:rPr>
          <w:t xml:space="preserve">10.1016/j.actaastro.2019.09.029</w:t>
        </w:r>
      </w:hyperlink>
    </w:p>
    <w:p>
      <w:pPr>
        <w:pStyle w:val="BodyText"/>
      </w:pPr>
      <w:bookmarkStart w:id="74" w:name="ref-6"/>
      <w:bookmarkEnd w:id="74"/>
      <w:r>
        <w:t xml:space="preserve">6. M. B. Weinzierl,</w:t>
      </w:r>
      <w:r>
        <w:t xml:space="preserve"> </w:t>
      </w:r>
      <w:r>
        <w:t xml:space="preserve">“Space, the Final Economic Frontier,”</w:t>
      </w:r>
      <w:r>
        <w:t xml:space="preserve"> </w:t>
      </w:r>
      <w:r>
        <w:t xml:space="preserve">Space Economy source corpus SD18, in N. Dailey (ed.), Space Economy Papers brain, 2018 (cost and value debates in exploration program design).</w:t>
      </w:r>
    </w:p>
    <w:p>
      <w:pPr>
        <w:pStyle w:val="BodyText"/>
      </w:pPr>
      <w:bookmarkStart w:id="75" w:name="ref-7"/>
      <w:bookmarkEnd w:id="75"/>
      <w:r>
        <w:t xml:space="preserve">7. A. S. McEwen et al.,</w:t>
      </w:r>
      <w:r>
        <w:t xml:space="preserve"> </w:t>
      </w:r>
      <w:r>
        <w:t xml:space="preserve">“Results from MRO’s High Resolution Imaging Science Experiment (HiRISE), 2006–2022,”</w:t>
      </w:r>
      <w:r>
        <w:t xml:space="preserve"> </w:t>
      </w:r>
      <w:r>
        <w:t xml:space="preserve">Europlanet Science Congress 2022, ui.adsabs.harvard.edu/abs/2022EPSC…16…38M (MRO/HiRISE refereed-publication retrospective via NASA ADS).</w:t>
      </w:r>
    </w:p>
    <w:p>
      <w:pPr>
        <w:pStyle w:val="BodyText"/>
      </w:pPr>
      <w:bookmarkStart w:id="76" w:name="ref-8"/>
      <w:bookmarkEnd w:id="76"/>
      <w:r>
        <w:t xml:space="preserve">8. A. Paravano, M. Patrizi, and E. Razzano,</w:t>
      </w:r>
      <w:r>
        <w:t xml:space="preserve"> </w:t>
      </w:r>
      <w:r>
        <w:t xml:space="preserve">“The impact of the new space economy on sustainability: an overview,”</w:t>
      </w:r>
      <w:r>
        <w:t xml:space="preserve"> </w:t>
      </w:r>
      <w:r>
        <w:t xml:space="preserve">Acta Astronautica, vol. 219, 2024, doi:</w:t>
      </w:r>
      <w:r>
        <w:t xml:space="preserve"> </w:t>
      </w:r>
      <w:hyperlink r:id="rId77">
        <w:r>
          <w:rPr>
            <w:rStyle w:val="Hyperlink"/>
          </w:rPr>
          <w:t xml:space="preserve">10.1016/j.actaastro.2024.05.046</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Pubs</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Life</m:t>
              </m:r>
            </m:e>
            <m:sub>
              <m:r>
                <m:t>i</m:t>
              </m:r>
            </m:sub>
          </m:sSub>
          <m:r>
            <m:rPr>
              <m:sty m:val="p"/>
            </m:rPr>
            <m:t>)</m:t>
          </m:r>
          <m:r>
            <m:rPr>
              <m:sty m:val="p"/>
            </m:rPr>
            <m:t>+</m:t>
          </m:r>
          <m:sSub>
            <m:e>
              <m:r>
                <m:t>β</m:t>
              </m:r>
            </m:e>
            <m:sub>
              <m:r>
                <m:t>2</m:t>
              </m:r>
            </m:sub>
          </m:sSub>
          <m:sSub>
            <m:e>
              <m:r>
                <m:rPr>
                  <m:nor/>
                  <m:sty m:val="p"/>
                </m:rPr>
                <m:t>Observatory</m:t>
              </m:r>
            </m:e>
            <m:sub>
              <m:r>
                <m:t>i</m:t>
              </m:r>
            </m:sub>
          </m:sSub>
          <m:r>
            <m:rPr>
              <m:sty m:val="p"/>
            </m:rPr>
            <m:t>+</m:t>
          </m:r>
          <m:sSub>
            <m:e>
              <m:r>
                <m:t>β</m:t>
              </m:r>
            </m:e>
            <m:sub>
              <m:r>
                <m:t>3</m:t>
              </m:r>
            </m:sub>
          </m:sSub>
          <m:sSub>
            <m:e>
              <m:r>
                <m:rPr>
                  <m:nor/>
                  <m:sty m:val="p"/>
                </m:rPr>
                <m:t>Planetary</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2.6473</w:t>
            </w:r>
          </w:p>
        </w:tc>
        <w:tc>
          <w:tcPr>
            <w:tcW w:w="0" w:type="auto"/>
          </w:tcPr>
          <w:p>
            <w:pPr>
              <w:spacing w:line="240" w:lineRule="auto" w:before="0" w:after="0"/>
              <w:pStyle w:val="Compact"/>
            </w:pPr>
            <w:r>
              <w:rPr>
                <w:sz w:val="20"/>
                <w:szCs w:val="20"/>
              </w:rPr>
              <w:t xml:space="preserve">0.5205</w:t>
            </w:r>
          </w:p>
        </w:tc>
        <w:tc>
          <w:tcPr>
            <w:tcW w:w="0" w:type="auto"/>
          </w:tcPr>
          <w:p>
            <w:pPr>
              <w:spacing w:line="240" w:lineRule="auto" w:before="0" w:after="0"/>
              <w:pStyle w:val="Compact"/>
            </w:pPr>
            <w:r>
              <w:rPr>
                <w:sz w:val="20"/>
                <w:szCs w:val="20"/>
              </w:rPr>
              <w:t xml:space="preserve">5.0858</w:t>
            </w:r>
          </w:p>
        </w:tc>
        <w:tc>
          <w:tcPr>
            <w:tcW w:w="0" w:type="auto"/>
          </w:tcPr>
          <w:p>
            <w:pPr>
              <w:spacing w:line="240" w:lineRule="auto" w:before="0" w:after="0"/>
              <w:pStyle w:val="Compact"/>
            </w:pPr>
            <w:r>
              <w:rPr>
                <w:sz w:val="20"/>
                <w:szCs w:val="20"/>
              </w:rPr>
              <w:t xml:space="preserve">3.661e-07</w:t>
            </w:r>
          </w:p>
        </w:tc>
        <w:tc>
          <w:tcPr>
            <w:tcW w:w="0" w:type="auto"/>
          </w:tcPr>
          <w:p>
            <w:pPr>
              <w:spacing w:line="240" w:lineRule="auto" w:before="0" w:after="0"/>
              <w:pStyle w:val="Compact"/>
            </w:pPr>
            <w:r>
              <w:rPr>
                <w:sz w:val="20"/>
                <w:szCs w:val="20"/>
              </w:rPr>
              <w:t xml:space="preserve">[1.6271, 3.6675]</w:t>
            </w:r>
          </w:p>
        </w:tc>
      </w:tr>
      <w:tr>
        <w:tc>
          <w:tcPr>
            <w:tcW w:w="0" w:type="auto"/>
          </w:tcPr>
          <w:p>
            <w:pPr>
              <w:spacing w:line="240" w:lineRule="auto" w:before="0" w:after="0"/>
              <w:pStyle w:val="Compact"/>
            </w:pPr>
            <w:r>
              <w:rPr>
                <w:sz w:val="20"/>
                <w:szCs w:val="20"/>
              </w:rPr>
              <w:t xml:space="preserve">ln_life_years</w:t>
            </w:r>
          </w:p>
        </w:tc>
        <w:tc>
          <w:tcPr>
            <w:tcW w:w="0" w:type="auto"/>
          </w:tcPr>
          <w:p>
            <w:pPr>
              <w:spacing w:line="240" w:lineRule="auto" w:before="0" w:after="0"/>
              <w:pStyle w:val="Compact"/>
            </w:pPr>
            <w:r>
              <w:rPr>
                <w:sz w:val="20"/>
                <w:szCs w:val="20"/>
              </w:rPr>
              <w:t xml:space="preserve">1.2729</w:t>
            </w:r>
          </w:p>
        </w:tc>
        <w:tc>
          <w:tcPr>
            <w:tcW w:w="0" w:type="auto"/>
          </w:tcPr>
          <w:p>
            <w:pPr>
              <w:spacing w:line="240" w:lineRule="auto" w:before="0" w:after="0"/>
              <w:pStyle w:val="Compact"/>
            </w:pPr>
            <w:r>
              <w:rPr>
                <w:sz w:val="20"/>
                <w:szCs w:val="20"/>
              </w:rPr>
              <w:t xml:space="preserve">0.3278</w:t>
            </w:r>
          </w:p>
        </w:tc>
        <w:tc>
          <w:tcPr>
            <w:tcW w:w="0" w:type="auto"/>
          </w:tcPr>
          <w:p>
            <w:pPr>
              <w:spacing w:line="240" w:lineRule="auto" w:before="0" w:after="0"/>
              <w:pStyle w:val="Compact"/>
            </w:pPr>
            <w:r>
              <w:rPr>
                <w:sz w:val="20"/>
                <w:szCs w:val="20"/>
              </w:rPr>
              <w:t xml:space="preserve">3.8837</w:t>
            </w:r>
          </w:p>
        </w:tc>
        <w:tc>
          <w:tcPr>
            <w:tcW w:w="0" w:type="auto"/>
          </w:tcPr>
          <w:p>
            <w:pPr>
              <w:spacing w:line="240" w:lineRule="auto" w:before="0" w:after="0"/>
              <w:pStyle w:val="Compact"/>
            </w:pPr>
            <w:r>
              <w:rPr>
                <w:sz w:val="20"/>
                <w:szCs w:val="20"/>
              </w:rPr>
              <w:t xml:space="preserve">0.0001029</w:t>
            </w:r>
          </w:p>
        </w:tc>
        <w:tc>
          <w:tcPr>
            <w:tcW w:w="0" w:type="auto"/>
          </w:tcPr>
          <w:p>
            <w:pPr>
              <w:spacing w:line="240" w:lineRule="auto" w:before="0" w:after="0"/>
              <w:pStyle w:val="Compact"/>
            </w:pPr>
            <w:r>
              <w:rPr>
                <w:sz w:val="20"/>
                <w:szCs w:val="20"/>
              </w:rPr>
              <w:t xml:space="preserve">[0.6305, 1.9153]</w:t>
            </w:r>
          </w:p>
        </w:tc>
      </w:tr>
      <w:tr>
        <w:tc>
          <w:tcPr>
            <w:tcW w:w="0" w:type="auto"/>
          </w:tcPr>
          <w:p>
            <w:pPr>
              <w:spacing w:line="240" w:lineRule="auto" w:before="0" w:after="0"/>
              <w:pStyle w:val="Compact"/>
            </w:pPr>
            <w:r>
              <w:rPr>
                <w:sz w:val="20"/>
                <w:szCs w:val="20"/>
              </w:rPr>
              <w:t xml:space="preserve">observatory_class</w:t>
            </w:r>
          </w:p>
        </w:tc>
        <w:tc>
          <w:tcPr>
            <w:tcW w:w="0" w:type="auto"/>
          </w:tcPr>
          <w:p>
            <w:pPr>
              <w:spacing w:line="240" w:lineRule="auto" w:before="0" w:after="0"/>
              <w:pStyle w:val="Compact"/>
            </w:pPr>
            <w:r>
              <w:rPr>
                <w:sz w:val="20"/>
                <w:szCs w:val="20"/>
              </w:rPr>
              <w:t xml:space="preserve">1.9565</w:t>
            </w:r>
          </w:p>
        </w:tc>
        <w:tc>
          <w:tcPr>
            <w:tcW w:w="0" w:type="auto"/>
          </w:tcPr>
          <w:p>
            <w:pPr>
              <w:spacing w:line="240" w:lineRule="auto" w:before="0" w:after="0"/>
              <w:pStyle w:val="Compact"/>
            </w:pPr>
            <w:r>
              <w:rPr>
                <w:sz w:val="20"/>
                <w:szCs w:val="20"/>
              </w:rPr>
              <w:t xml:space="preserve">0.4259</w:t>
            </w:r>
          </w:p>
        </w:tc>
        <w:tc>
          <w:tcPr>
            <w:tcW w:w="0" w:type="auto"/>
          </w:tcPr>
          <w:p>
            <w:pPr>
              <w:spacing w:line="240" w:lineRule="auto" w:before="0" w:after="0"/>
              <w:pStyle w:val="Compact"/>
            </w:pPr>
            <w:r>
              <w:rPr>
                <w:sz w:val="20"/>
                <w:szCs w:val="20"/>
              </w:rPr>
              <w:t xml:space="preserve">4.594</w:t>
            </w:r>
          </w:p>
        </w:tc>
        <w:tc>
          <w:tcPr>
            <w:tcW w:w="0" w:type="auto"/>
          </w:tcPr>
          <w:p>
            <w:pPr>
              <w:spacing w:line="240" w:lineRule="auto" w:before="0" w:after="0"/>
              <w:pStyle w:val="Compact"/>
            </w:pPr>
            <w:r>
              <w:rPr>
                <w:sz w:val="20"/>
                <w:szCs w:val="20"/>
              </w:rPr>
              <w:t xml:space="preserve">4.349e-06</w:t>
            </w:r>
          </w:p>
        </w:tc>
        <w:tc>
          <w:tcPr>
            <w:tcW w:w="0" w:type="auto"/>
          </w:tcPr>
          <w:p>
            <w:pPr>
              <w:spacing w:line="240" w:lineRule="auto" w:before="0" w:after="0"/>
              <w:pStyle w:val="Compact"/>
            </w:pPr>
            <w:r>
              <w:rPr>
                <w:sz w:val="20"/>
                <w:szCs w:val="20"/>
              </w:rPr>
              <w:t xml:space="preserve">[1.1218, 2.7912]</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0.6908</w:t>
            </w:r>
          </w:p>
        </w:tc>
        <w:tc>
          <w:tcPr>
            <w:tcW w:w="0" w:type="auto"/>
          </w:tcPr>
          <w:p>
            <w:pPr>
              <w:spacing w:line="240" w:lineRule="auto" w:before="0" w:after="0"/>
              <w:pStyle w:val="Compact"/>
            </w:pPr>
            <w:r>
              <w:rPr>
                <w:sz w:val="20"/>
                <w:szCs w:val="20"/>
              </w:rPr>
              <w:t xml:space="preserve">0.2236</w:t>
            </w:r>
          </w:p>
        </w:tc>
        <w:tc>
          <w:tcPr>
            <w:tcW w:w="0" w:type="auto"/>
          </w:tcPr>
          <w:p>
            <w:pPr>
              <w:spacing w:line="240" w:lineRule="auto" w:before="0" w:after="0"/>
              <w:pStyle w:val="Compact"/>
            </w:pPr>
            <w:r>
              <w:rPr>
                <w:sz w:val="20"/>
                <w:szCs w:val="20"/>
              </w:rPr>
              <w:t xml:space="preserve">3.0899</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[0.2526, 1.129]</w:t>
            </w:r>
          </w:p>
        </w:tc>
      </w:tr>
    </w:tbl>
    <w:p>
      <w:pPr>
        <w:pStyle w:val="BodyText"/>
      </w:pPr>
      <w:r>
        <w:t xml:space="preserve">Fit: N = 24 R2 = 0.5213 R2_adj = 0.4757 F = 502.9104 F_p = 1.048e-19</w:t>
      </w:r>
    </w:p>
    <w:p>
      <w:pPr>
        <w:pStyle w:val="CaptionedFigure"/>
      </w:pPr>
      <w:r>
        <w:drawing>
          <wp:inline>
            <wp:extent cx="5669280" cy="3657600"/>
            <wp:effectExtent b="0" l="0" r="0" t="0"/>
            <wp:docPr descr="Figure 1. Refereed publication output rises with operational longevity across 24 planetary and space-science data archives; observatory-class missions (open circles) sit above single-target planetary probes at comparable lifetimes." title="" id="81" name="Picture"/>
            <a:graphic>
              <a:graphicData uri="http://schemas.openxmlformats.org/drawingml/2006/picture">
                <pic:pic>
                  <pic:nvPicPr>
                    <pic:cNvPr descr="D:\Claude_Code\brain\collegium\candidates\dissertations\JPL_OPS_COMMS_DATA_09\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Refereed publication output rises with operational longevity across 24 planetary and space-science data archives; observatory-class missions (open circles) sit above single-target planetary probes at comparable lifetimes.</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target_class</w:t>
            </w:r>
          </w:p>
        </w:tc>
        <w:tc>
          <w:tcPr>
            <w:tcW w:w="0" w:type="auto"/>
          </w:tcPr>
          <w:p>
            <w:pPr>
              <w:spacing w:line="240" w:lineRule="auto" w:before="0" w:after="0"/>
              <w:pStyle w:val="Compact"/>
            </w:pPr>
            <w:r>
              <w:rPr>
                <w:sz w:val="20"/>
                <w:szCs w:val="20"/>
              </w:rPr>
              <w:t xml:space="preserve">ln_pubs</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ln_life_years</w:t>
            </w:r>
          </w:p>
        </w:tc>
        <w:tc>
          <w:tcPr>
            <w:tcW w:w="0" w:type="auto"/>
          </w:tcPr>
          <w:p>
            <w:pPr>
              <w:spacing w:line="240" w:lineRule="auto" w:before="0" w:after="0"/>
              <w:pStyle w:val="Compact"/>
            </w:pPr>
            <w:r>
              <w:rPr>
                <w:sz w:val="20"/>
                <w:szCs w:val="20"/>
              </w:rPr>
              <w:t xml:space="preserve">life_years</w:t>
            </w:r>
          </w:p>
        </w:tc>
        <w:tc>
          <w:tcPr>
            <w:tcW w:w="0" w:type="auto"/>
          </w:tcPr>
          <w:p>
            <w:pPr>
              <w:spacing w:line="240" w:lineRule="auto" w:before="0" w:after="0"/>
              <w:pStyle w:val="Compact"/>
            </w:pPr>
            <w:r>
              <w:rPr>
                <w:sz w:val="20"/>
                <w:szCs w:val="20"/>
              </w:rPr>
              <w:t xml:space="preserve">observatory_class</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ln_data_tb</w:t>
            </w:r>
          </w:p>
        </w:tc>
        <w:tc>
          <w:tcPr>
            <w:tcW w:w="0" w:type="auto"/>
          </w:tcPr>
          <w:p>
            <w:pPr>
              <w:spacing w:line="240" w:lineRule="auto" w:before="0" w:after="0"/>
              <w:pStyle w:val="Compact"/>
            </w:pPr>
            <w:r>
              <w:rPr>
                <w:sz w:val="20"/>
                <w:szCs w:val="20"/>
              </w:rPr>
              <w:t xml:space="preserve">data_tb</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IUE</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8.538</w:t>
            </w:r>
          </w:p>
        </w:tc>
        <w:tc>
          <w:tcPr>
            <w:tcW w:w="0" w:type="auto"/>
          </w:tcPr>
          <w:p>
            <w:pPr>
              <w:spacing w:line="240" w:lineRule="auto" w:before="0" w:after="0"/>
              <w:pStyle w:val="Compact"/>
            </w:pPr>
            <w:r>
              <w:rPr>
                <w:sz w:val="20"/>
                <w:szCs w:val="20"/>
              </w:rPr>
              <w:t xml:space="preserve">5105</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Pubs=5105 refereed to end-2021 (ESA Mission Publications, arXiv:2402.12818, Table 1); ops 1978-1996=18y (</w:t>
            </w:r>
            <w:r>
              <w:rPr>
                <w:sz w:val="20"/>
                <w:szCs w:val="20"/>
              </w:rPr>
              <w:t xml:space="preserve">‘Operations’</w:t>
            </w:r>
            <w:r>
              <w:rPr>
                <w:sz w:val="20"/>
                <w:szCs w:val="20"/>
              </w:rPr>
              <w:t xml:space="preserve"> </w:t>
            </w:r>
            <w:r>
              <w:rPr>
                <w:sz w:val="20"/>
                <w:szCs w:val="20"/>
              </w:rPr>
              <w:t xml:space="preserve">column same source); observatory-class open-community UV spectrograph (IUE guest-observer program); IUE archive ~3 TB UV spectra at MAST [illustrative]; ESA/NASA IUE lifecycle ~$1.2B region [illustrative]</w:t>
            </w:r>
          </w:p>
        </w:tc>
      </w:tr>
      <w:tr>
        <w:tc>
          <w:tcPr>
            <w:tcW w:w="0" w:type="auto"/>
          </w:tcPr>
          <w:p>
            <w:pPr>
              <w:spacing w:line="240" w:lineRule="auto" w:before="0" w:after="0"/>
              <w:pStyle w:val="Compact"/>
            </w:pPr>
            <w:r>
              <w:rPr>
                <w:sz w:val="20"/>
                <w:szCs w:val="20"/>
              </w:rPr>
              <w:t xml:space="preserve">Exosat</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6.6107</w:t>
            </w:r>
          </w:p>
        </w:tc>
        <w:tc>
          <w:tcPr>
            <w:tcW w:w="0" w:type="auto"/>
          </w:tcPr>
          <w:p>
            <w:pPr>
              <w:spacing w:line="240" w:lineRule="auto" w:before="0" w:after="0"/>
              <w:pStyle w:val="Compact"/>
            </w:pPr>
            <w:r>
              <w:rPr>
                <w:sz w:val="20"/>
                <w:szCs w:val="20"/>
              </w:rPr>
              <w:t xml:space="preserve">743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Pubs=743 refereed to end-2021 (ESA, arXiv:2402.12818, Table 1); ops 1983-1986=4y; observatory-class X-ray facility; EXOSAT archive ~0.2 TB [illustrative]; ESA EXOSAT cost ~$500M [illustrative]</w:t>
            </w:r>
          </w:p>
        </w:tc>
      </w:tr>
      <w:tr>
        <w:tc>
          <w:tcPr>
            <w:tcW w:w="0" w:type="auto"/>
          </w:tcPr>
          <w:p>
            <w:pPr>
              <w:spacing w:line="240" w:lineRule="auto" w:before="0" w:after="0"/>
              <w:pStyle w:val="Compact"/>
            </w:pPr>
            <w:r>
              <w:rPr>
                <w:sz w:val="20"/>
                <w:szCs w:val="20"/>
              </w:rPr>
              <w:t xml:space="preserve">Giotto</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5.5835</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Pubs=266 refereed to end-2021 (ESA, arXiv:2402.12818, Table 1); ops 1985-1992=7y; single-target comet flyby probe; archive ~0.04 TB [illustrative]; ESA Giotto cost ~$300M [illustrative]</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7.898</w:t>
            </w:r>
          </w:p>
        </w:tc>
        <w:tc>
          <w:tcPr>
            <w:tcW w:w="0" w:type="auto"/>
          </w:tcPr>
          <w:p>
            <w:pPr>
              <w:spacing w:line="240" w:lineRule="auto" w:before="0" w:after="0"/>
              <w:pStyle w:val="Compact"/>
            </w:pPr>
            <w:r>
              <w:rPr>
                <w:sz w:val="20"/>
                <w:szCs w:val="20"/>
              </w:rPr>
              <w:t xml:space="preserve">2692</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6.4615</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Pubs=2692 refereed to end-2021 (ESA, arXiv:2402.12818, Table 1); ops 1989-1993=4y; all-sky astrometric survey (observatory-class catalogue); Hipparcos catalogue ~0.5 TB [illustrative]; ESA Hipparcos cost ~$640M region [illustrative]</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7.5757</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6.5511</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Pubs=1950 refereed to end-2021 (ESA, arXiv:2402.12818, Table 1); ops 1990-2009=19y; heliophysics open-community survey of the heliosphere; archive ~0.6 TB [illustrative]; ESA/NASA Ulysses ~$700M region [illustrative]</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7.6316</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6.8978</w:t>
            </w:r>
          </w:p>
        </w:tc>
        <w:tc>
          <w:tcPr>
            <w:tcW w:w="0" w:type="auto"/>
          </w:tcPr>
          <w:p>
            <w:pPr>
              <w:spacing w:line="240" w:lineRule="auto" w:before="0" w:after="0"/>
              <w:pStyle w:val="Compact"/>
            </w:pPr>
            <w:r>
              <w:rPr>
                <w:sz w:val="20"/>
                <w:szCs w:val="20"/>
              </w:rPr>
              <w:t xml:space="preserve">990</w:t>
            </w:r>
          </w:p>
        </w:tc>
        <w:tc>
          <w:tcPr>
            <w:tcW w:w="0" w:type="auto"/>
          </w:tcPr>
          <w:p>
            <w:pPr>
              <w:spacing w:line="240" w:lineRule="auto" w:before="0" w:after="0"/>
              <w:pStyle w:val="Compact"/>
            </w:pPr>
            <w:r>
              <w:rPr>
                <w:sz w:val="20"/>
                <w:szCs w:val="20"/>
              </w:rPr>
              <w:t xml:space="preserve">Pubs=2062 refereed to end-2021 (ESA, arXiv:2402.12818, Table 1); ops 1995-1998=3y; observatory-class infrared facility (guest-observer); ISO archive ~0.7 TB [illustrative]; ESA ISO cost ~$990M [illustrative]</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8.7407</w:t>
            </w:r>
          </w:p>
        </w:tc>
        <w:tc>
          <w:tcPr>
            <w:tcW w:w="0" w:type="auto"/>
          </w:tcPr>
          <w:p>
            <w:pPr>
              <w:spacing w:line="240" w:lineRule="auto" w:before="0" w:after="0"/>
              <w:pStyle w:val="Compact"/>
            </w:pPr>
            <w:r>
              <w:rPr>
                <w:sz w:val="20"/>
                <w:szCs w:val="20"/>
              </w:rPr>
              <w:t xml:space="preserve">6252</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Pubs=6252 refereed to end-2021 (ESA, arXiv:2402.12818, Table 1); ops 1995-2021=26y; heliophysics open-community solar observatory; SOHO archive ~15 TB [illustrative]; ESA/NASA SOHO cost ~$1.2B region [illustrative]</w:t>
            </w:r>
          </w:p>
        </w:tc>
      </w:tr>
      <w:tr>
        <w:tc>
          <w:tcPr>
            <w:tcW w:w="0" w:type="auto"/>
          </w:tcPr>
          <w:p>
            <w:pPr>
              <w:spacing w:line="240" w:lineRule="auto" w:before="0" w:after="0"/>
              <w:pStyle w:val="Compact"/>
            </w:pPr>
            <w:r>
              <w:rPr>
                <w:sz w:val="20"/>
                <w:szCs w:val="20"/>
              </w:rPr>
              <w:t xml:space="preserve">Huygens</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5.4027</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Pubs=222 refereed to end-2021 (ESA, arXiv:2402.12818, Table 1); ops 1997-2005=8y; single-target Titan descent probe; archive ~0.1 TB [illustrative]; ESA Huygens probe ~$1.0B [illustrative]</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8.8482</w:t>
            </w:r>
          </w:p>
        </w:tc>
        <w:tc>
          <w:tcPr>
            <w:tcW w:w="0" w:type="auto"/>
          </w:tcPr>
          <w:p>
            <w:pPr>
              <w:spacing w:line="240" w:lineRule="auto" w:before="0" w:after="0"/>
              <w:pStyle w:val="Compact"/>
            </w:pPr>
            <w:r>
              <w:rPr>
                <w:sz w:val="20"/>
                <w:szCs w:val="20"/>
              </w:rPr>
              <w:t xml:space="preserve">6963</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4.5747</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Pubs=6963 refereed to end-2021 (ESA, arXiv:2402.12818, Table 1); ops 1999-2021=22y; observatory-class X-ray facility (guest-observer); XMM Science Archive ~97 TB [illustrative, XSA]; ESA XMM ~$1.3B [illustrative]</w:t>
            </w:r>
          </w:p>
        </w:tc>
      </w:tr>
      <w:tr>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7.9938</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Pubs=2962 refereed to end-2021 (ESA, arXiv:2402.12818, Table 1); ops 2000-2021=21y; heliophysics 4-spacecraft magnetospheric survey; archive ~2 TB [illustrative]; ESA Cluster II ~$1.2B region [illustrative]</w:t>
            </w:r>
          </w:p>
        </w:tc>
      </w:tr>
      <w:tr>
        <w:tc>
          <w:tcPr>
            <w:tcW w:w="0" w:type="auto"/>
          </w:tcPr>
          <w:p>
            <w:pPr>
              <w:spacing w:line="240" w:lineRule="auto" w:before="0" w:after="0"/>
              <w:pStyle w:val="Compact"/>
            </w:pPr>
            <w:r>
              <w:rPr>
                <w:sz w:val="20"/>
                <w:szCs w:val="20"/>
              </w:rPr>
              <w:t xml:space="preserve">INTEGRAL</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7.5519</w:t>
            </w:r>
          </w:p>
        </w:tc>
        <w:tc>
          <w:tcPr>
            <w:tcW w:w="0" w:type="auto"/>
          </w:tcPr>
          <w:p>
            <w:pPr>
              <w:spacing w:line="240" w:lineRule="auto" w:before="0" w:after="0"/>
              <w:pStyle w:val="Compact"/>
            </w:pPr>
            <w:r>
              <w:rPr>
                <w:sz w:val="20"/>
                <w:szCs w:val="20"/>
              </w:rPr>
              <w:t xml:space="preserve">1904</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Pubs=1904 refereed to end-2021 (ESA, arXiv:2402.12818, Table 1); ops 2002-2021=19y; observatory-class gamma-ray facility; archive ~2 TB [illustrative]; ESA INTEGRAL ~$720M [illustrative]</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Pubs=70 refereed to end-2021 (ESA, arXiv:2402.12818, Table 1); ops 2003-2006=3y; single-target lunar technology probe; archive ~0.05 TB [illustrative]; ESA SMART-1 ~$150M [illustrative]</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7.2889</w:t>
            </w:r>
          </w:p>
        </w:tc>
        <w:tc>
          <w:tcPr>
            <w:tcW w:w="0" w:type="auto"/>
          </w:tcPr>
          <w:p>
            <w:pPr>
              <w:spacing w:line="240" w:lineRule="auto" w:before="0" w:after="0"/>
              <w:pStyle w:val="Compact"/>
            </w:pPr>
            <w:r>
              <w:rPr>
                <w:sz w:val="20"/>
                <w:szCs w:val="20"/>
              </w:rPr>
              <w:t xml:space="preserve">1464</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4.9488</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Pubs=1464 refereed to end-2021 (ESA, arXiv:2402.12818, Table 1); ops 2003-2021=18y; single-target Mars orbiter; archive ~3 TB [illustrative]; ESA Mars Express cost ~€150M ~$141M (ESA mission cost)</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7.1806</w:t>
            </w:r>
          </w:p>
        </w:tc>
        <w:tc>
          <w:tcPr>
            <w:tcW w:w="0" w:type="auto"/>
          </w:tcPr>
          <w:p>
            <w:pPr>
              <w:spacing w:line="240" w:lineRule="auto" w:before="0" w:after="0"/>
              <w:pStyle w:val="Compact"/>
            </w:pPr>
            <w:r>
              <w:rPr>
                <w:sz w:val="20"/>
                <w:szCs w:val="20"/>
              </w:rPr>
              <w:t xml:space="preserve">1314</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0.5878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8.0709</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Pubs=1314 refereed to end-2021 (ESA, arXiv:2402.12818, Table 1); ops 2004-2016=12y; single-target comet 67P rendezvous; archive ~1.8 TB [illustrative]; ESA Rosetta program ~€1.4B ~$3.2B [illustrative USD]</w:t>
            </w:r>
          </w:p>
        </w:tc>
      </w:tr>
      <w:tr>
        <w:tc>
          <w:tcPr>
            <w:tcW w:w="0" w:type="auto"/>
          </w:tcPr>
          <w:p>
            <w:pPr>
              <w:spacing w:line="240" w:lineRule="auto" w:before="0" w:after="0"/>
              <w:pStyle w:val="Compact"/>
            </w:pPr>
            <w:r>
              <w:rPr>
                <w:sz w:val="20"/>
                <w:szCs w:val="20"/>
              </w:rPr>
              <w:t xml:space="preserve">Venus Express</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6.6026</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4.7875</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Pubs=737 refereed to end-2021 (ESA, arXiv:2402.12818, Table 1); ops 2005-2014=9y; single-target Venus orbiter; archive ~0.7 TB [illustrative]; ESA Venus Express ~€220M ~$120M region [illustrative]</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8.0969</w:t>
            </w:r>
          </w:p>
        </w:tc>
        <w:tc>
          <w:tcPr>
            <w:tcW w:w="0" w:type="auto"/>
          </w:tcPr>
          <w:p>
            <w:pPr>
              <w:spacing w:line="240" w:lineRule="auto" w:before="0" w:after="0"/>
              <w:pStyle w:val="Compact"/>
            </w:pPr>
            <w:r>
              <w:rPr>
                <w:sz w:val="20"/>
                <w:szCs w:val="20"/>
              </w:rPr>
              <w:t xml:space="preserve">3284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7.4955</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Pubs=3284 refereed to end-2021 (ESA, arXiv:2402.12818, Table 1); ops 2009-2013=4y; observatory-class far-IR facility (guest-observer); archive ~1.5 TB [illustrative]; ESA Herschel ~€1.1B ~$1.8B [illustrative]</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7.9162</w:t>
            </w:r>
          </w:p>
        </w:tc>
        <w:tc>
          <w:tcPr>
            <w:tcW w:w="0" w:type="auto"/>
          </w:tcPr>
          <w:p>
            <w:pPr>
              <w:spacing w:line="240" w:lineRule="auto" w:before="0" w:after="0"/>
              <w:pStyle w:val="Compact"/>
            </w:pPr>
            <w:r>
              <w:rPr>
                <w:sz w:val="20"/>
                <w:szCs w:val="20"/>
              </w:rPr>
              <w:t xml:space="preserve">2742</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6.9551</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Pubs=2742 refereed to end-2021 (ESA, arXiv:2402.12818, Table 1); ops 2009-2013=4y; all-sky CMB survey (observatory-class data release); archive ~1.5 TB [illustrative]; ESA Planck ~€700M ~$1.05B [illustrative]</w:t>
            </w:r>
          </w:p>
        </w:tc>
      </w:tr>
      <w:tr>
        <w:tc>
          <w:tcPr>
            <w:tcW w:w="0" w:type="auto"/>
          </w:tcPr>
          <w:p>
            <w:pPr>
              <w:spacing w:line="240" w:lineRule="auto" w:before="0" w:after="0"/>
              <w:pStyle w:val="Compact"/>
            </w:pPr>
            <w:r>
              <w:rPr>
                <w:sz w:val="20"/>
                <w:szCs w:val="20"/>
              </w:rPr>
              <w:t xml:space="preserve">PROBA-2</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4.92</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Pubs=137 refereed to end-2021 (ESA, arXiv:2402.12818, Table 1); ops 2009-2021=12y; heliophysics solar-monitor open data; archive ~0.05 TB [illustrative]; ESA PROBA-2 small-sat ~$60M [illustrative]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8.7646</w:t>
            </w:r>
          </w:p>
        </w:tc>
        <w:tc>
          <w:tcPr>
            <w:tcW w:w="0" w:type="auto"/>
          </w:tcPr>
          <w:p>
            <w:pPr>
              <w:spacing w:line="240" w:lineRule="auto" w:before="0" w:after="0"/>
              <w:pStyle w:val="Compact"/>
            </w:pPr>
            <w:r>
              <w:rPr>
                <w:sz w:val="20"/>
                <w:szCs w:val="20"/>
              </w:rPr>
              <w:t xml:space="preserve">6403</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Pubs=6403 refereed to end-2021 (ESA, arXiv:2402.12818, Table 1); ops 2013-2021=8y in window; all-sky astrometric survey (observatory-class data releases); archive ~55 TB region [illustrative]; ESA Gaia ~€1.0B+ ~$1.5B [illustrative]</w:t>
            </w:r>
          </w:p>
        </w:tc>
      </w:tr>
      <w:tr>
        <w:tc>
          <w:tcPr>
            <w:tcW w:w="0" w:type="auto"/>
          </w:tcPr>
          <w:p>
            <w:pPr>
              <w:spacing w:line="240" w:lineRule="auto" w:before="0" w:after="0"/>
              <w:pStyle w:val="Compact"/>
            </w:pPr>
            <w:r>
              <w:rPr>
                <w:sz w:val="20"/>
                <w:szCs w:val="20"/>
              </w:rPr>
              <w:t xml:space="preserve">ExoMars 2016</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4.9273</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Pubs=138 refereed to end-2021 (ESA, arXiv:2402.12818, Table 1); ops 2016-2021=5y; single-target Mars Trace Gas Orbiter; archive ~0.7 TB [illustrative]; ESA ExoMars 2016 ~€650M ~$720M [illustrative]</w:t>
            </w:r>
          </w:p>
        </w:tc>
      </w:tr>
      <w:tr>
        <w:tc>
          <w:tcPr>
            <w:tcW w:w="0" w:type="auto"/>
          </w:tcPr>
          <w:p>
            <w:pPr>
              <w:spacing w:line="240" w:lineRule="auto" w:before="0" w:after="0"/>
              <w:pStyle w:val="Compact"/>
            </w:pPr>
            <w:r>
              <w:rPr>
                <w:sz w:val="20"/>
                <w:szCs w:val="20"/>
              </w:rPr>
              <w:t xml:space="preserve">LISA Pathfinder</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-3.5066</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6.1334</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Pubs=33 refereed to end-2021 (ESA, arXiv:2402.12818, Table 1); ops 2015-2017=2y; observatory-class gravitational-wave technology demonstrator; archive ~0.03 TB [illustrative]; ESA LISA Pathfinder ~€400M ~$460M [illustrative]</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4.2627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Pubs=71 refereed to end-2021 (ESA, arXiv:2402.12818, Table 1, cruise); ops 2018-2021=3y in window; single-target Mercury mission (cruise phase); archive ~0.05 TB cruise [illustrative]; ESA BepiColombo ~€1.3B ~$1.5B [illustrative]</w:t>
            </w:r>
          </w:p>
        </w:tc>
      </w:tr>
      <w:tr>
        <w:tc>
          <w:tcPr>
            <w:tcW w:w="0" w:type="auto"/>
          </w:tcPr>
          <w:p>
            <w:pPr>
              <w:spacing w:line="240" w:lineRule="auto" w:before="0" w:after="0"/>
              <w:pStyle w:val="Compact"/>
            </w:pPr>
            <w:r>
              <w:rPr>
                <w:sz w:val="20"/>
                <w:szCs w:val="20"/>
              </w:rPr>
              <w:t xml:space="preserve">CHEOPS</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-3.5066</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Pubs=38 refereed to end-2021 (ESA, arXiv:2402.12818, Table 1); ops 2019-2021=2y in window; observatory-class exoplanet photometry facility; archive ~0.03 TB [illustrative]; ESA CHEOPS ~€150M ~$160M [illustrative]</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7.6014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5.4596</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6.5567</w:t>
            </w:r>
          </w:p>
        </w:tc>
        <w:tc>
          <w:tcPr>
            <w:tcW w:w="0" w:type="auto"/>
          </w:tcPr>
          <w:p>
            <w:pPr>
              <w:spacing w:line="240" w:lineRule="auto" w:before="0" w:after="0"/>
              <w:pStyle w:val="Compact"/>
            </w:pPr>
            <w:r>
              <w:rPr>
                <w:sz w:val="20"/>
                <w:szCs w:val="20"/>
              </w:rPr>
              <w:t xml:space="preserve">704</w:t>
            </w:r>
          </w:p>
        </w:tc>
        <w:tc>
          <w:tcPr>
            <w:tcW w:w="0" w:type="auto"/>
          </w:tcPr>
          <w:p>
            <w:pPr>
              <w:spacing w:line="240" w:lineRule="auto" w:before="0" w:after="0"/>
              <w:pStyle w:val="Compact"/>
            </w:pPr>
            <w:r>
              <w:rPr>
                <w:sz w:val="20"/>
                <w:szCs w:val="20"/>
              </w:rPr>
              <w:t xml:space="preserve">Pubs≈2000 peer-reviewed citing MRO/HiRISE (HiRISE 2006-2022 retrospective, ui.adsabs.harvard.edu/abs/2022EPSC…16…38M); ops 2006-2021=15y; single-target Mars orbiter; archive 235+ TB to PDS Imaging Node (pds-imaging.jpl.nasa.gov/volumes/mro.html); MRO cost ~$704M (NASA/Planetary Society)</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ln_pubs</w:t>
            </w:r>
          </w:p>
        </w:tc>
        <w:tc>
          <w:tcPr>
            <w:tcW w:w="0" w:type="auto"/>
          </w:tcPr>
          <w:p>
            <w:pPr>
              <w:spacing w:line="240" w:lineRule="auto" w:before="0" w:after="0"/>
              <w:pStyle w:val="Compact"/>
            </w:pPr>
            <w:r>
              <w:rPr>
                <w:sz w:val="20"/>
                <w:szCs w:val="20"/>
              </w:rPr>
              <w:t xml:space="preserve">Natural log of the cumulative count of refereed publications attributed to the mission data archive through end-2021</w:t>
            </w:r>
          </w:p>
        </w:tc>
        <w:tc>
          <w:tcPr>
            <w:tcW w:w="0" w:type="auto"/>
          </w:tcPr>
          <w:p>
            <w:pPr>
              <w:spacing w:line="240" w:lineRule="auto" w:before="0" w:after="0"/>
              <w:pStyle w:val="Compact"/>
            </w:pPr>
            <w:r>
              <w:rPr>
                <w:sz w:val="20"/>
                <w:szCs w:val="20"/>
              </w:rPr>
              <w:t xml:space="preserve">ESA Mission Publications study (arXiv:2402.12818, Tables 1-2); MRO via HiRISE 2006-2022 ADS retrospective</w:t>
            </w:r>
          </w:p>
        </w:tc>
      </w:tr>
      <w:tr>
        <w:tc>
          <w:tcPr>
            <w:tcW w:w="0" w:type="auto"/>
          </w:tcPr>
          <w:p>
            <w:pPr>
              <w:spacing w:line="240" w:lineRule="auto" w:before="0" w:after="0"/>
              <w:pStyle w:val="Compact"/>
            </w:pPr>
            <w:r>
              <w:rPr>
                <w:sz w:val="20"/>
                <w:szCs w:val="20"/>
              </w:rPr>
              <w:t xml:space="preserve">ln_life_years</w:t>
            </w:r>
          </w:p>
        </w:tc>
        <w:tc>
          <w:tcPr>
            <w:tcW w:w="0" w:type="auto"/>
          </w:tcPr>
          <w:p>
            <w:pPr>
              <w:spacing w:line="240" w:lineRule="auto" w:before="0" w:after="0"/>
              <w:pStyle w:val="Compact"/>
            </w:pPr>
            <w:r>
              <w:rPr>
                <w:sz w:val="20"/>
                <w:szCs w:val="20"/>
              </w:rPr>
              <w:t xml:space="preserve">Natural log of operational/archive-accumulation lifetime in years, from the documented launch-to-end (or launch-to-2021) operations span</w:t>
            </w:r>
          </w:p>
        </w:tc>
        <w:tc>
          <w:tcPr>
            <w:tcW w:w="0" w:type="auto"/>
          </w:tcPr>
          <w:p>
            <w:pPr>
              <w:spacing w:line="240" w:lineRule="auto" w:before="0" w:after="0"/>
              <w:pStyle w:val="Compact"/>
            </w:pPr>
            <w:r>
              <w:rPr>
                <w:sz w:val="20"/>
                <w:szCs w:val="20"/>
              </w:rPr>
              <w:t xml:space="preserve">ESA Mission Publications study</w:t>
            </w:r>
            <w:r>
              <w:rPr>
                <w:sz w:val="20"/>
                <w:szCs w:val="20"/>
              </w:rPr>
              <w:t xml:space="preserve"> </w:t>
            </w:r>
            <w:r>
              <w:rPr>
                <w:sz w:val="20"/>
                <w:szCs w:val="20"/>
              </w:rPr>
              <w:t xml:space="preserve">‘Operations’</w:t>
            </w:r>
            <w:r>
              <w:rPr>
                <w:sz w:val="20"/>
                <w:szCs w:val="20"/>
              </w:rPr>
              <w:t xml:space="preserve"> </w:t>
            </w:r>
            <w:r>
              <w:rPr>
                <w:sz w:val="20"/>
                <w:szCs w:val="20"/>
              </w:rPr>
              <w:t xml:space="preserve">column (arXiv:2402.12818); NASA mission pages</w:t>
            </w:r>
          </w:p>
        </w:tc>
      </w:tr>
      <w:tr>
        <w:tc>
          <w:tcPr>
            <w:tcW w:w="0" w:type="auto"/>
          </w:tcPr>
          <w:p>
            <w:pPr>
              <w:spacing w:line="240" w:lineRule="auto" w:before="0" w:after="0"/>
              <w:pStyle w:val="Compact"/>
            </w:pPr>
            <w:r>
              <w:rPr>
                <w:sz w:val="20"/>
                <w:szCs w:val="20"/>
              </w:rPr>
              <w:t xml:space="preserve">observatory_class</w:t>
            </w:r>
          </w:p>
        </w:tc>
        <w:tc>
          <w:tcPr>
            <w:tcW w:w="0" w:type="auto"/>
          </w:tcPr>
          <w:p>
            <w:pPr>
              <w:spacing w:line="240" w:lineRule="auto" w:before="0" w:after="0"/>
              <w:pStyle w:val="Compact"/>
            </w:pPr>
            <w:r>
              <w:rPr>
                <w:sz w:val="20"/>
                <w:szCs w:val="20"/>
              </w:rPr>
              <w:t xml:space="preserve">Indicator = 1 if the mission is a survey or pointed-observatory facility serving an open user community (general-observer time, all-sky or large-area data products); 0 if a single-target probe/lander</w:t>
            </w:r>
          </w:p>
        </w:tc>
        <w:tc>
          <w:tcPr>
            <w:tcW w:w="0" w:type="auto"/>
          </w:tcPr>
          <w:p>
            <w:pPr>
              <w:spacing w:line="240" w:lineRule="auto" w:before="0" w:after="0"/>
              <w:pStyle w:val="Compact"/>
            </w:pPr>
            <w:r>
              <w:rPr>
                <w:sz w:val="20"/>
                <w:szCs w:val="20"/>
              </w:rPr>
              <w:t xml:space="preserve">Mission descriptions: ESA/NASA mission overview pages; instrument class</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Indicator = 1 if the mission targets a planetary/solar-system body (planet, moon, comet, asteroid); 0 for astronomy/heliophysics observatory missions</w:t>
            </w:r>
          </w:p>
        </w:tc>
        <w:tc>
          <w:tcPr>
            <w:tcW w:w="0" w:type="auto"/>
          </w:tcPr>
          <w:p>
            <w:pPr>
              <w:spacing w:line="240" w:lineRule="auto" w:before="0" w:after="0"/>
              <w:pStyle w:val="Compact"/>
            </w:pPr>
            <w:r>
              <w:rPr>
                <w:sz w:val="20"/>
                <w:szCs w:val="20"/>
              </w:rPr>
              <w:t xml:space="preserve">Mission target classification: NASA Planetary Data System and ESA mission pages</w:t>
            </w:r>
          </w:p>
        </w:tc>
      </w:tr>
      <w:tr>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Cumulative refereed publication count (level), dependent variable in levels</w:t>
            </w:r>
          </w:p>
        </w:tc>
        <w:tc>
          <w:tcPr>
            <w:tcW w:w="0" w:type="auto"/>
          </w:tcPr>
          <w:p>
            <w:pPr>
              <w:spacing w:line="240" w:lineRule="auto" w:before="0" w:after="0"/>
              <w:pStyle w:val="Compact"/>
            </w:pPr>
            <w:r>
              <w:rPr>
                <w:sz w:val="20"/>
                <w:szCs w:val="20"/>
              </w:rPr>
              <w:t xml:space="preserve">ESA Mission Publications study (arXiv:2402.12818); HiRISE ADS retrospective for MRO</w:t>
            </w:r>
          </w:p>
        </w:tc>
      </w:tr>
      <w:tr>
        <w:tc>
          <w:tcPr>
            <w:tcW w:w="0" w:type="auto"/>
          </w:tcPr>
          <w:p>
            <w:pPr>
              <w:spacing w:line="240" w:lineRule="auto" w:before="0" w:after="0"/>
              <w:pStyle w:val="Compact"/>
            </w:pPr>
            <w:r>
              <w:rPr>
                <w:sz w:val="20"/>
                <w:szCs w:val="20"/>
              </w:rPr>
              <w:t xml:space="preserve">data_tb</w:t>
            </w:r>
          </w:p>
        </w:tc>
        <w:tc>
          <w:tcPr>
            <w:tcW w:w="0" w:type="auto"/>
          </w:tcPr>
          <w:p>
            <w:pPr>
              <w:spacing w:line="240" w:lineRule="auto" w:before="0" w:after="0"/>
              <w:pStyle w:val="Compact"/>
            </w:pPr>
            <w:r>
              <w:rPr>
                <w:sz w:val="20"/>
                <w:szCs w:val="20"/>
              </w:rPr>
              <w:t xml:space="preserve">Approximate archived data volume in terabytes (auxiliary descriptive variable, not a regressor)</w:t>
            </w:r>
          </w:p>
        </w:tc>
        <w:tc>
          <w:tcPr>
            <w:tcW w:w="0" w:type="auto"/>
          </w:tcPr>
          <w:p>
            <w:pPr>
              <w:spacing w:line="240" w:lineRule="auto" w:before="0" w:after="0"/>
              <w:pStyle w:val="Compact"/>
            </w:pPr>
            <w:r>
              <w:rPr>
                <w:sz w:val="20"/>
                <w:szCs w:val="20"/>
              </w:rPr>
              <w:t xml:space="preserve">PDS Imaging Node volume pages; STScI MAST holdings; mission press materials</w:t>
            </w:r>
          </w:p>
        </w:tc>
      </w:tr>
      <w:tr>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Approximate mission lifecycle cost in millions of USD (auxiliary descriptive variable, not a regressor)</w:t>
            </w:r>
          </w:p>
        </w:tc>
        <w:tc>
          <w:tcPr>
            <w:tcW w:w="0" w:type="auto"/>
          </w:tcPr>
          <w:p>
            <w:pPr>
              <w:spacing w:line="240" w:lineRule="auto" w:before="0" w:after="0"/>
              <w:pStyle w:val="Compact"/>
            </w:pPr>
            <w:r>
              <w:rPr>
                <w:sz w:val="20"/>
                <w:szCs w:val="20"/>
              </w:rPr>
              <w:t xml:space="preserve">NASA mission pages; The Planetary Society cost charts; GAO cost factsheets; ESA mission figures</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2.6473</w:t>
            </w:r>
          </w:p>
        </w:tc>
        <w:tc>
          <w:tcPr>
            <w:tcW w:w="0" w:type="auto"/>
          </w:tcPr>
          <w:p>
            <w:pPr>
              <w:spacing w:line="240" w:lineRule="auto" w:before="0" w:after="0"/>
              <w:pStyle w:val="Compact"/>
            </w:pPr>
            <w:r>
              <w:rPr>
                <w:sz w:val="20"/>
                <w:szCs w:val="20"/>
              </w:rPr>
              <w:t xml:space="preserve">0.5205</w:t>
            </w:r>
          </w:p>
        </w:tc>
        <w:tc>
          <w:tcPr>
            <w:tcW w:w="0" w:type="auto"/>
          </w:tcPr>
          <w:p>
            <w:pPr>
              <w:spacing w:line="240" w:lineRule="auto" w:before="0" w:after="0"/>
              <w:pStyle w:val="Compact"/>
            </w:pPr>
            <w:r>
              <w:rPr>
                <w:sz w:val="20"/>
                <w:szCs w:val="20"/>
              </w:rPr>
              <w:t xml:space="preserve">5.0858</w:t>
            </w:r>
          </w:p>
        </w:tc>
        <w:tc>
          <w:tcPr>
            <w:tcW w:w="0" w:type="auto"/>
          </w:tcPr>
          <w:p>
            <w:pPr>
              <w:spacing w:line="240" w:lineRule="auto" w:before="0" w:after="0"/>
              <w:pStyle w:val="Compact"/>
            </w:pPr>
            <w:r>
              <w:rPr>
                <w:sz w:val="20"/>
                <w:szCs w:val="20"/>
              </w:rPr>
              <w:t xml:space="preserve">3.661e-07</w:t>
            </w:r>
          </w:p>
        </w:tc>
        <w:tc>
          <w:tcPr>
            <w:tcW w:w="0" w:type="auto"/>
          </w:tcPr>
          <w:p>
            <w:pPr>
              <w:spacing w:line="240" w:lineRule="auto" w:before="0" w:after="0"/>
              <w:pStyle w:val="Compact"/>
            </w:pPr>
            <w:r>
              <w:rPr>
                <w:sz w:val="20"/>
                <w:szCs w:val="20"/>
              </w:rPr>
              <w:t xml:space="preserve">[1.6271, 3.6675]</w:t>
            </w:r>
          </w:p>
        </w:tc>
      </w:tr>
      <w:tr>
        <w:tc>
          <w:tcPr>
            <w:tcW w:w="0" w:type="auto"/>
          </w:tcPr>
          <w:p>
            <w:pPr>
              <w:spacing w:line="240" w:lineRule="auto" w:before="0" w:after="0"/>
              <w:pStyle w:val="Compact"/>
            </w:pPr>
            <w:r>
              <w:rPr>
                <w:sz w:val="20"/>
                <w:szCs w:val="20"/>
              </w:rPr>
              <w:t xml:space="preserve">ln_life_years</w:t>
            </w:r>
          </w:p>
        </w:tc>
        <w:tc>
          <w:tcPr>
            <w:tcW w:w="0" w:type="auto"/>
          </w:tcPr>
          <w:p>
            <w:pPr>
              <w:spacing w:line="240" w:lineRule="auto" w:before="0" w:after="0"/>
              <w:pStyle w:val="Compact"/>
            </w:pPr>
            <w:r>
              <w:rPr>
                <w:sz w:val="20"/>
                <w:szCs w:val="20"/>
              </w:rPr>
              <w:t xml:space="preserve">1.2729</w:t>
            </w:r>
          </w:p>
        </w:tc>
        <w:tc>
          <w:tcPr>
            <w:tcW w:w="0" w:type="auto"/>
          </w:tcPr>
          <w:p>
            <w:pPr>
              <w:spacing w:line="240" w:lineRule="auto" w:before="0" w:after="0"/>
              <w:pStyle w:val="Compact"/>
            </w:pPr>
            <w:r>
              <w:rPr>
                <w:sz w:val="20"/>
                <w:szCs w:val="20"/>
              </w:rPr>
              <w:t xml:space="preserve">0.3278</w:t>
            </w:r>
          </w:p>
        </w:tc>
        <w:tc>
          <w:tcPr>
            <w:tcW w:w="0" w:type="auto"/>
          </w:tcPr>
          <w:p>
            <w:pPr>
              <w:spacing w:line="240" w:lineRule="auto" w:before="0" w:after="0"/>
              <w:pStyle w:val="Compact"/>
            </w:pPr>
            <w:r>
              <w:rPr>
                <w:sz w:val="20"/>
                <w:szCs w:val="20"/>
              </w:rPr>
              <w:t xml:space="preserve">3.8837</w:t>
            </w:r>
          </w:p>
        </w:tc>
        <w:tc>
          <w:tcPr>
            <w:tcW w:w="0" w:type="auto"/>
          </w:tcPr>
          <w:p>
            <w:pPr>
              <w:spacing w:line="240" w:lineRule="auto" w:before="0" w:after="0"/>
              <w:pStyle w:val="Compact"/>
            </w:pPr>
            <w:r>
              <w:rPr>
                <w:sz w:val="20"/>
                <w:szCs w:val="20"/>
              </w:rPr>
              <w:t xml:space="preserve">0.0001029</w:t>
            </w:r>
          </w:p>
        </w:tc>
        <w:tc>
          <w:tcPr>
            <w:tcW w:w="0" w:type="auto"/>
          </w:tcPr>
          <w:p>
            <w:pPr>
              <w:spacing w:line="240" w:lineRule="auto" w:before="0" w:after="0"/>
              <w:pStyle w:val="Compact"/>
            </w:pPr>
            <w:r>
              <w:rPr>
                <w:sz w:val="20"/>
                <w:szCs w:val="20"/>
              </w:rPr>
              <w:t xml:space="preserve">[0.6305, 1.9153]</w:t>
            </w:r>
          </w:p>
        </w:tc>
      </w:tr>
      <w:tr>
        <w:tc>
          <w:tcPr>
            <w:tcW w:w="0" w:type="auto"/>
          </w:tcPr>
          <w:p>
            <w:pPr>
              <w:spacing w:line="240" w:lineRule="auto" w:before="0" w:after="0"/>
              <w:pStyle w:val="Compact"/>
            </w:pPr>
            <w:r>
              <w:rPr>
                <w:sz w:val="20"/>
                <w:szCs w:val="20"/>
              </w:rPr>
              <w:t xml:space="preserve">observatory_class</w:t>
            </w:r>
          </w:p>
        </w:tc>
        <w:tc>
          <w:tcPr>
            <w:tcW w:w="0" w:type="auto"/>
          </w:tcPr>
          <w:p>
            <w:pPr>
              <w:spacing w:line="240" w:lineRule="auto" w:before="0" w:after="0"/>
              <w:pStyle w:val="Compact"/>
            </w:pPr>
            <w:r>
              <w:rPr>
                <w:sz w:val="20"/>
                <w:szCs w:val="20"/>
              </w:rPr>
              <w:t xml:space="preserve">1.9565</w:t>
            </w:r>
          </w:p>
        </w:tc>
        <w:tc>
          <w:tcPr>
            <w:tcW w:w="0" w:type="auto"/>
          </w:tcPr>
          <w:p>
            <w:pPr>
              <w:spacing w:line="240" w:lineRule="auto" w:before="0" w:after="0"/>
              <w:pStyle w:val="Compact"/>
            </w:pPr>
            <w:r>
              <w:rPr>
                <w:sz w:val="20"/>
                <w:szCs w:val="20"/>
              </w:rPr>
              <w:t xml:space="preserve">0.4259</w:t>
            </w:r>
          </w:p>
        </w:tc>
        <w:tc>
          <w:tcPr>
            <w:tcW w:w="0" w:type="auto"/>
          </w:tcPr>
          <w:p>
            <w:pPr>
              <w:spacing w:line="240" w:lineRule="auto" w:before="0" w:after="0"/>
              <w:pStyle w:val="Compact"/>
            </w:pPr>
            <w:r>
              <w:rPr>
                <w:sz w:val="20"/>
                <w:szCs w:val="20"/>
              </w:rPr>
              <w:t xml:space="preserve">4.594</w:t>
            </w:r>
          </w:p>
        </w:tc>
        <w:tc>
          <w:tcPr>
            <w:tcW w:w="0" w:type="auto"/>
          </w:tcPr>
          <w:p>
            <w:pPr>
              <w:spacing w:line="240" w:lineRule="auto" w:before="0" w:after="0"/>
              <w:pStyle w:val="Compact"/>
            </w:pPr>
            <w:r>
              <w:rPr>
                <w:sz w:val="20"/>
                <w:szCs w:val="20"/>
              </w:rPr>
              <w:t xml:space="preserve">4.349e-06</w:t>
            </w:r>
          </w:p>
        </w:tc>
        <w:tc>
          <w:tcPr>
            <w:tcW w:w="0" w:type="auto"/>
          </w:tcPr>
          <w:p>
            <w:pPr>
              <w:spacing w:line="240" w:lineRule="auto" w:before="0" w:after="0"/>
              <w:pStyle w:val="Compact"/>
            </w:pPr>
            <w:r>
              <w:rPr>
                <w:sz w:val="20"/>
                <w:szCs w:val="20"/>
              </w:rPr>
              <w:t xml:space="preserve">[1.1218, 2.7912]</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0.6908</w:t>
            </w:r>
          </w:p>
        </w:tc>
        <w:tc>
          <w:tcPr>
            <w:tcW w:w="0" w:type="auto"/>
          </w:tcPr>
          <w:p>
            <w:pPr>
              <w:spacing w:line="240" w:lineRule="auto" w:before="0" w:after="0"/>
              <w:pStyle w:val="Compact"/>
            </w:pPr>
            <w:r>
              <w:rPr>
                <w:sz w:val="20"/>
                <w:szCs w:val="20"/>
              </w:rPr>
              <w:t xml:space="preserve">0.2236</w:t>
            </w:r>
          </w:p>
        </w:tc>
        <w:tc>
          <w:tcPr>
            <w:tcW w:w="0" w:type="auto"/>
          </w:tcPr>
          <w:p>
            <w:pPr>
              <w:spacing w:line="240" w:lineRule="auto" w:before="0" w:after="0"/>
              <w:pStyle w:val="Compact"/>
            </w:pPr>
            <w:r>
              <w:rPr>
                <w:sz w:val="20"/>
                <w:szCs w:val="20"/>
              </w:rPr>
              <w:t xml:space="preserve">3.0899</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[0.2526, 1.129]</w:t>
            </w:r>
          </w:p>
        </w:tc>
      </w:tr>
    </w:tbl>
    <w:p>
      <w:pPr>
        <w:pStyle w:val="BodyText"/>
      </w:pPr>
      <w:r>
        <w:t xml:space="preserve">Fit: N = 24 R2 = 0.5213 R2_adj = 0.4757 F = 502.9104 F_p = 1.048e-19</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1" Target="https://doi.org/10.1016/j.actaastro.2017.09.019" TargetMode="External" /><Relationship Type="http://schemas.openxmlformats.org/officeDocument/2006/relationships/hyperlink" Id="rId73" Target="https://doi.org/10.1016/j.actaastro.2019.09.029" TargetMode="External" /><Relationship Type="http://schemas.openxmlformats.org/officeDocument/2006/relationships/hyperlink" Id="rId77" Target="https://doi.org/10.1016/j.actaastro.2024.05.046"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17.09.019" TargetMode="External" /><Relationship Type="http://schemas.openxmlformats.org/officeDocument/2006/relationships/hyperlink" Id="rId73" Target="https://doi.org/10.1016/j.actaastro.2019.09.029" TargetMode="External" /><Relationship Type="http://schemas.openxmlformats.org/officeDocument/2006/relationships/hyperlink" Id="rId77" Target="https://doi.org/10.1016/j.actaastro.2024.05.0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2026-06-22T20:32:19Z</dcterms:created>
  <dcterms:modified xsi:type="dcterms:W3CDTF">2026-06-22T20:32:19Z</dcterms:modified>
</cp:coreProperties>
</file>

<file path=docProps/custom.xml><?xml version="1.0" encoding="utf-8"?>
<Properties xmlns="http://schemas.openxmlformats.org/officeDocument/2006/custom-properties" xmlns:vt="http://schemas.openxmlformats.org/officeDocument/2006/docPropsVTypes"/>
</file>