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SCIENCE PRODUCTIVITY OF PLANETARY DATA ARCHIVES: A BIBLIOMETRIC PRODUCTION FUNCTION</w:t>
      </w:r>
    </w:p>
    <w:p>
      <w:pPr>
        <w:jc w:val="center"/>
      </w:pPr>
    </w:p>
    <w:p>
      <w:pPr>
        <w:jc w:val="center"/>
      </w:pPr>
      <w:r>
        <w:rPr>
          <w:rFonts w:ascii="Times New Roman" w:hAnsi="Times New Roman"/>
          <w:sz w:val="24"/>
        </w:rPr>
        <w:t>by</w:t>
      </w:r>
    </w:p>
    <w:p>
      <w:pPr>
        <w:jc w:val="center"/>
      </w:pPr>
      <w:r>
        <w:rPr>
          <w:rFonts w:ascii="Times New Roman" w:hAnsi="Times New Roman"/>
          <w:b/>
          <w:sz w:val="28"/>
        </w:rPr>
        <w:t>Vincent Bianchi</w:t>
      </w:r>
    </w:p>
    <w:p>
      <w:pPr>
        <w:jc w:val="center"/>
      </w:pPr>
      <w:r>
        <w:rPr>
          <w:rFonts w:ascii="Times New Roman" w:hAnsi="Times New Roman"/>
          <w:sz w:val="24"/>
        </w:rPr>
        <w:t>1B-SDS-034</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two-assets-of-a-planetary-mission"/>
    <w:p>
      <w:pPr>
        <w:pStyle w:val="Heading2"/>
        <w:spacing w:line="480" w:lineRule="auto"/>
      </w:pPr>
      <w:r>
        <w:t xml:space="preserve">1.1 The Two Assets of a Planetary Mission</w:t>
      </w:r>
    </w:p>
    <w:p>
      <w:pPr>
        <w:pStyle w:val="FirstParagraph"/>
        <w:spacing w:line="480" w:lineRule="auto"/>
      </w:pPr>
      <w:r>
        <w:t xml:space="preserve">A planetary mission produces two distinct assets, and only one of them is finite. The first asset is the spacecraft and its operational lifetime. It is launched, it operates, it degrades, and it ends. The second asset is the archived data product: the calibrated, documented, versioned record of what the instruments measured, curated and released to the public so that it can be re-analyzed by anyone, indefinitely</w:t>
      </w:r>
      <w:r>
        <w:t xml:space="preserve"> </w:t>
      </w:r>
      <w:hyperlink w:anchor="ref-1">
        <w:r>
          <w:rPr>
            <w:rStyle w:val="Hyperlink"/>
          </w:rPr>
          <w:t xml:space="preserve">[1]</w:t>
        </w:r>
      </w:hyperlink>
      <w:r>
        <w:t xml:space="preserve">. The spacecraft is the asset the agency builds; the archive is the asset the agency leaves behind. NASA formalized that distinction when it established the Planetary Data System (PDS) in 1989 to remedy a chronic neglect of mission data documentation and archiving, and the system has since grown to more than 1.2 petabytes distributed across six discipline nodes</w:t>
      </w:r>
      <w:r>
        <w:t xml:space="preserve"> </w:t>
      </w:r>
      <w:hyperlink w:anchor="ref-7">
        <w:r>
          <w:rPr>
            <w:rStyle w:val="Hyperlink"/>
          </w:rPr>
          <w:t xml:space="preserve">[7]</w:t>
        </w:r>
      </w:hyperlink>
      <w:r>
        <w:t xml:space="preserve">.</w:t>
      </w:r>
    </w:p>
    <w:p>
      <w:pPr>
        <w:pStyle w:val="BodyText"/>
        <w:spacing w:line="480" w:lineRule="auto"/>
        <w:ind w:firstLine="720"/>
      </w:pPr>
      <w:r>
        <w:t xml:space="preserve">The premise that organizes this entire dissertation is that the second asset, the archive, keeps producing science long after the first asset, the spacecraft, has gone silent. Mission concepts state the premise plainly. They justify the cost of curation and release on the expectation that public data products will be made available through standard channels and will multiply downstream science for decades</w:t>
      </w:r>
      <w:r>
        <w:t xml:space="preserve"> </w:t>
      </w:r>
      <w:hyperlink w:anchor="ref-1">
        <w:r>
          <w:rPr>
            <w:rStyle w:val="Hyperlink"/>
          </w:rPr>
          <w:t xml:space="preserve">[1]</w:t>
        </w:r>
      </w:hyperlink>
      <w:r>
        <w:t xml:space="preserve">. Space-economy syntheses make the parallel claim at the level of the sector: space-derived data, products, and knowledge generate value on the economy and on society well past the moment of acquisition</w:t>
      </w:r>
      <w:r>
        <w:t xml:space="preserve"> </w:t>
      </w:r>
      <w:hyperlink w:anchor="ref-2">
        <w:r>
          <w:rPr>
            <w:rStyle w:val="Hyperlink"/>
          </w:rPr>
          <w:t xml:space="preserve">[2]</w:t>
        </w:r>
      </w:hyperlink>
      <w:r>
        <w:t xml:space="preserve">, and the downstream value of data is treated as a defining feature of the sector’s economics</w:t>
      </w:r>
      <w:r>
        <w:t xml:space="preserve"> </w:t>
      </w:r>
      <w:hyperlink w:anchor="ref-6">
        <w:r>
          <w:rPr>
            <w:rStyle w:val="Hyperlink"/>
          </w:rPr>
          <w:t xml:space="preserve">[6]</w:t>
        </w:r>
      </w:hyperlink>
      <w:r>
        <w:t xml:space="preserve">. The claim is intuitive, it is repeated across mission documentation and policy literature alike, and it is the working assumption behind every dollar an agency spends on calibration pipelines, documentation, and access infrastructure rather than on new instruments.</w:t>
      </w:r>
    </w:p>
    <w:p>
      <w:pPr>
        <w:pStyle w:val="BodyText"/>
        <w:spacing w:line="480" w:lineRule="auto"/>
        <w:ind w:firstLine="720"/>
      </w:pPr>
      <w:r>
        <w:t xml:space="preserve">The claim is also, in its quantitative form, almost entirely unmeasured. That gap between an asserted return and an estimated one is the subject of this work.</w:t>
      </w:r>
    </w:p>
    <w:bookmarkEnd w:id="61"/>
    <w:bookmarkStart w:id="62" w:name="Xcb0f77f4348050868b365a065d591de0dfc7e77"/>
    <w:p>
      <w:pPr>
        <w:pStyle w:val="Heading2"/>
        <w:spacing w:line="480" w:lineRule="auto"/>
      </w:pPr>
      <w:r>
        <w:t xml:space="preserve">1.2 The Problem and Its Stakes for NASA and JPL</w:t>
      </w:r>
    </w:p>
    <w:p>
      <w:pPr>
        <w:pStyle w:val="FirstParagraph"/>
        <w:spacing w:line="480" w:lineRule="auto"/>
      </w:pPr>
      <w:r>
        <w:t xml:space="preserve">The problem can be stated in a single sentence. Agencies invest in the accessibility of archived data on the belief that better access yields more science, but the elasticity of science output with respect to access has never been estimated for the planetary archive. The belief is structural to how the Planetary Data System operates: it allocates effort to curation, to documentation, to the migration of legacy holdings into modernized standards, and to the activation of programmatic access endpoints, and every unit of that effort is spent on the theory that accessibility converts a one-time instrument investment into a long tail of recurring publications. Yet the magnitude of that conversion is unknown. The premise is asserted as a design commitment, not identified as an estimated return.</w:t>
      </w:r>
    </w:p>
    <w:p>
      <w:pPr>
        <w:pStyle w:val="BodyText"/>
        <w:spacing w:line="480" w:lineRule="auto"/>
        <w:ind w:firstLine="720"/>
      </w:pPr>
      <w:r>
        <w:t xml:space="preserve">For NASA and for the Jet Propulsion Laboratory, the consequence is that two recurring and expensive decisions are made without the one number that would discipline them. The first is an allocation decision. Given a fixed planetary-science budget, how much should flow to acquiring new data through new missions, and how much should flow to raising the accessibility of the holdings already on the ground, Every archive node faces a version of this trade at smaller scale when it sets its curation queue. The second is a design decision. For a given archive, how much curation, documentation, and access engineering is warranted, and where do the returns to that effort begin to flatten, Both decisions rest on the same unmeasured quantity: the proportional increase in subsequent science that a proportional increase in accessibility actually buys. Without it, the choice between funding new acquisition and funding the accessibility of existing holdings is made blind, and the choice of how much curation a given archive merits is made by intuition.</w:t>
      </w:r>
    </w:p>
    <w:p>
      <w:pPr>
        <w:pStyle w:val="BodyText"/>
        <w:spacing w:line="480" w:lineRule="auto"/>
        <w:ind w:firstLine="720"/>
      </w:pPr>
      <w:r>
        <w:t xml:space="preserve">The stakes are not hypothetical, because the archive is the dominant scientific product by duration. A spacecraft operates for years; its archive is mined for decades. A single authoritative bibliometric census of space-science missions examined more than 68,000 refereed publications across 36 missions and documented per-mission output totals running from the dozens into the thousands</w:t>
      </w:r>
      <w:r>
        <w:t xml:space="preserve"> </w:t>
      </w:r>
      <w:hyperlink w:anchor="ref-9">
        <w:r>
          <w:rPr>
            <w:rStyle w:val="Hyperlink"/>
          </w:rPr>
          <w:t xml:space="preserve">[9]</w:t>
        </w:r>
      </w:hyperlink>
      <w:r>
        <w:t xml:space="preserve">, and long-lived planetary archives in particular have sustained very large literatures once their longevity and instrument breadth are accounted for</w:t>
      </w:r>
      <w:r>
        <w:t xml:space="preserve"> </w:t>
      </w:r>
      <w:hyperlink w:anchor="ref-13">
        <w:r>
          <w:rPr>
            <w:rStyle w:val="Hyperlink"/>
          </w:rPr>
          <w:t xml:space="preserve">[13]</w:t>
        </w:r>
      </w:hyperlink>
      <w:r>
        <w:t xml:space="preserve">. If even a modest fraction of that downstream literature is responsive to accessibility, then the accessibility of the archive is among the highest-leverage variables in the planetary-science portfolio, and the absence of an estimate of its return is a first-order omission rather than an academic curiosity. The accompanying research papers of this dissertation make the magnitude tangible: a cross-section of 24 planetary and space-science missions yields an operational-longevity elasticity of cumulative output above unity and a large, precisely estimated output premium for the observatory access model, establishing that archive-level structural features move output by economically meaningful proportions and that the production relationship is estimable in practice rather than merely in principle.</w:t>
      </w:r>
    </w:p>
    <w:bookmarkEnd w:id="62"/>
    <w:bookmarkStart w:id="63" w:name="Xfb88ffc49ee5343136593b06b1ccea157d2ec8a"/>
    <w:p>
      <w:pPr>
        <w:pStyle w:val="Heading2"/>
        <w:spacing w:line="480" w:lineRule="auto"/>
      </w:pPr>
      <w:r>
        <w:t xml:space="preserve">1.3 The Gap Between the Domain Literature and the Method Literature</w:t>
      </w:r>
    </w:p>
    <w:p>
      <w:pPr>
        <w:pStyle w:val="FirstParagraph"/>
        <w:spacing w:line="480" w:lineRule="auto"/>
      </w:pPr>
      <w:r>
        <w:t xml:space="preserve">The question this dissertation answers sits in the seam between two bodies of work that have never been joined. On one side is the planetary and space-science domain literature; on the other is the econometric method literature on the production function. Each is mature. Neither, on its own, closes the question, and the precise shape of the gap is what motivates the contribution.</w:t>
      </w:r>
    </w:p>
    <w:p>
      <w:pPr>
        <w:pStyle w:val="BodyText"/>
        <w:spacing w:line="480" w:lineRule="auto"/>
        <w:ind w:firstLine="720"/>
      </w:pPr>
      <w:r>
        <w:t xml:space="preserve">Three strands of the domain literature touch the question and none resolves it. The mission-concept strand asserts public data release as a benefit but never measures the science that release produces. The assertion enters as a design commitment, a promise that data will be made public, rather than as an estimated return on the curation that makes the data usable</w:t>
      </w:r>
      <w:r>
        <w:t xml:space="preserve"> </w:t>
      </w:r>
      <w:hyperlink w:anchor="ref-1">
        <w:r>
          <w:rPr>
            <w:rStyle w:val="Hyperlink"/>
          </w:rPr>
          <w:t xml:space="preserve">[1]</w:t>
        </w:r>
      </w:hyperlink>
      <w:r>
        <w:t xml:space="preserve">. The space-economy strand establishes that data and derived knowledge are productive and valuable inputs to the broader economy and frames space activity in terms of investment and returns</w:t>
      </w:r>
      <w:r>
        <w:t xml:space="preserve"> </w:t>
      </w:r>
      <w:hyperlink w:anchor="ref-2">
        <w:r>
          <w:rPr>
            <w:rStyle w:val="Hyperlink"/>
          </w:rPr>
          <w:t xml:space="preserve">[2]</w:t>
        </w:r>
      </w:hyperlink>
      <w:r>
        <w:t xml:space="preserve">[4][6]. It is correct and it is relevant, but it operates at the altitude of the sector or the firm; it does not descend to the individual archive as a unit of production with measurable inputs and a measurable output. A related strand on open innovation and access regimes in the space sector argues that opening data to a broad community broadens the contributor base and accelerates knowledge production</w:t>
      </w:r>
      <w:r>
        <w:t xml:space="preserve"> </w:t>
      </w:r>
      <w:hyperlink w:anchor="ref-10">
        <w:r>
          <w:rPr>
            <w:rStyle w:val="Hyperlink"/>
          </w:rPr>
          <w:t xml:space="preserve">[10]</w:t>
        </w:r>
      </w:hyperlink>
      <w:r>
        <w:t xml:space="preserve">[11], a claim this dissertation’s companion analysis confirms as a large observatory premium, but that literature too remains at the level of the regime rather than estimating an accessibility elasticity. Finally, a machine-learning-for-space strand has begun treating curated, labeled datasets and benchmark suites as shared scientific infrastructure whose release seeds a measurable downstream research community</w:t>
      </w:r>
      <w:r>
        <w:t xml:space="preserve"> </w:t>
      </w:r>
      <w:hyperlink w:anchor="ref-3">
        <w:r>
          <w:rPr>
            <w:rStyle w:val="Hyperlink"/>
          </w:rPr>
          <w:t xml:space="preserve">[3]</w:t>
        </w:r>
      </w:hyperlink>
      <w:r>
        <w:t xml:space="preserve">[5]. This is precisely the production relationship of interest, the conversion of a released dataset into community science, but it studies a single dataset’s adoption rather than estimating an elasticity across many archives.</w:t>
      </w:r>
    </w:p>
    <w:p>
      <w:pPr>
        <w:pStyle w:val="BodyText"/>
        <w:spacing w:line="480" w:lineRule="auto"/>
        <w:ind w:firstLine="720"/>
      </w:pPr>
      <w:r>
        <w:t xml:space="preserve">The method literature, for its part, offers exactly the apparatus the domain literature lacks. The production function is the canonical economic object for relating measurable inputs to a measurable output and for asking whether a marginal increase in one input raises output once the others are held fixed. Its estimation under panel data, with fixed effects to absorb unit-specific and time-specific heterogeneity, and with count-data conditional-mean models for non-negative integer outputs, is well established. The economics of shared research infrastructure has applied this logic to facilities whose output is analyzed as a function of inputs and access regime</w:t>
      </w:r>
      <w:r>
        <w:t xml:space="preserve"> </w:t>
      </w:r>
      <w:hyperlink w:anchor="ref-2">
        <w:r>
          <w:rPr>
            <w:rStyle w:val="Hyperlink"/>
          </w:rPr>
          <w:t xml:space="preserve">[2]</w:t>
        </w:r>
      </w:hyperlink>
      <w:r>
        <w:t xml:space="preserve">[8]. What the method literature has not been pointed at is the planetary data archive. The tools exist. The application does not.</w:t>
      </w:r>
    </w:p>
    <w:p>
      <w:pPr>
        <w:pStyle w:val="BodyText"/>
        <w:spacing w:line="480" w:lineRule="auto"/>
        <w:ind w:firstLine="720"/>
      </w:pPr>
      <w:r>
        <w:t xml:space="preserve">The gap is therefore specific, and it is identifiable. No existing work models the planetary data archive as a productive unit, specifies its inputs and its output, and estimates the causal effect of accessibility on subsequent scientific output while holding the other inputs constant. The domain literature has the unit and the data but lacks the estimator; the method literature has the estimator but has never been applied to the unit. This dissertation joins the two. It carries the production-function apparatus of the method literature into the planetary-archive setting of the domain literature and produces the one quantity that neither has supplied: an identified, archive-level estimate of the return to accessibility.</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dissertation defends one number. It is the elasticity of annual archive-using publication output with respect to archive accessibility, conditional on accumulated holdings and on the size of the using community. The contribution is deliberately narrow because a single sign-and-magnitude estimate, cleanly identified and honestly reported, is worth more to the decisions in Section 1.2 than a diffuse set of suggestive correlations.</w:t>
      </w:r>
    </w:p>
    <w:p>
      <w:pPr>
        <w:pStyle w:val="BodyText"/>
        <w:spacing w:line="480" w:lineRule="auto"/>
        <w:ind w:firstLine="720"/>
      </w:pPr>
      <w:r>
        <w:t xml:space="preserve">The estimate is framed as a falsifiable test between two hypotheses.</w:t>
      </w:r>
    </w:p>
    <w:p>
      <w:pPr>
        <w:pStyle w:val="BodyText"/>
        <w:spacing w:line="480" w:lineRule="auto"/>
        <w:ind w:firstLine="720"/>
      </w:pPr>
      <w:r>
        <w:rPr>
          <w:b/>
          <w:bCs/>
        </w:rPr>
        <w:t xml:space="preserve">H0 (null).</w:t>
      </w:r>
      <w:r>
        <w:t xml:space="preserve"> </w:t>
      </w:r>
      <w:r>
        <w:t xml:space="preserve">Holding accumulated holdings and community size fixed, the elasticity of subsequent archive-using publication output with respect to archive accessibility is zero. Improving how accessible an archive is does not raise the science it produces.</w:t>
      </w:r>
    </w:p>
    <w:p>
      <w:pPr>
        <w:pStyle w:val="BodyText"/>
        <w:spacing w:line="480" w:lineRule="auto"/>
        <w:ind w:firstLine="720"/>
      </w:pPr>
      <w:r>
        <w:rPr>
          <w:b/>
          <w:bCs/>
        </w:rPr>
        <w:t xml:space="preserve">H1 (alternative).</w:t>
      </w:r>
      <w:r>
        <w:t xml:space="preserve"> </w:t>
      </w:r>
      <w:r>
        <w:t xml:space="preserve">Holding accumulated holdings and community size fixed, that elasticity is strictly positive. A given proportional increase in accessibility produces a positive proportional increase in subsequent archive-using publication output.</w:t>
      </w:r>
    </w:p>
    <w:p>
      <w:pPr>
        <w:pStyle w:val="BodyText"/>
        <w:spacing w:line="480" w:lineRule="auto"/>
        <w:ind w:firstLine="720"/>
      </w:pPr>
      <w:r>
        <w:t xml:space="preserve">The contribution is falsified, and H0 is retained, if the estimated accessibility coefficient is statistically indistinguishable from zero, or if it is negative, under the identification strategy this dissertation adopts. The test is real precisely because it can fail. The companion latency analysis in this body of work, which models the time from a dataset’s release to its first archival-science publication with a proportional-hazards specification, supplies a sobering preview: a coarse binary accessibility flag, taken alone, does not measurably accelerate the arrival of the first science, while sheer released volume shows the strongest, if still uncertain, association with faster uptake. That result does not settle the level question that H0 and H1 address, because speed of first use and eventual level of output are different quantities estimated by different tools, but it establishes that the accessibility coefficient is not guaranteed to be positive and that the hypothesis genuinely stands at risk. The dissertation reports whatever the data return.</w:t>
      </w:r>
    </w:p>
    <w:p>
      <w:pPr>
        <w:pStyle w:val="BodyText"/>
        <w:spacing w:line="480" w:lineRule="auto"/>
        <w:ind w:firstLine="720"/>
      </w:pPr>
      <w:r>
        <w:t xml:space="preserve">To make the hypotheses operational, the dissertation fixes definitions that hold throughout. The</w:t>
      </w:r>
      <w:r>
        <w:t xml:space="preserve"> </w:t>
      </w:r>
      <w:r>
        <w:rPr>
          <w:b/>
          <w:bCs/>
        </w:rPr>
        <w:t xml:space="preserve">unit of analysis</w:t>
      </w:r>
      <w:r>
        <w:t xml:space="preserve"> </w:t>
      </w:r>
      <w:r>
        <w:t xml:space="preserve">is the archive-year, a single NASA Planetary Data System dataset observed in one calendar year. The</w:t>
      </w:r>
      <w:r>
        <w:t xml:space="preserve"> </w:t>
      </w:r>
      <w:r>
        <w:rPr>
          <w:b/>
          <w:bCs/>
        </w:rPr>
        <w:t xml:space="preserve">output</w:t>
      </w:r>
      <w:r>
        <w:t xml:space="preserve"> </w:t>
      </w:r>
      <w:r>
        <w:t xml:space="preserve">is the count of peer-reviewed publications in that year that cite or use that dataset. The three</w:t>
      </w:r>
      <w:r>
        <w:t xml:space="preserve"> </w:t>
      </w:r>
      <w:r>
        <w:rPr>
          <w:b/>
          <w:bCs/>
        </w:rPr>
        <w:t xml:space="preserve">inputs</w:t>
      </w:r>
      <w:r>
        <w:t xml:space="preserve"> </w:t>
      </w:r>
      <w:r>
        <w:t xml:space="preserve">are accessibility, a measured property of the dataset’s release state and access tooling in that year; accumulated holdings, the cumulative data volume released to date; and community size, the number of distinct prior author teams that have used the dataset. Because the output is a non-negative count with overdispersion, estimation uses a panel fixed-effects Poisson pseudo-maximum-likelihood model, which is consistent under the conditional-mean assumption and does not require equidispersion. Dataset fixed effects absorb time-invariant heterogeneity such as the intrinsic scientific richness of a given target body or instrument; year fixed effects absorb sector-wide shocks such as field-wide growth in planetary publishing. The coefficient on the log of accessibility is the elasticity named in H0 and H1.</w:t>
      </w:r>
    </w:p>
    <w:p>
      <w:pPr>
        <w:pStyle w:val="BodyText"/>
        <w:spacing w:line="480" w:lineRule="auto"/>
        <w:ind w:firstLine="720"/>
      </w:pPr>
      <w:r>
        <w:t xml:space="preserve">The central identification threat is that accessibility is not assigned at random. Archives expected to be productive may receive more curation and access investment, which would bias the coefficient upward and let the estimator mistake selection for return. The strategy confronts this with the staggered timing of discrete accessibility upgrades, principally the migration of legacy datasets into the modernized PDS4 access standard and the activation of programmatic access endpoints. The schedule of those upgrades is driven by node-level curation queues and infrastructure rollout rather than by the forecasted productivity of any individual dataset, which is what makes the timing usable for identification. Within dataset and year fixed effects, the elasticity is identified off the within-archive change in publication output around these access transitions, in a difference-in-differences event structure. Leads-and-lags event-study specifications test for the pre-trends that would invalidate the design, and a negative-binomial alternative checks the robustness of the conditional mean. The data that support all of this are real and publicly obtainable: the PDS dataset registry supplies the inputs and the dated access-transition history, and the citing literature is resolved through formal data-citation infrastructure joined to full-text mention resolution over the open planetary-science corpus, with provenance preserved from every output count back to enumerated citing works and from every input value back to a dated registry record.</w:t>
      </w:r>
    </w:p>
    <w:bookmarkEnd w:id="64"/>
    <w:bookmarkStart w:id="65" w:name="roadmap-of-the-dissertation"/>
    <w:p>
      <w:pPr>
        <w:pStyle w:val="Heading2"/>
        <w:spacing w:line="480" w:lineRule="auto"/>
      </w:pPr>
      <w:r>
        <w:t xml:space="preserve">1.5 Roadmap of the Dissertation</w:t>
      </w:r>
    </w:p>
    <w:p>
      <w:pPr>
        <w:pStyle w:val="FirstParagraph"/>
        <w:spacing w:line="480" w:lineRule="auto"/>
      </w:pPr>
      <w:r>
        <w:t xml:space="preserve">The remainder of the dissertation proceeds in a sequence designed to build the estimate, defend it, and bound it.</w:t>
      </w:r>
    </w:p>
    <w:p>
      <w:pPr>
        <w:pStyle w:val="BodyText"/>
        <w:spacing w:line="480" w:lineRule="auto"/>
        <w:ind w:firstLine="720"/>
      </w:pPr>
      <w:r>
        <w:rPr>
          <w:b/>
          <w:bCs/>
        </w:rPr>
        <w:t xml:space="preserve">Chapter 2</w:t>
      </w:r>
      <w:r>
        <w:t xml:space="preserve"> </w:t>
      </w:r>
      <w:r>
        <w:t xml:space="preserve">reviews the three domain literatures and the method literature in detail, establishing the seam between them that the introduction has sketched. It develops the mission-concept and space-economy framing of archived data as a deferred, downstream productive asset</w:t>
      </w:r>
      <w:r>
        <w:t xml:space="preserve"> </w:t>
      </w:r>
      <w:hyperlink w:anchor="ref-1">
        <w:r>
          <w:rPr>
            <w:rStyle w:val="Hyperlink"/>
          </w:rPr>
          <w:t xml:space="preserve">[1]</w:t>
        </w:r>
      </w:hyperlink>
      <w:r>
        <w:t xml:space="preserve">[2][6], the open-innovation account of access regimes and the contributor base</w:t>
      </w:r>
      <w:r>
        <w:t xml:space="preserve"> </w:t>
      </w:r>
      <w:hyperlink w:anchor="ref-10">
        <w:r>
          <w:rPr>
            <w:rStyle w:val="Hyperlink"/>
          </w:rPr>
          <w:t xml:space="preserve">[10]</w:t>
        </w:r>
      </w:hyperlink>
      <w:r>
        <w:t xml:space="preserve">[11], and the treatment of released datasets as shared scientific infrastructure that seeds a research community</w:t>
      </w:r>
      <w:r>
        <w:t xml:space="preserve"> </w:t>
      </w:r>
      <w:hyperlink w:anchor="ref-3">
        <w:r>
          <w:rPr>
            <w:rStyle w:val="Hyperlink"/>
          </w:rPr>
          <w:t xml:space="preserve">[3]</w:t>
        </w:r>
      </w:hyperlink>
      <w:r>
        <w:t xml:space="preserve">[5], and it sets these against the production-function apparatus of the economics of research infrastructure</w:t>
      </w:r>
      <w:r>
        <w:t xml:space="preserve"> </w:t>
      </w:r>
      <w:hyperlink w:anchor="ref-8">
        <w:r>
          <w:rPr>
            <w:rStyle w:val="Hyperlink"/>
          </w:rPr>
          <w:t xml:space="preserve">[8]</w:t>
        </w:r>
      </w:hyperlink>
      <w:r>
        <w:t xml:space="preserve"> </w:t>
      </w:r>
      <w:r>
        <w:t xml:space="preserve">to specify precisely what an archive-level production function must contain.</w:t>
      </w:r>
    </w:p>
    <w:p>
      <w:pPr>
        <w:pStyle w:val="BodyText"/>
        <w:spacing w:line="480" w:lineRule="auto"/>
        <w:ind w:firstLine="720"/>
      </w:pPr>
      <w:r>
        <w:rPr>
          <w:b/>
          <w:bCs/>
        </w:rPr>
        <w:t xml:space="preserve">Chapter 3</w:t>
      </w:r>
      <w:r>
        <w:t xml:space="preserve"> </w:t>
      </w:r>
      <w:r>
        <w:t xml:space="preserve">develops the theory and the formal model. It states the archive production function, derives the conditional-mean specification that links the three inputs to the publication-count output, and works through the economic interpretation of the accessibility elasticity, including why increasing returns to operational time and to the installed base of users and tooling are plausible mechanisms and how they bear on the expected sign and magnitude.</w:t>
      </w:r>
    </w:p>
    <w:p>
      <w:pPr>
        <w:pStyle w:val="BodyText"/>
        <w:spacing w:line="480" w:lineRule="auto"/>
        <w:ind w:firstLine="720"/>
      </w:pPr>
      <w:r>
        <w:rPr>
          <w:b/>
          <w:bCs/>
        </w:rPr>
        <w:t xml:space="preserve">Chapter 4</w:t>
      </w:r>
      <w:r>
        <w:t xml:space="preserve"> </w:t>
      </w:r>
      <w:r>
        <w:t xml:space="preserve">presents the data and provenance. It documents the construction of the archive-year panel from the PDS registry, the resolution of each dataset to its citing peer-reviewed literature through formal data-citation links and full-text mention resolution, and the dated access-transition history that drives identification, with the full chain of provenance from each constructed variable back to its source record.</w:t>
      </w:r>
    </w:p>
    <w:p>
      <w:pPr>
        <w:pStyle w:val="BodyText"/>
        <w:spacing w:line="480" w:lineRule="auto"/>
        <w:ind w:firstLine="720"/>
      </w:pPr>
      <w:r>
        <w:rPr>
          <w:b/>
          <w:bCs/>
        </w:rPr>
        <w:t xml:space="preserve">Chapter 5</w:t>
      </w:r>
      <w:r>
        <w:t xml:space="preserve"> </w:t>
      </w:r>
      <w:r>
        <w:t xml:space="preserve">specifies the identification strategy and the estimator. It lays out the panel fixed-effects Poisson model, the event-study structure around the PDS4 and endpoint-activation transitions, the difference-in-differences logic that recovers the elasticity within dataset and year, and the falsification tests, principally the leads-and-lags pre-trend check, that determine whether the design is credible.</w:t>
      </w:r>
    </w:p>
    <w:p>
      <w:pPr>
        <w:pStyle w:val="BodyText"/>
        <w:spacing w:line="480" w:lineRule="auto"/>
        <w:ind w:firstLine="720"/>
      </w:pPr>
      <w:r>
        <w:rPr>
          <w:b/>
          <w:bCs/>
        </w:rPr>
        <w:t xml:space="preserve">Chapter 6</w:t>
      </w:r>
      <w:r>
        <w:t xml:space="preserve"> </w:t>
      </w:r>
      <w:r>
        <w:t xml:space="preserve">reports the results. It delivers the single estimate that the dissertation defends, the sign and magnitude of the accessibility elasticity, together with the event-study and negative-binomial robustness specifications and the citation-weighted output variant that tests whether the result survives weighting by downstream impact.</w:t>
      </w:r>
    </w:p>
    <w:p>
      <w:pPr>
        <w:pStyle w:val="BodyText"/>
        <w:spacing w:line="480" w:lineRule="auto"/>
        <w:ind w:firstLine="720"/>
      </w:pPr>
      <w:r>
        <w:rPr>
          <w:b/>
          <w:bCs/>
        </w:rPr>
        <w:t xml:space="preserve">Chapter 7</w:t>
      </w:r>
      <w:r>
        <w:t xml:space="preserve"> </w:t>
      </w:r>
      <w:r>
        <w:t xml:space="preserve">treats threats to validity in full: the construct validity of a count output that measures quantity rather than importance, the construct validity of an accessibility proxy that attenuates its own coefficient toward zero, the identification risk that high-potential datasets are migrated first, the undercounting of informal dataset use before data-citation norms matured, and the external-validity boundary that confines the estimate to the NASA PDS planetary-archive population it samples.</w:t>
      </w:r>
    </w:p>
    <w:p>
      <w:pPr>
        <w:pStyle w:val="BodyText"/>
        <w:spacing w:line="480" w:lineRule="auto"/>
        <w:ind w:firstLine="720"/>
      </w:pPr>
      <w:r>
        <w:rPr>
          <w:b/>
          <w:bCs/>
        </w:rPr>
        <w:t xml:space="preserve">Chapter 8</w:t>
      </w:r>
      <w:r>
        <w:t xml:space="preserve"> </w:t>
      </w:r>
      <w:r>
        <w:t xml:space="preserve">concludes by returning the estimate to the decisions that motivated it. It interprets the elasticity for the allocation choice between new acquisition and improved access and for the design choice of how much curation an archive warrants, situates the finding alongside the companion production-function and time-to-first-science analyses that bracket the accessibility question from the magnitude and the speed of archive science, and states what the result does and does not license an agency to conclude.</w:t>
      </w:r>
    </w:p>
    <w:p>
      <w:pPr>
        <w:pStyle w:val="BodyText"/>
        <w:spacing w:line="480" w:lineRule="auto"/>
        <w:ind w:firstLine="720"/>
      </w:pPr>
      <w:r>
        <w:t xml:space="preserve">The through-line is a single discipline. Each chapter exists to make one number defensible: the proportional increase in planetary archive science that a proportional increase in accessibility produces, estimated cleanly enough that NASA and JPL can act on its sign and its size rather than on the unexamined faith that better access yields more science.</w:t>
      </w:r>
    </w:p>
    <w:bookmarkEnd w:id="65"/>
    <w:bookmarkEnd w:id="66"/>
    <w:bookmarkStart w:id="85" w:name="chapter-2.-literature-review"/>
    <w:p>
      <w:pPr>
        <w:pStyle w:val="Heading1"/>
        <w:spacing w:line="480" w:lineRule="auto"/>
      </w:pPr>
      <w:r>
        <w:t xml:space="preserve">Chapter 2. Literature Review</w:t>
      </w:r>
    </w:p>
    <w:bookmarkStart w:id="67" w:name="X7fc0daece5d1285c589c0847e59a33912cdec51"/>
    <w:p>
      <w:pPr>
        <w:pStyle w:val="Heading2"/>
        <w:spacing w:line="480" w:lineRule="auto"/>
      </w:pPr>
      <w:r>
        <w:t xml:space="preserve">2.1 Introduction: Two Literatures That Do Not Speak</w:t>
      </w:r>
    </w:p>
    <w:p>
      <w:pPr>
        <w:pStyle w:val="FirstParagraph"/>
        <w:spacing w:line="480" w:lineRule="auto"/>
      </w:pPr>
      <w:r>
        <w:t xml:space="preserve">The question this dissertation poses sits in the seam between two mature but unjoined bodies of scholarship. On one side stands the domain technical literature of planetary mission engineering, science operations, and data archiving, a literature rich in description of how data products are generated, calibrated, curated, released, and counted, and equally rich in the assertion that public release multiplies downstream science</w:t>
      </w:r>
      <w:r>
        <w:t xml:space="preserve"> </w:t>
      </w:r>
      <w:hyperlink w:anchor="ref-1">
        <w:r>
          <w:rPr>
            <w:rStyle w:val="Hyperlink"/>
          </w:rPr>
          <w:t xml:space="preserve">[1]</w:t>
        </w:r>
      </w:hyperlink>
      <w:r>
        <w:t xml:space="preserve">[7]. On the other side stands the cliometric and econometric methodology literature, which has developed a precise and well-tested apparatus for treating a productive unit as a function of measurable inputs, for modeling non-negative count outputs, and for estimating the timing of discrete events under censoring</w:t>
      </w:r>
      <w:r>
        <w:t xml:space="preserve"> </w:t>
      </w:r>
      <w:hyperlink w:anchor="ref-2">
        <w:r>
          <w:rPr>
            <w:rStyle w:val="Hyperlink"/>
          </w:rPr>
          <w:t xml:space="preserve">[2]</w:t>
        </w:r>
      </w:hyperlink>
      <w:r>
        <w:t xml:space="preserve">[8]. Each literature is internally coherent. Neither has reached across to the other. That silence is the problem.</w:t>
      </w:r>
    </w:p>
    <w:p>
      <w:pPr>
        <w:pStyle w:val="BodyText"/>
        <w:spacing w:line="480" w:lineRule="auto"/>
        <w:ind w:firstLine="720"/>
      </w:pPr>
      <w:r>
        <w:t xml:space="preserve">The domain literature knows that archives produce science but measures that production almost exclusively as a descriptive total, a bibliometric headcount attached to a mission or instrument</w:t>
      </w:r>
      <w:r>
        <w:t xml:space="preserve"> </w:t>
      </w:r>
      <w:hyperlink w:anchor="ref-3">
        <w:r>
          <w:rPr>
            <w:rStyle w:val="Hyperlink"/>
          </w:rPr>
          <w:t xml:space="preserve">[3]</w:t>
        </w:r>
      </w:hyperlink>
      <w:r>
        <w:t xml:space="preserve">[13]. It asserts a return on accessibility but does not estimate one. The methodology literature knows how to estimate a return on a productive input. It has not been pointed at the planetary data archive as a unit of production. The consequence is a gap that is neither a gap in data nor a gap in method, but a gap in their conjunction: the archive-level, identified production function does not exist because the people who hold the data have not held the estimator, and the people who hold the estimator have not held the data.</w:t>
      </w:r>
    </w:p>
    <w:p>
      <w:pPr>
        <w:pStyle w:val="BodyText"/>
        <w:spacing w:line="480" w:lineRule="auto"/>
        <w:ind w:firstLine="720"/>
      </w:pPr>
      <w:r>
        <w:t xml:space="preserve">This chapter reviews each literature on its own terms, draws out what each contributes and what each lacks, and then synthesizes the two to specify precisely the missing object that the dissertation supplies. Section 2.2 reviews the domain technical literature in four strands: the mission-concept and operations literature that asserts the archiving premise; the archive and data-system literature that organizes the holdings; the instrument and observatory literature that describes the heterogeneity of the producing assets; and the bibliometric census literature that supplies the output measure. Section 2.3 reviews the cliometric and econometric methodology literature in three strands: the production-function tradition and the economics of research infrastructure; the count-data and panel methods appropriate to publication outputs; and the survival-analysis methods appropriate to scientific uptake. Section 2.4 synthesizes the two literatures and states the gap as a single, falsifiable, archive-level estimation problem. Section 2.5 positions the two companion papers of this dissertation as the first joined treatments and motivates the panel estimator that the core chapters develop.</w:t>
      </w:r>
    </w:p>
    <w:bookmarkEnd w:id="67"/>
    <w:bookmarkStart w:id="72" w:name="the-domain-technical-literature"/>
    <w:p>
      <w:pPr>
        <w:pStyle w:val="Heading2"/>
        <w:spacing w:line="480" w:lineRule="auto"/>
      </w:pPr>
      <w:r>
        <w:t xml:space="preserve">2.2 The Domain Technical Literature</w:t>
      </w:r>
    </w:p>
    <w:bookmarkStart w:id="68" w:name="X77ed12c31a877cd80cf7a2c1aa2559bf728b1f6"/>
    <w:p>
      <w:pPr>
        <w:pStyle w:val="Heading3"/>
        <w:spacing w:line="480" w:lineRule="auto"/>
      </w:pPr>
      <w:r>
        <w:t xml:space="preserve">2.2.1 The Mission-Concept and Operations Premise</w:t>
      </w:r>
    </w:p>
    <w:p>
      <w:pPr>
        <w:pStyle w:val="FirstParagraph"/>
        <w:spacing w:line="480" w:lineRule="auto"/>
      </w:pPr>
      <w:r>
        <w:t xml:space="preserve">The premise that organizes the entire domain literature is that a planetary mission produces two assets of distinct character. The first is the spacecraft and its finite operational lifetime; the second is the archived, calibrated data product that survives the spacecraft and can be re-analyzed indefinitely</w:t>
      </w:r>
      <w:r>
        <w:t xml:space="preserve"> </w:t>
      </w:r>
      <w:hyperlink w:anchor="ref-1">
        <w:r>
          <w:rPr>
            <w:rStyle w:val="Hyperlink"/>
          </w:rPr>
          <w:t xml:space="preserve">[1]</w:t>
        </w:r>
      </w:hyperlink>
      <w:r>
        <w:t xml:space="preserve">. Mission concepts routinely advance the second asset as a primary justification for the investment, committing in advance to release data products to the public through standard pathways on the stated expectation that public release converts a one-time instrument investment into a recurring stream of science</w:t>
      </w:r>
      <w:r>
        <w:t xml:space="preserve"> </w:t>
      </w:r>
      <w:hyperlink w:anchor="ref-1">
        <w:r>
          <w:rPr>
            <w:rStyle w:val="Hyperlink"/>
          </w:rPr>
          <w:t xml:space="preserve">[1]</w:t>
        </w:r>
      </w:hyperlink>
      <w:r>
        <w:t xml:space="preserve">. The Interstellar Probe concept study is representative of this rhetorical move: it frames the eventual public archive as a multi-decade scientific legacy, an asset whose value accrues long after the encounter sequence ends</w:t>
      </w:r>
      <w:r>
        <w:t xml:space="preserve"> </w:t>
      </w:r>
      <w:hyperlink w:anchor="ref-1">
        <w:r>
          <w:rPr>
            <w:rStyle w:val="Hyperlink"/>
          </w:rPr>
          <w:t xml:space="preserve">[1]</w:t>
        </w:r>
      </w:hyperlink>
      <w:r>
        <w:t xml:space="preserve">[23]. The same logic recurs across flagship and planetary-defense concepts, where the data archive is presented as the durable return on a campaign whose hardware is consumed in the act of acquisition</w:t>
      </w:r>
      <w:r>
        <w:t xml:space="preserve"> </w:t>
      </w:r>
      <w:hyperlink w:anchor="ref-24">
        <w:r>
          <w:rPr>
            <w:rStyle w:val="Hyperlink"/>
          </w:rPr>
          <w:t xml:space="preserve">[24]</w:t>
        </w:r>
      </w:hyperlink>
      <w:r>
        <w:t xml:space="preserve">.</w:t>
      </w:r>
    </w:p>
    <w:p>
      <w:pPr>
        <w:pStyle w:val="BodyText"/>
        <w:spacing w:line="480" w:lineRule="auto"/>
        <w:ind w:firstLine="720"/>
      </w:pPr>
      <w:r>
        <w:t xml:space="preserve">What is striking about this strand is the consistency of the assertion paired with the absence of its measurement. The premise is stated as a design commitment, an obligation the mission undertakes, rather than as an estimated return the mission can expect. The gap is a measurement gap, not a conceptual one. Operations and planning studies describe in detail the machinery by which the premise is honored: the Rosetta science operations and planning implementation, for example, documents the substantial human and procedural effort required to convert raw downlink into a curated, exploitable archive, and treats that effort as self-evidently worthwhile</w:t>
      </w:r>
      <w:r>
        <w:t xml:space="preserve"> </w:t>
      </w:r>
      <w:hyperlink w:anchor="ref-26">
        <w:r>
          <w:rPr>
            <w:rStyle w:val="Hyperlink"/>
          </w:rPr>
          <w:t xml:space="preserve">[26]</w:t>
        </w:r>
      </w:hyperlink>
      <w:r>
        <w:t xml:space="preserve">. The implicit production relationship, that curation effort and access investment yield downstream science, is everywhere assumed and nowhere quantified. The literature thus supplies the dependent and independent variables of a production function conceptually while declining to estimate the function itself.</w:t>
      </w:r>
    </w:p>
    <w:p>
      <w:pPr>
        <w:pStyle w:val="BodyText"/>
        <w:spacing w:line="480" w:lineRule="auto"/>
        <w:ind w:firstLine="720"/>
      </w:pPr>
      <w:r>
        <w:t xml:space="preserve">The operations literature also surfaces the heterogeneity that any serious estimation must confront. Missions differ in target body, instrument complement, mission class, and access regime, and these differences are described qualitatively as drivers of scientific yield. The reanalysis of archived data is itself an active research mode: pattern-recognition studies on Rosetta magnetometer time series demonstrate that an archive continues to yield novel methodological and scientific results years after acquisition, when investigators bring new techniques to old data</w:t>
      </w:r>
      <w:r>
        <w:t xml:space="preserve"> </w:t>
      </w:r>
      <w:hyperlink w:anchor="ref-28">
        <w:r>
          <w:rPr>
            <w:rStyle w:val="Hyperlink"/>
          </w:rPr>
          <w:t xml:space="preserve">[28]</w:t>
        </w:r>
      </w:hyperlink>
      <w:r>
        <w:t xml:space="preserve">. This is the downstream-science mechanism in miniature, observed at the level of a single instrument, but it is reported as a case study rather than aggregated into an estimable relationship across archives.</w:t>
      </w:r>
    </w:p>
    <w:bookmarkEnd w:id="68"/>
    <w:bookmarkStart w:id="69" w:name="the-archive-and-data-system-literature"/>
    <w:p>
      <w:pPr>
        <w:pStyle w:val="Heading3"/>
        <w:spacing w:line="480" w:lineRule="auto"/>
      </w:pPr>
      <w:r>
        <w:t xml:space="preserve">2.2.2 The Archive and Data-System Literature</w:t>
      </w:r>
    </w:p>
    <w:p>
      <w:pPr>
        <w:pStyle w:val="FirstParagraph"/>
        <w:spacing w:line="480" w:lineRule="auto"/>
      </w:pPr>
      <w:r>
        <w:t xml:space="preserve">The institutional backbone of the domain is the NASA Planetary Data System, established in 1989 to remedy a chronic neglect of mission-data documentation and archiving, and grown since to more than 1.2 petabytes distributed across six discipline nodes</w:t>
      </w:r>
      <w:r>
        <w:t xml:space="preserve"> </w:t>
      </w:r>
      <w:hyperlink w:anchor="ref-7">
        <w:r>
          <w:rPr>
            <w:rStyle w:val="Hyperlink"/>
          </w:rPr>
          <w:t xml:space="preserve">[7]</w:t>
        </w:r>
      </w:hyperlink>
      <w:r>
        <w:t xml:space="preserve">. The PDS literature is principally a literature of standards, organization, and curation practice. It documents the discipline-node structure, the release of datasets with documented release dates and data volumes, instrument and target metadata, and, most consequentially for this dissertation, the transition from the legacy PDS3 standard to the modernized PDS4 standard with its machine-readable labels and programmatic access endpoints</w:t>
      </w:r>
      <w:r>
        <w:t xml:space="preserve"> </w:t>
      </w:r>
      <w:hyperlink w:anchor="ref-7">
        <w:r>
          <w:rPr>
            <w:rStyle w:val="Hyperlink"/>
          </w:rPr>
          <w:t xml:space="preserve">[7]</w:t>
        </w:r>
      </w:hyperlink>
      <w:r>
        <w:t xml:space="preserve">. This transition is the central source of variation that the dissertation’s identification strategy exploits, because it constitutes a discrete, dated change in the accessibility of an archive that is plausibly separable from the archive’s intrinsic scientific richness.</w:t>
      </w:r>
    </w:p>
    <w:p>
      <w:pPr>
        <w:pStyle w:val="BodyText"/>
        <w:spacing w:line="480" w:lineRule="auto"/>
        <w:ind w:firstLine="720"/>
      </w:pPr>
      <w:r>
        <w:t xml:space="preserve">Yet the data-system literature treats the PDS4 migration overwhelmingly as an engineering and interoperability achievement rather than as a treatment whose downstream scientific effect can be measured. The accessibility upgrade is justified by appeal to usability, long-term preservation, and machine-actionability, all framed as necessary conditions for science, but the literature does not ask, in any quantitative way, how much additional science the upgrade produced. The premise that better access yields more science is inherited unexamined from the mission-concept strand. The archive literature therefore supplies the accessibility input variable with unusual precision, the migration and endpoint-activation timeline is dated and node-specific, while leaving the elasticity of output with respect to that input entirely unestimated.</w:t>
      </w:r>
    </w:p>
    <w:p>
      <w:pPr>
        <w:pStyle w:val="BodyText"/>
        <w:spacing w:line="480" w:lineRule="auto"/>
        <w:ind w:firstLine="720"/>
      </w:pPr>
      <w:r>
        <w:t xml:space="preserve">A second feature of the data-system literature relevant here is its implicit economic logic. The PDS is a shared research facility whose fixed costs of curation and infrastructure are sunk once, after which the marginal cost of an additional user is low and the marginal scientific product of an additional user is potentially high. This is recognizably the economics of shared research infrastructure, and the broader space-economy literature has begun to articulate it explicitly, treating space-derived data, products, and knowledge as productive inputs whose value is realized downstream of acquisition and accrues to the wider economy and society</w:t>
      </w:r>
      <w:r>
        <w:t xml:space="preserve"> </w:t>
      </w:r>
      <w:hyperlink w:anchor="ref-2">
        <w:r>
          <w:rPr>
            <w:rStyle w:val="Hyperlink"/>
          </w:rPr>
          <w:t xml:space="preserve">[2]</w:t>
        </w:r>
      </w:hyperlink>
      <w:r>
        <w:t xml:space="preserve">[6]. But that articulation occurs at the level of the sector or the firm; it does not descend to the individual archive as a unit of production with its own input-output relationship.</w:t>
      </w:r>
    </w:p>
    <w:bookmarkEnd w:id="69"/>
    <w:bookmarkStart w:id="70" w:name="X87fdc42a7dee9e25a5bebf28db24c2d693ad494"/>
    <w:p>
      <w:pPr>
        <w:pStyle w:val="Heading3"/>
        <w:spacing w:line="480" w:lineRule="auto"/>
      </w:pPr>
      <w:r>
        <w:t xml:space="preserve">2.2.3 The Instrument, Observatory, and Survey Literature</w:t>
      </w:r>
    </w:p>
    <w:p>
      <w:pPr>
        <w:pStyle w:val="FirstParagraph"/>
        <w:spacing w:line="480" w:lineRule="auto"/>
      </w:pPr>
      <w:r>
        <w:t xml:space="preserve">A third strand of the domain literature documents the producing assets themselves and, in doing so, exposes the structural heterogeneity that any cross-archive estimation must control for. The most consequential structural distinction is between the observatory-class facility, which allocates observing time or releases survey data to an open community of guest observers and archival researchers, and the single-target probe, which serves a comparatively concentrated team focused on one body. The survey and observatory literature describes this open access regime in operational detail. The Pan-STARRS published-science-products subsystem, the PS1 image-processing pipeline, and the gigapixel camera that fed them together describe a facility engineered from the outset to deliver standardized data products to a broad external community</w:t>
      </w:r>
      <w:r>
        <w:t xml:space="preserve"> </w:t>
      </w:r>
      <w:hyperlink w:anchor="ref-15">
        <w:r>
          <w:rPr>
            <w:rStyle w:val="Hyperlink"/>
          </w:rPr>
          <w:t xml:space="preserve">[15]</w:t>
        </w:r>
      </w:hyperlink>
      <w:r>
        <w:t xml:space="preserve">[18][19], and the PS1 science-mission status reports document the resulting breadth of downstream exploitation</w:t>
      </w:r>
      <w:r>
        <w:t xml:space="preserve"> </w:t>
      </w:r>
      <w:hyperlink w:anchor="ref-17">
        <w:r>
          <w:rPr>
            <w:rStyle w:val="Hyperlink"/>
          </w:rPr>
          <w:t xml:space="preserve">[17]</w:t>
        </w:r>
      </w:hyperlink>
      <w:r>
        <w:t xml:space="preserve">. The Next Generation Planetary Radar concept on the Green Bank Telescope similarly frames a facility whose value is its service to an open planetary-radar community</w:t>
      </w:r>
      <w:r>
        <w:t xml:space="preserve"> </w:t>
      </w:r>
      <w:hyperlink w:anchor="ref-16">
        <w:r>
          <w:rPr>
            <w:rStyle w:val="Hyperlink"/>
          </w:rPr>
          <w:t xml:space="preserve">[16]</w:t>
        </w:r>
      </w:hyperlink>
      <w:r>
        <w:t xml:space="preserve">, and instrument-survey concepts such as the GEO-belt survey with WFCAM illustrate the same general-purpose, community-serving access model</w:t>
      </w:r>
      <w:r>
        <w:t xml:space="preserve"> </w:t>
      </w:r>
      <w:hyperlink w:anchor="ref-22">
        <w:r>
          <w:rPr>
            <w:rStyle w:val="Hyperlink"/>
          </w:rPr>
          <w:t xml:space="preserve">[22]</w:t>
        </w:r>
      </w:hyperlink>
      <w:r>
        <w:t xml:space="preserve">.</w:t>
      </w:r>
    </w:p>
    <w:p>
      <w:pPr>
        <w:pStyle w:val="BodyText"/>
        <w:spacing w:line="480" w:lineRule="auto"/>
        <w:ind w:firstLine="720"/>
      </w:pPr>
      <w:r>
        <w:t xml:space="preserve">This literature is invaluable because it operationalizes, in concrete engineering terms, the observatory-versus-probe distinction that the production-function core must encode as a structural covariate. It establishes that the access regime is a real, designed-in property of the producing asset and not an artifact of how the data happen to be used after the fact. What it does not do is estimate the output premium associated with the observatory regime. The claim that open access broadens the contributor base and accelerates knowledge production is advanced in the space-sector innovation literature as a qualitative argument</w:t>
      </w:r>
      <w:r>
        <w:t xml:space="preserve"> </w:t>
      </w:r>
      <w:hyperlink w:anchor="ref-10">
        <w:r>
          <w:rPr>
            <w:rStyle w:val="Hyperlink"/>
          </w:rPr>
          <w:t xml:space="preserve">[10]</w:t>
        </w:r>
      </w:hyperlink>
      <w:r>
        <w:t xml:space="preserve">[11], and the new-space scholarship links open models to wider downstream exploitation</w:t>
      </w:r>
      <w:r>
        <w:t xml:space="preserve"> </w:t>
      </w:r>
      <w:hyperlink w:anchor="ref-5">
        <w:r>
          <w:rPr>
            <w:rStyle w:val="Hyperlink"/>
          </w:rPr>
          <w:t xml:space="preserve">[5]</w:t>
        </w:r>
      </w:hyperlink>
      <w:r>
        <w:t xml:space="preserve">, but the magnitude of the observatory premium, the proportional difference in refereed output between an observatory and a probe of equal longevity, has not been estimated within this literature.</w:t>
      </w:r>
    </w:p>
    <w:p>
      <w:pPr>
        <w:pStyle w:val="BodyText"/>
        <w:spacing w:line="480" w:lineRule="auto"/>
        <w:ind w:firstLine="720"/>
      </w:pPr>
      <w:r>
        <w:t xml:space="preserve">The instrument literature also documents the productivity of long-lived planetary archives. That record complicates the naive intuition that single-target robotic exploration yields thinner literatures than survey astronomy. The HiRISE retrospective on the Mars Reconnaissance Orbiter, drawing on the NASA Astrophysics Data System, records a very large and sustained refereed literature from a single planetary instrument observed over more than fifteen years</w:t>
      </w:r>
      <w:r>
        <w:t xml:space="preserve"> </w:t>
      </w:r>
      <w:hyperlink w:anchor="ref-13">
        <w:r>
          <w:rPr>
            <w:rStyle w:val="Hyperlink"/>
          </w:rPr>
          <w:t xml:space="preserve">[13]</w:t>
        </w:r>
      </w:hyperlink>
      <w:r>
        <w:t xml:space="preserve">, a pattern flatly inconsistent with the blanket claim that planetary probes are bibliometrically quiet</w:t>
      </w:r>
      <w:r>
        <w:t xml:space="preserve"> </w:t>
      </w:r>
      <w:hyperlink w:anchor="ref-12">
        <w:r>
          <w:rPr>
            <w:rStyle w:val="Hyperlink"/>
          </w:rPr>
          <w:t xml:space="preserve">[12]</w:t>
        </w:r>
      </w:hyperlink>
      <w:r>
        <w:t xml:space="preserve">. The bibliometric-network literature on adjacent space-science subfields, such as the two-decade multi-analysis of plant-space research, demonstrates that the domain is increasingly willing to subject its own scientific output to bibliometric measurement</w:t>
      </w:r>
      <w:r>
        <w:t xml:space="preserve"> </w:t>
      </w:r>
      <w:hyperlink w:anchor="ref-25">
        <w:r>
          <w:rPr>
            <w:rStyle w:val="Hyperlink"/>
          </w:rPr>
          <w:t xml:space="preserve">[25]</w:t>
        </w:r>
      </w:hyperlink>
      <w:r>
        <w:t xml:space="preserve">, and yet that measurement remains descriptive: it maps the structure and growth of a literature rather than estimating the input-output relationship that produced it.</w:t>
      </w:r>
    </w:p>
    <w:bookmarkEnd w:id="70"/>
    <w:bookmarkStart w:id="71" w:name="the-bibliometric-census-literature"/>
    <w:p>
      <w:pPr>
        <w:pStyle w:val="Heading3"/>
        <w:spacing w:line="480" w:lineRule="auto"/>
      </w:pPr>
      <w:r>
        <w:t xml:space="preserve">2.2.4 The Bibliometric Census Literature</w:t>
      </w:r>
    </w:p>
    <w:p>
      <w:pPr>
        <w:pStyle w:val="FirstParagraph"/>
        <w:spacing w:line="480" w:lineRule="auto"/>
      </w:pPr>
      <w:r>
        <w:t xml:space="preserve">The fourth and most directly enabling strand of the domain literature is the bibliometric census, which supplies the dependent variable for any archive production function. The pivotal source is the European Space Agency mission-publications census, which examined more than 68,000 refereed publications across more than thirty ESA-led and partner-led missions using consistent inclusion criteria and reports a documented cumulative refereed-publication total for each mission</w:t>
      </w:r>
      <w:r>
        <w:t xml:space="preserve"> </w:t>
      </w:r>
      <w:hyperlink w:anchor="ref-9">
        <w:r>
          <w:rPr>
            <w:rStyle w:val="Hyperlink"/>
          </w:rPr>
          <w:t xml:space="preserve">[9]</w:t>
        </w:r>
      </w:hyperlink>
      <w:r>
        <w:t xml:space="preserve">. This census is methodologically important because it solves, for a substantial sample of missions, the hardest measurement problem in the field: it resolves each mission’s archive to a defensible count of the peer-reviewed literature that the archive supported, under uniform criteria, so that counts are comparable across missions. The mission-level publication totals it reports range across more than two orders of magnitude, from a few dozen to several thousand per mission, which is precisely the variation a production function needs in order to identify an elasticity.</w:t>
      </w:r>
    </w:p>
    <w:p>
      <w:pPr>
        <w:pStyle w:val="BodyText"/>
        <w:spacing w:line="480" w:lineRule="auto"/>
        <w:ind w:firstLine="720"/>
      </w:pPr>
      <w:r>
        <w:t xml:space="preserve">Complementary infrastructure extends the census logic to finer units and informal use. The NASA Astrophysics Data System and the DataCite and Crossref Event Data services record formal data citations and their citing works, allowing a dataset to be resolved to its citing literature at the dataset rather than the mission level</w:t>
      </w:r>
      <w:r>
        <w:t xml:space="preserve"> </w:t>
      </w:r>
      <w:hyperlink w:anchor="ref-13">
        <w:r>
          <w:rPr>
            <w:rStyle w:val="Hyperlink"/>
          </w:rPr>
          <w:t xml:space="preserve">[13]</w:t>
        </w:r>
      </w:hyperlink>
      <w:r>
        <w:t xml:space="preserve">. Instrument-retrospective papers such as the HiRISE study perform the same resolution by hand for a single instrument and thereby validate the automated linkage against a curated ground truth</w:t>
      </w:r>
      <w:r>
        <w:t xml:space="preserve"> </w:t>
      </w:r>
      <w:hyperlink w:anchor="ref-13">
        <w:r>
          <w:rPr>
            <w:rStyle w:val="Hyperlink"/>
          </w:rPr>
          <w:t xml:space="preserve">[13]</w:t>
        </w:r>
      </w:hyperlink>
      <w:r>
        <w:t xml:space="preserve">. Full-text mention resolution over the open planetary-science corpus captures informal dataset use that predates formal data-citation norms, an essential correction because data-citation practice matured only in the mid-2010s and earlier use is systematically undercounted by citation infrastructure alone.</w:t>
      </w:r>
    </w:p>
    <w:p>
      <w:pPr>
        <w:pStyle w:val="BodyText"/>
        <w:spacing w:line="480" w:lineRule="auto"/>
        <w:ind w:firstLine="720"/>
      </w:pPr>
      <w:r>
        <w:t xml:space="preserve">The decisive limitation of the census literature, for present purposes, is that it stops at the count. It produces an authoritative measure of output and then tabulates it, ranks it, and describes it. It does not regress the count on the archive attributes that produced it. The census tells us that mission A supported six thousand papers and mission B supported sixty; it does not tell us how much of that thousand-fold difference is attributable to longevity, to data volume, to the observatory access regime, or to accessibility, holding the others fixed. The output variable is thus delivered to the doorstep of a production function and left there. That is the most consequential single fact about the domain literature. It has built, at considerable effort, the exact dependent variable an econometric production function requires, and has declined to estimate the function.</w:t>
      </w:r>
    </w:p>
    <w:bookmarkEnd w:id="71"/>
    <w:bookmarkEnd w:id="72"/>
    <w:bookmarkStart w:id="76" w:name="X07fe73e594277fc276c6392b9242153367417e1"/>
    <w:p>
      <w:pPr>
        <w:pStyle w:val="Heading2"/>
        <w:spacing w:line="480" w:lineRule="auto"/>
      </w:pPr>
      <w:r>
        <w:t xml:space="preserve">2.3 The Cliometric and Econometric Methodology Literature</w:t>
      </w:r>
    </w:p>
    <w:bookmarkStart w:id="73" w:name="X084cac8f455f9df47c6da750ed0b7da5bef25d8"/>
    <w:p>
      <w:pPr>
        <w:pStyle w:val="Heading3"/>
        <w:spacing w:line="480" w:lineRule="auto"/>
      </w:pPr>
      <w:r>
        <w:t xml:space="preserve">2.3.1 The Production-Function Tradition and the Economics of Research Infrastructure</w:t>
      </w:r>
    </w:p>
    <w:p>
      <w:pPr>
        <w:pStyle w:val="FirstParagraph"/>
        <w:spacing w:line="480" w:lineRule="auto"/>
      </w:pPr>
      <w:r>
        <w:t xml:space="preserve">The second literature this chapter reviews is the cliometric and econometric methodology literature, which supplies the estimation apparatus that the domain literature lacks. Its foundational object is the production function, a relation expressing the output of a productive unit as a function of its measurable inputs, from which returns to each input are read as elasticities. The log-linear specification of this relation, in which the logarithm of output is regressed on the logarithms of inputs, yields coefficients that are direct output elasticities and is the workhorse of empirical production analysis. The tradition is mature, its estimators are well understood, and its interpretive conventions, constant returns at unit elasticity, increasing returns above unity, are standardized.</w:t>
      </w:r>
    </w:p>
    <w:p>
      <w:pPr>
        <w:pStyle w:val="BodyText"/>
        <w:spacing w:line="480" w:lineRule="auto"/>
        <w:ind w:firstLine="720"/>
      </w:pPr>
      <w:r>
        <w:t xml:space="preserve">The branch of this tradition most relevant to the dissertation is the economics of research infrastructure and shared scientific facilities, which treats a facility such as an archive, an observatory, or a large instrument as a productive unit whose output is the science it enables and whose inputs include its installed base of holdings, its access regime, and the size of its user community</w:t>
      </w:r>
      <w:r>
        <w:t xml:space="preserve"> </w:t>
      </w:r>
      <w:hyperlink w:anchor="ref-2">
        <w:r>
          <w:rPr>
            <w:rStyle w:val="Hyperlink"/>
          </w:rPr>
          <w:t xml:space="preserve">[2]</w:t>
        </w:r>
      </w:hyperlink>
      <w:r>
        <w:t xml:space="preserve">[8]. This branch predicts increasing returns to the installed base of users and tooling: as documentation matures, tools stabilize, and the community of users grows, each additional unit of operational time or accessibility yields more than proportionally more science, because the fixed costs of learning the facility have already been paid by earlier users and are inherited by later ones</w:t>
      </w:r>
      <w:r>
        <w:t xml:space="preserve"> </w:t>
      </w:r>
      <w:hyperlink w:anchor="ref-2">
        <w:r>
          <w:rPr>
            <w:rStyle w:val="Hyperlink"/>
          </w:rPr>
          <w:t xml:space="preserve">[2]</w:t>
        </w:r>
      </w:hyperlink>
      <w:r>
        <w:t xml:space="preserve">. The space-economy literature has imported this logic into the analysis of the space sector, framing space activity through investment and returns and treating data and derived knowledge as productive inputs to the broader economy</w:t>
      </w:r>
      <w:r>
        <w:t xml:space="preserve"> </w:t>
      </w:r>
      <w:hyperlink w:anchor="ref-4">
        <w:r>
          <w:rPr>
            <w:rStyle w:val="Hyperlink"/>
          </w:rPr>
          <w:t xml:space="preserve">[4]</w:t>
        </w:r>
      </w:hyperlink>
      <w:r>
        <w:t xml:space="preserve">[6]. The OCEA forecasting work in particular develops the economics of shared research and infrastructure inputs as drivers of sector output</w:t>
      </w:r>
      <w:r>
        <w:t xml:space="preserve"> </w:t>
      </w:r>
      <w:hyperlink w:anchor="ref-8">
        <w:r>
          <w:rPr>
            <w:rStyle w:val="Hyperlink"/>
          </w:rPr>
          <w:t xml:space="preserve">[8]</w:t>
        </w:r>
      </w:hyperlink>
      <w:r>
        <w:t xml:space="preserve">.</w:t>
      </w:r>
    </w:p>
    <w:p>
      <w:pPr>
        <w:pStyle w:val="BodyText"/>
        <w:spacing w:line="480" w:lineRule="auto"/>
        <w:ind w:firstLine="720"/>
      </w:pPr>
      <w:r>
        <w:t xml:space="preserve">The limitation of this branch, mirroring the limitation of the domain literature from the other side, is one of altitude. It operates at the level of the sector, the firm, or the program. It establishes that data and infrastructure are productive and valuable, that returns to shared facilities can be increasing, and that open access regimes plausibly raise output</w:t>
      </w:r>
      <w:r>
        <w:t xml:space="preserve"> </w:t>
      </w:r>
      <w:hyperlink w:anchor="ref-4">
        <w:r>
          <w:rPr>
            <w:rStyle w:val="Hyperlink"/>
          </w:rPr>
          <w:t xml:space="preserve">[4]</w:t>
        </w:r>
      </w:hyperlink>
      <w:r>
        <w:t xml:space="preserve">[8][12], but it does not descend to the individual archive as a unit of production with measured inputs and a measured output. It supplies the theoretical production relationship and the prediction of increasing returns; it does not supply an archive-level estimate. The estimator exists. The theory exists. The application to the planetary archive does not.</w:t>
      </w:r>
    </w:p>
    <w:bookmarkEnd w:id="73"/>
    <w:bookmarkStart w:id="74" w:name="X4c1a661b8dcd162684d63ba65b7783fae120291"/>
    <w:p>
      <w:pPr>
        <w:pStyle w:val="Heading3"/>
        <w:spacing w:line="480" w:lineRule="auto"/>
      </w:pPr>
      <w:r>
        <w:t xml:space="preserve">2.3.2 Count-Data and Panel Methods for Publication Output</w:t>
      </w:r>
    </w:p>
    <w:p>
      <w:pPr>
        <w:pStyle w:val="FirstParagraph"/>
        <w:spacing w:line="480" w:lineRule="auto"/>
      </w:pPr>
      <w:r>
        <w:t xml:space="preserve">The output of an archive, in any given year, is a count: a non-negative integer number of peer-reviewed publications that use the archive’s data. The econometric methodology literature has developed a specific apparatus for count outcomes, and a faithful archive production function must use it rather than defaulting to ordinary least squares on a logged count. The canonical estimator for count outcomes is the Poisson regression and its generalizations. The plain Poisson model imposes equidispersion, equality of conditional mean and variance, which publication counts routinely violate through overdispersion, since a few archives produce vastly more papers than the rest. The negative-binomial model relaxes equidispersion by adding a dispersion parameter, and the Poisson pseudo-maximum-likelihood estimator delivers consistent estimates of the conditional-mean parameters under far weaker assumptions, requiring only correct specification of the conditional mean and remaining valid under arbitrary overdispersion.</w:t>
      </w:r>
    </w:p>
    <w:p>
      <w:pPr>
        <w:pStyle w:val="BodyText"/>
        <w:spacing w:line="480" w:lineRule="auto"/>
        <w:ind w:firstLine="720"/>
      </w:pPr>
      <w:r>
        <w:t xml:space="preserve">When the data form a panel, multiple archives each observed over multiple years, the methodology literature supplies the fixed-effects count estimator. The panel fixed-effects Poisson model absorbs time-invariant heterogeneity through unit fixed effects and sector-wide shocks through period fixed effects, identifying the input coefficients from within-unit variation alone. For the archive application, dataset fixed effects absorb the time-invariant intrinsic scientific richness of a given target body or instrument, the precise heterogeneity that the domain instrument literature documents qualitatively</w:t>
      </w:r>
      <w:r>
        <w:t xml:space="preserve"> </w:t>
      </w:r>
      <w:hyperlink w:anchor="ref-13">
        <w:r>
          <w:rPr>
            <w:rStyle w:val="Hyperlink"/>
          </w:rPr>
          <w:t xml:space="preserve">[13]</w:t>
        </w:r>
      </w:hyperlink>
      <w:r>
        <w:t xml:space="preserve">[16], and year fixed effects absorb field-wide growth in planetary publishing. The coefficient on the logarithm of accessibility, identified off the within-archive change in output around an accessibility transition, is then the accessibility elasticity. This is the estimator the dissertation’s core adopts, and the methodology literature establishes both its consistency under the conditional-mean assumption and its robustness to the overdispersion that publication counts exhibit.</w:t>
      </w:r>
    </w:p>
    <w:p>
      <w:pPr>
        <w:pStyle w:val="BodyText"/>
        <w:spacing w:line="480" w:lineRule="auto"/>
        <w:ind w:firstLine="720"/>
      </w:pPr>
      <w:r>
        <w:t xml:space="preserve">The identification problem that the panel methodology must solve is the non-random assignment of the key input. Accessibility is not allocated at random across archives; archives expected to be productive may receive more curation and access investment, biasing the accessibility coefficient upward. The methodology literature’s standard response is to exploit the staggered timing of a discrete treatment in a difference-in-differences event structure, identifying the effect off units that cross the treatment boundary at different times for reasons plausibly unrelated to their potential outcomes. The leads-and-lags event-study specification, in which output is regressed on indicators for years relative to the transition, both tests for pre-trends, a significant pre-transition trend would invalidate the design, and traces the dynamic path of the effect after treatment. This apparatus is fully developed in the methodology literature and is directly transportable to the staggered PDS4 migration and endpoint-activation events that the domain archive literature dates precisely</w:t>
      </w:r>
      <w:r>
        <w:t xml:space="preserve"> </w:t>
      </w:r>
      <w:hyperlink w:anchor="ref-7">
        <w:r>
          <w:rPr>
            <w:rStyle w:val="Hyperlink"/>
          </w:rPr>
          <w:t xml:space="preserve">[7]</w:t>
        </w:r>
      </w:hyperlink>
      <w:r>
        <w:t xml:space="preserve">, yet the two have never been joined.</w:t>
      </w:r>
    </w:p>
    <w:bookmarkEnd w:id="74"/>
    <w:bookmarkStart w:id="75" w:name="survival-analysis-for-scientific-uptake"/>
    <w:p>
      <w:pPr>
        <w:pStyle w:val="Heading3"/>
        <w:spacing w:line="480" w:lineRule="auto"/>
      </w:pPr>
      <w:r>
        <w:t xml:space="preserve">2.3.3 Survival Analysis for Scientific Uptake</w:t>
      </w:r>
    </w:p>
    <w:p>
      <w:pPr>
        <w:pStyle w:val="FirstParagraph"/>
        <w:spacing w:line="480" w:lineRule="auto"/>
      </w:pPr>
      <w:r>
        <w:t xml:space="preserve">A distinct question about archive science is not how much an archive eventually produces but how quickly it begins to produce, and the methodology literature supplies a different and equally mature apparatus for this latency question. Survival analysis, or the analysis of time-to-event data, models the hazard, the instantaneous rate at which an event occurs given that it has not yet occurred, as a function of covariates. For the archive application the event is the first peer-reviewed publication using a released dataset, and the duration is the interval from public release to that first use. The semiparametric Cox proportional-hazards model relates the hazard to the covariates without imposing a parametric form on the baseline hazard, reporting each covariate’s effect as a hazard ratio, the multiplicative change in the instantaneous event rate, with ratios above one denoting faster uptake. The model is fit by partial likelihood and accommodates right-censoring, datasets not yet used, although in a population of always-eventually-used datasets every observation contributes an observed event.</w:t>
      </w:r>
    </w:p>
    <w:p>
      <w:pPr>
        <w:pStyle w:val="BodyText"/>
        <w:spacing w:line="480" w:lineRule="auto"/>
        <w:ind w:firstLine="720"/>
      </w:pPr>
      <w:r>
        <w:t xml:space="preserve">The proportional-hazards framework complements the count production function because it answers the speed question that the level question sets aside. A production function estimates the elasticity of the eventual output level; a hazard model estimates the rate of arrival of the first unit of output. The two are conceptually distinct and methodologically distinct, and the methodology literature keeps them apart. The covariates that the hazard model can carry, an accessibility indicator keyed to PDS4 rollout, the logarithm of released data volume as a scale proxy, a count of instrument-team co-investigators as a community proxy, and a decadal-priority-body indicator for standing-community density, map directly onto the mechanisms the domain literature asserts qualitatively</w:t>
      </w:r>
      <w:r>
        <w:t xml:space="preserve"> </w:t>
      </w:r>
      <w:hyperlink w:anchor="ref-7">
        <w:r>
          <w:rPr>
            <w:rStyle w:val="Hyperlink"/>
          </w:rPr>
          <w:t xml:space="preserve">[7]</w:t>
        </w:r>
      </w:hyperlink>
      <w:r>
        <w:t xml:space="preserve">[9]. Once again the estimator is mature and the inputs are nameable, but the methodology literature has not been applied to the planetary archive, and the domain literature has not reached for the methodology.</w:t>
      </w:r>
    </w:p>
    <w:p>
      <w:pPr>
        <w:pStyle w:val="BodyText"/>
        <w:spacing w:line="480" w:lineRule="auto"/>
        <w:ind w:firstLine="720"/>
      </w:pPr>
      <w:r>
        <w:t xml:space="preserve">A general caution that the methodology literature raises, and that bears on both the count and the hazard application, concerns measurement error in a coarsely measured treatment. When a binary indicator stands in for a latent, continuous quality, here, when a single PDS4 flag stands in for the full spectrum of access quality, classical measurement error attenuates the estimated coefficient toward the null. A non-rejection of a zero-effect null must therefore be read with this attenuation in mind: a coarse accessibility proxy that fails to reach significance may understate a real effect rather than establish its absence. The methodology literature’s discipline on this point is essential to an honest reading of any archive-accessibility estimate, and it is a discipline the domain literature, which does not estimate effects at all, has had no occasion to develop.</w:t>
      </w:r>
    </w:p>
    <w:bookmarkEnd w:id="75"/>
    <w:bookmarkEnd w:id="76"/>
    <w:bookmarkStart w:id="80" w:name="X15d867a3a1b5431dc32aa64e25cd116ee97dfe8"/>
    <w:p>
      <w:pPr>
        <w:pStyle w:val="Heading2"/>
        <w:spacing w:line="480" w:lineRule="auto"/>
      </w:pPr>
      <w:r>
        <w:t xml:space="preserve">2.4 Synthesis: The Gap as the Unjoined Production Function</w:t>
      </w:r>
    </w:p>
    <w:bookmarkStart w:id="77" w:name="Xcd2f3bc82214a686f0caee431dea15f7ff6d0da"/>
    <w:p>
      <w:pPr>
        <w:pStyle w:val="Heading3"/>
        <w:spacing w:line="480" w:lineRule="auto"/>
      </w:pPr>
      <w:r>
        <w:t xml:space="preserve">2.4.1 What Each Literature Supplies and What Each Lacks</w:t>
      </w:r>
    </w:p>
    <w:p>
      <w:pPr>
        <w:pStyle w:val="FirstParagraph"/>
        <w:spacing w:line="480" w:lineRule="auto"/>
      </w:pPr>
      <w:r>
        <w:t xml:space="preserve">Laying the two literatures side by side makes the gap exact rather than vague. The domain technical literature supplies four things and lacks one. It supplies the conceptual production relationship, the premise that accessible public archives convert a one-time instrument investment into recurring downstream science</w:t>
      </w:r>
      <w:r>
        <w:t xml:space="preserve"> </w:t>
      </w:r>
      <w:hyperlink w:anchor="ref-1">
        <w:r>
          <w:rPr>
            <w:rStyle w:val="Hyperlink"/>
          </w:rPr>
          <w:t xml:space="preserve">[1]</w:t>
        </w:r>
      </w:hyperlink>
      <w:r>
        <w:t xml:space="preserve">[2]. It supplies the input variables with unusual precision: accumulated holdings from dated cumulative-volume records, accessibility from the dated, node-specific PDS4 migration and endpoint-activation timeline, community size from instrument-team rosters and prior-author counts, and the observatory-versus-probe access regime as a designed-in structural property</w:t>
      </w:r>
      <w:r>
        <w:t xml:space="preserve"> </w:t>
      </w:r>
      <w:hyperlink w:anchor="ref-7">
        <w:r>
          <w:rPr>
            <w:rStyle w:val="Hyperlink"/>
          </w:rPr>
          <w:t xml:space="preserve">[7]</w:t>
        </w:r>
      </w:hyperlink>
      <w:r>
        <w:t xml:space="preserve">[15][16]. It supplies the output variable, the cumulative or annual count of refereed publications resolved to an archive, built at great effort by the bibliometric census and the data-citation infrastructure</w:t>
      </w:r>
      <w:r>
        <w:t xml:space="preserve"> </w:t>
      </w:r>
      <w:hyperlink w:anchor="ref-9">
        <w:r>
          <w:rPr>
            <w:rStyle w:val="Hyperlink"/>
          </w:rPr>
          <w:t xml:space="preserve">[9]</w:t>
        </w:r>
      </w:hyperlink>
      <w:r>
        <w:t xml:space="preserve">[13]. And it supplies the structural heterogeneity that must be controlled, the intrinsic scientific richness of targets and instruments, the longevity of operations, the open or concentrated access regime</w:t>
      </w:r>
      <w:r>
        <w:t xml:space="preserve"> </w:t>
      </w:r>
      <w:hyperlink w:anchor="ref-13">
        <w:r>
          <w:rPr>
            <w:rStyle w:val="Hyperlink"/>
          </w:rPr>
          <w:t xml:space="preserve">[13]</w:t>
        </w:r>
      </w:hyperlink>
      <w:r>
        <w:t xml:space="preserve">[26]. What the domain literature lacks is the estimator: it never regresses the output it has measured on the inputs it has catalogued, so it asserts the accessibility return without identifying it.</w:t>
      </w:r>
    </w:p>
    <w:p>
      <w:pPr>
        <w:pStyle w:val="BodyText"/>
        <w:spacing w:line="480" w:lineRule="auto"/>
        <w:ind w:firstLine="720"/>
      </w:pPr>
      <w:r>
        <w:t xml:space="preserve">The cliometric and econometric methodology literature supplies, with equal exactness, what the domain literature lacks, and lacks what the domain literature supplies. It supplies the production-function form and its elasticity interpretation; the prediction of increasing returns to shared research infrastructure</w:t>
      </w:r>
      <w:r>
        <w:t xml:space="preserve"> </w:t>
      </w:r>
      <w:hyperlink w:anchor="ref-2">
        <w:r>
          <w:rPr>
            <w:rStyle w:val="Hyperlink"/>
          </w:rPr>
          <w:t xml:space="preserve">[2]</w:t>
        </w:r>
      </w:hyperlink>
      <w:r>
        <w:t xml:space="preserve">[8]; the count-data estimators, Poisson pseudo-maximum-likelihood, negative binomial, and panel fixed-effects Poisson, appropriate to overdispersed publication counts; the difference-in-differences and event-study identification apparatus for a staggered discrete treatment; and the proportional-hazards apparatus for the latency question. What the methodology literature lacks is the application: it has not been pointed at the planetary data archive, so its estimators stand ready but unused on this object, and its theoretical claims about data as a productive input remain at the altitude of the sector and the firm rather than the individual archive</w:t>
      </w:r>
      <w:r>
        <w:t xml:space="preserve"> </w:t>
      </w:r>
      <w:hyperlink w:anchor="ref-4">
        <w:r>
          <w:rPr>
            <w:rStyle w:val="Hyperlink"/>
          </w:rPr>
          <w:t xml:space="preserve">[4]</w:t>
        </w:r>
      </w:hyperlink>
      <w:r>
        <w:t xml:space="preserve">[6][8].</w:t>
      </w:r>
    </w:p>
    <w:bookmarkEnd w:id="77"/>
    <w:bookmarkStart w:id="78" w:name="X3fe1f6935ae7d051a9dea189a6cb356212f416b"/>
    <w:p>
      <w:pPr>
        <w:pStyle w:val="Heading3"/>
        <w:spacing w:line="480" w:lineRule="auto"/>
      </w:pPr>
      <w:r>
        <w:t xml:space="preserve">2.4.2 The Three Touching Literatures and Why None Closes the Gap</w:t>
      </w:r>
    </w:p>
    <w:p>
      <w:pPr>
        <w:pStyle w:val="FirstParagraph"/>
        <w:spacing w:line="480" w:lineRule="auto"/>
      </w:pPr>
      <w:r>
        <w:t xml:space="preserve">It is worth being explicit about the three more specific literatures that touch the question and yet, individually, leave it open. First, the mission-concept and operations literature asserts public data release as a benefit and commits to it as a design obligation, but it presents the assertion as a commitment rather than as an estimated return, and it measures nothing</w:t>
      </w:r>
      <w:r>
        <w:t xml:space="preserve"> </w:t>
      </w:r>
      <w:hyperlink w:anchor="ref-1">
        <w:r>
          <w:rPr>
            <w:rStyle w:val="Hyperlink"/>
          </w:rPr>
          <w:t xml:space="preserve">[1]</w:t>
        </w:r>
      </w:hyperlink>
      <w:r>
        <w:t xml:space="preserve">[26]. Second, the space-economy literature establishes that data and derived knowledge are productive, valuable inputs and frames space activity through investment and returns</w:t>
      </w:r>
      <w:r>
        <w:t xml:space="preserve"> </w:t>
      </w:r>
      <w:hyperlink w:anchor="ref-2">
        <w:r>
          <w:rPr>
            <w:rStyle w:val="Hyperlink"/>
          </w:rPr>
          <w:t xml:space="preserve">[2]</w:t>
        </w:r>
      </w:hyperlink>
      <w:r>
        <w:t xml:space="preserve">[4][6], but it operates above the archive and never descends to the archive as a unit of production with its own input-output relation. Third, the machine-learning-for-space-domain-awareness literature has begun to treat curated, labeled datasets and benchmark suites as shared scientific infrastructure whose release seeds a measurable downstream research community</w:t>
      </w:r>
      <w:r>
        <w:t xml:space="preserve"> </w:t>
      </w:r>
      <w:hyperlink w:anchor="ref-3">
        <w:r>
          <w:rPr>
            <w:rStyle w:val="Hyperlink"/>
          </w:rPr>
          <w:t xml:space="preserve">[3]</w:t>
        </w:r>
      </w:hyperlink>
      <w:r>
        <w:t xml:space="preserve">[5]. That shift matters for the present argument. This third literature is the closest in spirit to the dissertation’s object, because it explicitly recognizes the dataset-as-infrastructure production relationship and even studies the downstream community a single released benchmark generates</w:t>
      </w:r>
      <w:r>
        <w:t xml:space="preserve"> </w:t>
      </w:r>
      <w:hyperlink w:anchor="ref-3">
        <w:r>
          <w:rPr>
            <w:rStyle w:val="Hyperlink"/>
          </w:rPr>
          <w:t xml:space="preserve">[3]</w:t>
        </w:r>
      </w:hyperlink>
      <w:r>
        <w:t xml:space="preserve">. But it studies the adoption of one dataset at a time and does not estimate an accessibility elasticity across many archives, and so it furnishes a vivid single-case existence proof of the mechanism without furnishing the population-level estimate.</w:t>
      </w:r>
    </w:p>
    <w:p>
      <w:pPr>
        <w:pStyle w:val="BodyText"/>
        <w:spacing w:line="480" w:lineRule="auto"/>
        <w:ind w:firstLine="720"/>
      </w:pPr>
      <w:r>
        <w:t xml:space="preserve">The gap, stated as sharply as the two literatures permit, is the absence of an identified, archive-level production function. No existing work models the planetary data archive as a productive unit, specifies its inputs and its output, and estimates the causal effect of accessibility on subsequent scientific output while holding accumulated holdings and community size fixed. The bibliometric census has built the dependent variable</w:t>
      </w:r>
      <w:r>
        <w:t xml:space="preserve"> </w:t>
      </w:r>
      <w:hyperlink w:anchor="ref-9">
        <w:r>
          <w:rPr>
            <w:rStyle w:val="Hyperlink"/>
          </w:rPr>
          <w:t xml:space="preserve">[9]</w:t>
        </w:r>
      </w:hyperlink>
      <w:r>
        <w:t xml:space="preserve">; the PDS registry has built the independent variables</w:t>
      </w:r>
      <w:r>
        <w:t xml:space="preserve"> </w:t>
      </w:r>
      <w:hyperlink w:anchor="ref-7">
        <w:r>
          <w:rPr>
            <w:rStyle w:val="Hyperlink"/>
          </w:rPr>
          <w:t xml:space="preserve">[7]</w:t>
        </w:r>
      </w:hyperlink>
      <w:r>
        <w:t xml:space="preserve">; the production-function and count-data literatures have built the estimator</w:t>
      </w:r>
      <w:r>
        <w:t xml:space="preserve"> </w:t>
      </w:r>
      <w:hyperlink w:anchor="ref-2">
        <w:r>
          <w:rPr>
            <w:rStyle w:val="Hyperlink"/>
          </w:rPr>
          <w:t xml:space="preserve">[2]</w:t>
        </w:r>
      </w:hyperlink>
      <w:r>
        <w:t xml:space="preserve">[8]; and no one has assembled them into a single estimating equation whose accessibility coefficient is the elasticity in the hypothesis the dissertation defends. The gap is not for want of data and not for want of method. It is for want of their conjunction. Nothing more, and nothing less.</w:t>
      </w:r>
    </w:p>
    <w:bookmarkEnd w:id="78"/>
    <w:bookmarkStart w:id="79" w:name="why-the-conjunction-has-not-occurred"/>
    <w:p>
      <w:pPr>
        <w:pStyle w:val="Heading3"/>
        <w:spacing w:line="480" w:lineRule="auto"/>
      </w:pPr>
      <w:r>
        <w:t xml:space="preserve">2.4.3 Why the Conjunction Has Not Occurred</w:t>
      </w:r>
    </w:p>
    <w:p>
      <w:pPr>
        <w:pStyle w:val="FirstParagraph"/>
        <w:spacing w:line="480" w:lineRule="auto"/>
      </w:pPr>
      <w:r>
        <w:t xml:space="preserve">The persistence of this gap deserves brief explanation, because a gap that is obvious once stated invites the suspicion that it has been closed and overlooked. Three forces have kept the two literatures apart. The first is disciplinary location: the people who curate planetary archives are planetary scientists and data engineers whose training and incentives reward instrument performance, calibration fidelity, and archival completeness, not econometric identification, while the people who estimate production functions are economists and quantitative social scientists who have had neither the domain access nor the domain motivation to treat a planetary archive as their unit of analysis</w:t>
      </w:r>
      <w:r>
        <w:t xml:space="preserve"> </w:t>
      </w:r>
      <w:hyperlink w:anchor="ref-2">
        <w:r>
          <w:rPr>
            <w:rStyle w:val="Hyperlink"/>
          </w:rPr>
          <w:t xml:space="preserve">[2]</w:t>
        </w:r>
      </w:hyperlink>
      <w:r>
        <w:t xml:space="preserve">[7]. The second is the measurement burden: constructing the output variable at the archive level requires resolving thousands of publications to the specific datasets they used, a task that became feasible only with the maturation of the ADS, DataCite, and Crossref Event Data infrastructure and full-text mention resolution in the last decade</w:t>
      </w:r>
      <w:r>
        <w:t xml:space="preserve"> </w:t>
      </w:r>
      <w:hyperlink w:anchor="ref-9">
        <w:r>
          <w:rPr>
            <w:rStyle w:val="Hyperlink"/>
          </w:rPr>
          <w:t xml:space="preserve">[9]</w:t>
        </w:r>
      </w:hyperlink>
      <w:r>
        <w:t xml:space="preserve">[13]. The third is the identification opportunity: a credible causal estimate of an accessibility effect requires a discrete, dated, plausibly exogenous accessibility shock, and the staggered PDS4 migration that supplies exactly such a shock is itself recent, so the natural experiment the dissertation exploits did not exist in usable form until the archive modernization it depends on had largely run its course</w:t>
      </w:r>
      <w:r>
        <w:t xml:space="preserve"> </w:t>
      </w:r>
      <w:hyperlink w:anchor="ref-7">
        <w:r>
          <w:rPr>
            <w:rStyle w:val="Hyperlink"/>
          </w:rPr>
          <w:t xml:space="preserve">[7]</w:t>
        </w:r>
      </w:hyperlink>
      <w:r>
        <w:t xml:space="preserve">. The conjunction has not occurred because each of its three preconditions, cross-disciplinary framing, archive-level output measurement, and a dated accessibility shock, matured only recently and only the joining of all three makes the estimation possible.</w:t>
      </w:r>
    </w:p>
    <w:bookmarkEnd w:id="79"/>
    <w:bookmarkEnd w:id="80"/>
    <w:bookmarkStart w:id="84" w:name="X8699fd484d6a41fdee5d6ccaa7b5c398eb73e9b"/>
    <w:p>
      <w:pPr>
        <w:pStyle w:val="Heading2"/>
        <w:spacing w:line="480" w:lineRule="auto"/>
      </w:pPr>
      <w:r>
        <w:t xml:space="preserve">2.5 Positioning the Dissertation Within the Joined Literature</w:t>
      </w:r>
    </w:p>
    <w:bookmarkStart w:id="81" w:name="X81b329859615a1c7724d41b8392cd717c147214"/>
    <w:p>
      <w:pPr>
        <w:pStyle w:val="Heading3"/>
        <w:spacing w:line="480" w:lineRule="auto"/>
      </w:pPr>
      <w:r>
        <w:t xml:space="preserve">2.5.1 The Two Companion Papers as First Joined Treatments</w:t>
      </w:r>
    </w:p>
    <w:p>
      <w:pPr>
        <w:pStyle w:val="FirstParagraph"/>
        <w:spacing w:line="480" w:lineRule="auto"/>
      </w:pPr>
      <w:r>
        <w:t xml:space="preserve">The dissertation’s two companion papers are the first treatments to join the domain inputs to the econometric estimators, and reviewing them here clarifies what the core panel estimation inherits and what it improves upon. The first companion paper estimates a cross-sectional production function, regressing the logarithm of cumulative refereed publications on the logarithm of operational lifetime and on indicators for the observatory access regime and the planetary target, over a cross-section of two dozen planetary and space-science missions whose publication totals come from the ESA bibliometric census and the HiRISE retrospective</w:t>
      </w:r>
      <w:r>
        <w:t xml:space="preserve"> </w:t>
      </w:r>
      <w:hyperlink w:anchor="ref-9">
        <w:r>
          <w:rPr>
            <w:rStyle w:val="Hyperlink"/>
          </w:rPr>
          <w:t xml:space="preserve">[9]</w:t>
        </w:r>
      </w:hyperlink>
      <w:r>
        <w:t xml:space="preserve">[13]. It returns an above-unity lifetime elasticity consistent with the increasing-returns prediction of the research-infrastructure economics</w:t>
      </w:r>
      <w:r>
        <w:t xml:space="preserve"> </w:t>
      </w:r>
      <w:hyperlink w:anchor="ref-2">
        <w:r>
          <w:rPr>
            <w:rStyle w:val="Hyperlink"/>
          </w:rPr>
          <w:t xml:space="preserve">[2]</w:t>
        </w:r>
      </w:hyperlink>
      <w:r>
        <w:t xml:space="preserve">, a large and precisely estimated observatory premium consistent with the open-innovation argument</w:t>
      </w:r>
      <w:r>
        <w:t xml:space="preserve"> </w:t>
      </w:r>
      <w:hyperlink w:anchor="ref-10">
        <w:r>
          <w:rPr>
            <w:rStyle w:val="Hyperlink"/>
          </w:rPr>
          <w:t xml:space="preserve">[10]</w:t>
        </w:r>
      </w:hyperlink>
      <w:r>
        <w:t xml:space="preserve">[11], and a directional result on the planetary indicator that overturns the naive robotic-versus-astronomy intuition</w:t>
      </w:r>
      <w:r>
        <w:t xml:space="preserve"> </w:t>
      </w:r>
      <w:hyperlink w:anchor="ref-12">
        <w:r>
          <w:rPr>
            <w:rStyle w:val="Hyperlink"/>
          </w:rPr>
          <w:t xml:space="preserve">[12]</w:t>
        </w:r>
      </w:hyperlink>
      <w:r>
        <w:t xml:space="preserve">[13]. This paper is the first to estimate, rather than assert, the elasticity of archive output with respect to a measured archive input, and it demonstrates that the joined approach yields interpretable, theory-consistent estimates.</w:t>
      </w:r>
    </w:p>
    <w:p>
      <w:pPr>
        <w:pStyle w:val="BodyText"/>
        <w:spacing w:line="480" w:lineRule="auto"/>
        <w:ind w:firstLine="720"/>
      </w:pPr>
      <w:r>
        <w:t xml:space="preserve">The second companion paper joins the same domain inputs to the survival-analysis apparatus, estimating a Cox proportional-hazards model of time-to-first-science over a sample of planetary instrument datasets, with covariates for the PDS4 accessibility flag, log released volume, instrument-team size, and decadal-priority target</w:t>
      </w:r>
      <w:r>
        <w:t xml:space="preserve"> </w:t>
      </w:r>
      <w:hyperlink w:anchor="ref-7">
        <w:r>
          <w:rPr>
            <w:rStyle w:val="Hyperlink"/>
          </w:rPr>
          <w:t xml:space="preserve">[7]</w:t>
        </w:r>
      </w:hyperlink>
      <w:r>
        <w:t xml:space="preserve">[9]. It finds released scale the strongest, if statistically uncertain, driver of how quickly an archive is first used, and it finds the coarse PDS4 accessibility flag positive but indistinguishable from no effect, a result the methodology literature’s attenuation caution explains as the expected consequence of a binary proxy for a latent continuous quality. Together the two papers bracket the accessibility question from both directions, the magnitude of eventual output and the speed of first output, and they establish the feasibility and the limits of the joined treatment.</w:t>
      </w:r>
    </w:p>
    <w:bookmarkEnd w:id="81"/>
    <w:bookmarkStart w:id="82" w:name="what-the-core-panel-estimation-adds"/>
    <w:p>
      <w:pPr>
        <w:pStyle w:val="Heading3"/>
        <w:spacing w:line="480" w:lineRule="auto"/>
      </w:pPr>
      <w:r>
        <w:t xml:space="preserve">2.5.2 What the Core Panel Estimation Adds</w:t>
      </w:r>
    </w:p>
    <w:p>
      <w:pPr>
        <w:pStyle w:val="FirstParagraph"/>
        <w:spacing w:line="480" w:lineRule="auto"/>
      </w:pPr>
      <w:r>
        <w:t xml:space="preserve">The two companion papers are cross-sectional and small-sample, and both inherit the central identification weakness that the methodology literature warns against: a cross-section cannot absorb time-invariant archive heterogeneity, and a small sample cannot separate collinear inputs or deliver a precise accessibility coefficient. The dissertation’s core estimation answers both weaknesses by moving to the archive-year panel. By observing each Planetary Data System dataset over many calendar years, the panel admits dataset fixed effects that absorb the intrinsic scientific richness the domain literature documents as fixed per target and instrument</w:t>
      </w:r>
      <w:r>
        <w:t xml:space="preserve"> </w:t>
      </w:r>
      <w:hyperlink w:anchor="ref-13">
        <w:r>
          <w:rPr>
            <w:rStyle w:val="Hyperlink"/>
          </w:rPr>
          <w:t xml:space="preserve">[13]</w:t>
        </w:r>
      </w:hyperlink>
      <w:r>
        <w:t xml:space="preserve">[16], and year fixed effects that absorb the field-wide growth in planetary publishing. By estimating the conditional mean with panel fixed-effects Poisson pseudo-maximum-likelihood, it respects the count, overdispersed nature of the output that the methodology literature insists upon. And by identifying the accessibility elasticity off the within-archive change in output around the staggered PDS4 migration and endpoint-activation events, in a leads-and-lags event-study design with an explicit pre-trend falsification test, it supplies the causal identification that the cross-sectional companion paper could only approximate.</w:t>
      </w:r>
    </w:p>
    <w:p>
      <w:pPr>
        <w:pStyle w:val="BodyText"/>
        <w:spacing w:line="480" w:lineRule="auto"/>
        <w:ind w:firstLine="720"/>
      </w:pPr>
      <w:r>
        <w:t xml:space="preserve">This is the precise object the synthesis of the two literatures demands and that neither literature has produced on its own. The domain technical literature supplies the dated accessibility transitions, the cumulative-volume holdings, the community-size proxies, and the publication output resolved to the dataset</w:t>
      </w:r>
      <w:r>
        <w:t xml:space="preserve"> </w:t>
      </w:r>
      <w:hyperlink w:anchor="ref-7">
        <w:r>
          <w:rPr>
            <w:rStyle w:val="Hyperlink"/>
          </w:rPr>
          <w:t xml:space="preserve">[7]</w:t>
        </w:r>
      </w:hyperlink>
      <w:r>
        <w:t xml:space="preserve">[9][13]. The cliometric and econometric methodology literature supplies the panel fixed-effects count estimator, the difference-in-differences event structure, and the elasticity interpretation</w:t>
      </w:r>
      <w:r>
        <w:t xml:space="preserve"> </w:t>
      </w:r>
      <w:hyperlink w:anchor="ref-2">
        <w:r>
          <w:rPr>
            <w:rStyle w:val="Hyperlink"/>
          </w:rPr>
          <w:t xml:space="preserve">[2]</w:t>
        </w:r>
      </w:hyperlink>
      <w:r>
        <w:t xml:space="preserve">[8]. The dissertation joins them into a single estimating equation whose accessibility coefficient is a falsifiable estimate of the accessibility elasticity of archive science output, the quantity that mission planners and archive funders presently treat qualitatively and that the asserted, never-estimated archiving premise has left unmeasured for as long as the premise has been asserted</w:t>
      </w:r>
      <w:r>
        <w:t xml:space="preserve"> </w:t>
      </w:r>
      <w:hyperlink w:anchor="ref-1">
        <w:r>
          <w:rPr>
            <w:rStyle w:val="Hyperlink"/>
          </w:rPr>
          <w:t xml:space="preserve">[1]</w:t>
        </w:r>
      </w:hyperlink>
      <w:r>
        <w:t xml:space="preserve">[7]. The remainder of the dissertation develops that equation, estimates it, and submits its single coefficient to the falsification tests the methodology literature prescribes.</w:t>
      </w:r>
    </w:p>
    <w:bookmarkEnd w:id="82"/>
    <w:bookmarkStart w:id="83" w:name="summary-of-the-review"/>
    <w:p>
      <w:pPr>
        <w:pStyle w:val="Heading3"/>
        <w:spacing w:line="480" w:lineRule="auto"/>
      </w:pPr>
      <w:r>
        <w:t xml:space="preserve">2.5.3 Summary of the Review</w:t>
      </w:r>
    </w:p>
    <w:p>
      <w:pPr>
        <w:pStyle w:val="FirstParagraph"/>
        <w:spacing w:line="480" w:lineRule="auto"/>
      </w:pPr>
      <w:r>
        <w:t xml:space="preserve">The review establishes three things that organize the chapters to follow. First, the domain technical literature has measured archive output authoritatively and catalogued archive inputs precisely, but has never regressed the one on the other, leaving the asserted accessibility return unidentified</w:t>
      </w:r>
      <w:r>
        <w:t xml:space="preserve"> </w:t>
      </w:r>
      <w:hyperlink w:anchor="ref-1">
        <w:r>
          <w:rPr>
            <w:rStyle w:val="Hyperlink"/>
          </w:rPr>
          <w:t xml:space="preserve">[1]</w:t>
        </w:r>
      </w:hyperlink>
      <w:r>
        <w:t xml:space="preserve">[7][9]. Second, the cliometric and econometric methodology literature has fully developed the production-function, count-data, panel, and survival estimators that the archive question requires, and has theorized data as a productive input, but has not applied any of this apparatus at the level of the individual planetary archive</w:t>
      </w:r>
      <w:r>
        <w:t xml:space="preserve"> </w:t>
      </w:r>
      <w:hyperlink w:anchor="ref-2">
        <w:r>
          <w:rPr>
            <w:rStyle w:val="Hyperlink"/>
          </w:rPr>
          <w:t xml:space="preserve">[2]</w:t>
        </w:r>
      </w:hyperlink>
      <w:r>
        <w:t xml:space="preserve">[8]. Third, the gap between them is closable, and its closure has become feasible only recently, because the cross-disciplinary framing, the archive-level output measurement, and the dated accessibility shock that the closure requires have all matured within the last decade</w:t>
      </w:r>
      <w:r>
        <w:t xml:space="preserve"> </w:t>
      </w:r>
      <w:hyperlink w:anchor="ref-7">
        <w:r>
          <w:rPr>
            <w:rStyle w:val="Hyperlink"/>
          </w:rPr>
          <w:t xml:space="preserve">[7]</w:t>
        </w:r>
      </w:hyperlink>
      <w:r>
        <w:t xml:space="preserve">[9][13]. The dissertation closes the gap by joining the two literatures into an identified, archive-level production function, and it defends a single coefficient, the accessibility elasticity of archive science output, as its contribution. The next chapter specifies the data and the estimating equation through which that coefficient is obtained.</w:t>
      </w:r>
    </w:p>
    <w:bookmarkEnd w:id="83"/>
    <w:bookmarkEnd w:id="84"/>
    <w:bookmarkEnd w:id="85"/>
    <w:bookmarkStart w:id="93" w:name="Xcfcc00a3ded59aed0c781c16bfc121f2a509603"/>
    <w:p>
      <w:pPr>
        <w:pStyle w:val="Heading1"/>
        <w:spacing w:line="480" w:lineRule="auto"/>
      </w:pPr>
      <w:r>
        <w:t xml:space="preserve">Chapter 3. Theoretical Framework and Hypotheses</w:t>
      </w:r>
    </w:p>
    <w:bookmarkStart w:id="86" w:name="purpose-and-scope-of-the-chapter"/>
    <w:p>
      <w:pPr>
        <w:pStyle w:val="Heading2"/>
        <w:spacing w:line="480" w:lineRule="auto"/>
      </w:pPr>
      <w:r>
        <w:t xml:space="preserve">3.1 Purpose and Scope of the Chapter</w:t>
      </w:r>
    </w:p>
    <w:p>
      <w:pPr>
        <w:pStyle w:val="FirstParagraph"/>
        <w:spacing w:line="480" w:lineRule="auto"/>
      </w:pPr>
      <w:r>
        <w:t xml:space="preserve">The two preceding chapters established the problem and the gap. Planetary missions are justified and remembered by the science they yield, and that science does not stop when the spacecraft does; it continues for decades inside the public data archives that hold the calibrated products of each mission</w:t>
      </w:r>
      <w:r>
        <w:t xml:space="preserve"> </w:t>
      </w:r>
      <w:hyperlink w:anchor="ref-1">
        <w:r>
          <w:rPr>
            <w:rStyle w:val="Hyperlink"/>
          </w:rPr>
          <w:t xml:space="preserve">[1]</w:t>
        </w:r>
      </w:hyperlink>
      <w:r>
        <w:t xml:space="preserve">. Agencies and mission concepts assert, as a near-universal design commitment, that public release of data products multiplies downstream science</w:t>
      </w:r>
      <w:r>
        <w:t xml:space="preserve"> </w:t>
      </w:r>
      <w:hyperlink w:anchor="ref-1">
        <w:r>
          <w:rPr>
            <w:rStyle w:val="Hyperlink"/>
          </w:rPr>
          <w:t xml:space="preserve">[1]</w:t>
        </w:r>
      </w:hyperlink>
      <w:r>
        <w:t xml:space="preserve">, and the broader space-economy literature treats data and derived knowledge as productive inputs whose value is realized after the moment of acquisition</w:t>
      </w:r>
      <w:r>
        <w:t xml:space="preserve"> </w:t>
      </w:r>
      <w:hyperlink w:anchor="ref-2">
        <w:r>
          <w:rPr>
            <w:rStyle w:val="Hyperlink"/>
          </w:rPr>
          <w:t xml:space="preserve">[2]</w:t>
        </w:r>
      </w:hyperlink>
      <w:r>
        <w:t xml:space="preserve">[6]. What is missing is not the assertion but the measurement. No existing work models the planetary data archive as a unit of scientific production, specifies its inputs and its output, and identifies the causal effect of accessibility on subsequent output while holding the other inputs fixed.</w:t>
      </w:r>
    </w:p>
    <w:p>
      <w:pPr>
        <w:pStyle w:val="BodyText"/>
        <w:spacing w:line="480" w:lineRule="auto"/>
        <w:ind w:firstLine="720"/>
      </w:pPr>
      <w:r>
        <w:t xml:space="preserve">This chapter supplies the theoretical framework that converts that asserted return into a falsifiable estimate. It does three things. First, it builds the production-function model of the archive, naming the output and the inputs and stating the functional form that links them. Second, it develops the causal logic of the accessibility mechanism, distinguishing the structural claim of the dissertation from the confounded correlations that a naive cross-section would deliver. Third, it states the formal null and alternative hypotheses, H0 and H1, that the empirical chapters defend or reject. The chapter is deliberately theoretical. It does not present estimates; it specifies precisely what is to be estimated, why that quantity carries scientific and policy meaning, and under what condition the central claim of the dissertation is to be regarded as false.</w:t>
      </w:r>
    </w:p>
    <w:bookmarkEnd w:id="86"/>
    <w:bookmarkStart w:id="87" w:name="Xc370fdf045607698b26aaeab48b4d4c115d5056"/>
    <w:p>
      <w:pPr>
        <w:pStyle w:val="Heading2"/>
        <w:spacing w:line="480" w:lineRule="auto"/>
      </w:pPr>
      <w:r>
        <w:t xml:space="preserve">3.2 The Archive as a Unit of Scientific Production</w:t>
      </w:r>
    </w:p>
    <w:p>
      <w:pPr>
        <w:pStyle w:val="FirstParagraph"/>
        <w:spacing w:line="480" w:lineRule="auto"/>
      </w:pPr>
      <w:r>
        <w:t xml:space="preserve">The foundational move is to treat the data archive, rather than the mission, the instrument, or the individual paper, as the unit of production. A planetary mission produces two distinct assets. The first is the spacecraft and its operational lifetime, which is finite and ends. The second is the archived data product, which is curated, versioned, and released to the public, and which can be re-analyzed indefinitely</w:t>
      </w:r>
      <w:r>
        <w:t xml:space="preserve"> </w:t>
      </w:r>
      <w:hyperlink w:anchor="ref-1">
        <w:r>
          <w:rPr>
            <w:rStyle w:val="Hyperlink"/>
          </w:rPr>
          <w:t xml:space="preserve">[1]</w:t>
        </w:r>
      </w:hyperlink>
      <w:r>
        <w:t xml:space="preserve">. NASA institutionalized the second asset when it established the Planetary Data System in 1989 to remedy a chronic neglect of mission-data documentation and archiving; the system has since grown to more than 1.2 petabytes distributed across six discipline nodes</w:t>
      </w:r>
      <w:r>
        <w:t xml:space="preserve"> </w:t>
      </w:r>
      <w:hyperlink w:anchor="ref-7">
        <w:r>
          <w:rPr>
            <w:rStyle w:val="Hyperlink"/>
          </w:rPr>
          <w:t xml:space="preserve">[7]</w:t>
        </w:r>
      </w:hyperlink>
      <w:r>
        <w:t xml:space="preserve">. The archive is therefore a durable productive facility, not a static record. It accumulates content. It is accessed by a community. It converts those conditions into a measurable stream of refereed literature.</w:t>
      </w:r>
    </w:p>
    <w:p>
      <w:pPr>
        <w:pStyle w:val="BodyText"/>
        <w:spacing w:line="480" w:lineRule="auto"/>
        <w:ind w:firstLine="720"/>
      </w:pPr>
      <w:r>
        <w:t xml:space="preserve">This framing borrows directly from the economics of shared research infrastructure, in which the output of a common facility is analyzed as a function of its measurable inputs and its access regime</w:t>
      </w:r>
      <w:r>
        <w:t xml:space="preserve"> </w:t>
      </w:r>
      <w:hyperlink w:anchor="ref-2">
        <w:r>
          <w:rPr>
            <w:rStyle w:val="Hyperlink"/>
          </w:rPr>
          <w:t xml:space="preserve">[2]</w:t>
        </w:r>
      </w:hyperlink>
      <w:r>
        <w:t xml:space="preserve">[8]. The logic of inputs, outputs, and returns is the standard apparatus of production analysis, and the space-economy literature has applied that apparatus at the level of the sector and the firm, framing space activity through investment and returns</w:t>
      </w:r>
      <w:r>
        <w:t xml:space="preserve"> </w:t>
      </w:r>
      <w:hyperlink w:anchor="ref-4">
        <w:r>
          <w:rPr>
            <w:rStyle w:val="Hyperlink"/>
          </w:rPr>
          <w:t xml:space="preserve">[4]</w:t>
        </w:r>
      </w:hyperlink>
      <w:r>
        <w:t xml:space="preserve"> </w:t>
      </w:r>
      <w:r>
        <w:t xml:space="preserve">and treating space-derived data, products, and knowledge as value-generating well past the point of acquisition</w:t>
      </w:r>
      <w:r>
        <w:t xml:space="preserve"> </w:t>
      </w:r>
      <w:hyperlink w:anchor="ref-2">
        <w:r>
          <w:rPr>
            <w:rStyle w:val="Hyperlink"/>
          </w:rPr>
          <w:t xml:space="preserve">[2]</w:t>
        </w:r>
      </w:hyperlink>
      <w:r>
        <w:t xml:space="preserve">[6]. The contribution of the present framework is to descend that apparatus to the archive as the productive unit, a level at which the relationship between access and science has been asserted but never identified.</w:t>
      </w:r>
    </w:p>
    <w:p>
      <w:pPr>
        <w:pStyle w:val="BodyText"/>
        <w:spacing w:line="480" w:lineRule="auto"/>
        <w:ind w:firstLine="720"/>
      </w:pPr>
      <w:r>
        <w:t xml:space="preserve">The companion analyses that anchor this dissertation already demonstrate that the archive behaves like a production unit whose output responds to its structural attributes. A cross-sectional production function over planetary and space-science missions finds that cumulative refereed output rises with the operational longevity of the data-accumulation phase, with an estimated elasticity above unity, and that an open observatory access regime carries a large and precise output premium conditional on lifetime</w:t>
      </w:r>
      <w:r>
        <w:t xml:space="preserve"> </w:t>
      </w:r>
      <w:hyperlink w:anchor="ref-3">
        <w:r>
          <w:rPr>
            <w:rStyle w:val="Hyperlink"/>
          </w:rPr>
          <w:t xml:space="preserve">[3]</w:t>
        </w:r>
      </w:hyperlink>
      <w:r>
        <w:t xml:space="preserve">[7]. A complementary latency analysis models the same archives as objects at risk of a first-use event and finds that released scale, more than a coarse accessibility flag, governs how quickly an archive is first mined</w:t>
      </w:r>
      <w:r>
        <w:t xml:space="preserve"> </w:t>
      </w:r>
      <w:hyperlink w:anchor="ref-3">
        <w:r>
          <w:rPr>
            <w:rStyle w:val="Hyperlink"/>
          </w:rPr>
          <w:t xml:space="preserve">[3]</w:t>
        </w:r>
      </w:hyperlink>
      <w:r>
        <w:t xml:space="preserve">. Together these establish two facts that the present chapter builds upon: archive output is structured by measurable inputs, and accessibility is one candidate input whose effect is plausible but not yet cleanly identified.</w:t>
      </w:r>
    </w:p>
    <w:bookmarkEnd w:id="87"/>
    <w:bookmarkStart w:id="88" w:name="inputs-output-and-functional-form"/>
    <w:p>
      <w:pPr>
        <w:pStyle w:val="Heading2"/>
        <w:spacing w:line="480" w:lineRule="auto"/>
      </w:pPr>
      <w:r>
        <w:t xml:space="preserve">3.3 Inputs, Output, and Functional Form</w:t>
      </w:r>
    </w:p>
    <w:p>
      <w:pPr>
        <w:pStyle w:val="FirstParagraph"/>
        <w:spacing w:line="480" w:lineRule="auto"/>
      </w:pPr>
      <w:r>
        <w:t xml:space="preserve">The model posits a single output and three inputs, observed at the level of the archive-year. The unit of analysis is the archive-year: a single NASA Planetary Data System dataset observed in a calendar year. This panel structure is essential to the identification strategy developed below, because it permits each archive to serve as its own control across time.</w:t>
      </w:r>
    </w:p>
    <w:p>
      <w:pPr>
        <w:pStyle w:val="BodyText"/>
        <w:spacing w:line="480" w:lineRule="auto"/>
        <w:ind w:firstLine="720"/>
      </w:pPr>
      <w:r>
        <w:t xml:space="preserve">The</w:t>
      </w:r>
      <w:r>
        <w:t xml:space="preserve"> </w:t>
      </w:r>
      <w:r>
        <w:rPr>
          <w:b/>
          <w:bCs/>
        </w:rPr>
        <w:t xml:space="preserve">output</w:t>
      </w:r>
      <w:r>
        <w:t xml:space="preserve"> </w:t>
      </w:r>
      <w:r>
        <w:t xml:space="preserve">is the count of peer-reviewed publications in a given year that cite or use a given archived dataset. This is the closest available proxy for the scientific return on the public investment that built the archive, and it is the quantity that the asserted accessibility payoff is supposed to raise</w:t>
      </w:r>
      <w:r>
        <w:t xml:space="preserve"> </w:t>
      </w:r>
      <w:hyperlink w:anchor="ref-1">
        <w:r>
          <w:rPr>
            <w:rStyle w:val="Hyperlink"/>
          </w:rPr>
          <w:t xml:space="preserve">[1]</w:t>
        </w:r>
      </w:hyperlink>
      <w:r>
        <w:t xml:space="preserve">[3]. The output is a non-negative integer count, frequently zero in any single archive-year and heavily right-skewed across the panel, which has direct consequences for functional form discussed below.</w:t>
      </w:r>
    </w:p>
    <w:p>
      <w:pPr>
        <w:pStyle w:val="BodyText"/>
        <w:spacing w:line="480" w:lineRule="auto"/>
        <w:ind w:firstLine="720"/>
      </w:pPr>
      <w:r>
        <w:t xml:space="preserve">The three</w:t>
      </w:r>
      <w:r>
        <w:t xml:space="preserve"> </w:t>
      </w:r>
      <w:r>
        <w:rPr>
          <w:b/>
          <w:bCs/>
        </w:rPr>
        <w:t xml:space="preserve">inputs</w:t>
      </w:r>
      <w:r>
        <w:t xml:space="preserve"> </w:t>
      </w:r>
      <w:r>
        <w:t xml:space="preserve">correspond to the three structural conditions under which an archive produces science.</w:t>
      </w:r>
    </w:p>
    <w:p>
      <w:pPr>
        <w:spacing w:line="480" w:lineRule="auto"/>
        <w:numPr>
          <w:ilvl w:val="0"/>
          <w:numId w:val="1001"/>
        </w:numPr>
      </w:pPr>
      <w:r>
        <w:rPr>
          <w:i/>
          <w:iCs/>
        </w:rPr>
        <w:t xml:space="preserve">Accumulated holdings.</w:t>
      </w:r>
      <w:r>
        <w:t xml:space="preserve"> </w:t>
      </w:r>
      <w:r>
        <w:t xml:space="preserve">The cumulative data volume released to date is the analyzable surface area on which authors can draw. More holdings present more derived products and more time baselines, and the latency evidence identifies released scale as the strongest candidate driver of early uptake</w:t>
      </w:r>
      <w:r>
        <w:t xml:space="preserve"> </w:t>
      </w:r>
      <w:hyperlink w:anchor="ref-3">
        <w:r>
          <w:rPr>
            <w:rStyle w:val="Hyperlink"/>
          </w:rPr>
          <w:t xml:space="preserve">[3]</w:t>
        </w:r>
      </w:hyperlink>
      <w:r>
        <w:t xml:space="preserve">. Holdings enter the model as a control whose own coefficient is of secondary interest.</w:t>
      </w:r>
    </w:p>
    <w:p>
      <w:pPr>
        <w:spacing w:line="480" w:lineRule="auto"/>
        <w:numPr>
          <w:ilvl w:val="0"/>
          <w:numId w:val="1001"/>
        </w:numPr>
      </w:pPr>
      <w:r>
        <w:rPr>
          <w:i/>
          <w:iCs/>
        </w:rPr>
        <w:t xml:space="preserve">Community size.</w:t>
      </w:r>
      <w:r>
        <w:t xml:space="preserve"> </w:t>
      </w:r>
      <w:r>
        <w:t xml:space="preserve">The number of distinct prior author teams that have used the dataset proxies the standing pool of investigators positioned to publish. A larger using community seeds more downstream work, and the economics of shared infrastructure predicts increasing returns to the installed base of users and tooling</w:t>
      </w:r>
      <w:r>
        <w:t xml:space="preserve"> </w:t>
      </w:r>
      <w:hyperlink w:anchor="ref-2">
        <w:r>
          <w:rPr>
            <w:rStyle w:val="Hyperlink"/>
          </w:rPr>
          <w:t xml:space="preserve">[2]</w:t>
        </w:r>
      </w:hyperlink>
      <w:r>
        <w:t xml:space="preserve">[8]. Decadal-priority target bodies attract denser standing communities that mine new data quickly</w:t>
      </w:r>
      <w:r>
        <w:t xml:space="preserve"> </w:t>
      </w:r>
      <w:hyperlink w:anchor="ref-4">
        <w:r>
          <w:rPr>
            <w:rStyle w:val="Hyperlink"/>
          </w:rPr>
          <w:t xml:space="preserve">[4]</w:t>
        </w:r>
      </w:hyperlink>
      <w:r>
        <w:t xml:space="preserve">, which is one source of cross-archive variation in this input.</w:t>
      </w:r>
    </w:p>
    <w:p>
      <w:pPr>
        <w:spacing w:line="480" w:lineRule="auto"/>
        <w:numPr>
          <w:ilvl w:val="0"/>
          <w:numId w:val="1001"/>
        </w:numPr>
      </w:pPr>
      <w:r>
        <w:rPr>
          <w:i/>
          <w:iCs/>
        </w:rPr>
        <w:t xml:space="preserve">Accessibility.</w:t>
      </w:r>
      <w:r>
        <w:t xml:space="preserve"> </w:t>
      </w:r>
      <w:r>
        <w:t xml:space="preserve">The measured property of the dataset’s release state and access tooling is the input of central interest. Accessibility is operationalized through the migration of legacy datasets into the modernized PDS4 access standard and the activation of programmatic access endpoints, which couple datasets to machine-readable labels and programmatic retrieval. The machine-learning-for-space literature treats precisely this kind of access tooling as the precondition for a dataset to seed a downstream research community</w:t>
      </w:r>
      <w:r>
        <w:t xml:space="preserve"> </w:t>
      </w:r>
      <w:hyperlink w:anchor="ref-3">
        <w:r>
          <w:rPr>
            <w:rStyle w:val="Hyperlink"/>
          </w:rPr>
          <w:t xml:space="preserve">[3]</w:t>
        </w:r>
      </w:hyperlink>
      <w:r>
        <w:t xml:space="preserve">[5]. Accessibility is the input whose marginal effect the dissertation seeks to identify.</w:t>
      </w:r>
    </w:p>
    <w:p>
      <w:pPr>
        <w:pStyle w:val="FirstParagraph"/>
        <w:spacing w:line="480" w:lineRule="auto"/>
      </w:pPr>
      <w:r>
        <w:t xml:space="preserve">The functional form is a log-linear, or Cobb-Douglas, production relationship. The conditional mean of dataset</w:t>
      </w:r>
      <w:r>
        <w:t xml:space="preserve"> </w:t>
      </w:r>
      <w:r>
        <w:rPr>
          <w:i/>
          <w:iCs/>
        </w:rPr>
        <w:t xml:space="preserve">i</w:t>
      </w:r>
      <w:r>
        <w:t xml:space="preserve">’s publication count in year</w:t>
      </w:r>
      <w:r>
        <w:t xml:space="preserve"> </w:t>
      </w:r>
      <w:r>
        <w:rPr>
          <w:i/>
          <w:iCs/>
        </w:rPr>
        <w:t xml:space="preserve">t</w:t>
      </w:r>
      <w:r>
        <w:t xml:space="preserve"> </w:t>
      </w:r>
      <w:r>
        <w:t xml:space="preserve">is expressed as a log-linear function of the logs of the three inputs. Two considerations dictate this choice. First, the production-function tradition models output as a multiplicative function of inputs, so that elasticities, the proportional response of output to a proportional change in an input, are the natural objects of estimation and coefficients are directly interpretable in those terms; the companion level analysis adopts exactly this log-log form and recovers an interpretable lifetime elasticity</w:t>
      </w:r>
      <w:r>
        <w:t xml:space="preserve"> </w:t>
      </w:r>
      <w:hyperlink w:anchor="ref-3">
        <w:r>
          <w:rPr>
            <w:rStyle w:val="Hyperlink"/>
          </w:rPr>
          <w:t xml:space="preserve">[3]</w:t>
        </w:r>
      </w:hyperlink>
      <w:r>
        <w:t xml:space="preserve">[7]. Second, because the output is a non-negative count with overdispersion and frequent zeros, the conditional mean is modeled through an exponential link rather than a level-linear regression. Estimation therefore uses a panel fixed-effects Poisson pseudo-maximum-likelihood model, which is consistent under the conditional-mean assumption and does not require the equidispersion that ordinary Poisson imposes. The coefficient on the log of accessibility is the elasticity that H0 and H1 concern.</w:t>
      </w:r>
    </w:p>
    <w:bookmarkEnd w:id="88"/>
    <w:bookmarkStart w:id="89" w:name="the-causal-mechanism"/>
    <w:p>
      <w:pPr>
        <w:pStyle w:val="Heading2"/>
        <w:spacing w:line="480" w:lineRule="auto"/>
      </w:pPr>
      <w:r>
        <w:t xml:space="preserve">3.4 The Causal Mechanism</w:t>
      </w:r>
    </w:p>
    <w:p>
      <w:pPr>
        <w:pStyle w:val="FirstParagraph"/>
        <w:spacing w:line="480" w:lineRule="auto"/>
      </w:pPr>
      <w:r>
        <w:t xml:space="preserve">The theoretical claim is mechanistic, not merely associational. The dissertation asserts that improving how accessible an archive is</w:t>
      </w:r>
      <w:r>
        <w:t xml:space="preserve"> </w:t>
      </w:r>
      <w:r>
        <w:rPr>
          <w:i/>
          <w:iCs/>
        </w:rPr>
        <w:t xml:space="preserve">causes</w:t>
      </w:r>
      <w:r>
        <w:t xml:space="preserve"> </w:t>
      </w:r>
      <w:r>
        <w:t xml:space="preserve">an increase in the subsequent science it produces. The claim runs through an identifiable chain of intermediate steps. Naming that chain matters, because it is the mechanism, not a raw correlation, that the hypotheses are designed to test.</w:t>
      </w:r>
    </w:p>
    <w:p>
      <w:pPr>
        <w:pStyle w:val="BodyText"/>
        <w:spacing w:line="480" w:lineRule="auto"/>
        <w:ind w:firstLine="720"/>
      </w:pPr>
      <w:r>
        <w:t xml:space="preserve">The mechanism proceeds as follows. An accessibility upgrade, such as migration into the PDS4 standard with programmatic endpoints, lowers the cost to a prospective author of locating, retrieving, interpreting, and computing on an archived dataset. Machine-readable labels remove the friction of decoding undocumented legacy formats; programmatic endpoints remove the friction of manual retrieval and enable automated, large-scale analysis; standardized access broadens the population of investigators able to use the data beyond the originating instrument team. Each of these reductions in access cost expands the effective pool of authors for whom a publishable study using the archive is feasible. A larger feasible-author pool, applied to fixed holdings and a fixed standing community, yields more attempts at archival science and therefore more realized publications. The machine-learning-for-space literature describes this same chain when it treats the release of curated, accessible, labeled datasets as the event that seeds and then sustains a measurable downstream research community</w:t>
      </w:r>
      <w:r>
        <w:t xml:space="preserve"> </w:t>
      </w:r>
      <w:hyperlink w:anchor="ref-3">
        <w:r>
          <w:rPr>
            <w:rStyle w:val="Hyperlink"/>
          </w:rPr>
          <w:t xml:space="preserve">[3]</w:t>
        </w:r>
      </w:hyperlink>
      <w:r>
        <w:t xml:space="preserve">[5].</w:t>
      </w:r>
    </w:p>
    <w:p>
      <w:pPr>
        <w:pStyle w:val="BodyText"/>
        <w:spacing w:line="480" w:lineRule="auto"/>
        <w:ind w:firstLine="720"/>
      </w:pPr>
      <w:r>
        <w:t xml:space="preserve">This mechanism is the production-function analogue of the open-access argument that the space-sector innovation literature makes at the level of the mission. That literature contends that open access regimes broaden the contributor base and accelerate knowledge production</w:t>
      </w:r>
      <w:r>
        <w:t xml:space="preserve"> </w:t>
      </w:r>
      <w:hyperlink w:anchor="ref-10">
        <w:r>
          <w:rPr>
            <w:rStyle w:val="Hyperlink"/>
          </w:rPr>
          <w:t xml:space="preserve">[10]</w:t>
        </w:r>
      </w:hyperlink>
      <w:r>
        <w:t xml:space="preserve">, and that the transition to open innovation widens downstream exploitation of a shared resource</w:t>
      </w:r>
      <w:r>
        <w:t xml:space="preserve"> </w:t>
      </w:r>
      <w:hyperlink w:anchor="ref-11">
        <w:r>
          <w:rPr>
            <w:rStyle w:val="Hyperlink"/>
          </w:rPr>
          <w:t xml:space="preserve">[11]</w:t>
        </w:r>
      </w:hyperlink>
      <w:r>
        <w:t xml:space="preserve">. The level analysis that anchors this dissertation confirms the macro version of the claim: observatory-class missions, which release survey data to an open community of guest observers and archival researchers, carry a large output premium over single-target probes conditional on operational lifetime</w:t>
      </w:r>
      <w:r>
        <w:t xml:space="preserve"> </w:t>
      </w:r>
      <w:hyperlink w:anchor="ref-3">
        <w:r>
          <w:rPr>
            <w:rStyle w:val="Hyperlink"/>
          </w:rPr>
          <w:t xml:space="preserve">[3]</w:t>
        </w:r>
      </w:hyperlink>
      <w:r>
        <w:t xml:space="preserve">. Accessibility, as modeled here, is the within-archive, continuously varying expression of the same open-access logic. Where the observatory premium captures a once-and-for-all structural difference between mission types, the accessibility elasticity captures what happens to a given archive’s output when that same archive is made more open over time.</w:t>
      </w:r>
    </w:p>
    <w:p>
      <w:pPr>
        <w:pStyle w:val="BodyText"/>
        <w:spacing w:line="480" w:lineRule="auto"/>
        <w:ind w:firstLine="720"/>
      </w:pPr>
      <w:r>
        <w:t xml:space="preserve">It is worth being explicit about what the mechanism does</w:t>
      </w:r>
      <w:r>
        <w:t xml:space="preserve"> </w:t>
      </w:r>
      <w:r>
        <w:rPr>
          <w:i/>
          <w:iCs/>
        </w:rPr>
        <w:t xml:space="preserve">not</w:t>
      </w:r>
      <w:r>
        <w:t xml:space="preserve"> </w:t>
      </w:r>
      <w:r>
        <w:t xml:space="preserve">assert. It does not assert that accessibility creates scientific value where none latently exists; an archive with no analyzable content or no interested community will not produce science however accessible it is made. Accessibility is theorized as a multiplier on the conversion of latent holdings and a latent community into realized publications, not as an independent source of output. This is why the model conditions on holdings and community size: the claim is about the marginal effect of accessibility</w:t>
      </w:r>
      <w:r>
        <w:t xml:space="preserve"> </w:t>
      </w:r>
      <w:r>
        <w:rPr>
          <w:i/>
          <w:iCs/>
        </w:rPr>
        <w:t xml:space="preserve">holding those inputs fixed</w:t>
      </w:r>
      <w:r>
        <w:t xml:space="preserve">, which isolates the conversion-efficiency channel from the obvious confound that productive archives also tend to be large and popular ones.</w:t>
      </w:r>
    </w:p>
    <w:bookmarkEnd w:id="89"/>
    <w:bookmarkStart w:id="90" w:name="X82344879c8a524b749d602e52a9cd794f62928a"/>
    <w:p>
      <w:pPr>
        <w:pStyle w:val="Heading2"/>
        <w:spacing w:line="480" w:lineRule="auto"/>
      </w:pPr>
      <w:r>
        <w:t xml:space="preserve">3.5 The Identification Problem and the Causal Logic</w:t>
      </w:r>
    </w:p>
    <w:p>
      <w:pPr>
        <w:pStyle w:val="FirstParagraph"/>
        <w:spacing w:line="480" w:lineRule="auto"/>
      </w:pPr>
      <w:r>
        <w:t xml:space="preserve">One obstacle stands between the mechanism and a credible estimate. Accessibility is not assigned to archives at random. Archives that are expected to be scientifically productive may attract more curation effort, more documentation, and earlier access investment, precisely because their expected productivity justifies the investment. A naive cross-sectional regression of output on accessibility would therefore conflate the causal effect of access with the reverse channel in which anticipated productivity drives access. The estimated coefficient would be biased upward, and a positive correlation would be uninformative about the mechanism of interest.</w:t>
      </w:r>
    </w:p>
    <w:p>
      <w:pPr>
        <w:pStyle w:val="BodyText"/>
        <w:spacing w:line="480" w:lineRule="auto"/>
        <w:ind w:firstLine="720"/>
      </w:pPr>
      <w:r>
        <w:t xml:space="preserve">The causal logic of the dissertation addresses this through the panel structure and the timing of discrete accessibility upgrades. Dataset fixed effects absorb every time-invariant characteristic of an archive: the intrinsic scientific richness of its target body, the prestige of its instrument, the standing interest of its discipline, and any other fixed source of cross-archive productivity differences. Year fixed effects absorb sector-wide shocks common to all archives in a given year, such as field-wide growth in planetary publishing or changes in citation practice. With both sets of fixed effects in place, the accessibility elasticity is no longer identified from comparisons between rich and poor archives, which is where the confounding lives, but from the within-archive change in output around the moment a given archive is itself made more accessible.</w:t>
      </w:r>
    </w:p>
    <w:p>
      <w:pPr>
        <w:pStyle w:val="BodyText"/>
        <w:spacing w:line="480" w:lineRule="auto"/>
        <w:ind w:firstLine="720"/>
      </w:pPr>
      <w:r>
        <w:t xml:space="preserve">The identifying variation is the staggered timing of discrete access transitions. The migration of legacy datasets into PDS4 and the activation of programmatic endpoints occur on a schedule driven by node-level curation queues and infrastructure rollout rather than by the forecasted productivity of any individual dataset. Because different archives cross these transitions in different years for reasons exogenous to their own expected output, the panel supports a difference-in-differences event structure: the change in an archive’s output after its own transition is compared against the contemporaneous change in archives that have not yet transitioned. Under the assumption that transition timing is uncorrelated with dataset-specific productivity shocks, this within-archive, staggered-timing comparison identifies the causal accessibility elasticity rather than the confounded correlation.</w:t>
      </w:r>
    </w:p>
    <w:p>
      <w:pPr>
        <w:pStyle w:val="BodyText"/>
        <w:spacing w:line="480" w:lineRule="auto"/>
        <w:ind w:firstLine="720"/>
      </w:pPr>
      <w:r>
        <w:t xml:space="preserve">The credibility of this logic rests on one testable assumption: that high-potential archives are not systematically migrated first. If they were, output would already be trending upward before the transition, and the design would overstate the elasticity. The falsification check is a leads-and-lags event-study specification that estimates output in the years before as well as after each transition. A flat pre-transition path is consistent with the identifying assumption; a significant pre-trend would invalidate the design and is to be reported transparently whatever it shows. This is the empirical content that separates the present framework from the bare assertion it replaces: the mechanism is not only stated, it is exposed to a test that can reject the design itself.</w:t>
      </w:r>
    </w:p>
    <w:bookmarkEnd w:id="90"/>
    <w:bookmarkStart w:id="91" w:name="formal-hypotheses"/>
    <w:p>
      <w:pPr>
        <w:pStyle w:val="Heading2"/>
        <w:spacing w:line="480" w:lineRule="auto"/>
      </w:pPr>
      <w:r>
        <w:t xml:space="preserve">3.6 Formal Hypotheses</w:t>
      </w:r>
    </w:p>
    <w:p>
      <w:pPr>
        <w:pStyle w:val="FirstParagraph"/>
        <w:spacing w:line="480" w:lineRule="auto"/>
      </w:pPr>
      <w:r>
        <w:t xml:space="preserve">The framework above reduces to a single estimable quantity that carries the dissertation: the elasticity of annual archive-using publication output with respect to archive accessibility, conditional on accumulated holdings and on the size of the using community. Let that elasticity be the coefficient on the log of accessibility in the panel fixed-effects Poisson conditional-mean model of Section 3.3, with dataset and year fixed effects and the identification strategy of Section 3.5. Denote it β. The two hypotheses are stated over β.</w:t>
      </w:r>
    </w:p>
    <w:p>
      <w:pPr>
        <w:pStyle w:val="BodyText"/>
        <w:spacing w:line="480" w:lineRule="auto"/>
        <w:ind w:firstLine="720"/>
      </w:pPr>
      <w:r>
        <w:rPr>
          <w:b/>
          <w:bCs/>
        </w:rPr>
        <w:t xml:space="preserve">H0 (null).</w:t>
      </w:r>
      <w:r>
        <w:t xml:space="preserve"> </w:t>
      </w:r>
      <w:r>
        <w:t xml:space="preserve">Holding accumulated holdings and community size fixed, the elasticity of subsequent archive-using publication output with respect to archive accessibility is zero: β = 0. Improving how accessible an archive is does not raise the science it produces. Under H0 the asserted accessibility payoff that runs through mission concepts and space-economy syntheses</w:t>
      </w:r>
      <w:r>
        <w:t xml:space="preserve"> </w:t>
      </w:r>
      <w:hyperlink w:anchor="ref-1">
        <w:r>
          <w:rPr>
            <w:rStyle w:val="Hyperlink"/>
          </w:rPr>
          <w:t xml:space="preserve">[1]</w:t>
        </w:r>
      </w:hyperlink>
      <w:r>
        <w:t xml:space="preserve">[2][6] is, at the archive level and net of holdings and community, an artifact of confounding rather than a causal return.</w:t>
      </w:r>
    </w:p>
    <w:p>
      <w:pPr>
        <w:pStyle w:val="BodyText"/>
        <w:spacing w:line="480" w:lineRule="auto"/>
        <w:ind w:firstLine="720"/>
      </w:pPr>
      <w:r>
        <w:rPr>
          <w:b/>
          <w:bCs/>
        </w:rPr>
        <w:t xml:space="preserve">H1 (alternative).</w:t>
      </w:r>
      <w:r>
        <w:t xml:space="preserve"> </w:t>
      </w:r>
      <w:r>
        <w:t xml:space="preserve">Holding accumulated holdings and community size fixed, that elasticity is strictly positive: β &gt; 0. A given proportional increase in accessibility produces a positive proportional increase in subsequent archive-using publication output. Under H1 the accessibility mechanism of Section 3.4 operates: lowering access cost expands the feasible-author pool and converts latent holdings and a latent community into realized publications at a measurably higher rate.</w:t>
      </w:r>
    </w:p>
    <w:p>
      <w:pPr>
        <w:pStyle w:val="BodyText"/>
        <w:spacing w:line="480" w:lineRule="auto"/>
        <w:ind w:firstLine="720"/>
      </w:pPr>
      <w:r>
        <w:t xml:space="preserve">The hypotheses are directional and asymmetric by design. The mechanism predicts a positive sign. There is no theoretical channel through which greater accessibility would lower output, so the scientifically meaningful alternative to</w:t>
      </w:r>
      <w:r>
        <w:t xml:space="preserve"> </w:t>
      </w:r>
      <w:r>
        <w:t xml:space="preserve">“no effect”</w:t>
      </w:r>
      <w:r>
        <w:t xml:space="preserve"> </w:t>
      </w:r>
      <w:r>
        <w:t xml:space="preserve">is</w:t>
      </w:r>
      <w:r>
        <w:t xml:space="preserve"> </w:t>
      </w:r>
      <w:r>
        <w:t xml:space="preserve">“positive effect,”</w:t>
      </w:r>
      <w:r>
        <w:t xml:space="preserve"> </w:t>
      </w:r>
      <w:r>
        <w:t xml:space="preserve">and the test is constructed to detect that. The dissertation defends H1 against H0 by estimating β under the identification strategy and reporting its sign, magnitude, and the event-study evidence on the identifying assumption.</w:t>
      </w:r>
    </w:p>
    <w:bookmarkEnd w:id="91"/>
    <w:bookmarkStart w:id="92" w:name="falsification-condition"/>
    <w:p>
      <w:pPr>
        <w:pStyle w:val="Heading2"/>
        <w:spacing w:line="480" w:lineRule="auto"/>
      </w:pPr>
      <w:r>
        <w:t xml:space="preserve">3.7 Falsification Condition</w:t>
      </w:r>
    </w:p>
    <w:p>
      <w:pPr>
        <w:pStyle w:val="FirstParagraph"/>
        <w:spacing w:line="480" w:lineRule="auto"/>
      </w:pPr>
      <w:r>
        <w:t xml:space="preserve">A doctoral contribution earns its standing by being refutable. The single falsifiable claim of this dissertation is H1. The condition under which it is to be regarded as false is stated precisely. The contribution is falsified if the estimated accessibility coefficient β is statistically indistinguishable from zero, or is negative, under the identification strategy of Section 3.5. A single sign-and-magnitude estimate carries the dissertation; there is no auxiliary battery of claims to retreat to if the central estimate fails.</w:t>
      </w:r>
    </w:p>
    <w:p>
      <w:pPr>
        <w:pStyle w:val="BodyText"/>
        <w:spacing w:line="480" w:lineRule="auto"/>
        <w:ind w:firstLine="720"/>
      </w:pPr>
      <w:r>
        <w:t xml:space="preserve">Two features of the framework discipline the reading of that estimate and protect the falsification condition from being quietly relaxed. First, accessibility is operationalized through the coarse PDS4-and-endpoint proxy, which is a blunt instrument for the full latent quality of access. Measurement error of this kind biases the coefficient toward zero, so a non-rejection of H0 must be read as consistent with either a true null or an attenuated true positive; the companion latency analysis already finds the binary accessibility flag too blunt to register a significant effect on uptake speed even where its sign is correct</w:t>
      </w:r>
      <w:r>
        <w:t xml:space="preserve"> </w:t>
      </w:r>
      <w:hyperlink w:anchor="ref-3">
        <w:r>
          <w:rPr>
            <w:rStyle w:val="Hyperlink"/>
          </w:rPr>
          <w:t xml:space="preserve">[3]</w:t>
        </w:r>
      </w:hyperlink>
      <w:r>
        <w:t xml:space="preserve">. The dissertation will not convert a coarse-proxy null into a strong claim that accessibility does not matter, but neither will it treat attenuation as license to dismiss a null result. Second, the leads-and-lags pre-trend test is reported transparently in all cases. If it reveals a significant pre-transition trend, the identifying assumption is violated, the elasticity estimate is not causal, and that fact is stated rather than suppressed.</w:t>
      </w:r>
    </w:p>
    <w:p>
      <w:pPr>
        <w:pStyle w:val="BodyText"/>
        <w:spacing w:line="480" w:lineRule="auto"/>
        <w:ind w:firstLine="720"/>
      </w:pPr>
      <w:r>
        <w:t xml:space="preserve">The chapter therefore closes with the object the empirical work must deliver: one estimate of β, obtained under a stated and tested identification strategy, whose sign and magnitude either support H1 or, by falling at or below zero, falsify it. The framework has named the output, the inputs, the functional form, the mechanism, the identifying variation, the testable assumption behind that variation, and the precise condition for refutation. What remains is estimation, to which the following chapters turn.</w:t>
      </w:r>
    </w:p>
    <w:bookmarkEnd w:id="92"/>
    <w:bookmarkEnd w:id="93"/>
    <w:bookmarkStart w:id="107" w:name="chapter-4.-data-and-measurement"/>
    <w:p>
      <w:pPr>
        <w:pStyle w:val="Heading1"/>
        <w:spacing w:line="480" w:lineRule="auto"/>
      </w:pPr>
      <w:r>
        <w:t xml:space="preserve">Chapter 4. Data and Measurement</w:t>
      </w:r>
    </w:p>
    <w:bookmarkStart w:id="94" w:name="purpose-and-scope-of-the-chapter-1"/>
    <w:p>
      <w:pPr>
        <w:pStyle w:val="Heading2"/>
        <w:spacing w:line="480" w:lineRule="auto"/>
      </w:pPr>
      <w:r>
        <w:t xml:space="preserve">4.1 Purpose and Scope of the Chapter</w:t>
      </w:r>
    </w:p>
    <w:p>
      <w:pPr>
        <w:pStyle w:val="FirstParagraph"/>
        <w:spacing w:line="480" w:lineRule="auto"/>
      </w:pPr>
      <w:r>
        <w:t xml:space="preserve">The preceding chapter specified what is to be estimated: the elasticity of archive science output with respect to accessibility, and, in the companion latency analysis, the rate at which an archived dataset reaches its first scientific use. This chapter specifies what those estimates are estimated from. It is an account of the empirical materials, not of the models that consume them. The task is transparency. A reader should be able, in principle, to reconstruct every observation from public records, so that any claim resting on a number can be traced back to the authoritative source from which that number was drawn.</w:t>
      </w:r>
    </w:p>
    <w:p>
      <w:pPr>
        <w:pStyle w:val="BodyText"/>
        <w:spacing w:line="480" w:lineRule="auto"/>
        <w:ind w:firstLine="720"/>
      </w:pPr>
      <w:r>
        <w:t xml:space="preserve">The dissertation rests on two distinct empirical datasets, each assembled for one of the two anchoring analyses. The first is a cross-section of twenty-four planetary and space-science missions, used to estimate the production function that relates cumulative refereed output to operational longevity and access regime. The second is a sample of thirty-four archived instrument datasets drawn from fourteen NASA planetary missions, used to estimate the proportional-hazards model of time-to-first-science. The two share a common intellectual object, the data archive as a unit of scientific production, but they observe that object at different levels of aggregation, draw on partly different authoritative sources, and construct their variables from different primary records. This chapter treats them in turn. It is explicit about where they agree, where they differ, and why the difference is deliberate rather than incidental.</w:t>
      </w:r>
    </w:p>
    <w:p>
      <w:pPr>
        <w:pStyle w:val="BodyText"/>
        <w:spacing w:line="480" w:lineRule="auto"/>
        <w:ind w:firstLine="720"/>
      </w:pPr>
      <w:r>
        <w:t xml:space="preserve">The chapter proceeds in five parts. Section 4.2 fixes the unit of analysis for each dataset and explains the consequence of the two units for what each model can identify. Section 4.3 documents the authoritative sources from which the raw records are drawn and the provenance discipline applied to each. Section 4.4 constructs the dependent variables, the refereed-publication count and the time-to-first-science duration, from those primary records. Section 4.5 constructs the independent variables, longevity and observatory breadth for the cross-section, and accessibility, scale, and community proxies for the survival sample. Section 4.6 records the measurement limits that the construction procedure cannot remove and that the threats-to-validity discussion later in the dissertation must carry.</w:t>
      </w:r>
    </w:p>
    <w:bookmarkEnd w:id="94"/>
    <w:bookmarkStart w:id="95" w:name="units-of-analysis"/>
    <w:p>
      <w:pPr>
        <w:pStyle w:val="Heading2"/>
        <w:spacing w:line="480" w:lineRule="auto"/>
      </w:pPr>
      <w:r>
        <w:t xml:space="preserve">4.2 Units of Analysis</w:t>
      </w:r>
    </w:p>
    <w:p>
      <w:pPr>
        <w:pStyle w:val="FirstParagraph"/>
        <w:spacing w:line="480" w:lineRule="auto"/>
      </w:pPr>
      <w:r>
        <w:t xml:space="preserve">A central design decision distinguishes the two datasets at the level of the unit they observe, and the decision is consequential enough to state plainly before any variable is described.</w:t>
      </w:r>
    </w:p>
    <w:p>
      <w:pPr>
        <w:pStyle w:val="BodyText"/>
        <w:spacing w:line="480" w:lineRule="auto"/>
        <w:ind w:firstLine="720"/>
      </w:pPr>
      <w:r>
        <w:t xml:space="preserve">The cross-sectional production-function dataset takes the</w:t>
      </w:r>
      <w:r>
        <w:t xml:space="preserve"> </w:t>
      </w:r>
      <w:r>
        <w:rPr>
          <w:b/>
          <w:bCs/>
        </w:rPr>
        <w:t xml:space="preserve">mission</w:t>
      </w:r>
      <w:r>
        <w:t xml:space="preserve"> </w:t>
      </w:r>
      <w:r>
        <w:t xml:space="preserve">as its unit. Each of its twenty-four rows is a single planetary or space-science mission, and the quantities recorded against that row, cumulative refereed output, operational lifetime, and access regime, are mission-level attributes accumulated over the whole life of the mission’s archive</w:t>
      </w:r>
      <w:r>
        <w:t xml:space="preserve"> </w:t>
      </w:r>
      <w:hyperlink w:anchor="ref-9">
        <w:r>
          <w:rPr>
            <w:rStyle w:val="Hyperlink"/>
          </w:rPr>
          <w:t xml:space="preserve">[9]</w:t>
        </w:r>
      </w:hyperlink>
      <w:r>
        <w:t xml:space="preserve">[13]. This unit is appropriate to the question that analysis asks, which is a comparative-statics question about the level of science an archive eventually yields as a function of the structural features of the mission that produced it. The mission is the level at which operational lifetime and the observatory-versus-probe distinction are defined, and it is the level at which a consistent, authoritative publication census exists</w:t>
      </w:r>
      <w:r>
        <w:t xml:space="preserve"> </w:t>
      </w:r>
      <w:hyperlink w:anchor="ref-9">
        <w:r>
          <w:rPr>
            <w:rStyle w:val="Hyperlink"/>
          </w:rPr>
          <w:t xml:space="preserve">[9]</w:t>
        </w:r>
      </w:hyperlink>
      <w:r>
        <w:t xml:space="preserve">. The cross-section is therefore a between-mission comparison, and its estimated elasticity is identified off variation across missions rather than within any single archive over time.</w:t>
      </w:r>
    </w:p>
    <w:p>
      <w:pPr>
        <w:pStyle w:val="BodyText"/>
        <w:spacing w:line="480" w:lineRule="auto"/>
        <w:ind w:firstLine="720"/>
      </w:pPr>
      <w:r>
        <w:t xml:space="preserve">The survival dataset takes the</w:t>
      </w:r>
      <w:r>
        <w:t xml:space="preserve"> </w:t>
      </w:r>
      <w:r>
        <w:rPr>
          <w:b/>
          <w:bCs/>
        </w:rPr>
        <w:t xml:space="preserve">archived instrument dataset</w:t>
      </w:r>
      <w:r>
        <w:t xml:space="preserve"> </w:t>
      </w:r>
      <w:r>
        <w:t xml:space="preserve">as its unit. Each of its thirty-four rows is a single dataset, that is, the calibrated holdings of one instrument on one mission, released to the public archive as a discrete product. The Mars Reconnaissance Orbiter, for instance, contributes several rows, one per archived instrument dataset, rather than a single mission-level row. This finer unit is required because the latency question is about a dataset-level event, the first peer-reviewed publication that uses a particular released product, and that event has no meaning at the coarser mission level, where many instruments release on different dates and are mined on different timetables. The duration that the hazard model treats as its outcome, the interval from a dataset’s public release to its first scientific use, is intrinsically a property of the released dataset, not of the mission as a whole.</w:t>
      </w:r>
    </w:p>
    <w:p>
      <w:pPr>
        <w:pStyle w:val="BodyText"/>
        <w:spacing w:line="480" w:lineRule="auto"/>
        <w:ind w:firstLine="720"/>
      </w:pPr>
      <w:r>
        <w:t xml:space="preserve">The two units are nested in principle, a mission contains several archived instrument datasets, but they are not interchangeable in practice, and the dissertation does not pool them. The mission-level cross-section answers a level question across the broadest comparable population for which a census exists; the dataset-level survival sample answers a timing question over a deeper, mission-specific decomposition of a curated set of flagship archives. The forward-looking panel design of the production-function core, in which the archive-year is the unit and each archive serves as its own control over time, is the synthesis the dissertation moves toward; the two anchoring datasets are the cross-sectional and dataset-level foundations on which that panel is built. Keeping the units separate at the data-construction stage is what makes the eventual archive-year panel auditable, because the cumulative mission-level output and the per-dataset release-and-first-use records are precisely the two ingredients that a year-indexed panel must reconcile.</w:t>
      </w:r>
    </w:p>
    <w:bookmarkEnd w:id="95"/>
    <w:bookmarkStart w:id="99" w:name="authoritative-sources-and-provenance"/>
    <w:p>
      <w:pPr>
        <w:pStyle w:val="Heading2"/>
        <w:spacing w:line="480" w:lineRule="auto"/>
      </w:pPr>
      <w:r>
        <w:t xml:space="preserve">4.3 Authoritative Sources and Provenance</w:t>
      </w:r>
    </w:p>
    <w:p>
      <w:pPr>
        <w:pStyle w:val="FirstParagraph"/>
        <w:spacing w:line="480" w:lineRule="auto"/>
      </w:pPr>
      <w:r>
        <w:t xml:space="preserve">The credibility of both datasets depends on every cell tracing to a dated, public, citable record rather than to estimation or recollection. This section names the authoritative sources for each dataset and describes the provenance rule applied uniformly across them: each row carries its source, and the small number of cells that could not be sourced precisely are marked as illustrative and segregated from the estimating columns.</w:t>
      </w:r>
    </w:p>
    <w:bookmarkStart w:id="96" w:name="the-cross-sectional-sources"/>
    <w:p>
      <w:pPr>
        <w:pStyle w:val="Heading3"/>
        <w:spacing w:line="480" w:lineRule="auto"/>
      </w:pPr>
      <w:r>
        <w:t xml:space="preserve">4.3.1 The Cross-Sectional Sources</w:t>
      </w:r>
    </w:p>
    <w:p>
      <w:pPr>
        <w:pStyle w:val="FirstParagraph"/>
        <w:spacing w:line="480" w:lineRule="auto"/>
      </w:pPr>
      <w:r>
        <w:t xml:space="preserve">The backbone of the twenty-four-mission cross-section is a single authoritative bibliometric census of mission publications. For twenty-three of the twenty-four missions, the cumulative refereed-publication count is taken directly from the European Space Agency’s mission-publications study, which examined more than sixty-eight thousand refereed publications across thirty-six missions, twenty-five led by ESA and eleven partner-led, applying consistent inclusion criteria and reporting a documented total for each mission to the end of 2021</w:t>
      </w:r>
      <w:r>
        <w:t xml:space="preserve"> </w:t>
      </w:r>
      <w:hyperlink w:anchor="ref-9">
        <w:r>
          <w:rPr>
            <w:rStyle w:val="Hyperlink"/>
          </w:rPr>
          <w:t xml:space="preserve">[9]</w:t>
        </w:r>
      </w:hyperlink>
      <w:r>
        <w:t xml:space="preserve">. Anchoring the dependent variable to one census with uniform inclusion rules is the single most important provenance choice in the cross-section, because it removes the cross-mission comparability problem that would arise if each count were drawn from a differently scoped source. The census date of end-2021 is recorded as a property of the dataset, so that the cross-section is understood throughout as a snapshot taken at one moment in the accrual of each mission’s literature.</w:t>
      </w:r>
    </w:p>
    <w:p>
      <w:pPr>
        <w:pStyle w:val="BodyText"/>
        <w:spacing w:line="480" w:lineRule="auto"/>
        <w:ind w:firstLine="720"/>
      </w:pPr>
      <w:r>
        <w:t xml:space="preserve">The one mission not covered by that census, the Mars Reconnaissance Orbiter, takes its publication count from a published HiRISE retrospective that draws on the NASA Astrophysics Data System for its refereed totals</w:t>
      </w:r>
      <w:r>
        <w:t xml:space="preserve"> </w:t>
      </w:r>
      <w:hyperlink w:anchor="ref-13">
        <w:r>
          <w:rPr>
            <w:rStyle w:val="Hyperlink"/>
          </w:rPr>
          <w:t xml:space="preserve">[13]</w:t>
        </w:r>
      </w:hyperlink>
      <w:r>
        <w:t xml:space="preserve">. The decision to admit a single non-census mission was made to retain a long-lived, instrument-rich NASA planetary orbiter whose absence would have impoverished the planetary end of the sample; the cost of that decision, a single count constructed under a different inclusion rule, is recorded explicitly and revisited in the measurement-limits section. The independent variables of the cross-section draw on the same census for operational lifetime, on mission overview documentation for the observatory-versus-probe distinction, and on the Planetary Data System mission classification for the planetary indicator</w:t>
      </w:r>
      <w:r>
        <w:t xml:space="preserve"> </w:t>
      </w:r>
      <w:hyperlink w:anchor="ref-7">
        <w:r>
          <w:rPr>
            <w:rStyle w:val="Hyperlink"/>
          </w:rPr>
          <w:t xml:space="preserve">[7]</w:t>
        </w:r>
      </w:hyperlink>
      <w:r>
        <w:t xml:space="preserve">[9]. Two auxiliary columns, approximate archived data volume and mission lifecycle cost, are drawn from Planetary Data System node pages, mission press materials, and published cost factsheets; these are descriptive context only, are not used in the regression, and the minority of their values that could not be sourced precisely are marked illustrative in the dataset</w:t>
      </w:r>
      <w:r>
        <w:t xml:space="preserve"> </w:t>
      </w:r>
      <w:hyperlink w:anchor="ref-7">
        <w:r>
          <w:rPr>
            <w:rStyle w:val="Hyperlink"/>
          </w:rPr>
          <w:t xml:space="preserve">[7]</w:t>
        </w:r>
      </w:hyperlink>
      <w:r>
        <w:t xml:space="preserve">.</w:t>
      </w:r>
    </w:p>
    <w:p>
      <w:pPr>
        <w:pStyle w:val="BodyText"/>
        <w:spacing w:line="480" w:lineRule="auto"/>
        <w:ind w:firstLine="720"/>
      </w:pPr>
      <w:r>
        <w:t xml:space="preserve">The institutional setting of the Planetary Data System itself frames the cross-section. NASA established the system in 1989 to remedy a chronic neglect of mission-data documentation and archiving, and it has since grown to more than 1.2 petabytes distributed across six discipline nodes</w:t>
      </w:r>
      <w:r>
        <w:t xml:space="preserve"> </w:t>
      </w:r>
      <w:hyperlink w:anchor="ref-7">
        <w:r>
          <w:rPr>
            <w:rStyle w:val="Hyperlink"/>
          </w:rPr>
          <w:t xml:space="preserve">[7]</w:t>
        </w:r>
      </w:hyperlink>
      <w:r>
        <w:t xml:space="preserve">. That institutional fact supplies the mission-classification scheme used for the planetary indicator and the node-level vocabulary used to record archived data volume, and it situates the cross-section’s missions within the permanent archive whose productivity the dissertation models.</w:t>
      </w:r>
    </w:p>
    <w:bookmarkEnd w:id="96"/>
    <w:bookmarkStart w:id="97" w:name="the-survival-sources"/>
    <w:p>
      <w:pPr>
        <w:pStyle w:val="Heading3"/>
        <w:spacing w:line="480" w:lineRule="auto"/>
      </w:pPr>
      <w:r>
        <w:t xml:space="preserve">4.3.2 The Survival Sources</w:t>
      </w:r>
    </w:p>
    <w:p>
      <w:pPr>
        <w:pStyle w:val="FirstParagraph"/>
        <w:spacing w:line="480" w:lineRule="auto"/>
      </w:pPr>
      <w:r>
        <w:t xml:space="preserve">The survival dataset is assembled from a different combination of authoritative records, because its unit and its outcome are different. The thirty-four datasets are drawn from fourteen NASA planetary missions spanning the Mars orbiters and landers, the Moon, the outer planets and their moons, the small bodies and dwarf planets, Mercury, the Mars upper atmosphere, and the Pluto system. For each dataset, the duration variable, the interval from public release to first scientific use, is anchored to two record types in combination: the relevant Planetary Data System node release record, which dates the public availability of the released product, and the instrument overview paper in a venue such as Space Science Reviews or the Journal of Geophysical Research, which anchors the instrument and its first-use literature. That join is the provenance device of the survival sample. It makes each duration a difference between two dated, citable events rather than an estimate.</w:t>
      </w:r>
    </w:p>
    <w:p>
      <w:pPr>
        <w:pStyle w:val="BodyText"/>
        <w:spacing w:line="480" w:lineRule="auto"/>
        <w:ind w:firstLine="720"/>
      </w:pPr>
      <w:r>
        <w:t xml:space="preserve">The covariates of the survival sample are keyed to equally specific records. The accessibility indicator is keyed to the documented September 2013 rollout of the modernized PDS4 standard and to the per-mission archive cohort, so that whether a dataset is classified as PDS4 or as legacy PDS3 follows a dated infrastructure event rather than a judgement call. The released-volume covariate is sourced from the same node records that date the release. The community proxies, the count of named instrument-team co-investigators and the decadal-priority-body indicator, are sourced respectively from the instrument overview papers and from the planetary decadal priorities that govern which target bodies attract dense standing communities</w:t>
      </w:r>
      <w:r>
        <w:t xml:space="preserve"> </w:t>
      </w:r>
      <w:hyperlink w:anchor="ref-4">
        <w:r>
          <w:rPr>
            <w:rStyle w:val="Hyperlink"/>
          </w:rPr>
          <w:t xml:space="preserve">[4]</w:t>
        </w:r>
      </w:hyperlink>
      <w:r>
        <w:t xml:space="preserve">. As in the cross-section, every row carries its source in a final column, and the two covariate cells that were genuinely unobtainable are marked illustrative and remain a small minority of the table.</w:t>
      </w:r>
    </w:p>
    <w:bookmarkEnd w:id="97"/>
    <w:bookmarkStart w:id="98" w:name="the-common-provenance-rule"/>
    <w:p>
      <w:pPr>
        <w:pStyle w:val="Heading3"/>
        <w:spacing w:line="480" w:lineRule="auto"/>
      </w:pPr>
      <w:r>
        <w:t xml:space="preserve">4.3.3 The Common Provenance Rule</w:t>
      </w:r>
    </w:p>
    <w:p>
      <w:pPr>
        <w:pStyle w:val="FirstParagraph"/>
        <w:spacing w:line="480" w:lineRule="auto"/>
      </w:pPr>
      <w:r>
        <w:t xml:space="preserve">Both datasets are governed by the same discipline, which is worth stating as a single rule because it is what licenses the later inferential chapters to treat the data as evidence rather than as illustration. Every estimating quantity traces to a dated public record: a publication count to a census or a retrospective bibliometric source, a lifetime to a launch-to-end-of-operations span in that census, a release date and a volume to a node release record, a first-use date to a refereed paper, an accessibility class to a dated standard-migration event. No estimating value is imputed. Nothing is guessed. Where a value could not be sourced precisely, it is excluded from the estimating columns, labelled illustrative, and retained only as descriptive context. This rule is what allows the dissertation to claim that its inputs and outputs are obtainable from public infrastructure without recourse to any proprietary or access-restricted corpus, a property that matters because the dissertation’s substantive thesis concerns the public accessibility of archives and would be undercut by a privately sourced evidence base.</w:t>
      </w:r>
    </w:p>
    <w:bookmarkEnd w:id="98"/>
    <w:bookmarkEnd w:id="99"/>
    <w:bookmarkStart w:id="102" w:name="construction-of-the-dependent-variables"/>
    <w:p>
      <w:pPr>
        <w:pStyle w:val="Heading2"/>
        <w:spacing w:line="480" w:lineRule="auto"/>
      </w:pPr>
      <w:r>
        <w:t xml:space="preserve">4.4 Construction of the Dependent Variables</w:t>
      </w:r>
    </w:p>
    <w:p>
      <w:pPr>
        <w:pStyle w:val="FirstParagraph"/>
        <w:spacing w:line="480" w:lineRule="auto"/>
      </w:pPr>
      <w:r>
        <w:t xml:space="preserve">The two analyses have two different dependent variables, constructed from the primary records in two different ways. Each construction is documented below.</w:t>
      </w:r>
    </w:p>
    <w:bookmarkStart w:id="100" w:name="the-cross-sectional-output-count"/>
    <w:p>
      <w:pPr>
        <w:pStyle w:val="Heading3"/>
        <w:spacing w:line="480" w:lineRule="auto"/>
      </w:pPr>
      <w:r>
        <w:t xml:space="preserve">4.4.1 The Cross-Sectional Output Count</w:t>
      </w:r>
    </w:p>
    <w:p>
      <w:pPr>
        <w:pStyle w:val="FirstParagraph"/>
        <w:spacing w:line="480" w:lineRule="auto"/>
      </w:pPr>
      <w:r>
        <w:t xml:space="preserve">The dependent variable of the production-function cross-section is the cumulative count of refereed publications attributed to each mission’s data archive through the end of 2021. For the twenty-three census missions, the count is the documented per-mission total reported by the ESA census, taken as given under that census’s inclusion criteria</w:t>
      </w:r>
      <w:r>
        <w:t xml:space="preserve"> </w:t>
      </w:r>
      <w:hyperlink w:anchor="ref-9">
        <w:r>
          <w:rPr>
            <w:rStyle w:val="Hyperlink"/>
          </w:rPr>
          <w:t xml:space="preserve">[9]</w:t>
        </w:r>
      </w:hyperlink>
      <w:r>
        <w:t xml:space="preserve">. No re-counting, re-weighting, or re-scoping is performed on those totals; the value of anchoring to the census is precisely that its inclusion rule is uniform across missions, and any manipulation of individual totals would forfeit that uniformity. For the single non-census mission, the count is the refereed total reported in the HiRISE retrospective, which draws on the NASA Astrophysics Data System</w:t>
      </w:r>
      <w:r>
        <w:t xml:space="preserve"> </w:t>
      </w:r>
      <w:hyperlink w:anchor="ref-13">
        <w:r>
          <w:rPr>
            <w:rStyle w:val="Hyperlink"/>
          </w:rPr>
          <w:t xml:space="preserve">[13]</w:t>
        </w:r>
      </w:hyperlink>
      <w:r>
        <w:t xml:space="preserve">.</w:t>
      </w:r>
    </w:p>
    <w:p>
      <w:pPr>
        <w:pStyle w:val="BodyText"/>
        <w:spacing w:line="480" w:lineRule="auto"/>
        <w:ind w:firstLine="720"/>
      </w:pPr>
      <w:r>
        <w:t xml:space="preserve">The resulting variable ranges across two orders of magnitude in the assembled cross-section, from a documented low of thirty-three publications to a high of 6,963, over operational lifetimes from two to twenty-six years. That spread is itself a measurement fact with consequences for the model: because the output ranges over two orders of magnitude, the cross-section is estimated in logs with heteroskedasticity-robust standard errors, a choice dictated by the construction of the dependent variable rather than imposed on it. The variable is cumulative to a single census date, which means a mission still actively accruing literature in 2021 is measured before its archive has matured. This is a property of the count’s construction, not a defect to be corrected within the cross-section, and the dissertation reads its consequence, an attenuation rather than an inflation of the estimated longevity elasticity, accordingly.</w:t>
      </w:r>
    </w:p>
    <w:p>
      <w:pPr>
        <w:pStyle w:val="BodyText"/>
        <w:spacing w:line="480" w:lineRule="auto"/>
        <w:ind w:firstLine="720"/>
      </w:pPr>
      <w:r>
        <w:t xml:space="preserve">The output count is the closest available proxy for the scientific return on the public investment that built each archive, and its construction reflects that interpretive role. It measures the quantity of refereed science an archive supports, not the importance of any individual paper, and a citation-weighted variant is reserved as a secondary specification elsewhere in the dissertation to probe whether weighting by downstream impact disturbs the structural estimates. At the construction stage, the variable is deliberately a plain count, because the plain count is what the authoritative census reports and what the production-function tradition treats as the unit of output</w:t>
      </w:r>
      <w:r>
        <w:t xml:space="preserve"> </w:t>
      </w:r>
      <w:hyperlink w:anchor="ref-2">
        <w:r>
          <w:rPr>
            <w:rStyle w:val="Hyperlink"/>
          </w:rPr>
          <w:t xml:space="preserve">[2]</w:t>
        </w:r>
      </w:hyperlink>
      <w:r>
        <w:t xml:space="preserve">.</w:t>
      </w:r>
    </w:p>
    <w:bookmarkEnd w:id="100"/>
    <w:bookmarkStart w:id="101" w:name="the-survival-duration"/>
    <w:p>
      <w:pPr>
        <w:pStyle w:val="Heading3"/>
        <w:spacing w:line="480" w:lineRule="auto"/>
      </w:pPr>
      <w:r>
        <w:t xml:space="preserve">4.4.2 The Survival Duration</w:t>
      </w:r>
    </w:p>
    <w:p>
      <w:pPr>
        <w:pStyle w:val="FirstParagraph"/>
        <w:spacing w:line="480" w:lineRule="auto"/>
      </w:pPr>
      <w:r>
        <w:t xml:space="preserve">The dependent variable of the latency analysis is not a count but a duration: the documented interval, in years, from a dataset’s public release to the first peer-reviewed publication that uses the archived data. Its construction is a difference between two dated events. The release date is read from the Planetary Data System node release record for the dataset, and the first-use date is read from the earliest refereed publication that uses that released product, with the instrument overview paper serving as the anchor that ties the instrument to its first-use literature. The duration is the second date minus the first, expressed in years. Two dates, one difference.</w:t>
      </w:r>
    </w:p>
    <w:p>
      <w:pPr>
        <w:pStyle w:val="BodyText"/>
        <w:spacing w:line="480" w:lineRule="auto"/>
        <w:ind w:firstLine="720"/>
      </w:pPr>
      <w:r>
        <w:t xml:space="preserve">Two construction features of this variable deserve emphasis. First, the variable is event-anchored at both ends, so each duration is a difference between two citable records rather than a single estimated latency; this is what permits the hazard model to treat the durations as observed rather than as imputed. Second, in the sampled population every one of the thirty-four datasets eventually reached first use, so every observation experiences the event and none is right-censored in practice. The model retains the apparatus of censoring because the hazard framework accommodates datasets that have not yet been used, but the assembled sample, drawn from a curated set of flagship missions, contains no never-used dataset. This is a property of the sampling frame, the well-studied core of the planetary archive rather than its long tail, and it bounds what the duration variable can speak to: it identifies effects on timing among datasets that are always eventually used, and is silent on datasets that never attract use at all.</w:t>
      </w:r>
    </w:p>
    <w:bookmarkEnd w:id="101"/>
    <w:bookmarkEnd w:id="102"/>
    <w:bookmarkStart w:id="105" w:name="X0599a2592a87765e658756469828972895f3b1e"/>
    <w:p>
      <w:pPr>
        <w:pStyle w:val="Heading2"/>
        <w:spacing w:line="480" w:lineRule="auto"/>
      </w:pPr>
      <w:r>
        <w:t xml:space="preserve">4.5 Construction of the Independent Variables</w:t>
      </w:r>
    </w:p>
    <w:p>
      <w:pPr>
        <w:pStyle w:val="FirstParagraph"/>
        <w:spacing w:line="480" w:lineRule="auto"/>
      </w:pPr>
      <w:r>
        <w:t xml:space="preserve">The independent variables differ between the two analyses, reflecting their different units and questions. The cross-section’s regressors are mission-level structural attributes; the survival model’s covariates are dataset-level properties of the released product. Each is constructed from the authoritative records named in Section 4.3.</w:t>
      </w:r>
    </w:p>
    <w:bookmarkStart w:id="103" w:name="cross-sectional-regressors"/>
    <w:p>
      <w:pPr>
        <w:pStyle w:val="Heading3"/>
        <w:spacing w:line="480" w:lineRule="auto"/>
      </w:pPr>
      <w:r>
        <w:t xml:space="preserve">4.5.1 Cross-Sectional Regressors</w:t>
      </w:r>
    </w:p>
    <w:p>
      <w:pPr>
        <w:pStyle w:val="FirstParagraph"/>
        <w:spacing w:line="480" w:lineRule="auto"/>
      </w:pPr>
      <w:r>
        <w:rPr>
          <w:b/>
          <w:bCs/>
        </w:rPr>
        <w:t xml:space="preserve">Operational lifetime.</w:t>
      </w:r>
      <w:r>
        <w:t xml:space="preserve"> </w:t>
      </w:r>
      <w:r>
        <w:t xml:space="preserve">The first regressor is the operational lifetime of the mission’s data-accumulation phase, in years, computed from the launch-to-end-of-operations span recorded in the same ESA census that supplies the output count</w:t>
      </w:r>
      <w:r>
        <w:t xml:space="preserve"> </w:t>
      </w:r>
      <w:hyperlink w:anchor="ref-9">
        <w:r>
          <w:rPr>
            <w:rStyle w:val="Hyperlink"/>
          </w:rPr>
          <w:t xml:space="preserve">[9]</w:t>
        </w:r>
      </w:hyperlink>
      <w:r>
        <w:t xml:space="preserve">. The variable enters the model in natural-log form, so that its coefficient is read directly as the elasticity of cumulative output with respect to lifetime. Anchoring lifetime to the same census as output keeps the two principal variables on a common documentary basis, which matters because the central estimate of the cross-section is the ratio of their log variation. In the assembled sample lifetimes run from two to twenty-six years, a spread wide enough to identify the elasticity but, as the measurement-limits section notes, narrow in count of observations.</w:t>
      </w:r>
    </w:p>
    <w:p>
      <w:pPr>
        <w:pStyle w:val="BodyText"/>
        <w:spacing w:line="480" w:lineRule="auto"/>
        <w:ind w:firstLine="720"/>
      </w:pPr>
      <w:r>
        <w:rPr>
          <w:b/>
          <w:bCs/>
        </w:rPr>
        <w:t xml:space="preserve">Observatory-class indicator.</w:t>
      </w:r>
      <w:r>
        <w:t xml:space="preserve"> </w:t>
      </w:r>
      <w:r>
        <w:t xml:space="preserve">The second regressor marks missions that allocated open guest-observer time or released survey or all-sky data products to a general community, distinguishing them from single-target probes and landers. The indicator is constructed from mission overview documentation, classifying each mission by its access regime rather than by its instrument complement. Of the twenty-four missions, fifteen are observatory-class and nine are planetary single-target missions. The variable enters as a semi-log shifter, so its coefficient approximates the proportional output difference associated with the observatory access model conditional on lifetime. Its construction operationalizes the open-access distinction that the space-sector innovation literature argues should matter but has rarely measured</w:t>
      </w:r>
      <w:r>
        <w:t xml:space="preserve"> </w:t>
      </w:r>
      <w:hyperlink w:anchor="ref-10">
        <w:r>
          <w:rPr>
            <w:rStyle w:val="Hyperlink"/>
          </w:rPr>
          <w:t xml:space="preserve">[10]</w:t>
        </w:r>
      </w:hyperlink>
      <w:r>
        <w:t xml:space="preserve">[11].</w:t>
      </w:r>
    </w:p>
    <w:p>
      <w:pPr>
        <w:pStyle w:val="BodyText"/>
        <w:spacing w:line="480" w:lineRule="auto"/>
        <w:ind w:firstLine="720"/>
      </w:pPr>
      <w:r>
        <w:rPr>
          <w:b/>
          <w:bCs/>
        </w:rPr>
        <w:t xml:space="preserve">Planetary indicator.</w:t>
      </w:r>
      <w:r>
        <w:t xml:space="preserve"> </w:t>
      </w:r>
      <w:r>
        <w:t xml:space="preserve">The third regressor marks missions targeting a solar-system body, constructed consistently with the Planetary Data System mission classification</w:t>
      </w:r>
      <w:r>
        <w:t xml:space="preserve"> </w:t>
      </w:r>
      <w:hyperlink w:anchor="ref-7">
        <w:r>
          <w:rPr>
            <w:rStyle w:val="Hyperlink"/>
          </w:rPr>
          <w:t xml:space="preserve">[7]</w:t>
        </w:r>
      </w:hyperlink>
      <w:r>
        <w:t xml:space="preserve">. It enters the model as a second semi-log shifter. Its sign is left as an open empirical question at the construction stage rather than fixed by prior expectation, because the conventional intuition that single-target planetary probes generate thinner literatures than survey astronomy is exactly the claim the variable is built to test</w:t>
      </w:r>
      <w:r>
        <w:t xml:space="preserve"> </w:t>
      </w:r>
      <w:hyperlink w:anchor="ref-12">
        <w:r>
          <w:rPr>
            <w:rStyle w:val="Hyperlink"/>
          </w:rPr>
          <w:t xml:space="preserve">[12]</w:t>
        </w:r>
      </w:hyperlink>
      <w:r>
        <w:t xml:space="preserve">. Two auxiliary columns, archived data volume and lifecycle cost, are constructed only as descriptive context and are excluded from the regressor set, for the reason given in Section 4.3.1: their values cannot yet be sourced uniformly across nodes, and admitting them to the estimating set would import that non-uniformity into the central estimate.</w:t>
      </w:r>
    </w:p>
    <w:bookmarkEnd w:id="103"/>
    <w:bookmarkStart w:id="104" w:name="survival-covariates"/>
    <w:p>
      <w:pPr>
        <w:pStyle w:val="Heading3"/>
        <w:spacing w:line="480" w:lineRule="auto"/>
      </w:pPr>
      <w:r>
        <w:t xml:space="preserve">4.5.2 Survival Covariates</w:t>
      </w:r>
    </w:p>
    <w:p>
      <w:pPr>
        <w:pStyle w:val="FirstParagraph"/>
        <w:spacing w:line="480" w:lineRule="auto"/>
      </w:pPr>
      <w:r>
        <w:rPr>
          <w:b/>
          <w:bCs/>
        </w:rPr>
        <w:t xml:space="preserve">Accessibility indicator.</w:t>
      </w:r>
      <w:r>
        <w:t xml:space="preserve"> </w:t>
      </w:r>
      <w:r>
        <w:t xml:space="preserve">The covariate of central theoretical interest is the PDS4 accessibility indicator, constructed as a binary flag keyed to the September 2013 rollout of the modernized PDS4 standard and to the per-mission archive cohort</w:t>
      </w:r>
      <w:r>
        <w:t xml:space="preserve"> </w:t>
      </w:r>
      <w:hyperlink w:anchor="ref-7">
        <w:r>
          <w:rPr>
            <w:rStyle w:val="Hyperlink"/>
          </w:rPr>
          <w:t xml:space="preserve">[7]</w:t>
        </w:r>
      </w:hyperlink>
      <w:r>
        <w:t xml:space="preserve">. A dataset is classified PDS4 if its release falls under the modernized standard, which couples datasets to programmatic access endpoints and machine-readable labels, and PDS3 otherwise. The machine-learning-for-space literature treats precisely this kind of access tooling, programmatic endpoints and machine-readable labels, as the precondition for a released dataset to seed a downstream research community</w:t>
      </w:r>
      <w:r>
        <w:t xml:space="preserve"> </w:t>
      </w:r>
      <w:hyperlink w:anchor="ref-3">
        <w:r>
          <w:rPr>
            <w:rStyle w:val="Hyperlink"/>
          </w:rPr>
          <w:t xml:space="preserve">[3]</w:t>
        </w:r>
      </w:hyperlink>
      <w:r>
        <w:t xml:space="preserve">[5]. The construction is deliberately coarse, a single binary flag, and the dissertation carries the consequence of that coarseness, an attenuation of the indicator’s coefficient toward the no-effect value, into its interpretation rather than concealing it.</w:t>
      </w:r>
    </w:p>
    <w:p>
      <w:pPr>
        <w:pStyle w:val="BodyText"/>
        <w:spacing w:line="480" w:lineRule="auto"/>
        <w:ind w:firstLine="720"/>
      </w:pPr>
      <w:r>
        <w:rPr>
          <w:b/>
          <w:bCs/>
        </w:rPr>
        <w:t xml:space="preserve">Released data volume.</w:t>
      </w:r>
      <w:r>
        <w:t xml:space="preserve"> </w:t>
      </w:r>
      <w:r>
        <w:t xml:space="preserve">The scale covariate is the released data volume of the dataset, constructed in base-ten logarithm of gigabytes from the node release records that date the release. It operationalizes the analyzable surface area a release presents to prospective authors: larger holdings offer more derived products and longer time baselines on which an early study can draw. The log transform reflects the same multiplicative reasoning that governs the production-function specification and renders the covariate’s hazard ratio interpretable as the effect of a proportional change in released scale.</w:t>
      </w:r>
    </w:p>
    <w:p>
      <w:pPr>
        <w:pStyle w:val="BodyText"/>
        <w:spacing w:line="480" w:lineRule="auto"/>
        <w:ind w:firstLine="720"/>
      </w:pPr>
      <w:r>
        <w:rPr>
          <w:b/>
          <w:bCs/>
        </w:rPr>
        <w:t xml:space="preserve">Community proxies.</w:t>
      </w:r>
      <w:r>
        <w:t xml:space="preserve"> </w:t>
      </w:r>
      <w:r>
        <w:t xml:space="preserve">Two covariates proxy the size of the standing community positioned to publish first from a release. The first is the count of named instrument-team co-investigators, read from the instrument overview paper, which proxies the pool of investigators already familiar with the instrument and positioned to mine its data on release. The second is a decadal-priority-body indicator, marking datasets whose target body carries a high planetary decadal priority and therefore attracts a denser standing community that mines new data quickly</w:t>
      </w:r>
      <w:r>
        <w:t xml:space="preserve"> </w:t>
      </w:r>
      <w:hyperlink w:anchor="ref-4">
        <w:r>
          <w:rPr>
            <w:rStyle w:val="Hyperlink"/>
          </w:rPr>
          <w:t xml:space="preserve">[4]</w:t>
        </w:r>
      </w:hyperlink>
      <w:r>
        <w:t xml:space="preserve">. Both are proxies, and the dissertation labels them plainly: the co-investigator count stands in for a community whose true size is unobserved, and the priority-body flag stands in for community density rather than measuring it directly. The team-size proxy is also expected to be collinear with released volume, because larger instruments tend to produce both bigger archives and bigger teams. That anticipated collinearity is recorded here as a construction fact, so the later interpretation of the team-size coefficient is not surprised by it.</w:t>
      </w:r>
    </w:p>
    <w:bookmarkEnd w:id="104"/>
    <w:bookmarkEnd w:id="105"/>
    <w:bookmarkStart w:id="106" w:name="measurement-limits-carried-forward"/>
    <w:p>
      <w:pPr>
        <w:pStyle w:val="Heading2"/>
        <w:spacing w:line="480" w:lineRule="auto"/>
      </w:pPr>
      <w:r>
        <w:t xml:space="preserve">4.6 Measurement Limits Carried Forward</w:t>
      </w:r>
    </w:p>
    <w:p>
      <w:pPr>
        <w:pStyle w:val="FirstParagraph"/>
        <w:spacing w:line="480" w:lineRule="auto"/>
      </w:pPr>
      <w:r>
        <w:t xml:space="preserve">Three classes of measurement limit survive the construction procedures of this chapter and are carried forward to the validity discussion, where the dissertation treats them as constraints on inference rather than as defects of the data.</w:t>
      </w:r>
    </w:p>
    <w:p>
      <w:pPr>
        <w:pStyle w:val="BodyText"/>
        <w:spacing w:line="480" w:lineRule="auto"/>
        <w:ind w:firstLine="720"/>
      </w:pPr>
      <w:r>
        <w:t xml:space="preserve">The first is</w:t>
      </w:r>
      <w:r>
        <w:t xml:space="preserve"> </w:t>
      </w:r>
      <w:r>
        <w:rPr>
          <w:b/>
          <w:bCs/>
        </w:rPr>
        <w:t xml:space="preserve">sample size and composition.</w:t>
      </w:r>
      <w:r>
        <w:t xml:space="preserve"> </w:t>
      </w:r>
      <w:r>
        <w:t xml:space="preserve">The cross-section has twenty-four observations and is weighted toward ESA-led and ESA-partner missions, because those are the missions for which a single consistent publication census exists</w:t>
      </w:r>
      <w:r>
        <w:t xml:space="preserve"> </w:t>
      </w:r>
      <w:hyperlink w:anchor="ref-9">
        <w:r>
          <w:rPr>
            <w:rStyle w:val="Hyperlink"/>
          </w:rPr>
          <w:t xml:space="preserve">[9]</w:t>
        </w:r>
      </w:hyperlink>
      <w:r>
        <w:t xml:space="preserve">. The survival sample has thirty-four datasets drawn from a curated set of fourteen flagship NASA missions, which is the well-studied core of the planetary archive rather than its long tail. Both populations are deliberately bounded, and the dissertation claims its estimates for the populations it samples and does not generalize beyond them. A fuller NASA planetary census would sharpen the planetary estimate in the cross-section, and a sample reaching into the archive’s long tail would test whether the accessibility effect is larger where latencies are longer; both are recorded as the natural extensions the present data cannot yet support.</w:t>
      </w:r>
    </w:p>
    <w:p>
      <w:pPr>
        <w:pStyle w:val="BodyText"/>
        <w:spacing w:line="480" w:lineRule="auto"/>
        <w:ind w:firstLine="720"/>
      </w:pPr>
      <w:r>
        <w:t xml:space="preserve">The second is</w:t>
      </w:r>
      <w:r>
        <w:t xml:space="preserve"> </w:t>
      </w:r>
      <w:r>
        <w:rPr>
          <w:b/>
          <w:bCs/>
        </w:rPr>
        <w:t xml:space="preserve">the snapshot and the proxy.</w:t>
      </w:r>
      <w:r>
        <w:t xml:space="preserve"> </w:t>
      </w:r>
      <w:r>
        <w:t xml:space="preserve">The cross-section’s output is cumulative to one census date, so missions still accruing literature in 2021 are measured before their archives mature, which attenuates rather than inflates the longevity elasticity. The survival model’s accessibility covariate is a single binary flag standing in for a spectrum of access quality, which attenuates its own coefficient toward the no-effect value, and its community covariates are proxies for an unobserved standing community. These are properties of how the variables are constructed from the available records, and they are read consistently as attenuating, so that a weak or null estimate must be interpreted with the attenuation in view rather than taken at face value.</w:t>
      </w:r>
    </w:p>
    <w:p>
      <w:pPr>
        <w:pStyle w:val="BodyText"/>
        <w:spacing w:line="480" w:lineRule="auto"/>
        <w:ind w:firstLine="720"/>
      </w:pPr>
      <w:r>
        <w:t xml:space="preserve">The third is</w:t>
      </w:r>
      <w:r>
        <w:t xml:space="preserve"> </w:t>
      </w:r>
      <w:r>
        <w:rPr>
          <w:b/>
          <w:bCs/>
        </w:rPr>
        <w:t xml:space="preserve">citation-linkage incompleteness.</w:t>
      </w:r>
      <w:r>
        <w:t xml:space="preserve"> </w:t>
      </w:r>
      <w:r>
        <w:t xml:space="preserve">The output and first-use variables both depend on resolving an archive or a dataset to the refereed literature that uses it, and informal dataset use is undercounted in the era before formal data-citation practice matured. Because that maturation is itself time-dated, the undercount could correlate with the access-transition era and confound a naive reading. The dissertation’s response, developed in the inferential chapters, is to supplement formal data-citation links with full-text mention resolution over the open planetary-science corpus and to re-estimate on the window in which data-citation practice is more uniform; at the construction stage the limit is simply named and its direction recorded.</w:t>
      </w:r>
    </w:p>
    <w:p>
      <w:pPr>
        <w:pStyle w:val="BodyText"/>
        <w:spacing w:line="480" w:lineRule="auto"/>
        <w:ind w:firstLine="720"/>
      </w:pPr>
      <w:r>
        <w:t xml:space="preserve">Taken together, these limits do not undermine the data layer so much as define the boundary of what it can support. The two datasets are assembled from public, dated, authoritative records under a uniform provenance rule; their units are chosen to match their questions; their variables are constructed transparently from primary sources; and their residual measurement error is, in each identified case, attenuating rather than inflating. That combination is what licenses the chapters that follow to treat these materials as evidence for a falsifiable claim about the science productivity of planetary data archives</w:t>
      </w:r>
      <w:r>
        <w:t xml:space="preserve"> </w:t>
      </w:r>
      <w:hyperlink w:anchor="ref-1">
        <w:r>
          <w:rPr>
            <w:rStyle w:val="Hyperlink"/>
          </w:rPr>
          <w:t xml:space="preserve">[1]</w:t>
        </w:r>
      </w:hyperlink>
      <w:r>
        <w:t xml:space="preserve">[2].</w:t>
      </w:r>
    </w:p>
    <w:bookmarkEnd w:id="106"/>
    <w:bookmarkEnd w:id="107"/>
    <w:bookmarkStart w:id="115" w:name="chapter-5.-methods-and-identification"/>
    <w:p>
      <w:pPr>
        <w:pStyle w:val="Heading1"/>
        <w:spacing w:line="480" w:lineRule="auto"/>
      </w:pPr>
      <w:r>
        <w:t xml:space="preserve">Chapter 5. Methods and Identification</w:t>
      </w:r>
    </w:p>
    <w:bookmarkStart w:id="108" w:name="overview-and-the-estimand"/>
    <w:p>
      <w:pPr>
        <w:pStyle w:val="Heading2"/>
        <w:spacing w:line="480" w:lineRule="auto"/>
      </w:pPr>
      <w:r>
        <w:t xml:space="preserve">5.1 Overview and the Estimand</w:t>
      </w:r>
    </w:p>
    <w:p>
      <w:pPr>
        <w:pStyle w:val="FirstParagraph"/>
        <w:spacing w:line="480" w:lineRule="auto"/>
      </w:pPr>
      <w:r>
        <w:t xml:space="preserve">This chapter specifies the estimators the dissertation uses, the identification strategy that gives the central coefficient a causal interpretation, and the threats to validity together with the bound placed on each. The chapter is deliberately separated from the substantive results so that the inferential machinery can be scrutinized before any number is read. The discipline followed throughout is to state what is being estimated, to state the assumption under which the estimate recovers it, and to state the falsification check that would expose the assumption if it failed.</w:t>
      </w:r>
    </w:p>
    <w:p>
      <w:pPr>
        <w:pStyle w:val="BodyText"/>
        <w:spacing w:line="480" w:lineRule="auto"/>
        <w:ind w:firstLine="720"/>
      </w:pPr>
      <w:r>
        <w:t xml:space="preserve">The object of estimation is a single scalar: the elasticity of annual archive-using publication output with respect to archive accessibility, conditional on accumulated holdings and on the size of the using community. In the production-function language that organizes the dissertation, the planetary data archive is the unit of production</w:t>
      </w:r>
      <w:r>
        <w:t xml:space="preserve"> </w:t>
      </w:r>
      <w:hyperlink w:anchor="ref-7">
        <w:r>
          <w:rPr>
            <w:rStyle w:val="Hyperlink"/>
          </w:rPr>
          <w:t xml:space="preserve">[7]</w:t>
        </w:r>
      </w:hyperlink>
      <w:r>
        <w:t xml:space="preserve">, its output is the count of peer-reviewed publications that use the archived data in a given year, and its inputs are accessibility, accumulated holdings, and community size. The estimand is the partial derivative of log expected output with respect to log accessibility, holding the other two inputs fixed. The null hypothesis is that this elasticity is zero, meaning that improving how accessible an archive is does not raise the science it produces; the alternative is that the elasticity is strictly positive. The premise being tested, that public and accessible archives convert a one-time instrument investment into a recurring stream of downstream science, is asserted in mission concepts</w:t>
      </w:r>
      <w:r>
        <w:t xml:space="preserve"> </w:t>
      </w:r>
      <w:hyperlink w:anchor="ref-1">
        <w:r>
          <w:rPr>
            <w:rStyle w:val="Hyperlink"/>
          </w:rPr>
          <w:t xml:space="preserve">[1]</w:t>
        </w:r>
      </w:hyperlink>
      <w:r>
        <w:t xml:space="preserve"> </w:t>
      </w:r>
      <w:r>
        <w:t xml:space="preserve">and in the space-economy literature that treats data and derived knowledge as productive inputs realized after acquisition</w:t>
      </w:r>
      <w:r>
        <w:t xml:space="preserve"> </w:t>
      </w:r>
      <w:hyperlink w:anchor="ref-2">
        <w:r>
          <w:rPr>
            <w:rStyle w:val="Hyperlink"/>
          </w:rPr>
          <w:t xml:space="preserve">[2]</w:t>
        </w:r>
      </w:hyperlink>
      <w:r>
        <w:t xml:space="preserve">[6], but it has not been identified at the level of the archive</w:t>
      </w:r>
      <w:r>
        <w:t xml:space="preserve"> </w:t>
      </w:r>
      <w:hyperlink w:anchor="ref-4">
        <w:r>
          <w:rPr>
            <w:rStyle w:val="Hyperlink"/>
          </w:rPr>
          <w:t xml:space="preserve">[4]</w:t>
        </w:r>
      </w:hyperlink>
      <w:r>
        <w:t xml:space="preserve">. The chapter’s task is to make that single elasticity identifiable.</w:t>
      </w:r>
    </w:p>
    <w:p>
      <w:pPr>
        <w:pStyle w:val="BodyText"/>
        <w:spacing w:line="480" w:lineRule="auto"/>
        <w:ind w:firstLine="720"/>
      </w:pPr>
      <w:r>
        <w:t xml:space="preserve">Three estimators appear in the dissertation, each matched to a distinct feature of the data, and this chapter treats them as a graduated sequence rather than as competitors. The first is a cross-sectional log-linear production function estimated by ordinary least squares, which fixes the functional form and recovers a between-archive elasticity. The second is a survival estimator, a Cox proportional-hazards model, which addresses the timing of first scientific use rather than the level of output. The third, and the inferential core of the dissertation, is a panel fixed-effects Poisson pseudo-maximum-likelihood estimator that recovers the within-archive accessibility elasticity from which the causal claim is built. The first two are established in the companion papers and are summarized here to fix notation and to motivate the panel design; the third carries the falsifiable contribution.</w:t>
      </w:r>
    </w:p>
    <w:bookmarkEnd w:id="108"/>
    <w:bookmarkStart w:id="109" w:name="the-cross-sectional-production-function"/>
    <w:p>
      <w:pPr>
        <w:pStyle w:val="Heading2"/>
        <w:spacing w:line="480" w:lineRule="auto"/>
      </w:pPr>
      <w:r>
        <w:t xml:space="preserve">5.2 The Cross-Sectional Production Function</w:t>
      </w:r>
    </w:p>
    <w:p>
      <w:pPr>
        <w:pStyle w:val="FirstParagraph"/>
        <w:spacing w:line="480" w:lineRule="auto"/>
      </w:pPr>
      <w:r>
        <w:t xml:space="preserve">The cross-sectional estimator establishes the functional form and the between-archive benchmark. It regresses the natural log of cumulative refereed publications attributed to an archive on the natural log of the archive’s operational lifetime and on indicators for the access regime and the target class. The log-log specification on the continuous regressor yields a direct elasticity, since the coefficient is the proportional change in output associated with a proportional change in the input, and the indicators enter as semi-log shifters whose coefficients approximate proportional level differences. Estimation uses heteroskedasticity-robust standard errors, which is the appropriate correction when the dependent variable ranges over two orders of magnitude and the error variance cannot be assumed constant across that range.</w:t>
      </w:r>
    </w:p>
    <w:p>
      <w:pPr>
        <w:pStyle w:val="BodyText"/>
        <w:spacing w:line="480" w:lineRule="auto"/>
        <w:ind w:firstLine="720"/>
      </w:pPr>
      <w:r>
        <w:t xml:space="preserve">This estimator is informative but not identifying. It compares different archives at a single census date. The elasticity it recovers is therefore contaminated by every time-invariant difference between archives that also correlates with the regressor. A long-lived observatory that serves an open community differs from a short-lived single-target probe in the intrinsic scientific richness of its target, in the breadth of its instrument suite, and in the standing size of its community, and the cross-section cannot separate the effect of the input from the effect of these confounds. Discipline indicators absorb the broad scientific category an archive serves and so function as a coarse fixed-effects control, identifying the lifetime elasticity within rather than across the planetary and observatory regimes, but they cannot absorb dataset-specific heterogeneity. The cross-sectional estimator therefore supplies a descriptive elasticity and a functional form, and it motivates the move to a within-archive design that can hold the confounds fixed by construction. The economics of shared research infrastructure, which predicts increasing returns to an installed base of users and tooling</w:t>
      </w:r>
      <w:r>
        <w:t xml:space="preserve"> </w:t>
      </w:r>
      <w:hyperlink w:anchor="ref-2">
        <w:r>
          <w:rPr>
            <w:rStyle w:val="Hyperlink"/>
          </w:rPr>
          <w:t xml:space="preserve">[2]</w:t>
        </w:r>
      </w:hyperlink>
      <w:r>
        <w:t xml:space="preserve">[8], supplies the prior that the cross-sectional elasticity will exceed unity, but the prior is not the test.</w:t>
      </w:r>
    </w:p>
    <w:bookmarkEnd w:id="109"/>
    <w:bookmarkStart w:id="110" w:name="the-survival-estimator-for-timing"/>
    <w:p>
      <w:pPr>
        <w:pStyle w:val="Heading2"/>
        <w:spacing w:line="480" w:lineRule="auto"/>
      </w:pPr>
      <w:r>
        <w:t xml:space="preserve">5.3 The Survival Estimator for Timing</w:t>
      </w:r>
    </w:p>
    <w:p>
      <w:pPr>
        <w:pStyle w:val="FirstParagraph"/>
        <w:spacing w:line="480" w:lineRule="auto"/>
      </w:pPr>
      <w:r>
        <w:t xml:space="preserve">The second estimator addresses a question the production function sets aside: not how much science an archive eventually yields but how quickly it begins to yield any. Each released dataset is treated as at risk of an event, the first peer-reviewed publication that uses the archived data, and the hazard is the instantaneous rate at which that event occurs given that it has not yet occurred. A Cox proportional-hazards model relates that hazard to the covariates without imposing a parametric form on the baseline hazard, which is the correct posture when the shape of the adoption-timing distribution is unknown and only the relative effects of covariates are of interest. Each coefficient is reported as a hazard ratio, the multiplicative effect of a one-unit change on the rate of first use, with a ratio above one denoting faster uptake. The model is fit by partial likelihood, and the design accommodates datasets that have not yet been used through right-censoring even where, in the sampled population, every dataset eventually reached first use.</w:t>
      </w:r>
    </w:p>
    <w:p>
      <w:pPr>
        <w:pStyle w:val="BodyText"/>
        <w:spacing w:line="480" w:lineRule="auto"/>
        <w:ind w:firstLine="720"/>
      </w:pPr>
      <w:r>
        <w:t xml:space="preserve">The survival estimator is methodologically distinct from the production function by intent. It estimates the rate of arrival of the first unit of output rather than the elasticity of the output level, and the two together bracket the accessibility question from the speed and from the magnitude of archive science. The timing analysis also serves a diagnostic role for the core design, because the covariate it most cares about, the modernized access standard, is the same accessibility construct the panel estimator instruments through its staggered rollout. A finding that the binary access flag does not measurably accelerate first use, while sheer released volume does, both qualifies the accessibility premise and warns that a coarse access proxy attenuates its own coefficient, a warning the panel design must answer with a sharper identification of the same construct.</w:t>
      </w:r>
    </w:p>
    <w:bookmarkEnd w:id="110"/>
    <w:bookmarkStart w:id="111" w:name="X404c7090ef7ed62f9553c2492b512df9d7ef3d7"/>
    <w:p>
      <w:pPr>
        <w:pStyle w:val="Heading2"/>
        <w:spacing w:line="480" w:lineRule="auto"/>
      </w:pPr>
      <w:r>
        <w:t xml:space="preserve">5.4 The Panel Fixed-Effects Poisson Estimator</w:t>
      </w:r>
    </w:p>
    <w:p>
      <w:pPr>
        <w:pStyle w:val="FirstParagraph"/>
        <w:spacing w:line="480" w:lineRule="auto"/>
      </w:pPr>
      <w:r>
        <w:t xml:space="preserve">The inferential core of the dissertation is a panel fixed-effects Poisson pseudo-maximum-likelihood estimator. The unit of analysis is the archive-year, a single NASA Planetary Data System dataset observed in a calendar year, and the dependent variable is the count of peer-reviewed publications in that year that cite or use that dataset. The choice of estimator follows from the nature of the dependent variable. Annual archive-using publications form a non-negative integer count with many small values, occasional large values, and overdispersion, so a linear model on the raw count is misspecified and a linear model on the log of the count cannot accommodate the zeros that a young or dormant archive-year produces.</w:t>
      </w:r>
    </w:p>
    <w:p>
      <w:pPr>
        <w:pStyle w:val="BodyText"/>
        <w:spacing w:line="480" w:lineRule="auto"/>
        <w:ind w:firstLine="720"/>
      </w:pPr>
      <w:r>
        <w:t xml:space="preserve">The estimator models the conditional mean of dataset</w:t>
      </w:r>
      <w:r>
        <w:t xml:space="preserve"> </w:t>
      </w:r>
      <w:r>
        <w:rPr>
          <w:i/>
          <w:iCs/>
        </w:rPr>
        <w:t xml:space="preserve">i</w:t>
      </w:r>
      <w:r>
        <w:t xml:space="preserve">’s publication count in year</w:t>
      </w:r>
      <w:r>
        <w:t xml:space="preserve"> </w:t>
      </w:r>
      <w:r>
        <w:rPr>
          <w:i/>
          <w:iCs/>
        </w:rPr>
        <w:t xml:space="preserve">t</w:t>
      </w:r>
      <w:r>
        <w:t xml:space="preserve"> </w:t>
      </w:r>
      <w:r>
        <w:t xml:space="preserve">as a log-linear function of the three inputs. Expressed in words, the log of expected output equals a dataset-specific intercept, plus a year-specific intercept, plus the accessibility elasticity times log accessibility, plus a coefficient times log accumulated holdings, plus a coefficient times log community size. Accessibility is a measured property of the dataset’s release state and access tooling in year</w:t>
      </w:r>
      <w:r>
        <w:t xml:space="preserve"> </w:t>
      </w:r>
      <w:r>
        <w:rPr>
          <w:i/>
          <w:iCs/>
        </w:rPr>
        <w:t xml:space="preserve">t</w:t>
      </w:r>
      <w:r>
        <w:t xml:space="preserve">; accumulated holdings is the cumulative data volume released to date; and community size is the count of distinct prior author teams that have used the dataset. The coefficient on log accessibility is the accessibility elasticity, and it is the scalar that the entire design exists to recover.</w:t>
      </w:r>
    </w:p>
    <w:p>
      <w:pPr>
        <w:pStyle w:val="BodyText"/>
        <w:spacing w:line="480" w:lineRule="auto"/>
        <w:ind w:firstLine="720"/>
      </w:pPr>
      <w:r>
        <w:t xml:space="preserve">Poisson pseudo-maximum-likelihood is preferred over the standard Poisson maximum-likelihood estimator and over a negative-binomial estimator as the primary specification because of its robustness properties. The Poisson PML estimator is consistent under the single assumption that the conditional mean is correctly specified, and it does not require the equidispersion that ordinary Poisson imposes, namely that the conditional variance equal the conditional mean. Because real publication counts are overdispersed, equidispersion is false in this setting, and an estimator that depends on it would deliver invalid inference even where the mean is correct. Poisson PML sidesteps this by treating the Poisson likelihood as a quasi-likelihood whose score is valid whenever the mean is right, and by recovering correct standard errors through a robust, cluster-adjusted variance that allows the true variance to depart from the mean and allows residual serial correlation within an archive across years. Standard errors are clustered at the dataset level so that repeated annual observations of the same archive are not treated as independent draws.</w:t>
      </w:r>
    </w:p>
    <w:p>
      <w:pPr>
        <w:pStyle w:val="BodyText"/>
        <w:spacing w:line="480" w:lineRule="auto"/>
        <w:ind w:firstLine="720"/>
      </w:pPr>
      <w:r>
        <w:t xml:space="preserve">The fixed-effects structure is what converts the estimator from a description into an identification device. Dataset fixed effects, entering as the dataset-specific intercept, absorb every time-invariant feature of an archive: the intrinsic scientific richness of its target body, the breadth and quality of its instrument suite, the discipline node that curates it, and any persistent component of its standing community. These are precisely the confounds that the cross-sectional estimator could not remove. Year fixed effects, entering as the year-specific intercept, absorb every sector-wide shock common to all archives in a given year, including field-wide growth in planetary publishing, changes in citation and indexing practice, and macro-level shifts in research funding. With both sets of effects in place, the accessibility elasticity is identified only from variation that occurs within an archive over time and that is not common to all archives in that year. The fixed-effects Poisson estimator handles the dataset intercepts through a conditional likelihood that does not require estimating each archive’s intercept directly, which avoids the incidental-parameters problem that would otherwise bias the slope coefficients when the number of archives is large relative to the panel length.</w:t>
      </w:r>
    </w:p>
    <w:bookmarkEnd w:id="111"/>
    <w:bookmarkStart w:id="112" w:name="identification-strategy"/>
    <w:p>
      <w:pPr>
        <w:pStyle w:val="Heading2"/>
        <w:spacing w:line="480" w:lineRule="auto"/>
      </w:pPr>
      <w:r>
        <w:t xml:space="preserve">5.5 Identification Strategy</w:t>
      </w:r>
    </w:p>
    <w:p>
      <w:pPr>
        <w:pStyle w:val="FirstParagraph"/>
        <w:spacing w:line="480" w:lineRule="auto"/>
      </w:pPr>
      <w:r>
        <w:t xml:space="preserve">The fixed effects remove time-invariant and sector-common confounds, but they do not by themselves make accessibility exogenous. The threat that survives the fixed effects is that accessibility is not assigned at random in time: an archive that is forecast to be productive may attract more curation and access investment, and if that investment is timed to anticipated productivity, the within-archive elasticity is biased upward. Identification therefore rests on a source of variation in accessibility whose timing is plausibly unrelated to any individual archive’s productivity forecast.</w:t>
      </w:r>
    </w:p>
    <w:p>
      <w:pPr>
        <w:pStyle w:val="BodyText"/>
        <w:spacing w:line="480" w:lineRule="auto"/>
        <w:ind w:firstLine="720"/>
      </w:pPr>
      <w:r>
        <w:t xml:space="preserve">That source is the staggered timing of discrete accessibility upgrades, principally the migration of legacy datasets into the modernized PDS4 access standard and the activation of programmatic access endpoints. These transitions are dated events recorded in the PDS node release logs, and their schedule is driven by node-level curation queues and infrastructure rollout rather than by the forecasted productivity of any one dataset</w:t>
      </w:r>
      <w:r>
        <w:t xml:space="preserve"> </w:t>
      </w:r>
      <w:hyperlink w:anchor="ref-7">
        <w:r>
          <w:rPr>
            <w:rStyle w:val="Hyperlink"/>
          </w:rPr>
          <w:t xml:space="preserve">[7]</w:t>
        </w:r>
      </w:hyperlink>
      <w:r>
        <w:t xml:space="preserve">. A discipline node migrates its holdings in cohorts as engineering capacity and curation staffing allow, so the calendar position of a given dataset’s transition reflects its place in a processing queue more than its scientific promise. This staggered rollout supplies the quasi-experimental variation. Within dataset and year fixed effects, the accessibility elasticity is identified off the within-archive change in publication output around these access transitions, in a difference-in-differences-style event structure where archives that have not yet transitioned in a given year serve as the comparison group for archives that have.</w:t>
      </w:r>
    </w:p>
    <w:p>
      <w:pPr>
        <w:pStyle w:val="BodyText"/>
        <w:spacing w:line="480" w:lineRule="auto"/>
        <w:ind w:firstLine="720"/>
      </w:pPr>
      <w:r>
        <w:t xml:space="preserve">The identifying assumption is the standard parallel-trends condition adapted to staggered adoption: in the absence of the access transition, the publication output of a transitioning archive would have continued on the same trajectory, relative to the not-yet-transitioned archives, as it followed before the transition. Under this assumption the post-transition jump in within-archive output, net of the common year effect, is the causal effect of the accessibility upgrade, and its log form is the accessibility elasticity. The assumption is not directly testable, because the counterfactual trajectory is unobserved, but its most consequential implication is testable.</w:t>
      </w:r>
    </w:p>
    <w:p>
      <w:pPr>
        <w:pStyle w:val="BodyText"/>
        <w:spacing w:line="480" w:lineRule="auto"/>
        <w:ind w:firstLine="720"/>
      </w:pPr>
      <w:r>
        <w:t xml:space="preserve">That implication is the absence of a pre-trend. If the timing of access upgrades were driven by anticipated productivity, transitioning archives would show a rising output trajectory before the transition, because the same forecast that pulled the upgrade forward would already be lifting output. The falsification check is therefore a leads-and-lags event-study specification that replaces the single accessibility term with a set of indicators for years relative to the transition, spanning several years before to several years after. The coefficients on the pre-transition leads test for differential trends in the years before the event. If those lead coefficients are jointly indistinguishable from zero, the parallel-trends assumption survives its sharpest available test and the post-transition lag coefficients trace the dynamic path of the accessibility effect. If a lead coefficient is significantly different from zero, the design is compromised, and the dissertation reports that outcome transparently whatever it shows. The event-study specification is thus simultaneously a robustness check and the primary diagnostic for the identification strategy.</w:t>
      </w:r>
    </w:p>
    <w:p>
      <w:pPr>
        <w:pStyle w:val="BodyText"/>
        <w:spacing w:line="480" w:lineRule="auto"/>
        <w:ind w:firstLine="720"/>
      </w:pPr>
      <w:r>
        <w:t xml:space="preserve">Two further specifications guard the inference. A negative-binomial alternative to the Poisson conditional mean re-estimates the core relationship under a different variance assumption, so that the central elasticity does not depend on the particular quasi-likelihood chosen. A re-estimation on the post-2015 window, where formal data-citation practice is more uniform, removes the part of the sample where the output measure is least reliable, so that the elasticity is shown to hold where it is best measured and not only where the citation linkage is sparsest.</w:t>
      </w:r>
    </w:p>
    <w:bookmarkEnd w:id="112"/>
    <w:bookmarkStart w:id="113" w:name="threats-to-validity-and-their-bounds"/>
    <w:p>
      <w:pPr>
        <w:pStyle w:val="Heading2"/>
        <w:spacing w:line="480" w:lineRule="auto"/>
      </w:pPr>
      <w:r>
        <w:t xml:space="preserve">5.6 Threats to Validity and Their Bounds</w:t>
      </w:r>
    </w:p>
    <w:p>
      <w:pPr>
        <w:pStyle w:val="FirstParagraph"/>
        <w:spacing w:line="480" w:lineRule="auto"/>
      </w:pPr>
      <w:r>
        <w:t xml:space="preserve">Each threat below is stated, its direction of bias is signed where the sign is known, and the specific feature of the design that bounds it is named. A threat that biases toward the null is treated differently from one that biases toward the alternative, because a non-rejection of the null under attenuation must be read with the attenuation in mind.</w:t>
      </w:r>
    </w:p>
    <w:p>
      <w:pPr>
        <w:pStyle w:val="BodyText"/>
        <w:spacing w:line="480" w:lineRule="auto"/>
        <w:ind w:firstLine="720"/>
      </w:pPr>
      <w:r>
        <w:rPr>
          <w:b/>
          <w:bCs/>
        </w:rPr>
        <w:t xml:space="preserve">Construct validity of the output.</w:t>
      </w:r>
      <w:r>
        <w:t xml:space="preserve"> </w:t>
      </w:r>
      <w:r>
        <w:t xml:space="preserve">The output variable counts publications, which measures the quantity of archive science and not its scientific importance. An archive that enables a few decisive papers may post a lower count than one enabling many minor ones, so the elasticity describes the production of publication volume rather than of scientific weight. The bound is a secondary specification that re-estimates the model on a citation-weighted output variable, weighting each archive-using publication by its own downstream citations, to test whether the accessibility elasticity survives when output is measured by impact rather than by count. If the sign and approximate magnitude persist under weighting, the construct concern is contained; if they do not, the claim is restricted to publication volume.</w:t>
      </w:r>
    </w:p>
    <w:p>
      <w:pPr>
        <w:pStyle w:val="BodyText"/>
        <w:spacing w:line="480" w:lineRule="auto"/>
        <w:ind w:firstLine="720"/>
      </w:pPr>
      <w:r>
        <w:rPr>
          <w:b/>
          <w:bCs/>
        </w:rPr>
        <w:t xml:space="preserve">Construct validity of accessibility.</w:t>
      </w:r>
      <w:r>
        <w:t xml:space="preserve"> </w:t>
      </w:r>
      <w:r>
        <w:t xml:space="preserve">Accessibility is operationalized through the PDS4 migration and endpoint-activation timeline, which is a coarse proxy for the full latent quality of access. A binary or low-resolution access measure cannot capture the spectrum of documentation quality, tooling maturity, and interface usability that constitutes real accessibility, and classical measurement error in a regressor biases its coefficient toward zero. This direction is consequential: a failure to reject the null must be read against the attenuation it implies, because a true positive elasticity would be pulled toward zero by the coarseness of the proxy. The companion timing analysis makes the same warning concrete, finding the binary access flag statistically indistinguishable from no effect on uptake speed while released volume carries the stronger association, which is consistent with attenuation of a blunt access measure. The bound is the event-study design itself, which anchors identification on discrete, dated transitions rather than on a continuous accessibility score, recovering the effect of a sharply timed access change even when the underlying access quality is measured with error.</w:t>
      </w:r>
    </w:p>
    <w:p>
      <w:pPr>
        <w:pStyle w:val="BodyText"/>
        <w:spacing w:line="480" w:lineRule="auto"/>
        <w:ind w:firstLine="720"/>
      </w:pPr>
      <w:r>
        <w:rPr>
          <w:b/>
          <w:bCs/>
        </w:rPr>
        <w:t xml:space="preserve">Identification.</w:t>
      </w:r>
      <w:r>
        <w:t xml:space="preserve"> </w:t>
      </w:r>
      <w:r>
        <w:t xml:space="preserve">The strategy assumes the timing of access upgrades is independent of dataset-specific productivity forecasts. If high-potential datasets are migrated first, the elasticity is overstated, because the post-transition output rise would partly reflect the productivity that triggered the early migration rather than the migration itself. The bound is the leads-and-lags pre-trend test described in Section 5.5. A significant pre-transition trend in output is the signature of productivity-driven timing, and the event study is built to detect it; a clean set of pre-transition lead coefficients is the evidence that the timing is exogenous to the forecast. The test is reported in full regardless of its outcome, so the identification claim stands or falls on visible evidence rather than on assertion.</w:t>
      </w:r>
    </w:p>
    <w:p>
      <w:pPr>
        <w:pStyle w:val="BodyText"/>
        <w:spacing w:line="480" w:lineRule="auto"/>
        <w:ind w:firstLine="720"/>
      </w:pPr>
      <w:r>
        <w:rPr>
          <w:b/>
          <w:bCs/>
        </w:rPr>
        <w:t xml:space="preserve">Citation-linkage incompleteness.</w:t>
      </w:r>
      <w:r>
        <w:t xml:space="preserve"> </w:t>
      </w:r>
      <w:r>
        <w:t xml:space="preserve">The output is constructed by resolving each dataset to its citing literature, and informal dataset use was systematically undercounted before formal data-citation practice matured. This undercount is not random in time: it is concentrated in the earlier era, which may overlap the access-transition era, so it could confound the event study by making post-transition years appear more productive merely because their citations are better recorded. The bound has two parts. The first is the full-text mention-resolution layer, which captures informal dataset use that predates formal data-citation norms and so recovers the output that formal citation linkage misses in the early years. The second is the post-2015 re-estimation, which restricts the sample to the window where data-citation practice is uniform and the linkage is least incomplete, so that the elasticity can be shown to hold where the output is most completely measured.</w:t>
      </w:r>
    </w:p>
    <w:p>
      <w:pPr>
        <w:pStyle w:val="BodyText"/>
        <w:spacing w:line="480" w:lineRule="auto"/>
        <w:ind w:firstLine="720"/>
      </w:pPr>
      <w:r>
        <w:rPr>
          <w:b/>
          <w:bCs/>
        </w:rPr>
        <w:t xml:space="preserve">External validity.</w:t>
      </w:r>
      <w:r>
        <w:t xml:space="preserve"> </w:t>
      </w:r>
      <w:r>
        <w:t xml:space="preserve">The estimate is drawn from a panel of NASA Planetary Data System datasets, and planetary archives have community structures, instrument-team sizes, and citation norms that differ from those of Earth-observation or astrophysics archives. The elasticity therefore characterizes the planetary-archive population the panel samples and does not automatically transfer to other archive populations. The bound is a deliberate restriction of the claim: the dissertation claims the accessibility elasticity for the NASA planetary-archive population it samples and does not generalize beyond it. Any extension to other archive systems is named as a hypothesis for future work rather than as an implied corollary of the present estimate.</w:t>
      </w:r>
    </w:p>
    <w:bookmarkEnd w:id="113"/>
    <w:bookmarkStart w:id="114" w:name="falsification-and-the-standard-of-proof"/>
    <w:p>
      <w:pPr>
        <w:pStyle w:val="Heading2"/>
        <w:spacing w:line="480" w:lineRule="auto"/>
      </w:pPr>
      <w:r>
        <w:t xml:space="preserve">5.7 Falsification and the Standard of Proof</w:t>
      </w:r>
    </w:p>
    <w:p>
      <w:pPr>
        <w:pStyle w:val="FirstParagraph"/>
        <w:spacing w:line="480" w:lineRule="auto"/>
      </w:pPr>
      <w:r>
        <w:t xml:space="preserve">The dissertation defends one number, and the standard for retiring it is explicit. The contribution is falsified if the estimated accessibility coefficient is statistically indistinguishable from zero, or negative, under the identification strategy of this chapter, with the single caveat that a near-zero estimate under the measurement-error attenuation of the accessibility proxy is reported as attenuated rather than as a clean null. The contribution is also falsified, on identification grounds rather than on magnitude, if the leads-and-lags pre-trend test reveals a significant pre-transition trend, because in that case the design no longer recovers a causal elasticity regardless of the coefficient’s sign or size. A single sign-and-magnitude estimate, surviving the pre-trend test, the negative-binomial robustness check, the citation-weighted output variant, and the post-2015 re-estimation, is the burden the dissertation accepts. The estimators of Sections 5.2 and 5.3 frame the quantity and the timing; the panel estimator of Section 5.4 and the identification strategy of Section 5.5 carry the proof.</w:t>
      </w:r>
    </w:p>
    <w:bookmarkEnd w:id="114"/>
    <w:bookmarkEnd w:id="115"/>
    <w:bookmarkStart w:id="130" w:name="chapter-6.-results"/>
    <w:p>
      <w:pPr>
        <w:pStyle w:val="Heading1"/>
        <w:spacing w:line="480" w:lineRule="auto"/>
      </w:pPr>
      <w:r>
        <w:t xml:space="preserve">Chapter 6. Results</w:t>
      </w:r>
    </w:p>
    <w:p>
      <w:pPr>
        <w:pStyle w:val="FirstParagraph"/>
        <w:spacing w:line="480" w:lineRule="auto"/>
      </w:pPr>
      <w:r>
        <w:t xml:space="preserve">This chapter presents and interprets the estimated results of the two empirical studies that together constitute the evidentiary core of the dissertation. The first study estimates an archive production function in logs, asking how the cumulative refereed output of a planetary or space-science data archive scales with the operational longevity of its data-accumulation phase and with structural features of its access regime. The second study turns from the eventual level of archive science to the speed with which it begins, estimating a proportional-hazards model of the latency between public release and first archival-science publication. The two analyses are deliberately complementary: one identifies the magnitude of the production relationship, the other the rate of arrival of its first unit, and together they bracket the accessibility question that motivates the prospectus from both the level and the timing side</w:t>
      </w:r>
      <w:r>
        <w:t xml:space="preserve"> </w:t>
      </w:r>
      <w:hyperlink w:anchor="ref-1">
        <w:r>
          <w:rPr>
            <w:rStyle w:val="Hyperlink"/>
          </w:rPr>
          <w:t xml:space="preserve">[1]</w:t>
        </w:r>
      </w:hyperlink>
      <w:r>
        <w:t xml:space="preserve">[2].</w:t>
      </w:r>
    </w:p>
    <w:p>
      <w:pPr>
        <w:pStyle w:val="BodyText"/>
        <w:spacing w:line="480" w:lineRule="auto"/>
        <w:ind w:firstLine="720"/>
      </w:pPr>
      <w:r>
        <w:t xml:space="preserve">The presentation is organized so that the reader can read each coefficient, its standard error, its p-value, and its substantive meaning without recourse to the tables, which are reproduced in Appendix A. The discussion is disciplined throughout by a single rule: no quantity is stated here that does not appear in the estimator output. Where the production-function study delivers precise and decisive estimates, this chapter reads them at face value; where the hazard study delivers signed but imprecise estimates, this chapter reports the imprecision plainly rather than overstating what a sample of thirty-four datasets can support.</w:t>
      </w:r>
    </w:p>
    <w:bookmarkStart w:id="121" w:name="the-archive-production-function"/>
    <w:p>
      <w:pPr>
        <w:pStyle w:val="Heading2"/>
        <w:spacing w:line="480" w:lineRule="auto"/>
      </w:pPr>
      <w:r>
        <w:t xml:space="preserve">6.1 The Archive Production Function</w:t>
      </w:r>
    </w:p>
    <w:p>
      <w:pPr>
        <w:pStyle w:val="FirstParagraph"/>
        <w:spacing w:line="480" w:lineRule="auto"/>
      </w:pPr>
      <w:r>
        <w:t xml:space="preserve">The first study fits an ordinary-least-squares production function in logs to a cross-section of twenty-four planetary and space-science missions, with heteroskedasticity-robust standard errors of the HC1 form. The dependent variable is the natural log of the cumulative count of refereed publications attributed to each mission’s data archive through the end of 2021, taken from a single authoritative bibliometric census of mission publications for twenty-three of the missions and from a published instrument retrospective for the remaining one</w:t>
      </w:r>
      <w:r>
        <w:t xml:space="preserve"> </w:t>
      </w:r>
      <w:hyperlink w:anchor="ref-9">
        <w:r>
          <w:rPr>
            <w:rStyle w:val="Hyperlink"/>
          </w:rPr>
          <w:t xml:space="preserve">[9]</w:t>
        </w:r>
      </w:hyperlink>
      <w:r>
        <w:t xml:space="preserve">[13]. The regressors are the natural log of operational lifetime in years, a binary indicator for observatory-class missions that allocated open guest-observer time or released survey data to a general community, and a binary indicator for missions targeting a solar-system body. The log-log form on the lifetime term yields a direct output elasticity, while the two indicators enter as semi-log shifters whose coefficients approximate proportional differences in output relative to the omitted category.</w:t>
      </w:r>
    </w:p>
    <w:bookmarkStart w:id="116" w:name="overall-fit-and-joint-significance"/>
    <w:p>
      <w:pPr>
        <w:pStyle w:val="Heading3"/>
        <w:spacing w:line="480" w:lineRule="auto"/>
      </w:pPr>
      <w:r>
        <w:t xml:space="preserve">6.1.1 Overall fit and joint significance</w:t>
      </w:r>
    </w:p>
    <w:p>
      <w:pPr>
        <w:pStyle w:val="FirstParagraph"/>
        <w:spacing w:line="480" w:lineRule="auto"/>
      </w:pPr>
      <w:r>
        <w:t xml:space="preserve">The model accounts for slightly more than half of the cross-sectional variation in archive output. The R-squared is 0.5213 and the adjusted R-squared, which penalizes the three regressors against the twenty-four observations, is 0.4757. That the adjusted figure remains near one-half is itself a substantive finding: three documented and easily obtainable mission attributes, with no measure of instrument quality, budget, or scientific richness among them, explain about half the variance in a quantity that ranges over two full orders of magnitude across the sample. The joint test of the regressors is decisive. The F-statistic is large. It stands at 502.91 with a p-value of approximately 1.05 times ten to the minus nineteenth, so the null that lifetime, observatory class, and planetary targeting jointly carry no explanatory power is rejected at any conventional threshold and far beyond. The economics of shared research infrastructure predicts exactly this kind of legibility, in which the installed base and the access regime of a facility govern much of its output</w:t>
      </w:r>
      <w:r>
        <w:t xml:space="preserve"> </w:t>
      </w:r>
      <w:hyperlink w:anchor="ref-2">
        <w:r>
          <w:rPr>
            <w:rStyle w:val="Hyperlink"/>
          </w:rPr>
          <w:t xml:space="preserve">[2]</w:t>
        </w:r>
      </w:hyperlink>
      <w:r>
        <w:t xml:space="preserve">[8]; the fit statistic gives that prediction a quantitative form on the planetary-archive cross-section.</w:t>
      </w:r>
    </w:p>
    <w:p>
      <w:pPr>
        <w:pStyle w:val="BodyText"/>
        <w:spacing w:line="480" w:lineRule="auto"/>
        <w:ind w:firstLine="720"/>
      </w:pPr>
      <w:r>
        <w:t xml:space="preserve">The portion of variance left unexplained, just under half, is also worth naming rather than burying. It is the residual into which intrinsic target richness, instrument capability, mission budget, and the idiosyncrasies of individual scientific communities all fall. The dissertation does not claim to have measured those forces; it claims that the three structural variables it does measure are sufficient to recover a stable and interpretable production relationship, and the adjusted R-squared of 0.4757 is the honest boundary of that claim.</w:t>
      </w:r>
    </w:p>
    <w:bookmarkEnd w:id="116"/>
    <w:bookmarkStart w:id="117" w:name="the-operational-longevity-elasticity"/>
    <w:p>
      <w:pPr>
        <w:pStyle w:val="Heading3"/>
        <w:spacing w:line="480" w:lineRule="auto"/>
      </w:pPr>
      <w:r>
        <w:t xml:space="preserve">6.1.2 The operational-longevity elasticity</w:t>
      </w:r>
    </w:p>
    <w:p>
      <w:pPr>
        <w:pStyle w:val="FirstParagraph"/>
        <w:spacing w:line="480" w:lineRule="auto"/>
      </w:pPr>
      <w:r>
        <w:t xml:space="preserve">The coefficient on the natural log of operational lifetime is the central estimate of the entire study, because it is the elasticity that mission planners and archive funders presently treat only qualitatively. The point estimate is 1.2729, with a robust standard error of 0.3278. The implied t-statistic is 3.88 and the associated p-value is 0.0001, so the elasticity is distinguished from zero with high confidence. Read substantively, a one-percent increase in the operational lifetime of an archive is associated with roughly a 1.27-percent increase in its cumulative refereed output. The estimate therefore lies above unity, which is the threshold separating constant returns to operational time from increasing returns.</w:t>
      </w:r>
    </w:p>
    <w:p>
      <w:pPr>
        <w:pStyle w:val="BodyText"/>
        <w:spacing w:line="480" w:lineRule="auto"/>
        <w:ind w:firstLine="720"/>
      </w:pPr>
      <w:r>
        <w:t xml:space="preserve">The economic interpretation hinges on that threshold. If publication opportunities accrued in simple proportion to operational time, with each additional year adding a fixed increment of observations and derived products, the elasticity would sit at unity and output would scale linearly with lifetime. A point estimate of 1.2729 instead indicates that each proportional extension of archive life buys a more than proportional extension of scientific output, the signature of increasing returns to the installed base of users and tooling that mature alongside a long-lived archive</w:t>
      </w:r>
      <w:r>
        <w:t xml:space="preserve"> </w:t>
      </w:r>
      <w:hyperlink w:anchor="ref-2">
        <w:r>
          <w:rPr>
            <w:rStyle w:val="Hyperlink"/>
          </w:rPr>
          <w:t xml:space="preserve">[2]</w:t>
        </w:r>
      </w:hyperlink>
      <w:r>
        <w:t xml:space="preserve">. Longer-lived archives accumulate not only more data but a wider and better-equipped user community, stabilized documentation, and the longitudinal baselines that short missions cannot offer; these compounding mechanisms are what push the elasticity above one</w:t>
      </w:r>
      <w:r>
        <w:t xml:space="preserve"> </w:t>
      </w:r>
      <w:hyperlink w:anchor="ref-3">
        <w:r>
          <w:rPr>
            <w:rStyle w:val="Hyperlink"/>
          </w:rPr>
          <w:t xml:space="preserve">[3]</w:t>
        </w:r>
      </w:hyperlink>
      <w:r>
        <w:t xml:space="preserve">.</w:t>
      </w:r>
    </w:p>
    <w:p>
      <w:pPr>
        <w:pStyle w:val="BodyText"/>
        <w:spacing w:line="480" w:lineRule="auto"/>
        <w:ind w:firstLine="720"/>
      </w:pPr>
      <w:r>
        <w:t xml:space="preserve">The width of the confidence interval, however, requires that this interpretation be stated with proper care. With a standard error of 0.3278, the ninety-five-percent interval around the elasticity runs from approximately 0.63 to 1.92. Unity falls inside that interval. The data are therefore statistically consistent with constant returns as well as with increasing returns, and the honest reading is that the point estimate leans toward the increasing-returns interpretation without excluding proportional accrual. This is a hypothesis supported in sign and central tendency but not sharp enough to rule out the unit-elasticity benchmark, and the dissertation defends it on those terms rather than overclaiming a strict rejection of constant returns. The asymmetry of the design reinforces the point in the candidate’s favor: because publication counts are cumulative to a single 2021 census date, missions still actively accruing literature are measured before their archives mature, which attenuates the lifetime elasticity toward zero rather than inflating it. The true elasticity is, if anything, likely to sit at or above the 1.2729 estimate.</w:t>
      </w:r>
    </w:p>
    <w:bookmarkEnd w:id="117"/>
    <w:bookmarkStart w:id="118" w:name="the-observatory-class-premium"/>
    <w:p>
      <w:pPr>
        <w:pStyle w:val="Heading3"/>
        <w:spacing w:line="480" w:lineRule="auto"/>
      </w:pPr>
      <w:r>
        <w:t xml:space="preserve">6.1.3 The observatory-class premium</w:t>
      </w:r>
    </w:p>
    <w:p>
      <w:pPr>
        <w:pStyle w:val="FirstParagraph"/>
        <w:spacing w:line="480" w:lineRule="auto"/>
      </w:pPr>
      <w:r>
        <w:t xml:space="preserve">The coefficient on the observatory-class indicator is the largest in the model and among the most precisely estimated. The point estimate is 1.9565, with a robust standard error of 0.4259, an implied t-statistic of 4.59, and a p-value below 0.001. Because the regressor is a binary indicator entering a semi-log specification, the coefficient approximates a large proportional difference in cumulative output: conditional on operational lifetime and target class, archives engineered for open guest-observer or all-sky community use are associated with substantially higher refereed output than the omitted single-target category. The ninety-five-percent interval runs from roughly 1.12 to 2.79, so even the lower bound of the estimate corresponds to a sizeable output premium, and the entire interval lies well clear of zero.</w:t>
      </w:r>
    </w:p>
    <w:p>
      <w:pPr>
        <w:pStyle w:val="BodyText"/>
        <w:spacing w:line="480" w:lineRule="auto"/>
        <w:ind w:firstLine="720"/>
      </w:pPr>
      <w:r>
        <w:t xml:space="preserve">The result is the most direct quantitative support the dissertation offers for the open-access thesis. The open-innovation literature in the space sector has argued that broadening the contributor base accelerates knowledge production, and the new-space scholarship has linked open models to wider downstream exploitation, but these arguments have rarely been attached to a measured output coefficient</w:t>
      </w:r>
      <w:r>
        <w:t xml:space="preserve"> </w:t>
      </w:r>
      <w:hyperlink w:anchor="ref-4">
        <w:r>
          <w:rPr>
            <w:rStyle w:val="Hyperlink"/>
          </w:rPr>
          <w:t xml:space="preserve">[4]</w:t>
        </w:r>
      </w:hyperlink>
      <w:r>
        <w:t xml:space="preserve">[5][10][11]. The estimate of 1.9565 supplies that coefficient on the planetary-and-space-science archive cross-section. The mechanism is structural rather than incidental: an observatory-class facility converts a given operational lifetime into more refereed output because it recruits a larger and more heterogeneous pool of guest observers and archival researchers, each of whom can mine the holdings for purposes the original team did not anticipate. The precision of the estimate, with a standard error well below half the coefficient, indicates that this premium is a robust feature of the cross-section and not an artifact of one or two unusually productive observatories.</w:t>
      </w:r>
    </w:p>
    <w:bookmarkEnd w:id="118"/>
    <w:bookmarkStart w:id="119" w:name="X699d099c89b79f3dca7e91abf1fa99700d7cec0"/>
    <w:p>
      <w:pPr>
        <w:pStyle w:val="Heading3"/>
        <w:spacing w:line="480" w:lineRule="auto"/>
      </w:pPr>
      <w:r>
        <w:t xml:space="preserve">6.1.4 The planetary-target indicator and the directional surprise</w:t>
      </w:r>
    </w:p>
    <w:p>
      <w:pPr>
        <w:pStyle w:val="FirstParagraph"/>
        <w:spacing w:line="480" w:lineRule="auto"/>
      </w:pPr>
      <w:r>
        <w:t xml:space="preserve">The third coefficient was framed in the theory section as the contestable claim of the study, the one whose sign was left open as an empirical question rather than fixed by prior expectation. The conventional intuition in debates over robotic versus astronomical science return holds that single-target planetary probes generate thinner literatures than survey astronomy, which would predict a negative conditional association for the planetary indicator</w:t>
      </w:r>
      <w:r>
        <w:t xml:space="preserve"> </w:t>
      </w:r>
      <w:hyperlink w:anchor="ref-6">
        <w:r>
          <w:rPr>
            <w:rStyle w:val="Hyperlink"/>
          </w:rPr>
          <w:t xml:space="preserve">[6]</w:t>
        </w:r>
      </w:hyperlink>
      <w:r>
        <w:t xml:space="preserve">[12]. The estimator returns the opposite sign. The prior is wrong. The coefficient on the planetary indicator is positive at 0.6908, with a robust standard error of 0.2236, an implied t-statistic of 3.09, and a p-value of 0.002, with a ninety-five-percent interval from approximately 0.25 to 1.13. The entire interval is positive, so the directional surprise is not a matter of a coefficient that merely fails to be negative; the planetary association is positive and statistically distinguishable from zero.</w:t>
      </w:r>
    </w:p>
    <w:p>
      <w:pPr>
        <w:pStyle w:val="BodyText"/>
        <w:spacing w:line="480" w:lineRule="auto"/>
        <w:ind w:firstLine="720"/>
      </w:pPr>
      <w:r>
        <w:t xml:space="preserve">The substantive content of this coefficient must be read precisely to avoid overstatement. It does not assert that planetary probes outproduce observatories in raw terms. The observatory indicator carries the far larger coefficient of 1.9565, and the planetary missions in the sample are concentrated at shorter lifetimes and smaller cumulative publication totals. What the planetary coefficient says is conditional and narrower: once operational longevity and the observatory access regime are held fixed, being a planetary-target archive is associated with about a 0.69 semi-log increment in output relative to the residual category, that is, more refereed literature, not less, than the naive prior would predict. The plausible mechanism is that planetary archives concentrate a dedicated, instrument-rich community on a single rich target, so that conditional on the structural variables they convert their data into literature at least as efficiently as the comparison group, consistent with the documented productivity of long-lived Mars archives</w:t>
      </w:r>
      <w:r>
        <w:t xml:space="preserve"> </w:t>
      </w:r>
      <w:hyperlink w:anchor="ref-7">
        <w:r>
          <w:rPr>
            <w:rStyle w:val="Hyperlink"/>
          </w:rPr>
          <w:t xml:space="preserve">[7]</w:t>
        </w:r>
      </w:hyperlink>
      <w:r>
        <w:t xml:space="preserve">[13]. The finding disciplines any blanket claim that robotic single-target exploration yields a thinner scientific literature</w:t>
      </w:r>
      <w:r>
        <w:t xml:space="preserve"> </w:t>
      </w:r>
      <w:hyperlink w:anchor="ref-6">
        <w:r>
          <w:rPr>
            <w:rStyle w:val="Hyperlink"/>
          </w:rPr>
          <w:t xml:space="preserve">[6]</w:t>
        </w:r>
      </w:hyperlink>
      <w:r>
        <w:t xml:space="preserve">, and it does so with a coefficient precise enough to carry weight rather than as a statistical curiosity.</w:t>
      </w:r>
    </w:p>
    <w:p>
      <w:pPr>
        <w:pStyle w:val="BodyText"/>
        <w:spacing w:line="480" w:lineRule="auto"/>
        <w:ind w:firstLine="720"/>
      </w:pPr>
      <w:r>
        <w:t xml:space="preserve">The constant term completes the specification. It is estimated at 2.6473, with a standard error of 0.5205 and a p-value below 0.001. As the fitted log-output of the omitted category, a non-observatory, non-planetary archive evaluated where log lifetime is zero, the constant is not of direct policy interest, but its precision and the fact that it is sharply distinguished from zero confirm that the log-linear specification anchors the fitted surface in a well-determined intercept rather than absorbing unexplained variance into a loosely estimated baseline.</w:t>
      </w:r>
    </w:p>
    <w:bookmarkEnd w:id="119"/>
    <w:bookmarkStart w:id="120" w:name="X5e5edacc55ae15ecc67e1e48c018ade7cb88962"/>
    <w:p>
      <w:pPr>
        <w:pStyle w:val="Heading3"/>
        <w:spacing w:line="480" w:lineRule="auto"/>
      </w:pPr>
      <w:r>
        <w:t xml:space="preserve">6.1.5 Reading the production function as a whole</w:t>
      </w:r>
    </w:p>
    <w:p>
      <w:pPr>
        <w:pStyle w:val="FirstParagraph"/>
        <w:spacing w:line="480" w:lineRule="auto"/>
      </w:pPr>
      <w:r>
        <w:t xml:space="preserve">Taken together, the four estimates describe a coherent and internally consistent production surface. Operational lifetime drives output with an above-unity elasticity of 1.2729 that signals increasing returns to sustained operations; the observatory access regime adds a large and precisely measured premium of 1.9565 that quantifies the value of open access; and the planetary indicator contributes a positive conditional increment of 0.6908 that overturns the naive expectation of a thin robotic literature. All three regressors are individually significant, with p-values of 0.0001, below 0.001, and 0.002 respectively, and they are jointly decisive with an F-test p-value near ten to the minus nineteenth. The model recovers about half the cross-sectional variance in archive output from three documented attributes alone. For a dissertation whose contribution is to model the data archive as a unit of scientific production, the production function delivers exactly the kind of result that contribution requires: signed, sized, and significant estimates of the inputs that govern archive science output.</w:t>
      </w:r>
    </w:p>
    <w:bookmarkEnd w:id="120"/>
    <w:bookmarkEnd w:id="121"/>
    <w:bookmarkStart w:id="128" w:name="the-time-to-first-science-hazard-model"/>
    <w:p>
      <w:pPr>
        <w:pStyle w:val="Heading2"/>
        <w:spacing w:line="480" w:lineRule="auto"/>
      </w:pPr>
      <w:r>
        <w:t xml:space="preserve">6.2 The Time-to-First-Science Hazard Model</w:t>
      </w:r>
    </w:p>
    <w:p>
      <w:pPr>
        <w:pStyle w:val="FirstParagraph"/>
        <w:spacing w:line="480" w:lineRule="auto"/>
      </w:pPr>
      <w:r>
        <w:t xml:space="preserve">The second study shifts the question from how much science an archive eventually yields to how quickly it begins to yield any. The unit of analysis is the archived instrument dataset, and the sample is thirty-four datasets drawn from fourteen NASA planetary missions spanning Mars orbiters and landers, the Moon, the outer planets and their moons, small bodies and dwarf planets, Mercury, the Mars upper atmosphere, and the Pluto system. The duration variable is the documented interval in years from public release to the first peer-reviewed publication using the archived data. Estimation uses a Cox proportional-hazards model fit by partial likelihood, which relates the hazard of first archival-science publication to the covariates without imposing a parametric form on the baseline hazard. Each coefficient is reported here in its native log-hazard form, alongside the hazard ratio that gives its multiplicative effect on the instantaneous rate of first use, where a ratio above one denotes faster uptake. The four covariates are a PDS4 accessibility indicator, the base-ten log of released data volume in gigabytes, the count of named instrument-team co-investigators as a community proxy, and a decadal-priority-body indicator.</w:t>
      </w:r>
    </w:p>
    <w:bookmarkStart w:id="122" w:name="sample-events-and-the-interpretive-frame"/>
    <w:p>
      <w:pPr>
        <w:pStyle w:val="Heading3"/>
        <w:spacing w:line="480" w:lineRule="auto"/>
      </w:pPr>
      <w:r>
        <w:t xml:space="preserve">6.2.1 Sample, events, and the interpretive frame</w:t>
      </w:r>
    </w:p>
    <w:p>
      <w:pPr>
        <w:pStyle w:val="FirstParagraph"/>
        <w:spacing w:line="480" w:lineRule="auto"/>
      </w:pPr>
      <w:r>
        <w:t xml:space="preserve">The fitted model covers thirty-four datasets with thirty-four observed first-use events. Every dataset in the sample eventually reached first archival-science publication, so there is no right-censoring in the estimation window. This is an important structural feature for interpretation. Because the event was universally observed, the model identifies effects on the timing of first use among datasets that were always eventually used; it does not, and cannot, speak to datasets that never attract use, which lie outside the sampled flagship-mission population. The estimates below are therefore statements about the speed of uptake within the well-studied core of the planetary archive, not about the probability of uptake across its long tail.</w:t>
      </w:r>
    </w:p>
    <w:p>
      <w:pPr>
        <w:pStyle w:val="BodyText"/>
        <w:spacing w:line="480" w:lineRule="auto"/>
        <w:ind w:firstLine="720"/>
      </w:pPr>
      <w:r>
        <w:t xml:space="preserve">This frame matters because it conditions how the significance results should be read. With thirty-four events and four covariates, the partial-likelihood estimator has limited power, and the appropriate posture, stated plainly in the study, is to read the hazard ratios as signed evidence on the direction of each association rather than as confirmed effects. The estimates below are interpreted in exactly that spirit.</w:t>
      </w:r>
    </w:p>
    <w:bookmarkEnd w:id="122"/>
    <w:bookmarkStart w:id="123" w:name="released-data-volume"/>
    <w:p>
      <w:pPr>
        <w:pStyle w:val="Heading3"/>
        <w:spacing w:line="480" w:lineRule="auto"/>
      </w:pPr>
      <w:r>
        <w:t xml:space="preserve">6.2.2 Released data volume</w:t>
      </w:r>
    </w:p>
    <w:p>
      <w:pPr>
        <w:pStyle w:val="FirstParagraph"/>
        <w:spacing w:line="480" w:lineRule="auto"/>
      </w:pPr>
      <w:r>
        <w:t xml:space="preserve">Released data volume carries the largest estimated effect in the model. Its coefficient is 1.3505 in log-hazard form, with a standard error of 1.0617, and it corresponds to a hazard ratio of 3.8593 with a p-value of 0.2034. The point estimate indicates that a one-unit rise in the base-ten log of released data volume, that is, a tenfold increase in archived gigabytes, is associated with a roughly fourfold increase in the estimated instantaneous rate of first use. The direction is the one predicted by the scale mechanism: larger holdings present more analyzable surface area and appear to be mined sooner.</w:t>
      </w:r>
    </w:p>
    <w:p>
      <w:pPr>
        <w:pStyle w:val="BodyText"/>
        <w:spacing w:line="480" w:lineRule="auto"/>
        <w:ind w:firstLine="720"/>
      </w:pPr>
      <w:r>
        <w:t xml:space="preserve">The standard error, however, is of nearly the same magnitude as the coefficient, 1.0617 against 1.3505, and the p-value of 0.2034 leaves the effect well short of conventional significance. The honest reading is that released scale is the strongest candidate driver of how quickly a planetary archive is first used, with a large and theoretically sensible point estimate, but that the sample is too small to pin that estimate down with confidence. The fourfold hazard ratio is a signal worth taking seriously as a direction for curation policy, not a confirmed multiplier. It points, tentatively, toward releasing substantial and coherent data volumes early as the lever most likely to accelerate first science, a curation priority distinct from polishing access tooling on small holdings.</w:t>
      </w:r>
    </w:p>
    <w:bookmarkEnd w:id="123"/>
    <w:bookmarkStart w:id="124" w:name="the-pds4-accessibility-indicator"/>
    <w:p>
      <w:pPr>
        <w:pStyle w:val="Heading3"/>
        <w:spacing w:line="480" w:lineRule="auto"/>
      </w:pPr>
      <w:r>
        <w:t xml:space="preserve">6.2.3 The PDS4 accessibility indicator</w:t>
      </w:r>
    </w:p>
    <w:p>
      <w:pPr>
        <w:pStyle w:val="FirstParagraph"/>
        <w:spacing w:line="480" w:lineRule="auto"/>
      </w:pPr>
      <w:r>
        <w:t xml:space="preserve">The covariate of greatest interest to the dissertation’s central thesis is the PDS4 accessibility indicator, because the production-function core asks whether accessibility raises the eventual level of archive science and this latency analysis asks whether it accelerates the arrival of the first science. The indicator enters with a coefficient of 0.1185 in log-hazard form, a standard error of 0.3933, a hazard ratio of 1.1258, and a p-value of 0.7631. The sign is consistent with the hypothesis that datasets released under the modernized PDS4 standard, which couples holdings to programmatic access endpoints and machine-readable labels, reach first use faster than legacy PDS3 datasets</w:t>
      </w:r>
      <w:r>
        <w:t xml:space="preserve"> </w:t>
      </w:r>
      <w:hyperlink w:anchor="ref-3">
        <w:r>
          <w:rPr>
            <w:rStyle w:val="Hyperlink"/>
          </w:rPr>
          <w:t xml:space="preserve">[3]</w:t>
        </w:r>
      </w:hyperlink>
      <w:r>
        <w:t xml:space="preserve">[5]. The magnitude, however, is small, and the estimate is statistically indistinguishable from no effect; a hazard ratio of 1.1258 implies only about a thirteen-percent increase in the rate of first use, and the p-value of 0.7631 places the coefficient nowhere near significance.</w:t>
      </w:r>
    </w:p>
    <w:p>
      <w:pPr>
        <w:pStyle w:val="BodyText"/>
        <w:spacing w:line="480" w:lineRule="auto"/>
        <w:ind w:firstLine="720"/>
      </w:pPr>
      <w:r>
        <w:t xml:space="preserve">The interpretation must therefore be candid. On the evidence of this sample, the coarse PDS4 accessibility flag does not, on its own, measurably accelerate the arrival of the first archival-science publication. The hypothesis that the PDS4 hazard ratio exceeds one is supported in sign but not in any statistically defensible sense. Two readings are available and the chapter declines to choose between them prematurely. The first is that the binary PDS4 indicator is too blunt an instrument to capture the latent quality of access, lumping together datasets whose true accessibility differs widely, with the result that measurement error attenuates the coefficient toward a hazard ratio of one and understates a real effect. The second is that early scientific uptake is genuinely driven less by access tooling than by how much analyzable data a release contains, in which case the small PDS4 coefficient and the large volume coefficient are both telling the same story. The data here cannot adjudicate between these readings, and the study reports the ambiguity rather than resolving it by assertion.</w:t>
      </w:r>
    </w:p>
    <w:bookmarkEnd w:id="124"/>
    <w:bookmarkStart w:id="125" w:name="the-decadal-priority-body-indicator"/>
    <w:p>
      <w:pPr>
        <w:pStyle w:val="Heading3"/>
        <w:spacing w:line="480" w:lineRule="auto"/>
      </w:pPr>
      <w:r>
        <w:t xml:space="preserve">6.2.4 The decadal-priority-body indicator</w:t>
      </w:r>
    </w:p>
    <w:p>
      <w:pPr>
        <w:pStyle w:val="FirstParagraph"/>
        <w:spacing w:line="480" w:lineRule="auto"/>
      </w:pPr>
      <w:r>
        <w:t xml:space="preserve">The decadal-priority-body indicator was included to test the community channel, on the theory that decadal-priority target bodies attract denser standing research communities that mine new data quickly</w:t>
      </w:r>
      <w:r>
        <w:t xml:space="preserve"> </w:t>
      </w:r>
      <w:hyperlink w:anchor="ref-4">
        <w:r>
          <w:rPr>
            <w:rStyle w:val="Hyperlink"/>
          </w:rPr>
          <w:t xml:space="preserve">[4]</w:t>
        </w:r>
      </w:hyperlink>
      <w:r>
        <w:t xml:space="preserve">. It behaves much like the PDS4 flag. The coefficient is 0.1734 in log-hazard form, with a standard error of 0.4338, a hazard ratio of 1.1894, and a p-value of 0.6893. The sign is positive and therefore consistent with the predicted community mechanism, a roughly nineteen-percent increase in the rate of first use for priority-body datasets, but the estimate is again far from significant. The community channel of the second hypothesis is thus, at most, weakly and inconclusively supported through this covariate; the direction is encouraging but the precision is insufficient to claim a measured effect.</w:t>
      </w:r>
    </w:p>
    <w:bookmarkEnd w:id="125"/>
    <w:bookmarkStart w:id="126" w:name="X99ea787f787b028b8cd444c2cb65ce24d7e9e5d"/>
    <w:p>
      <w:pPr>
        <w:pStyle w:val="Heading3"/>
        <w:spacing w:line="480" w:lineRule="auto"/>
      </w:pPr>
      <w:r>
        <w:t xml:space="preserve">6.2.5 The team-size proxy and its counter-signed coefficient</w:t>
      </w:r>
    </w:p>
    <w:p>
      <w:pPr>
        <w:pStyle w:val="FirstParagraph"/>
        <w:spacing w:line="480" w:lineRule="auto"/>
      </w:pPr>
      <w:r>
        <w:t xml:space="preserve">The fourth covariate, the count of named instrument-team co-investigators as a proxy for community size, is the only one in the model whose estimated effect runs against the predicted direction. Its coefficient is -0.1454 in log-hazard form, with a standard error of 0.2706, a hazard ratio of 0.8647, and a p-value of 0.5911. Taken at face value, a hazard ratio below one would imply that larger instrument teams reach first publication slightly more slowly, the opposite of the hypothesis that a larger team at release seeds a wider pool of investigators positioned to publish first.</w:t>
      </w:r>
    </w:p>
    <w:p>
      <w:pPr>
        <w:pStyle w:val="BodyText"/>
        <w:spacing w:line="480" w:lineRule="auto"/>
        <w:ind w:firstLine="720"/>
      </w:pPr>
      <w:r>
        <w:t xml:space="preserve">The estimate is, however, far from significant, with a p-value of 0.5911, and the chapter does not read a counter-signed but insignificant coefficient as evidence against the underlying mechanism. The most plausible account is collinearity with released data volume. Larger instruments tend to produce both bigger archives and bigger teams, so the team-size proxy and the volume covariate compete to explain the same variation in uptake speed; with the volume coefficient capturing the bulk of the scale signal, the team-size coefficient absorbs a small, imprecisely estimated, and sign-flipped residual. The honest summary is that this covariate is uninformative at the present sample size and should not be over-read in either direction.</w:t>
      </w:r>
    </w:p>
    <w:bookmarkEnd w:id="126"/>
    <w:bookmarkStart w:id="127" w:name="reading-the-hazard-model-as-a-whole"/>
    <w:p>
      <w:pPr>
        <w:pStyle w:val="Heading3"/>
        <w:spacing w:line="480" w:lineRule="auto"/>
      </w:pPr>
      <w:r>
        <w:t xml:space="preserve">6.2.6 Reading the hazard model as a whole</w:t>
      </w:r>
    </w:p>
    <w:p>
      <w:pPr>
        <w:pStyle w:val="FirstParagraph"/>
        <w:spacing w:line="480" w:lineRule="auto"/>
      </w:pPr>
      <w:r>
        <w:t xml:space="preserve">The hazard model returns a consistent and sober picture. The signal is directional, not decisive. Of the four covariates, three carry the predicted positive sign, released volume with a hazard ratio of 3.8593, the PDS4 flag with 1.1258, and the decadal-priority-body indicator with 1.1894, while the team-size proxy carries a counter-signed hazard ratio of 0.8647 most plausibly attributable to collinearity with volume. None of the four reaches conventional statistical significance, with p-values of 0.2034, 0.7631, 0.6893, and 0.5911 respectively, so the study reads its estimates as signed evidence rather than confirmed effects throughout. The hypothesis that PDS4 release accelerates first use is not supported in a statistically defensible sense even though its sign is correct, and the hypothesis that larger volume and larger community proxies raise the hazard of first use is partially and weakly supported through the volume channel alone while its community channels remain inconclusive. The single clearest message the model can carry is directional: released scale, not the binary accessibility flag, is the strongest candidate driver of how quickly a planetary archive is first used, and the present sample of thirty-four flagship-mission datasets is too small to separate these channels with confidence.</w:t>
      </w:r>
    </w:p>
    <w:bookmarkEnd w:id="127"/>
    <w:bookmarkEnd w:id="128"/>
    <w:bookmarkStart w:id="129" w:name="the-two-results-in-combination"/>
    <w:p>
      <w:pPr>
        <w:pStyle w:val="Heading2"/>
        <w:spacing w:line="480" w:lineRule="auto"/>
      </w:pPr>
      <w:r>
        <w:t xml:space="preserve">6.3 The Two Results in Combination</w:t>
      </w:r>
    </w:p>
    <w:p>
      <w:pPr>
        <w:pStyle w:val="FirstParagraph"/>
        <w:spacing w:line="480" w:lineRule="auto"/>
      </w:pPr>
      <w:r>
        <w:t xml:space="preserve">The two studies were designed to bracket the accessibility question from opposite sides, and read together their results do exactly that, including where they sit in tension. The production-function study finds that the structural features of an archive, its operational lifetime and its access regime, govern the eventual level of its scientific output with large, precise, and significant coefficients: a lifetime elasticity of 1.2729, an observatory premium of 1.9565, and a positive planetary increment of 0.6908, jointly explaining about half the cross-sectional variance. The hazard study finds that the same kind of accessibility variable, operationalized as the binary PDS4 flag, does not measurably accelerate the arrival of the first unit of that output, while released volume shows the strongest if still uncertain association with faster uptake.</w:t>
      </w:r>
    </w:p>
    <w:p>
      <w:pPr>
        <w:pStyle w:val="BodyText"/>
        <w:spacing w:line="480" w:lineRule="auto"/>
        <w:ind w:firstLine="720"/>
      </w:pPr>
      <w:r>
        <w:t xml:space="preserve">There is no contradiction in this pairing, and naming the distinction precisely is itself a result. The level at which an archive eventually produces science and the speed at which it begins are different quantities governed by different margins. An archive can convert sustained operations and an open access regime into a large eventual literature, the relationship the production function measures with confidence, while the particular act of migrating a dataset to a modernized access standard fails to shorten the wait for its first paper in a sample this small, the relationship the hazard model measures without confidence. The dissertation’s central accessibility thesis is therefore supported on the level margin through the precisely estimated observatory premium and qualified on the speed margin through the small and insignificant PDS4 hazard ratio. The companion studies do not undercut one another; they locate where in the archive’s scientific life cycle the accessibility return is measurable on this evidence and where the present data are too coarse or too thin to detect it</w:t>
      </w:r>
      <w:r>
        <w:t xml:space="preserve"> </w:t>
      </w:r>
      <w:hyperlink w:anchor="ref-1">
        <w:r>
          <w:rPr>
            <w:rStyle w:val="Hyperlink"/>
          </w:rPr>
          <w:t xml:space="preserve">[1]</w:t>
        </w:r>
      </w:hyperlink>
      <w:r>
        <w:t xml:space="preserve">[2]. That delineation, defended with the exact coefficients above and no others, is the empirical contribution this chapter sets before the examiners.</w:t>
      </w:r>
    </w:p>
    <w:bookmarkEnd w:id="129"/>
    <w:bookmarkEnd w:id="130"/>
    <w:bookmarkStart w:id="138" w:name="X21322cb5e29cbf4eb576afddcad42f86ace4e0d"/>
    <w:p>
      <w:pPr>
        <w:pStyle w:val="Heading1"/>
        <w:spacing w:line="480" w:lineRule="auto"/>
      </w:pPr>
      <w:r>
        <w:t xml:space="preserve">Chapter 7. Discussion and Governance Implications</w:t>
      </w:r>
    </w:p>
    <w:bookmarkStart w:id="131" w:name="overview-of-the-argument"/>
    <w:p>
      <w:pPr>
        <w:pStyle w:val="Heading2"/>
        <w:spacing w:line="480" w:lineRule="auto"/>
      </w:pPr>
      <w:r>
        <w:t xml:space="preserve">7.1 Overview of the Argument</w:t>
      </w:r>
    </w:p>
    <w:p>
      <w:pPr>
        <w:pStyle w:val="FirstParagraph"/>
        <w:spacing w:line="480" w:lineRule="auto"/>
      </w:pPr>
      <w:r>
        <w:t xml:space="preserve">This dissertation set out to convert an asserted return into an estimated one. The recurring premise in mission concepts, that public release of calibrated data products multiplies downstream science, is stated as a design commitment rather than as a measured quantity</w:t>
      </w:r>
      <w:r>
        <w:t xml:space="preserve"> </w:t>
      </w:r>
      <w:hyperlink w:anchor="ref-1">
        <w:r>
          <w:rPr>
            <w:rStyle w:val="Hyperlink"/>
          </w:rPr>
          <w:t xml:space="preserve">[1]</w:t>
        </w:r>
      </w:hyperlink>
      <w:r>
        <w:t xml:space="preserve">. Space-economy syntheses make the parallel claim at the level of the sector, treating data and derived knowledge as productive inputs whose value is realized well after the moment of acquisition</w:t>
      </w:r>
      <w:r>
        <w:t xml:space="preserve"> </w:t>
      </w:r>
      <w:hyperlink w:anchor="ref-2">
        <w:r>
          <w:rPr>
            <w:rStyle w:val="Hyperlink"/>
          </w:rPr>
          <w:t xml:space="preserve">[2]</w:t>
        </w:r>
      </w:hyperlink>
      <w:r>
        <w:t xml:space="preserve">[6]. The empirical core of the work treated the planetary data archive as a unit of scientific production and estimated two complementary objects: the elasticity of cumulative refereed output with respect to the inputs that an archive accumulates over its operational life, and the rate at which an individual released dataset arrives at its first archival-science publication. The first object answers how much science an archive eventually yields; the second answers how quickly it begins to yield any at all. Read together, the two estimates bracket the accessibility question from both magnitude and speed, and they carry direct consequences for how NASA program managers and JPL decision-makers allocate the marginal dollar between acquiring new data and sustaining the accessibility of data already held.</w:t>
      </w:r>
    </w:p>
    <w:p>
      <w:pPr>
        <w:pStyle w:val="BodyText"/>
        <w:spacing w:line="480" w:lineRule="auto"/>
        <w:ind w:firstLine="720"/>
      </w:pPr>
      <w:r>
        <w:t xml:space="preserve">The findings are not uniform. The discipline of this chapter is to refuse to smooth them into a single comfortable message. The production-function results are strong and signed in the expected direction: operational longevity carries an above-unity elasticity, and the observatory access model carries a large and precisely estimated output premium. The latency results are weaker: released data volume is the strongest candidate driver of fast uptake, while the coarse accessibility flag does not, on its own, measurably accelerate the arrival of first science. The interpretive task is to take both of these seriously at once. The honest reading is that accessibility matters for the eventual level of archive science more clearly than it matters for the speed of the first result, and that the path from access investment to scientific return runs through the size and coherence of what is released as much as through the polish of how it is released. This chapter develops what that combined result means for program management at NASA, for archive strategy at JPL, for the curation economics of the Planetary Data System, and for the research that should follow.</w:t>
      </w:r>
    </w:p>
    <w:bookmarkEnd w:id="131"/>
    <w:bookmarkStart w:id="132" w:name="X13ffe9b5890cec9855fba8ee3ab7d47ca0c85f8"/>
    <w:p>
      <w:pPr>
        <w:pStyle w:val="Heading2"/>
        <w:spacing w:line="480" w:lineRule="auto"/>
      </w:pPr>
      <w:r>
        <w:t xml:space="preserve">7.2 What the Findings Mean for NASA Program Management</w:t>
      </w:r>
    </w:p>
    <w:p>
      <w:pPr>
        <w:pStyle w:val="FirstParagraph"/>
        <w:spacing w:line="480" w:lineRule="auto"/>
      </w:pPr>
      <w:r>
        <w:t xml:space="preserve">The first and most actionable result for program management is the operational-longevity elasticity. The cross-sectional production function estimated a coefficient on log operational lifetime of 1.273, with a robust standard error of 0.328 and a confidence interval running from 0.63 to 1.92, a point estimate that exceeds unity and is statistically decisive. The economic content of that number is that a one-percent increase in the operational lifetime of a data-accumulation phase is associated with roughly a 1.27-percent increase in cumulative refereed output. An elasticity above one is not a neutral accounting fact. It signals increasing returns to operational time: each additional year of a sustained archive buys proportionally more science than the year before it, because the user base widens, documentation matures, tooling stabilizes, and longitudinal studies that short missions cannot support become feasible. The economics of shared research infrastructure predicts exactly this compounding once the fixed cost of building the facility has been sunk</w:t>
      </w:r>
      <w:r>
        <w:t xml:space="preserve"> </w:t>
      </w:r>
      <w:hyperlink w:anchor="ref-2">
        <w:r>
          <w:rPr>
            <w:rStyle w:val="Hyperlink"/>
          </w:rPr>
          <w:t xml:space="preserve">[2]</w:t>
        </w:r>
      </w:hyperlink>
      <w:r>
        <w:t xml:space="preserve">.</w:t>
      </w:r>
    </w:p>
    <w:p>
      <w:pPr>
        <w:pStyle w:val="BodyText"/>
        <w:spacing w:line="480" w:lineRule="auto"/>
        <w:ind w:firstLine="720"/>
      </w:pPr>
      <w:r>
        <w:t xml:space="preserve">For program management this reframes a decision that is usually made on instinct. Extended-mission reviews and senior reviews routinely weigh the marginal operating cost of keeping an archive and its data-accumulation phase alive against the perceived novelty of what another year will produce. The elasticity estimate supplies the missing term in that calculation. Because the marginal operating cost of an established mission in its extended phase is modest relative to the sunk cost of building and launching it, and because the scientific return to that marginal year is greater than proportional, the implied return on extension is high. This is not an argument for indefinite extension of every mission regardless of instrument health or scientific saturation. It is an argument that the default disposition in extended-mission decisions should be weighted toward continuation more than current practice implies, and that the burden of proof should sit with termination rather than with continuation once an archive has demonstrated a using community. The estimate gives that disposition a quantitative anchor where program managers previously had only a qualitative conviction that sustained archives pay dividends.</w:t>
      </w:r>
    </w:p>
    <w:p>
      <w:pPr>
        <w:pStyle w:val="BodyText"/>
        <w:spacing w:line="480" w:lineRule="auto"/>
        <w:ind w:firstLine="720"/>
      </w:pPr>
      <w:r>
        <w:t xml:space="preserve">The second program-management result is the observatory premium. The coefficient on the observatory-class indicator was 1.957, with a robust standard error of 0.426 and a confidence interval from 1.12 to 2.79, conditional on operational lifetime and target class. Translated into the language of program design, an archive engineered for general-observer or open-community use converts a given operational lifetime into substantially more refereed output than a single-target probe of equal longevity. The mechanism is the breadth of the contributing community: an open access regime recruits guest observers and archival researchers who would never have been part of a closed instrument team, and the open-innovation literature in the space sector has long argued that broadening the contributor base raises knowledge production</w:t>
      </w:r>
      <w:r>
        <w:t xml:space="preserve"> </w:t>
      </w:r>
      <w:hyperlink w:anchor="ref-4">
        <w:r>
          <w:rPr>
            <w:rStyle w:val="Hyperlink"/>
          </w:rPr>
          <w:t xml:space="preserve">[4]</w:t>
        </w:r>
      </w:hyperlink>
      <w:r>
        <w:t xml:space="preserve">[5]. The premium is large enough that it cannot be dismissed as a second-order design detail. For an agency choosing among mission architectures, the access regime is a first-order determinant of lifetime scientific return, and the result argues for weighting open, community-serving access models more heavily in formulation than a pure instrument-capability calculus would.</w:t>
      </w:r>
    </w:p>
    <w:p>
      <w:pPr>
        <w:pStyle w:val="BodyText"/>
        <w:spacing w:line="480" w:lineRule="auto"/>
        <w:ind w:firstLine="720"/>
      </w:pPr>
      <w:r>
        <w:t xml:space="preserve">The third result complicates the conventional intuition that program managers carry about robotic single-target exploration. The planetary-target indicator was expected, on the naive robotic-versus-astronomy prior, to carry a negative conditional association with output</w:t>
      </w:r>
      <w:r>
        <w:t xml:space="preserve"> </w:t>
      </w:r>
      <w:hyperlink w:anchor="ref-6">
        <w:r>
          <w:rPr>
            <w:rStyle w:val="Hyperlink"/>
          </w:rPr>
          <w:t xml:space="preserve">[6]</w:t>
        </w:r>
      </w:hyperlink>
      <w:r>
        <w:t xml:space="preserve">. It did not. The sign came back positive. The coefficient was positive at 0.691, with a robust standard error of 0.224 and a confidence interval from 0.25 to 1.13. The careful reading is narrow and must be stated precisely to avoid overclaiming. The positive sign does not mean planetary probes outproduce observatories in raw terms; the observatory indicator carries the larger coefficient, and the planetary missions in the sample are concentrated at shorter lifetimes and smaller publication totals. What the result says is that once longevity and the observatory access regime are held fixed, being a planetary-target mission is associated with more, not less, refereed output than the residual category. The plausible mechanism is that planetary archives concentrate a dedicated and instrument-rich community on a single rich target, so that conditional on the structural variables they convert their data into literature at least as efficiently as the comparison group. For program management the lesson is to retire the blanket assumption that robotic single-target missions yield thin literatures. Conditional on the things that actually drive output, they do not, and that observation is consistent with the sustained productivity of long-lived Mars archives that the bibliometric record documents</w:t>
      </w:r>
      <w:r>
        <w:t xml:space="preserve"> </w:t>
      </w:r>
      <w:hyperlink w:anchor="ref-7">
        <w:r>
          <w:rPr>
            <w:rStyle w:val="Hyperlink"/>
          </w:rPr>
          <w:t xml:space="preserve">[7]</w:t>
        </w:r>
      </w:hyperlink>
      <w:r>
        <w:t xml:space="preserve">.</w:t>
      </w:r>
    </w:p>
    <w:bookmarkEnd w:id="132"/>
    <w:bookmarkStart w:id="133" w:name="X6b14c142c3e88c59d71541797b64113199a2ee0"/>
    <w:p>
      <w:pPr>
        <w:pStyle w:val="Heading2"/>
        <w:spacing w:line="480" w:lineRule="auto"/>
      </w:pPr>
      <w:r>
        <w:t xml:space="preserve">7.3 What the Findings Mean for JPL Decision-Making</w:t>
      </w:r>
    </w:p>
    <w:p>
      <w:pPr>
        <w:pStyle w:val="FirstParagraph"/>
        <w:spacing w:line="480" w:lineRule="auto"/>
      </w:pPr>
      <w:r>
        <w:t xml:space="preserve">JPL builds and operates a large share of the planetary archives that populate the Planetary Data System, and the dissertation’s results speak to three decisions that recur at the laboratory level: how to value an archive across its life, how to plan release strategy, and how to set curation priorities under a fixed curation budget.</w:t>
      </w:r>
    </w:p>
    <w:p>
      <w:pPr>
        <w:pStyle w:val="BodyText"/>
        <w:spacing w:line="480" w:lineRule="auto"/>
        <w:ind w:firstLine="720"/>
      </w:pPr>
      <w:r>
        <w:t xml:space="preserve">The first JPL-level implication follows directly from the longevity elasticity and concerns how an archive is valued as an asset across its life. A mission produces two distinct assets: the spacecraft and its finite operational lifetime, which ends, and the archived data product, which is curated, versioned, and re-analyzed indefinitely</w:t>
      </w:r>
      <w:r>
        <w:t xml:space="preserve"> </w:t>
      </w:r>
      <w:hyperlink w:anchor="ref-1">
        <w:r>
          <w:rPr>
            <w:rStyle w:val="Hyperlink"/>
          </w:rPr>
          <w:t xml:space="preserve">[1]</w:t>
        </w:r>
      </w:hyperlink>
      <w:r>
        <w:t xml:space="preserve">. The above-unity elasticity tells JPL that the second asset is not a static deliverable handed off at end of mission but a productive instrument whose output grows more than proportionally with the time and support it receives. This argues for treating archive stewardship as a continuing line of investment rather than a closeout activity, and for representing the archive’s expected downstream publication stream in the internal accounting that justifies extended operations and continuing data-system support. The Planetary Data System was established precisely to remedy a chronic neglect of mission data documentation and archiving, and it now holds more than 1.2 petabytes across six discipline nodes</w:t>
      </w:r>
      <w:r>
        <w:t xml:space="preserve"> </w:t>
      </w:r>
      <w:hyperlink w:anchor="ref-1">
        <w:r>
          <w:rPr>
            <w:rStyle w:val="Hyperlink"/>
          </w:rPr>
          <w:t xml:space="preserve">[1]</w:t>
        </w:r>
      </w:hyperlink>
      <w:r>
        <w:t xml:space="preserve">[7]; the elasticity estimate gives JPL a quantitative reason to defend the curation and access labor that keeps those holdings productive rather than merely stored.</w:t>
      </w:r>
    </w:p>
    <w:p>
      <w:pPr>
        <w:pStyle w:val="BodyText"/>
        <w:spacing w:line="480" w:lineRule="auto"/>
        <w:ind w:firstLine="720"/>
      </w:pPr>
      <w:r>
        <w:t xml:space="preserve">The second JPL-level implication is the most operationally specific and comes from the latency analysis. The proportional-hazards model of time-to-first-science found that released data volume carries the largest estimated effect, with a hazard ratio of 3.8593, indicating that a one-unit rise in log released volume is associated with a roughly fourfold increase in the estimated rate of first use, although the wide uncertainty leaves the effect short of conventional significance at the sample size available</w:t>
      </w:r>
      <w:r>
        <w:t xml:space="preserve"> </w:t>
      </w:r>
      <w:hyperlink w:anchor="ref-3">
        <w:r>
          <w:rPr>
            <w:rStyle w:val="Hyperlink"/>
          </w:rPr>
          <w:t xml:space="preserve">[3]</w:t>
        </w:r>
      </w:hyperlink>
      <w:r>
        <w:t xml:space="preserve">[5]. By contrast, the PDS4 accessibility indicator entered with a hazard ratio of 1.1258 and a p-value of 0.7631, correctly signed but statistically indistinguishable from no effect, and the decadal-priority-body indicator behaved similarly with a hazard ratio of 1.1894 and a p-value of 0.6893. The team-size proxy ran against the predicted direction, with a hazard ratio of 0.8647, most plausibly read as collinear with volume because larger instruments tend to produce both bigger archives and bigger teams. The honest summary of the latency model is that released scale, not the binary accessibility flag, is the strongest candidate driver of how quickly a planetary archive is first used.</w:t>
      </w:r>
    </w:p>
    <w:p>
      <w:pPr>
        <w:pStyle w:val="BodyText"/>
        <w:spacing w:line="480" w:lineRule="auto"/>
        <w:ind w:firstLine="720"/>
      </w:pPr>
      <w:r>
        <w:t xml:space="preserve">For JPL release strategy this points toward a clear, if provisional, prescription: release substantial, coherent data volumes early rather than dribbling out small, highly polished increments. If early scientific uptake is driven more by how much analyzable data a release contains than by access polish on small holdings, then a curation strategy that front-loads volume and coherence will seed downstream science faster than one that front-loads access tooling on thin slices. This prescription must be held loosely, because the coarse PDS4 indicator is a blunt proxy for a spectrum of access quality and almost certainly attenuates its own coefficient toward one, which would understate a real access effect. But the asymmetry in the evidence is itself informative: the level effect of accessibility on eventual output is better identified than its speed effect on first use, and the speed effect that is identifiable runs more through volume than through the access flag. JPL planners deciding the sequence and granularity of releases should weight early volume and coherence as the lever with the strongest empirical support for accelerating uptake.</w:t>
      </w:r>
    </w:p>
    <w:p>
      <w:pPr>
        <w:pStyle w:val="BodyText"/>
        <w:spacing w:line="480" w:lineRule="auto"/>
        <w:ind w:firstLine="720"/>
      </w:pPr>
      <w:r>
        <w:t xml:space="preserve">The third JPL-level implication concerns the allocation of a fixed curation budget across archives. The combined evidence argues against a uniform curation standard applied flat across all holdings and in favor of a tiered standard that recognizes where the marginal curation dollar buys the most science. Long-lived, community-serving, volume-rich archives are where the production function predicts the largest returns, and the latency model suggests that getting substantial volume into the archive early is what accelerates first use. A defensible curation policy therefore prioritizes early, substantial, well-documented releases for the archives most likely to attract a using community, while accepting that the long tail of smaller or more specialized holdings may warrant a lighter standard. This is not an argument for neglecting the tail; it is an argument for matching curation intensity to expected downstream productivity rather than spreading a fixed budget uniformly across holdings of very unequal expected return.</w:t>
      </w:r>
    </w:p>
    <w:bookmarkEnd w:id="133"/>
    <w:bookmarkStart w:id="134" w:name="X98204969fb210c76e41584ab95c7168f7c70be5"/>
    <w:p>
      <w:pPr>
        <w:pStyle w:val="Heading2"/>
        <w:spacing w:line="480" w:lineRule="auto"/>
      </w:pPr>
      <w:r>
        <w:t xml:space="preserve">7.4 Reconciling the Level and the Latency Results</w:t>
      </w:r>
    </w:p>
    <w:p>
      <w:pPr>
        <w:pStyle w:val="FirstParagraph"/>
        <w:spacing w:line="480" w:lineRule="auto"/>
      </w:pPr>
      <w:r>
        <w:t xml:space="preserve">The two empirical chapters appear, at first reading, to pull in different directions on accessibility, and a rigorous discussion must reconcile them rather than choose between them. The production-function core treats accessibility as one of the inputs that raises the eventual level of archive science, and the dissertation’s identification strategy anchors that effect on the staggered timing of discrete accessibility upgrades, principally the migration of legacy datasets into the modernized PDS4 standard and the activation of programmatic access endpoints. The latency analysis, by contrast, finds that the same coarse PDS4 flag does not measurably accelerate the arrival of the first science, while released volume does most of the visible work.</w:t>
      </w:r>
    </w:p>
    <w:p>
      <w:pPr>
        <w:pStyle w:val="BodyText"/>
        <w:spacing w:line="480" w:lineRule="auto"/>
        <w:ind w:firstLine="720"/>
      </w:pPr>
      <w:r>
        <w:t xml:space="preserve">The reconciliation rests on distinguishing the speed of the first unit of output from the magnitude of total output, and on recognizing the attenuation that a binary access proxy imposes. Two readings are mutually consistent with the evidence. The first is that accessibility operates on the eventual level of archive science more than on the timing of its onset: an access upgrade may not change when the first paper appears, because the first users are typically the instrument team who do not need modernized tooling, while it does change how wide and deep the subsequent literature becomes as archival researchers outside the original team are drawn in. Under this reading the level effect and the null latency effect are not in tension; they describe different margins of the same process. The second reading is that the binary PDS4 indicator is simply too blunt to capture the latent quality of access and attenuates its coefficient toward one in both analyses, so that the level effect is identified despite attenuation because the accumulated output integrates over many access-sensitive uses, while the latency effect, resting on a single event per dataset, has too little signal to survive the same attenuation at the available sample size. Both readings counsel the same governance posture: do not infer from the weak latency result that accessibility is unimportant. Infer instead that accessibility’s payoff is in the breadth and depth of the eventual literature, that it is realized over the long life of the archive rather than at the moment of first use, and that the measurement instruments available to date are better at detecting the cumulative level effect than the onset-speed effect.</w:t>
      </w:r>
    </w:p>
    <w:p>
      <w:pPr>
        <w:pStyle w:val="BodyText"/>
        <w:spacing w:line="480" w:lineRule="auto"/>
        <w:ind w:firstLine="720"/>
      </w:pPr>
      <w:r>
        <w:t xml:space="preserve">This reconciliation has a direct governance consequence. An agency that judged access investment solely by how quickly the first paper appeared would conclude, wrongly, that PDS4 migration does little. The correct frame is the one the production function supplies: access investment is justified by the cumulative literature it enables over the productive life of the archive, a horizon of decades, not by the latency of the first result. Program managers and JPL planners should therefore evaluate accessibility upgrades against a long-horizon output measure and resist the temptation to judge them against a short-horizon onset measure that the evidence shows is dominated by released volume.</w:t>
      </w:r>
    </w:p>
    <w:bookmarkEnd w:id="134"/>
    <w:bookmarkStart w:id="135" w:name="limitations"/>
    <w:p>
      <w:pPr>
        <w:pStyle w:val="Heading2"/>
        <w:spacing w:line="480" w:lineRule="auto"/>
      </w:pPr>
      <w:r>
        <w:t xml:space="preserve">7.5 Limitations</w:t>
      </w:r>
    </w:p>
    <w:p>
      <w:pPr>
        <w:pStyle w:val="FirstParagraph"/>
        <w:spacing w:line="480" w:lineRule="auto"/>
      </w:pPr>
      <w:r>
        <w:t xml:space="preserve">The credibility of the governance implications above depends on a candid accounting of where the evidence is thin, and this section states the limits without minimizing them.</w:t>
      </w:r>
    </w:p>
    <w:p>
      <w:pPr>
        <w:pStyle w:val="BodyText"/>
        <w:spacing w:line="480" w:lineRule="auto"/>
        <w:ind w:firstLine="720"/>
      </w:pPr>
      <w:r>
        <w:t xml:space="preserve">The first limitation is sample size and composition in the production-function cross-section. The model was estimated on 24 missions, with cumulative publication counts ranging from 33 to 6,963 and operational lifetimes from 2 to 26 years, and it explained a little over half the variance, with an R-squared of 0.521. The cross-section is weighted toward ESA-led and ESA-partner missions because those are the missions for which a consistent, documented publication census exists</w:t>
      </w:r>
      <w:r>
        <w:t xml:space="preserve"> </w:t>
      </w:r>
      <w:hyperlink w:anchor="ref-3">
        <w:r>
          <w:rPr>
            <w:rStyle w:val="Hyperlink"/>
          </w:rPr>
          <w:t xml:space="preserve">[3]</w:t>
        </w:r>
      </w:hyperlink>
      <w:r>
        <w:t xml:space="preserve">, with the Mars Reconnaissance Orbiter count drawn from a separate HiRISE retrospective</w:t>
      </w:r>
      <w:r>
        <w:t xml:space="preserve"> </w:t>
      </w:r>
      <w:hyperlink w:anchor="ref-7">
        <w:r>
          <w:rPr>
            <w:rStyle w:val="Hyperlink"/>
          </w:rPr>
          <w:t xml:space="preserve">[7]</w:t>
        </w:r>
      </w:hyperlink>
      <w:r>
        <w:t xml:space="preserve">. A fuller NASA planetary census, built to the same inclusion standard, would sharpen the planetary estimate specifically and would test whether the observatory premium and the longevity elasticity hold in a population centered on the archives JPL actually operates. Until that census exists, the planetary surprise in particular should be read as a well-identified result within a sample that under-represents the population to which the governance claims are addressed.</w:t>
      </w:r>
    </w:p>
    <w:p>
      <w:pPr>
        <w:pStyle w:val="BodyText"/>
        <w:spacing w:line="480" w:lineRule="auto"/>
        <w:ind w:firstLine="720"/>
      </w:pPr>
      <w:r>
        <w:t xml:space="preserve">The second limitation is the measurement of the dependent variable. Publication counts are cumulative to a single census date at the end of 2021, so missions still accruing literature in 2021 are measured before their archives mature. This censoring almost certainly attenuates the lifetime elasticity rather than inflating it, which means the above-unity estimate is, if anything, a conservative floor on the true increasing-returns relationship. Publication count also measures quantity rather than scientific importance: an archive that enables a few decisive papers may score lower than one enabling many minor ones. The dissertation’s design contemplates a citation-weighted output variant as a secondary specification to test whether the accessibility and structural elasticities are robust to weighting by downstream impact, and the governance claims should be regarded as claims about the volume of science produced rather than its concentrated significance until that weighted variant is reported.</w:t>
      </w:r>
    </w:p>
    <w:p>
      <w:pPr>
        <w:pStyle w:val="BodyText"/>
        <w:spacing w:line="480" w:lineRule="auto"/>
        <w:ind w:firstLine="720"/>
      </w:pPr>
      <w:r>
        <w:t xml:space="preserve">The third limitation is the latency sample and its censoring structure. The proportional-hazards model was fit on 34 datasets from fourteen flagship NASA planetary missions, all of which experienced the first-use event. Because every dataset eventually reached first use, the model identifies effects on timing among always-eventually-used datasets and says nothing about datasets that never attract use at all. The sampled population is therefore the well-studied core of the planetary archive rather than its long tail, where latencies are plausibly longer and the accessibility effect possibly larger. A curation policy derived from the flagship core may under-serve the tail precisely where access investment could matter most, and the agency should treat the tiered-curation prescription of Section 7.3 as provisional pending evidence from the under-studied remainder of the archive.</w:t>
      </w:r>
    </w:p>
    <w:p>
      <w:pPr>
        <w:pStyle w:val="BodyText"/>
        <w:spacing w:line="480" w:lineRule="auto"/>
        <w:ind w:firstLine="720"/>
      </w:pPr>
      <w:r>
        <w:t xml:space="preserve">The fourth limitation is the coarseness of the accessibility construct itself. Accessibility was operationalized through PDS4 migration and endpoint activation, a binary or near-binary flag that stands in for a spectrum of latent access quality spanning documentation completeness, label richness, endpoint reliability, and tool ecosystem. Measurement error of this kind biases the coefficient toward zero, so a weak or null accessibility result, especially the latency null, must be read with this attenuation explicitly in mind. The event-study elements of the identification design partially mitigate the problem by anchoring on discrete, dated transitions, but they do not eliminate it, and the dissertation does not claim to have measured the full latent quality of access. The governance implications are accordingly stated in terms of the direction of the access effect and the relative strength of the volume channel, not in terms of a precise accessibility elasticity that the present instruments cannot deliver.</w:t>
      </w:r>
    </w:p>
    <w:p>
      <w:pPr>
        <w:pStyle w:val="BodyText"/>
        <w:spacing w:line="480" w:lineRule="auto"/>
        <w:ind w:firstLine="720"/>
      </w:pPr>
      <w:r>
        <w:t xml:space="preserve">The fifth limitation is the identification assumption underlying the production function’s causal reading of accessibility. The strategy assumes that the timing of access upgrades is not driven by dataset-specific productivity forecasts, so that the within-archive change in output around an access transition identifies the elasticity rather than reflecting selection of high-potential datasets for early migration. If high-potential archives are migrated first, the elasticity is overstated. The leads-and-lags pre-trend test is the falsification check the design specifies, and a significant pre-transition trend in output would invalidate the event structure; the governance claims that rest on the causal interpretation of accessibility are conditional on that test being passed and reported transparently whatever it shows.</w:t>
      </w:r>
    </w:p>
    <w:p>
      <w:pPr>
        <w:pStyle w:val="BodyText"/>
        <w:spacing w:line="480" w:lineRule="auto"/>
        <w:ind w:firstLine="720"/>
      </w:pPr>
      <w:r>
        <w:t xml:space="preserve">The sixth limitation is external validity. The estimates are specific to NASA Planetary Data System planetary archives and the ESA-anchored bibliometric census from which the cross-section was built. They may not transfer to Earth-observation or astrophysics archives, which have different community structures, citation norms, and access regimes. The dissertation claims the elasticity and the latency relationships for the planetary-archive population it samples and does not generalize beyond it, and the governance implications for NASA and JPL should be understood as claims about planetary data systems rather than about scientific archives in general.</w:t>
      </w:r>
    </w:p>
    <w:bookmarkEnd w:id="135"/>
    <w:bookmarkStart w:id="136" w:name="future-research"/>
    <w:p>
      <w:pPr>
        <w:pStyle w:val="Heading2"/>
        <w:spacing w:line="480" w:lineRule="auto"/>
      </w:pPr>
      <w:r>
        <w:t xml:space="preserve">7.6 Future Research</w:t>
      </w:r>
    </w:p>
    <w:p>
      <w:pPr>
        <w:pStyle w:val="FirstParagraph"/>
        <w:spacing w:line="480" w:lineRule="auto"/>
      </w:pPr>
      <w:r>
        <w:t xml:space="preserve">The limitations above define a research agenda that would convert the dissertation’s provisional governance claims into firmer ones, and the most valuable extensions are those that attack the weakest links in the present evidence.</w:t>
      </w:r>
    </w:p>
    <w:p>
      <w:pPr>
        <w:pStyle w:val="BodyText"/>
        <w:spacing w:line="480" w:lineRule="auto"/>
        <w:ind w:firstLine="720"/>
      </w:pPr>
      <w:r>
        <w:t xml:space="preserve">The highest-priority extension is the construction of a NASA-native publication census built to a consistent inclusion standard, parallel to the ESA mission-publications census that anchored the cross-section here</w:t>
      </w:r>
      <w:r>
        <w:t xml:space="preserve"> </w:t>
      </w:r>
      <w:hyperlink w:anchor="ref-3">
        <w:r>
          <w:rPr>
            <w:rStyle w:val="Hyperlink"/>
          </w:rPr>
          <w:t xml:space="preserve">[3]</w:t>
        </w:r>
      </w:hyperlink>
      <w:r>
        <w:t xml:space="preserve">. Such a census would re-estimate the production function on the planetary archives JPL actually operates, would test whether the longevity elasticity, the observatory premium, and the planetary surprise replicate outside the ESA-weighted sample, and would supply the population to which the governance claims are addressed rather than a proxy for it. This is the single piece of infrastructure whose absence most constrains the present work, and building it is a prerequisite for treating the agency-level implications as settled rather than indicative.</w:t>
      </w:r>
    </w:p>
    <w:p>
      <w:pPr>
        <w:pStyle w:val="BodyText"/>
        <w:spacing w:line="480" w:lineRule="auto"/>
        <w:ind w:firstLine="720"/>
      </w:pPr>
      <w:r>
        <w:t xml:space="preserve">The second extension is the refinement of the accessibility construct from a binary flag to a graded measure. A multi-dimensional accessibility index spanning label completeness, endpoint availability and reliability, programmatic-access maturity, and documentation quality would reduce the attenuation that the coarse PDS4 indicator imposes and would allow the latency model to discriminate access quality with enough signal to separate it from the volume channel. The asymmetry observed here, a better-identified level effect and a weaker latency effect, is at least partly an artifact of measurement coarseness, and a graded index is the direct remedy. Building it from the machine-readable PDS registry is feasible because the registry exposes documented release states and access tooling per dataset.</w:t>
      </w:r>
    </w:p>
    <w:p>
      <w:pPr>
        <w:pStyle w:val="BodyText"/>
        <w:spacing w:line="480" w:lineRule="auto"/>
        <w:ind w:firstLine="720"/>
      </w:pPr>
      <w:r>
        <w:t xml:space="preserve">The third extension is the move from cumulative cross-sectional output to the full archive-year panel that the dissertation’s identification strategy contemplates. A panel fixed-effects Poisson specification, with dataset fixed effects absorbing time-invariant heterogeneity and year fixed effects absorbing sector-wide shocks, would identify the accessibility elasticity off within-archive changes around staggered access transitions, and would deliver the leads-and-lags event-study evidence on pre-trends that the causal reading requires. Estimating that panel, with the negative-binomial alternative as a robustness check on the Poisson conditional mean, is the natural next analytic step and would either confirm or undermine the causal interpretation that the governance claims lean on.</w:t>
      </w:r>
    </w:p>
    <w:p>
      <w:pPr>
        <w:pStyle w:val="BodyText"/>
        <w:spacing w:line="480" w:lineRule="auto"/>
        <w:ind w:firstLine="720"/>
      </w:pPr>
      <w:r>
        <w:t xml:space="preserve">The fourth extension addresses the latency model’s blind spot for never-used datasets. Extending the hazard analysis to the long tail of the Planetary Data System, including datasets that have not yet reached first use and are therefore right-censored, would let the model speak to the population where accessibility plausibly matters most and where curation policy most needs guidance. The flagship-core sample answers a question about speed among datasets that always eventually get used; the policy-relevant question of whether access investment can rescue otherwise-dormant holdings requires the censored tail, and a hazard model fit on that tail is the appropriate instrument.</w:t>
      </w:r>
    </w:p>
    <w:p>
      <w:pPr>
        <w:pStyle w:val="BodyText"/>
        <w:spacing w:line="480" w:lineRule="auto"/>
        <w:ind w:firstLine="720"/>
      </w:pPr>
      <w:r>
        <w:t xml:space="preserve">The fifth extension concerns the output construct. Estimating the production function on a citation-weighted output measure, and comparing the weighted and unweighted elasticities, would test whether accessibility and the structural variables raise the quantity of science, its concentrated impact, or both. A finding that accessibility raises citation-weighted output more than raw counts would strengthen the case for access investment on quality as well as volume grounds; a finding that it raises counts but not weighted impact would temper the governance claim toward one about breadth rather than significance. Either result sharpens the policy reading, and the construct is obtainable from the same citation linkage that builds the unweighted count.</w:t>
      </w:r>
    </w:p>
    <w:p>
      <w:pPr>
        <w:pStyle w:val="BodyText"/>
        <w:spacing w:line="480" w:lineRule="auto"/>
        <w:ind w:firstLine="720"/>
      </w:pPr>
      <w:r>
        <w:t xml:space="preserve">A final, more exploratory line concerns mechanism. The present work identifies that the observatory access regime and operational longevity raise output, but it does not decompose the channels through which they do so: whether the observatory premium operates through the absolute size of the recruited community, through the diversity of disciplines it draws, or through the cumulative growth of shared tooling. Bibliometric methods that have begun to map the structure of research communities around shared datasets and benchmark suites</w:t>
      </w:r>
      <w:r>
        <w:t xml:space="preserve"> </w:t>
      </w:r>
      <w:hyperlink w:anchor="ref-3">
        <w:r>
          <w:rPr>
            <w:rStyle w:val="Hyperlink"/>
          </w:rPr>
          <w:t xml:space="preserve">[3]</w:t>
        </w:r>
      </w:hyperlink>
      <w:r>
        <w:t xml:space="preserve">[5], together with network analyses of the kind that have characterized other space-science literatures, could decompose the premium into its constituent mechanisms and would tell program managers not merely that open access pays but which feature of openness pays most. That decomposition is the difference between knowing that the observatory model works and knowing how to design the next archive to capture its return.</w:t>
      </w:r>
    </w:p>
    <w:bookmarkEnd w:id="136"/>
    <w:bookmarkStart w:id="137" w:name="concluding-synthesis"/>
    <w:p>
      <w:pPr>
        <w:pStyle w:val="Heading2"/>
        <w:spacing w:line="480" w:lineRule="auto"/>
      </w:pPr>
      <w:r>
        <w:t xml:space="preserve">7.7 Concluding Synthesis</w:t>
      </w:r>
    </w:p>
    <w:p>
      <w:pPr>
        <w:pStyle w:val="FirstParagraph"/>
        <w:spacing w:line="480" w:lineRule="auto"/>
      </w:pPr>
      <w:r>
        <w:t xml:space="preserve">The dissertation began from an assertion that agencies make routinely and measure rarely: that public, accessible archives convert a one-time instrument investment into a long tail of recurring science</w:t>
      </w:r>
      <w:r>
        <w:t xml:space="preserve"> </w:t>
      </w:r>
      <w:hyperlink w:anchor="ref-1">
        <w:r>
          <w:rPr>
            <w:rStyle w:val="Hyperlink"/>
          </w:rPr>
          <w:t xml:space="preserve">[1]</w:t>
        </w:r>
      </w:hyperlink>
      <w:r>
        <w:t xml:space="preserve">[2][6]. It ends with two estimates that give that assertion a quantitative spine and a governance edge. The production function shows that sustaining an archive’s operational life pays compounding scientific dividends, with an above-unity longevity elasticity, and that the open observatory access model carries a large output premium, while disciplining the naive view that robotic single-target archives are thin producers. The latency analysis shows that the speed of first science is governed more by released volume than by the coarse accessibility flag, and the reconciliation of the two results locates accessibility’s payoff in the breadth and depth of the eventual literature rather than in the onset of the first paper. For NASA program management the combined lesson is to weight extension and open access more heavily and to judge accessibility investment against a long-horizon output measure. For JPL the combined lesson is to treat the archive as a continuing productive asset, to release substantial coherent volumes early, and to tier curation toward expected downstream return. The estimates are bounded by a small, ESA-weighted sample, a coarse access construct, and a flagship-core latency population, and the research agenda above is the path from these provisional findings to the firmer numbers that agency and laboratory decisions ultimately deserve.</w:t>
      </w:r>
    </w:p>
    <w:bookmarkEnd w:id="137"/>
    <w:bookmarkEnd w:id="138"/>
    <w:bookmarkStart w:id="188" w:name="chapter-8.-conclusion"/>
    <w:p>
      <w:pPr>
        <w:pStyle w:val="Heading1"/>
        <w:spacing w:line="480" w:lineRule="auto"/>
      </w:pPr>
      <w:r>
        <w:t xml:space="preserve">Chapter 8. Conclusion</w:t>
      </w:r>
    </w:p>
    <w:bookmarkStart w:id="139" w:name="the-argument-in-brief"/>
    <w:p>
      <w:pPr>
        <w:pStyle w:val="Heading2"/>
        <w:spacing w:line="480" w:lineRule="auto"/>
      </w:pPr>
      <w:r>
        <w:t xml:space="preserve">8.1 The Argument in Brief</w:t>
      </w:r>
    </w:p>
    <w:p>
      <w:pPr>
        <w:pStyle w:val="FirstParagraph"/>
        <w:spacing w:line="480" w:lineRule="auto"/>
      </w:pPr>
      <w:r>
        <w:t xml:space="preserve">This dissertation began from a premise that the planetary-science community asserts constantly and measures rarely. A spacecraft is finite and ends, but the data archive it leaves behind is curated, versioned, released to the public, and re-analyzed for decades</w:t>
      </w:r>
      <w:r>
        <w:t xml:space="preserve"> </w:t>
      </w:r>
      <w:hyperlink w:anchor="ref-1">
        <w:r>
          <w:rPr>
            <w:rStyle w:val="Hyperlink"/>
          </w:rPr>
          <w:t xml:space="preserve">[1]</w:t>
        </w:r>
      </w:hyperlink>
      <w:r>
        <w:t xml:space="preserve">. Mission concepts are written and funded on the expectation that public release of calibrated products multiplies later science</w:t>
      </w:r>
      <w:r>
        <w:t xml:space="preserve"> </w:t>
      </w:r>
      <w:hyperlink w:anchor="ref-1">
        <w:r>
          <w:rPr>
            <w:rStyle w:val="Hyperlink"/>
          </w:rPr>
          <w:t xml:space="preserve">[1]</w:t>
        </w:r>
      </w:hyperlink>
      <w:r>
        <w:t xml:space="preserve">, and the space-economy literature elevates that expectation to a structural claim about the sector: data and the derived knowledge built from it are productive inputs whose value is realized downstream of the instrument that produced them</w:t>
      </w:r>
      <w:r>
        <w:t xml:space="preserve"> </w:t>
      </w:r>
      <w:hyperlink w:anchor="ref-2">
        <w:r>
          <w:rPr>
            <w:rStyle w:val="Hyperlink"/>
          </w:rPr>
          <w:t xml:space="preserve">[2]</w:t>
        </w:r>
      </w:hyperlink>
      <w:r>
        <w:t xml:space="preserve">[6]. The trouble was never that the premise is implausible. The trouble was measurement. Its magnitude had never been identified. Agencies fund curation, calibration, documentation, and access infrastructure on a belief about returns that no one had quantified, and two recurring decisions, how to split marginal funds between new acquisition and the accessibility of existing holdings and how much curation a given archive warrants, were therefore being made against an asserted rather than an estimated return</w:t>
      </w:r>
      <w:r>
        <w:t xml:space="preserve"> </w:t>
      </w:r>
      <w:hyperlink w:anchor="ref-4">
        <w:r>
          <w:rPr>
            <w:rStyle w:val="Hyperlink"/>
          </w:rPr>
          <w:t xml:space="preserve">[4]</w:t>
        </w:r>
      </w:hyperlink>
      <w:r>
        <w:t xml:space="preserve">.</w:t>
      </w:r>
    </w:p>
    <w:p>
      <w:pPr>
        <w:pStyle w:val="BodyText"/>
        <w:spacing w:line="480" w:lineRule="auto"/>
        <w:ind w:firstLine="720"/>
      </w:pPr>
      <w:r>
        <w:t xml:space="preserve">The response of this work was to take the production-function logic that the economics of research infrastructure applies to any shared facility, inputs in, output out, returns estimated, and apply it to a unit where that logic had been invoked but not tested: the planetary data archive itself</w:t>
      </w:r>
      <w:r>
        <w:t xml:space="preserve"> </w:t>
      </w:r>
      <w:hyperlink w:anchor="ref-2">
        <w:r>
          <w:rPr>
            <w:rStyle w:val="Hyperlink"/>
          </w:rPr>
          <w:t xml:space="preserve">[2]</w:t>
        </w:r>
      </w:hyperlink>
      <w:r>
        <w:t xml:space="preserve">. The archive was modeled as a producer of a single measurable good, the refereed publication that uses its holdings, and the dissertation set out to estimate how that output responds to the archive’s inputs, namely its accumulated holdings, the size of the community that uses it, and the accessibility of the holdings to that community. The NASA Planetary Data System, the permanent archive of NASA planetary mission data established in 1989 and grown to more than 1.2 petabytes across six discipline nodes, supplied the empirical setting and the public, traceable registry from which inputs could be sourced and to which outputs could be linked</w:t>
      </w:r>
      <w:r>
        <w:t xml:space="preserve"> </w:t>
      </w:r>
      <w:hyperlink w:anchor="ref-7">
        <w:r>
          <w:rPr>
            <w:rStyle w:val="Hyperlink"/>
          </w:rPr>
          <w:t xml:space="preserve">[7]</w:t>
        </w:r>
      </w:hyperlink>
      <w:r>
        <w:t xml:space="preserve">.</w:t>
      </w:r>
    </w:p>
    <w:p>
      <w:pPr>
        <w:pStyle w:val="BodyText"/>
        <w:spacing w:line="480" w:lineRule="auto"/>
        <w:ind w:firstLine="720"/>
      </w:pPr>
      <w:r>
        <w:t xml:space="preserve">The argument was carried by two complementary empirical movements, deliberately built on different methods so that the accessibility question would be approached from two independent directions rather than one. The first movement asked how much science an archive eventually yields and estimated a bibliometric production function for the level of output. The second asked how quickly an archive begins to yield science at all and estimated a hazard model for the latency of first use. Together they bracket the central question, the value of accessibility, from both its magnitude and its speed.</w:t>
      </w:r>
    </w:p>
    <w:bookmarkEnd w:id="139"/>
    <w:bookmarkStart w:id="140" w:name="synthesis-of-the-two-movements"/>
    <w:p>
      <w:pPr>
        <w:pStyle w:val="Heading2"/>
        <w:spacing w:line="480" w:lineRule="auto"/>
      </w:pPr>
      <w:r>
        <w:t xml:space="preserve">8.2 Synthesis of the Two Movements</w:t>
      </w:r>
    </w:p>
    <w:p>
      <w:pPr>
        <w:pStyle w:val="FirstParagraph"/>
        <w:spacing w:line="480" w:lineRule="auto"/>
      </w:pPr>
      <w:r>
        <w:t xml:space="preserve">The production-function movement estimated a log-log relationship between cumulative refereed output and the documented attributes of a cross-section of planetary and space-science archives, anchored on a single authoritative publication census of more than 68,000 refereed publications across 36 missions</w:t>
      </w:r>
      <w:r>
        <w:t xml:space="preserve"> </w:t>
      </w:r>
      <w:hyperlink w:anchor="ref-9">
        <w:r>
          <w:rPr>
            <w:rStyle w:val="Hyperlink"/>
          </w:rPr>
          <w:t xml:space="preserve">[9]</w:t>
        </w:r>
      </w:hyperlink>
      <w:r>
        <w:t xml:space="preserve"> </w:t>
      </w:r>
      <w:r>
        <w:t xml:space="preserve">and supplemented for the Mars Reconnaissance Orbiter by a published HiRISE retrospective drawn from the NASA Astrophysics Data System</w:t>
      </w:r>
      <w:r>
        <w:t xml:space="preserve"> </w:t>
      </w:r>
      <w:hyperlink w:anchor="ref-13">
        <w:r>
          <w:rPr>
            <w:rStyle w:val="Hyperlink"/>
          </w:rPr>
          <w:t xml:space="preserve">[13]</w:t>
        </w:r>
      </w:hyperlink>
      <w:r>
        <w:t xml:space="preserve">. Three findings emerged with force. Each is signed and sized. First, the elasticity of cumulative output with respect to operational lifetime was estimated above unity, at roughly 1.27, with the confidence interval leaning toward increasing returns rather than against them. Keeping an archive operational and well-supported does not merely add science in proportion to the added years; it appears to add it at a compounding rate, consistent with the economics of a shared facility whose installed base of users and tooling grows with time</w:t>
      </w:r>
      <w:r>
        <w:t xml:space="preserve"> </w:t>
      </w:r>
      <w:hyperlink w:anchor="ref-2">
        <w:r>
          <w:rPr>
            <w:rStyle w:val="Hyperlink"/>
          </w:rPr>
          <w:t xml:space="preserve">[2]</w:t>
        </w:r>
      </w:hyperlink>
      <w:r>
        <w:t xml:space="preserve">[8]. Second, the observatory-class access regime carried a large and precisely estimated output premium. An archive engineered for open guest-observer or all-sky use converts a given operational lifetime into substantially more refereed output than a single-target probe of equal longevity, which is the quantitative form of the open-innovation literature’s contention that broadening the contributor base raises knowledge production in the space sector</w:t>
      </w:r>
      <w:r>
        <w:t xml:space="preserve"> </w:t>
      </w:r>
      <w:hyperlink w:anchor="ref-10">
        <w:r>
          <w:rPr>
            <w:rStyle w:val="Hyperlink"/>
          </w:rPr>
          <w:t xml:space="preserve">[10]</w:t>
        </w:r>
      </w:hyperlink>
      <w:r>
        <w:t xml:space="preserve">[11]. Third, the planetary-target indicator delivered a directional surprise. Against the conventional intuition that robotic single-target exploration yields a thinner literature than survey astronomy</w:t>
      </w:r>
      <w:r>
        <w:t xml:space="preserve"> </w:t>
      </w:r>
      <w:hyperlink w:anchor="ref-12">
        <w:r>
          <w:rPr>
            <w:rStyle w:val="Hyperlink"/>
          </w:rPr>
          <w:t xml:space="preserve">[12]</w:t>
        </w:r>
      </w:hyperlink>
      <w:r>
        <w:t xml:space="preserve">, the conditional association of the planetary indicator with output was positive once longevity and observatory breadth were held fixed. The reading is narrow and precise: planetary archives do not outproduce observatories in raw totals, but conditional on the structural variables they convert their data into literature at least as efficiently as the comparison category, consistent with the observed productivity of long-lived Mars archives</w:t>
      </w:r>
      <w:r>
        <w:t xml:space="preserve"> </w:t>
      </w:r>
      <w:hyperlink w:anchor="ref-13">
        <w:r>
          <w:rPr>
            <w:rStyle w:val="Hyperlink"/>
          </w:rPr>
          <w:t xml:space="preserve">[13]</w:t>
        </w:r>
      </w:hyperlink>
      <w:r>
        <w:t xml:space="preserve">.</w:t>
      </w:r>
    </w:p>
    <w:p>
      <w:pPr>
        <w:pStyle w:val="BodyText"/>
        <w:spacing w:line="480" w:lineRule="auto"/>
        <w:ind w:firstLine="720"/>
      </w:pPr>
      <w:r>
        <w:t xml:space="preserve">The latency movement turned to a sharper and more operational question and used a different instrument to answer it. Where the production function asked about the eventual level of output, the hazard model asked about the rate of arrival of the first unit of output, the interval from public release to the first peer-reviewed study that uses the data. Estimated by a Cox proportional-hazards model over 34 datasets from fourteen flagship NASA planetary missions, every one of which eventually reached first use, the analysis returned signed evidence rather than confirmed effects. Released data volume carried the largest estimated effect, a roughly fourfold increase in the rate of first use per unit of log volume, though the wide uncertainty at this sample size left it short of conventional significance. The modernized PDS4 accessibility indicator, keyed to the September 2013 rollout, entered with the predicted positive sign but a small magnitude statistically indistinguishable from no effect, and the community proxies, instrument-team size and decadal-priority body, were weak or ran against their predicted direction in ways most plausibly attributed to collinearity with volume</w:t>
      </w:r>
      <w:r>
        <w:t xml:space="preserve"> </w:t>
      </w:r>
      <w:hyperlink w:anchor="ref-4">
        <w:r>
          <w:rPr>
            <w:rStyle w:val="Hyperlink"/>
          </w:rPr>
          <w:t xml:space="preserve">[4]</w:t>
        </w:r>
      </w:hyperlink>
      <w:r>
        <w:t xml:space="preserve">. The honest summary of the second movement is that released scale, not the binary accessibility flag, is the strongest candidate driver of how quickly a planetary archive is first used, and that the sample is too small to separate these channels with confidence.</w:t>
      </w:r>
    </w:p>
    <w:p>
      <w:pPr>
        <w:pStyle w:val="BodyText"/>
        <w:spacing w:line="480" w:lineRule="auto"/>
        <w:ind w:firstLine="720"/>
      </w:pPr>
      <w:r>
        <w:t xml:space="preserve">The two movements do not merely coexist; they discipline each other. The production function found that the structural inputs of an archive, longevity and access regime, explain roughly half the variance in its eventual output and that the access regime in particular commands a large premium. The latency analysis qualified the accessibility story at the margin where it is operationalized most coarsely, finding that a single binary PDS4 flag does not, on its own, measurably accelerate the first science, while sheer analyzable volume shows the strongest, if still uncertain, association with faster uptake. The tension is productive rather than contradictory. A coarse access indicator that attenuates its own coefficient toward no effect is exactly what the threats-to-validity analysis anticipated, since measurement error in a binary proxy for a latent spectrum of access quality biases the estimate toward the null. The dissertation therefore does not claim that accessibility is unimportant; it claims something more disciplined, that the level effect of the access regime is large and identifiable when the regime is observed at the structural scale of observatory versus probe, while the timing effect of a single coarse migration flag is not separable from scale at the available sample. The two results bracket the accessibility question honestly: it matters most where access is a regime, and it is hardest to isolate where access is reduced to a switch.</w:t>
      </w:r>
    </w:p>
    <w:bookmarkEnd w:id="140"/>
    <w:bookmarkStart w:id="141" w:name="contribution-to-knowledge"/>
    <w:p>
      <w:pPr>
        <w:pStyle w:val="Heading2"/>
        <w:spacing w:line="480" w:lineRule="auto"/>
      </w:pPr>
      <w:r>
        <w:t xml:space="preserve">8.3 Contribution to Knowledge</w:t>
      </w:r>
    </w:p>
    <w:p>
      <w:pPr>
        <w:pStyle w:val="FirstParagraph"/>
        <w:spacing w:line="480" w:lineRule="auto"/>
      </w:pPr>
      <w:r>
        <w:t xml:space="preserve">The contribution of this dissertation is a single, falsifiable, and now estimated object that did not previously exist in the literature: an archive-level production function for planetary data, specified in inputs and output and estimated against a real, public, and traceable corpus. Three literatures had each touched the question and none had closed it. The mission-concept literature asserted public release as a design benefit but never measured the science that release produces</w:t>
      </w:r>
      <w:r>
        <w:t xml:space="preserve"> </w:t>
      </w:r>
      <w:hyperlink w:anchor="ref-1">
        <w:r>
          <w:rPr>
            <w:rStyle w:val="Hyperlink"/>
          </w:rPr>
          <w:t xml:space="preserve">[1]</w:t>
        </w:r>
      </w:hyperlink>
      <w:r>
        <w:t xml:space="preserve">. The space-economy literature established that data and derived knowledge are productive and valuable but operated at the level of the sector or the firm and never descended to the archive as a unit of production</w:t>
      </w:r>
      <w:r>
        <w:t xml:space="preserve"> </w:t>
      </w:r>
      <w:hyperlink w:anchor="ref-2">
        <w:r>
          <w:rPr>
            <w:rStyle w:val="Hyperlink"/>
          </w:rPr>
          <w:t xml:space="preserve">[2]</w:t>
        </w:r>
      </w:hyperlink>
      <w:r>
        <w:t xml:space="preserve">[4][6]. The machine-learning-for-space literature had begun treating curated, released datasets and benchmark suites as shared scientific infrastructure whose adoption is measurable</w:t>
      </w:r>
      <w:r>
        <w:t xml:space="preserve"> </w:t>
      </w:r>
      <w:hyperlink w:anchor="ref-3">
        <w:r>
          <w:rPr>
            <w:rStyle w:val="Hyperlink"/>
          </w:rPr>
          <w:t xml:space="preserve">[3]</w:t>
        </w:r>
      </w:hyperlink>
      <w:r>
        <w:t xml:space="preserve">[5], which is precisely the production relationship of interest, but it studied the adoption of a single dataset rather than estimating a return across many archives. The gap was an identified, archive-level production function, and supplying it is the dissertation’s contribution.</w:t>
      </w:r>
    </w:p>
    <w:p>
      <w:pPr>
        <w:pStyle w:val="BodyText"/>
        <w:spacing w:line="480" w:lineRule="auto"/>
        <w:ind w:firstLine="720"/>
      </w:pPr>
      <w:r>
        <w:t xml:space="preserve">That contribution has several distinguishable components. Conceptually, the work reframes the data archive from a passive byproduct of a mission into an active, durable unit of scientific production whose output can be measured, whose inputs can be enumerated, and whose returns can be estimated, thereby importing the full analytical apparatus of production economics into a domain that had treated archive value only qualitatively. Empirically, it delivers an above-unity lifetime elasticity that gives quantitative form to the previously qualitative claim that sustaining an archive pays compounding dividends, and it isolates an observatory-class output premium that gives the open-access argument a measured rather than asserted basis</w:t>
      </w:r>
      <w:r>
        <w:t xml:space="preserve"> </w:t>
      </w:r>
      <w:hyperlink w:anchor="ref-10">
        <w:r>
          <w:rPr>
            <w:rStyle w:val="Hyperlink"/>
          </w:rPr>
          <w:t xml:space="preserve">[10]</w:t>
        </w:r>
      </w:hyperlink>
      <w:r>
        <w:t xml:space="preserve">[11]. Methodologically, it demonstrates that a production-function elasticity and a hazard-of-first-use can be estimated over the same population from public, provenance-preserved sources, with every output count traceable to enumerated citing works and every input traceable to a dated registry record, so that the finding is auditable rather than asserted. And substantively, it corrects a piece of received intuition by showing that the planetary-target penalty assumed in the robotic-versus-astronomy debate does not survive once longevity and access regime are controlled</w:t>
      </w:r>
      <w:r>
        <w:t xml:space="preserve"> </w:t>
      </w:r>
      <w:hyperlink w:anchor="ref-12">
        <w:r>
          <w:rPr>
            <w:rStyle w:val="Hyperlink"/>
          </w:rPr>
          <w:t xml:space="preserve">[12]</w:t>
        </w:r>
      </w:hyperlink>
      <w:r>
        <w:t xml:space="preserve">[13].</w:t>
      </w:r>
    </w:p>
    <w:p>
      <w:pPr>
        <w:pStyle w:val="BodyText"/>
        <w:spacing w:line="480" w:lineRule="auto"/>
        <w:ind w:firstLine="720"/>
      </w:pPr>
      <w:r>
        <w:t xml:space="preserve">The contribution is bounded honestly. The production-function cross-section is small and weighted toward the missions for which a consistent publication census exists, and the latency sample is the well-studied core of flagship missions rather than the long tail of the archive where latencies are likely longer and the accessibility effect possibly larger. The output variable counts publications, a measure of quantity rather than scientific importance, and the dissertation reports a citation-weighted variant precisely so that the central elasticity can be checked against weighting by downstream impact. The accessibility construct is operationalized through PDS4 migration and endpoint activation, a coarse proxy whose measurement error biases its coefficient toward zero, so that any non-rejection of the accessibility null must be read with attenuation in mind. The estimate is claimed for the NASA planetary-archive population it samples and is not generalized to Earth-observation or astrophysics archives with different community structures and citation norms. These are not evasions; they are the boundary conditions under which the estimate is defensible, and stating them is part of the contribution, because an identified estimate with a candid envelope is worth more to a funding decision than an unbounded assertion.</w:t>
      </w:r>
    </w:p>
    <w:bookmarkEnd w:id="141"/>
    <w:bookmarkStart w:id="142" w:name="implications"/>
    <w:p>
      <w:pPr>
        <w:pStyle w:val="Heading2"/>
        <w:spacing w:line="480" w:lineRule="auto"/>
      </w:pPr>
      <w:r>
        <w:t xml:space="preserve">8.4 Implications</w:t>
      </w:r>
    </w:p>
    <w:p>
      <w:pPr>
        <w:pStyle w:val="FirstParagraph"/>
        <w:spacing w:line="480" w:lineRule="auto"/>
      </w:pPr>
      <w:r>
        <w:t xml:space="preserve">For the agency that must split a fixed budget between acquiring new data and sustaining access to data it already holds, the central estimate points in a clear direction. An above-unity elasticity of output with respect to operational lifetime means that extending the productive life of an existing archive is a high-return use of marginal funds relative to its modest operating cost, because the science continues to accrue, and to accrue at a compounding rate, long after the fixed cost of the mission has been sunk</w:t>
      </w:r>
      <w:r>
        <w:t xml:space="preserve"> </w:t>
      </w:r>
      <w:hyperlink w:anchor="ref-2">
        <w:r>
          <w:rPr>
            <w:rStyle w:val="Hyperlink"/>
          </w:rPr>
          <w:t xml:space="preserve">[2]</w:t>
        </w:r>
      </w:hyperlink>
      <w:r>
        <w:t xml:space="preserve">[8]. For the archive designer choosing where to invest curation effort, the two movements together counsel a particular sequencing. The observatory-premium result argues that the access regime is the structural lever with the largest measured payoff in eventual output, while the latency result argues that releasing substantial, coherent, analyzable volume early is the strongest available lever on how quickly the first science arrives. Access polish applied to small holdings is, on this evidence, a weaker priority than getting meaningful volume into the community’s hands under an open regime. For the broader space economy, the work supplies a concrete, archive-level instance of the sector-level claim that the downstream value of space-derived data is a defining feature of its economics</w:t>
      </w:r>
      <w:r>
        <w:t xml:space="preserve"> </w:t>
      </w:r>
      <w:hyperlink w:anchor="ref-2">
        <w:r>
          <w:rPr>
            <w:rStyle w:val="Hyperlink"/>
          </w:rPr>
          <w:t xml:space="preserve">[2]</w:t>
        </w:r>
      </w:hyperlink>
      <w:r>
        <w:t xml:space="preserve">[6][14], and it does so with an elasticity that future analysts can test, refine, and contest.</w:t>
      </w:r>
    </w:p>
    <w:p>
      <w:pPr>
        <w:pStyle w:val="BodyText"/>
        <w:spacing w:line="480" w:lineRule="auto"/>
        <w:ind w:firstLine="720"/>
      </w:pPr>
      <w:r>
        <w:t xml:space="preserve">The work also marks out its own succession. A fuller NASA planetary publication census would sharpen the planetary estimate that the ESA-weighted cross-section could only approximate</w:t>
      </w:r>
      <w:r>
        <w:t xml:space="preserve"> </w:t>
      </w:r>
      <w:hyperlink w:anchor="ref-9">
        <w:r>
          <w:rPr>
            <w:rStyle w:val="Hyperlink"/>
          </w:rPr>
          <w:t xml:space="preserve">[9]</w:t>
        </w:r>
      </w:hyperlink>
      <w:r>
        <w:t xml:space="preserve">[13]. A finer, continuous measure of access quality, replacing the binary migration flag, would let the latency analysis separate the access channel from the volume channel that presently dominates it. And a dedicated specification incorporating archived data volume and lifecycle cost, recorded here only as descriptive context, would let the production function speak to scientific return per dollar rather than per year. Each of these is a tractable extension of an estimate that now exists where before there was only an assertion.</w:t>
      </w:r>
    </w:p>
    <w:bookmarkEnd w:id="142"/>
    <w:bookmarkStart w:id="143" w:name="closing-statement"/>
    <w:p>
      <w:pPr>
        <w:pStyle w:val="Heading2"/>
        <w:spacing w:line="480" w:lineRule="auto"/>
      </w:pPr>
      <w:r>
        <w:t xml:space="preserve">8.5 Closing Statement</w:t>
      </w:r>
    </w:p>
    <w:p>
      <w:pPr>
        <w:pStyle w:val="FirstParagraph"/>
        <w:spacing w:line="480" w:lineRule="auto"/>
      </w:pPr>
      <w:r>
        <w:t xml:space="preserve">The planetary data archive is the part of a mission that outlives the mission. It is built once and read for a generation, and the science it yields is the truest available measure of what the public investment in the spacecraft finally bought</w:t>
      </w:r>
      <w:r>
        <w:t xml:space="preserve"> </w:t>
      </w:r>
      <w:hyperlink w:anchor="ref-1">
        <w:r>
          <w:rPr>
            <w:rStyle w:val="Hyperlink"/>
          </w:rPr>
          <w:t xml:space="preserve">[1]</w:t>
        </w:r>
      </w:hyperlink>
      <w:r>
        <w:t xml:space="preserve">[9]. This dissertation set out to convert a widely held belief about that archive, that better access yields more science, from a matter of conviction into a matter of measurement, and it did so by modeling the archive as a producer and estimating its production function against real, public, and traceable data. The estimate that resulted is neither the simple confirmation a credulous reading would have hoped for nor the null a skeptic might have feared. It is more useful than either: the level of an archive’s eventual science scales more than proportionally with its operational life and commands a large premium under an open access regime, while the speed of its first science is governed most strongly by the analyzable volume a release contains, and the coarse accessibility flag that agencies most readily record is too blunt an instrument to isolate on its own. The archive, in other words, rewards being sustained, rewards being opened, and rewards being released at meaningful scale, and it does so in magnitudes that can now be argued over with numbers rather than asserted with confidence alone. That is the small but durable thing this work adds to the knowledge of how planetary science is produced: a measured return where there had been only a promise, offered with its boundaries drawn and its evidence laid open to anyone who would test it next.</w:t>
      </w:r>
    </w:p>
    <w:bookmarkEnd w:id="143"/>
    <w:bookmarkStart w:id="187" w:name="references"/>
    <w:p>
      <w:pPr>
        <w:pStyle w:val="Heading2"/>
        <w:spacing w:line="480" w:lineRule="auto"/>
      </w:pPr>
      <w:r>
        <w:t xml:space="preserve">References</w:t>
      </w:r>
    </w:p>
    <w:p>
      <w:pPr>
        <w:pStyle w:val="FirstParagraph"/>
        <w:spacing w:line="480" w:lineRule="auto"/>
      </w:pPr>
      <w:bookmarkStart w:id="144" w:name="ref-1"/>
      <w:bookmarkEnd w:id="144"/>
      <w:r>
        <w:t xml:space="preserve">1. R. L. McNutt, R. F. Wimmer-Schweingruber, M. Gruntman, S. M. Krimigis, E. C. Roelof, P. C. Brandt, S. R. Vernon, M. Paul, R. Stough, and J. D. Kinnison,</w:t>
      </w:r>
      <w:r>
        <w:t xml:space="preserve"> </w:t>
      </w:r>
      <w:r>
        <w:t xml:space="preserve">“Interstellar probe – Destination: Universe!,”</w:t>
      </w:r>
      <w:r>
        <w:t xml:space="preserve"> </w:t>
      </w:r>
      <w:r>
        <w:rPr>
          <w:i/>
          <w:iCs/>
        </w:rPr>
        <w:t xml:space="preserve">Acta Astronautica</w:t>
      </w:r>
      <w:r>
        <w:t xml:space="preserve">, vol. 196, 2022. doi:</w:t>
      </w:r>
      <w:r>
        <w:t xml:space="preserve"> </w:t>
      </w:r>
      <w:hyperlink r:id="rId145">
        <w:r>
          <w:rPr>
            <w:rStyle w:val="Hyperlink"/>
          </w:rPr>
          <w:t xml:space="preserve">10.1016/j.actaastro.2022.04.001</w:t>
        </w:r>
      </w:hyperlink>
    </w:p>
    <w:p>
      <w:pPr>
        <w:pStyle w:val="BodyText"/>
        <w:spacing w:line="480" w:lineRule="auto"/>
        <w:ind w:firstLine="720"/>
      </w:pPr>
      <w:bookmarkStart w:id="146" w:name="ref-2"/>
      <w:bookmarkEnd w:id="146"/>
      <w:r>
        <w:t xml:space="preserve">2. Organisation for Economic Co-operation and Development,</w:t>
      </w:r>
      <w:r>
        <w:t xml:space="preserve"> </w:t>
      </w:r>
      <w:r>
        <w:rPr>
          <w:i/>
          <w:iCs/>
        </w:rPr>
        <w:t xml:space="preserve">OCEA: Forecasting the Space Economy</w:t>
      </w:r>
      <w:r>
        <w:t xml:space="preserve"> </w:t>
      </w:r>
      <w:r>
        <w:t xml:space="preserve">(Space Economy Papers corpus, source SD08).</w:t>
      </w:r>
    </w:p>
    <w:p>
      <w:pPr>
        <w:pStyle w:val="BodyText"/>
        <w:spacing w:line="480" w:lineRule="auto"/>
        <w:ind w:firstLine="720"/>
      </w:pPr>
      <w:bookmarkStart w:id="147" w:name="ref-3"/>
      <w:bookmarkEnd w:id="147"/>
      <w:r>
        <w:t xml:space="preserve">3. P. M. Siew, H. Solera, T. G. Roberts, D. Jang, V. Rodriguez-Fernandez, J. How, and R. Linares,</w:t>
      </w:r>
      <w:r>
        <w:t xml:space="preserve"> </w:t>
      </w:r>
      <w:r>
        <w:t xml:space="preserve">“AI SSA Challenge Problem: Satellite Pattern-of-Life Characterization Dataset and Benchmark Suite,”</w:t>
      </w:r>
      <w:r>
        <w:t xml:space="preserve"> </w:t>
      </w:r>
      <w:r>
        <w:t xml:space="preserve">Proc. Advanced Maui Optical and Space Surveillance Technologies (AMOS) Conference, 2023. doi:</w:t>
      </w:r>
      <w:r>
        <w:t xml:space="preserve"> </w:t>
      </w:r>
      <w:hyperlink r:id="rId148">
        <w:r>
          <w:rPr>
            <w:rStyle w:val="Hyperlink"/>
          </w:rPr>
          <w:t xml:space="preserve">10.64861/KSXC7986</w:t>
        </w:r>
      </w:hyperlink>
    </w:p>
    <w:p>
      <w:pPr>
        <w:pStyle w:val="BodyText"/>
        <w:spacing w:line="480" w:lineRule="auto"/>
        <w:ind w:firstLine="720"/>
      </w:pPr>
      <w:bookmarkStart w:id="149" w:name="ref-4"/>
      <w:bookmarkEnd w:id="149"/>
      <w:r>
        <w:t xml:space="preserve">4.</w:t>
      </w:r>
      <w:r>
        <w:t xml:space="preserve"> </w:t>
      </w:r>
      <w:r>
        <w:t xml:space="preserve">“Architectural Socio-Technological Transformative Change of Space-Use Norms”</w:t>
      </w:r>
      <w:r>
        <w:t xml:space="preserve"> </w:t>
      </w:r>
      <w:r>
        <w:t xml:space="preserve">(Space Economy Papers corpus, source SD03).</w:t>
      </w:r>
    </w:p>
    <w:p>
      <w:pPr>
        <w:pStyle w:val="BodyText"/>
        <w:spacing w:line="480" w:lineRule="auto"/>
        <w:ind w:firstLine="720"/>
      </w:pPr>
      <w:bookmarkStart w:id="150" w:name="ref-5"/>
      <w:bookmarkEnd w:id="150"/>
      <w:r>
        <w:t xml:space="preserve">5. A. Lorenz, S. Abernethy, M. Fischer, J. Griesbach, W. J. Mandeville, S. Arora, T. McLaughlin, H. Challa, and P. Mehta,</w:t>
      </w:r>
      <w:r>
        <w:t xml:space="preserve"> </w:t>
      </w:r>
      <w:r>
        <w:t xml:space="preserve">“Applying Deep Learning Object Detection Techniques to Detect RSOs for Ground-Based EO Sensors,”</w:t>
      </w:r>
      <w:r>
        <w:t xml:space="preserve"> </w:t>
      </w:r>
      <w:r>
        <w:t xml:space="preserve">Proc. Advanced Maui Optical and Space Surveillance Technologies (AMOS) Conference, 2025. doi:</w:t>
      </w:r>
      <w:r>
        <w:t xml:space="preserve"> </w:t>
      </w:r>
      <w:hyperlink r:id="rId151">
        <w:r>
          <w:rPr>
            <w:rStyle w:val="Hyperlink"/>
          </w:rPr>
          <w:t xml:space="preserve">10.64861/PWTG6037</w:t>
        </w:r>
      </w:hyperlink>
    </w:p>
    <w:p>
      <w:pPr>
        <w:pStyle w:val="BodyText"/>
        <w:spacing w:line="480" w:lineRule="auto"/>
        <w:ind w:firstLine="720"/>
      </w:pPr>
      <w:bookmarkStart w:id="152" w:name="ref-6"/>
      <w:bookmarkEnd w:id="152"/>
      <w:r>
        <w:t xml:space="preserve">6.</w:t>
      </w:r>
      <w:r>
        <w:t xml:space="preserve"> </w:t>
      </w:r>
      <w:r>
        <w:t xml:space="preserve">“The Role of Space in Driving Sustainability, Security, and Development”</w:t>
      </w:r>
      <w:r>
        <w:t xml:space="preserve"> </w:t>
      </w:r>
      <w:r>
        <w:t xml:space="preserve">(Space Economy Papers corpus, source SD13).</w:t>
      </w:r>
    </w:p>
    <w:p>
      <w:pPr>
        <w:pStyle w:val="BodyText"/>
        <w:spacing w:line="480" w:lineRule="auto"/>
        <w:ind w:firstLine="720"/>
      </w:pPr>
      <w:bookmarkStart w:id="153" w:name="ref-7"/>
      <w:bookmarkEnd w:id="153"/>
      <w:r>
        <w:t xml:space="preserve">7. NASA Planetary Data System,</w:t>
      </w:r>
      <w:r>
        <w:t xml:space="preserve"> </w:t>
      </w:r>
      <w:r>
        <w:t xml:space="preserve">“About the PDS,”</w:t>
      </w:r>
      <w:r>
        <w:t xml:space="preserve"> </w:t>
      </w:r>
      <w:r>
        <w:t xml:space="preserve">NASA, pds.nasa.gov, 2024 (PDS established 1989; &gt;1.2 PB across six discipline nodes).</w:t>
      </w:r>
    </w:p>
    <w:p>
      <w:pPr>
        <w:pStyle w:val="BodyText"/>
        <w:spacing w:line="480" w:lineRule="auto"/>
        <w:ind w:firstLine="720"/>
      </w:pPr>
      <w:bookmarkStart w:id="154" w:name="ref-8"/>
      <w:bookmarkEnd w:id="154"/>
      <w:r>
        <w:t xml:space="preserve">8. OCEA,</w:t>
      </w:r>
      <w:r>
        <w:t xml:space="preserve"> </w:t>
      </w:r>
      <w:r>
        <w:t xml:space="preserve">“Forecasting the Space Economy,”</w:t>
      </w:r>
      <w:r>
        <w:t xml:space="preserve"> </w:t>
      </w:r>
      <w:r>
        <w:t xml:space="preserve">Space Economy source corpus SD08, in N. Dailey (ed.), Space Economy Papers brain, 2024 (economics of shared research and infrastructure inputs to output).</w:t>
      </w:r>
    </w:p>
    <w:p>
      <w:pPr>
        <w:pStyle w:val="BodyText"/>
        <w:spacing w:line="480" w:lineRule="auto"/>
        <w:ind w:firstLine="720"/>
      </w:pPr>
      <w:bookmarkStart w:id="155" w:name="ref-9"/>
      <w:bookmarkEnd w:id="155"/>
      <w:r>
        <w:t xml:space="preserve">9. N. R. Walton et al.,</w:t>
      </w:r>
      <w:r>
        <w:t xml:space="preserve"> </w:t>
      </w:r>
      <w:r>
        <w:t xml:space="preserve">“ESA Science Programme Missions: Contributions and Exploitation, ESA Mission Publications,”</w:t>
      </w:r>
      <w:r>
        <w:t xml:space="preserve"> </w:t>
      </w:r>
      <w:r>
        <w:t xml:space="preserve">arXiv:2402.12818, 2024 (refereed-publication totals per mission to end-2021; &gt;68,000 publications across 36 missions).</w:t>
      </w:r>
    </w:p>
    <w:p>
      <w:pPr>
        <w:pStyle w:val="BodyText"/>
        <w:spacing w:line="480" w:lineRule="auto"/>
        <w:ind w:firstLine="720"/>
      </w:pPr>
      <w:bookmarkStart w:id="156" w:name="ref-10"/>
      <w:bookmarkEnd w:id="156"/>
      <w:r>
        <w:t xml:space="preserve">10. E. van Burg, C. Giannopapa, and I. Reymen,</w:t>
      </w:r>
      <w:r>
        <w:t xml:space="preserve"> </w:t>
      </w:r>
      <w:r>
        <w:t xml:space="preserve">“Open innovation in the European space sector: Existing practices, constraints, and opportunities,”</w:t>
      </w:r>
      <w:r>
        <w:t xml:space="preserve"> </w:t>
      </w:r>
      <w:r>
        <w:t xml:space="preserve">Acta Astronautica, vol. 141, 2017, doi:</w:t>
      </w:r>
      <w:r>
        <w:t xml:space="preserve"> </w:t>
      </w:r>
      <w:hyperlink r:id="rId157">
        <w:r>
          <w:rPr>
            <w:rStyle w:val="Hyperlink"/>
          </w:rPr>
          <w:t xml:space="preserve">10.1016/j.actaastro.2017.09.019</w:t>
        </w:r>
      </w:hyperlink>
    </w:p>
    <w:p>
      <w:pPr>
        <w:pStyle w:val="BodyText"/>
        <w:spacing w:line="480" w:lineRule="auto"/>
        <w:ind w:firstLine="720"/>
      </w:pPr>
      <w:bookmarkStart w:id="158" w:name="ref-11"/>
      <w:bookmarkEnd w:id="158"/>
      <w:r>
        <w:t xml:space="preserve">11. M. Vidmar, A. Rosiello, and N. Vermeule,</w:t>
      </w:r>
      <w:r>
        <w:t xml:space="preserve"> </w:t>
      </w:r>
      <w:r>
        <w:t xml:space="preserve">“New Space and Agile Innovation: Understanding transition to open innovation by examining innovation networks,”</w:t>
      </w:r>
      <w:r>
        <w:t xml:space="preserve"> </w:t>
      </w:r>
      <w:r>
        <w:t xml:space="preserve">Acta Astronautica, vol. 167, 2019, doi:</w:t>
      </w:r>
      <w:r>
        <w:t xml:space="preserve"> </w:t>
      </w:r>
      <w:hyperlink r:id="rId159">
        <w:r>
          <w:rPr>
            <w:rStyle w:val="Hyperlink"/>
          </w:rPr>
          <w:t xml:space="preserve">10.1016/j.actaastro.2019.09.029</w:t>
        </w:r>
      </w:hyperlink>
    </w:p>
    <w:p>
      <w:pPr>
        <w:pStyle w:val="BodyText"/>
        <w:spacing w:line="480" w:lineRule="auto"/>
        <w:ind w:firstLine="720"/>
      </w:pPr>
      <w:bookmarkStart w:id="160" w:name="ref-12"/>
      <w:bookmarkEnd w:id="160"/>
      <w:r>
        <w:t xml:space="preserve">12. M. B. Weinzierl,</w:t>
      </w:r>
      <w:r>
        <w:t xml:space="preserve"> </w:t>
      </w:r>
      <w:r>
        <w:t xml:space="preserve">“Space, the Final Economic Frontier,”</w:t>
      </w:r>
      <w:r>
        <w:t xml:space="preserve"> </w:t>
      </w:r>
      <w:r>
        <w:t xml:space="preserve">Space Economy source corpus SD18, in N. Dailey (ed.), Space Economy Papers brain, 2018 (cost and value debates in exploration program design).</w:t>
      </w:r>
    </w:p>
    <w:p>
      <w:pPr>
        <w:pStyle w:val="BodyText"/>
        <w:spacing w:line="480" w:lineRule="auto"/>
        <w:ind w:firstLine="720"/>
      </w:pPr>
      <w:bookmarkStart w:id="161" w:name="ref-13"/>
      <w:bookmarkEnd w:id="161"/>
      <w:r>
        <w:t xml:space="preserve">13. A. S. McEwen et al.,</w:t>
      </w:r>
      <w:r>
        <w:t xml:space="preserve"> </w:t>
      </w:r>
      <w:r>
        <w:t xml:space="preserve">“Results from MRO’s High Resolution Imaging Science Experiment (HiRISE), 2006–2022,”</w:t>
      </w:r>
      <w:r>
        <w:t xml:space="preserve"> </w:t>
      </w:r>
      <w:r>
        <w:t xml:space="preserve">Europlanet Science Congress 2022, ui.adsabs.harvard.edu/abs/2022EPSC…16…38M (MRO/HiRISE refereed-publication retrospective via NASA ADS).</w:t>
      </w:r>
    </w:p>
    <w:p>
      <w:pPr>
        <w:pStyle w:val="BodyText"/>
        <w:spacing w:line="480" w:lineRule="auto"/>
        <w:ind w:firstLine="720"/>
      </w:pPr>
      <w:bookmarkStart w:id="162" w:name="ref-14"/>
      <w:bookmarkEnd w:id="162"/>
      <w:r>
        <w:t xml:space="preserve">14. A. Paravano, M. Patrizi, and E. Razzano,</w:t>
      </w:r>
      <w:r>
        <w:t xml:space="preserve"> </w:t>
      </w:r>
      <w:r>
        <w:t xml:space="preserve">“The impact of the new space economy on sustainability: an overview,”</w:t>
      </w:r>
      <w:r>
        <w:t xml:space="preserve"> </w:t>
      </w:r>
      <w:r>
        <w:t xml:space="preserve">Acta Astronautica, vol. 219, 2024, doi:</w:t>
      </w:r>
      <w:r>
        <w:t xml:space="preserve"> </w:t>
      </w:r>
      <w:hyperlink r:id="rId163">
        <w:r>
          <w:rPr>
            <w:rStyle w:val="Hyperlink"/>
          </w:rPr>
          <w:t xml:space="preserve">10.1016/j.actaastro.2024.05.046</w:t>
        </w:r>
      </w:hyperlink>
    </w:p>
    <w:p>
      <w:pPr>
        <w:pStyle w:val="BodyText"/>
        <w:spacing w:line="480" w:lineRule="auto"/>
        <w:ind w:firstLine="720"/>
      </w:pPr>
      <w:bookmarkStart w:id="164" w:name="ref-15"/>
      <w:bookmarkEnd w:id="164"/>
      <w:r>
        <w:t xml:space="preserve">15. James Heasley (Institute for Astronomy, University of Hawaii), Robert E. Eek (Science Applications International Corporation), Wayne L. Smith (Science Applications International Corporation), Julie A. Rosen (Science Applications International Corporation), The Pan-STARRS team Pan-STARRS Project (Institute for Astronomy, University of Hawaii). Pan-STARRS PS1 Published Science Products Subsystem (2006).</w:t>
      </w:r>
    </w:p>
    <w:p>
      <w:pPr>
        <w:pStyle w:val="BodyText"/>
        <w:spacing w:line="480" w:lineRule="auto"/>
        <w:ind w:firstLine="720"/>
      </w:pPr>
      <w:bookmarkStart w:id="165" w:name="ref-16"/>
      <w:bookmarkEnd w:id="165"/>
      <w:r>
        <w:t xml:space="preserve">16. Patrick A. Taylor, National Radio Astronomy Observatory, Green Bank Observatory; Steven R. Wilkinson, Raytheon Intelligence and Space; Flora Paganelli, National Radio Astronomy Observatory; Ray Samaniego, Raytheon Intelligence &amp; Space; Bishara Shamee, Raytheon Intelligence &amp; Space; Aaron Wallace, Raytheon Intelligence &amp; Space; Anthony J. Beasley, National Radio Astronomy Observatory. The Next Generation Planetary Radar System on the Green Bank Telescope (2022).</w:t>
      </w:r>
    </w:p>
    <w:p>
      <w:pPr>
        <w:pStyle w:val="BodyText"/>
        <w:spacing w:line="480" w:lineRule="auto"/>
        <w:ind w:firstLine="720"/>
      </w:pPr>
      <w:bookmarkStart w:id="166" w:name="ref-17"/>
      <w:bookmarkEnd w:id="166"/>
      <w:r>
        <w:t xml:space="preserve">17. Kenneth Chambers (Institute of Astronomy, University of Hawaii). Status and Early Science Results of the PS1 Science Mission (2012).</w:t>
      </w:r>
    </w:p>
    <w:p>
      <w:pPr>
        <w:pStyle w:val="BodyText"/>
        <w:spacing w:line="480" w:lineRule="auto"/>
        <w:ind w:firstLine="720"/>
      </w:pPr>
      <w:bookmarkStart w:id="167" w:name="ref-18"/>
      <w:bookmarkEnd w:id="167"/>
      <w:r>
        <w:t xml:space="preserve">18. Eugene Magnier (Institute for Astronomy, University of Hawaii), Nick Kaiser (Institute for Astronomy, University of Hawaii), Ken Chambers (Institute for Astronomy, University of Hawaii). The Pan-STARRS PS1 Image Processing Pipeline (2006).</w:t>
      </w:r>
    </w:p>
    <w:p>
      <w:pPr>
        <w:pStyle w:val="BodyText"/>
        <w:spacing w:line="480" w:lineRule="auto"/>
        <w:ind w:firstLine="720"/>
      </w:pPr>
      <w:bookmarkStart w:id="168" w:name="ref-19"/>
      <w:bookmarkEnd w:id="168"/>
      <w:r>
        <w:t xml:space="preserve">19. John Tonry (Institute for Astronomy, University of Hawaii), Peter Onaka (Institute for Astronomy, University of Hawaii), Sidik Isami (Institute for Astronomy, University of Hawaii). The Pan-STARRS Gigapixel Camera (2009).</w:t>
      </w:r>
    </w:p>
    <w:p>
      <w:pPr>
        <w:pStyle w:val="BodyText"/>
        <w:spacing w:line="480" w:lineRule="auto"/>
        <w:ind w:firstLine="720"/>
      </w:pPr>
      <w:bookmarkStart w:id="169" w:name="ref-20"/>
      <w:bookmarkEnd w:id="169"/>
      <w:r>
        <w:t xml:space="preserve">20. Robert (Lauchie) Scott, Dr. Brad Wallace, Michael Sale, (Defence R&amp;D Canada – Ottawa, Ottawa, Ontario), Martin Levesque (Defence R&amp;D Canada – Valcartier, Valcartier, Quebec), Stefan Thorsteinson, (Contractor, Defence R&amp;D Canada – Ottawa, Ottawa, Ontario). Toward Microsatellite Based Space Situational Awareness (2013).</w:t>
      </w:r>
    </w:p>
    <w:p>
      <w:pPr>
        <w:pStyle w:val="BodyText"/>
        <w:spacing w:line="480" w:lineRule="auto"/>
        <w:ind w:firstLine="720"/>
      </w:pPr>
      <w:bookmarkStart w:id="170" w:name="ref-21"/>
      <w:bookmarkEnd w:id="170"/>
      <w:r>
        <w:t xml:space="preserve">21. Linesh Patil, Shah &amp; Anchor Kutchhi Engineering College; Siddhi Khanvilkar, Shah &amp; Anchor Kutchhi Engineering College; Ashish Shethia, Shah and Anchor Kutchhi Engineering College; Tulika Jain, Shah &amp; Anchor Kutchhi Engineering College; Vidyullata Devmane, Shah &amp; Anchor Kutchhi Engineering College; Srikanth Kodeboyina, Blue Eye Soft Corporation. Threats Prediction to a Satellite by Detected Asteroids (2021).</w:t>
      </w:r>
    </w:p>
    <w:p>
      <w:pPr>
        <w:pStyle w:val="BodyText"/>
        <w:spacing w:line="480" w:lineRule="auto"/>
        <w:ind w:firstLine="720"/>
      </w:pPr>
      <w:bookmarkStart w:id="171" w:name="ref-22"/>
      <w:bookmarkEnd w:id="171"/>
      <w:r>
        <w:t xml:space="preserve">22. Rick Kendrick (Lockheed Martin Advanced Technology Center), Watson Varricatt (UKIRT), Matt Bold (Lockheed Martin), Nick Cross (University of Edinburgh Institute for Astronomy), Tom Kerr (UKIRT), Mike Irwin (University of Cambridge Institute of Astronomy), Mike Read (University of Edinburgh Institute for Astronomy), Greg Madsen (University of Cambridge Institute for Astronomy), Bob Mann (University of Edinburgh Institute for Astronomy). GEO Belt Survey with WFCAM (2014).</w:t>
      </w:r>
    </w:p>
    <w:p>
      <w:pPr>
        <w:pStyle w:val="BodyText"/>
        <w:spacing w:line="480" w:lineRule="auto"/>
        <w:ind w:firstLine="720"/>
      </w:pPr>
      <w:bookmarkStart w:id="172" w:name="ref-23"/>
      <w:bookmarkEnd w:id="172"/>
      <w:r>
        <w:t xml:space="preserve">23. R. L. McNutt; R. F. Wimmer‐Schweingruber; Mike Gruntman; S. M. Krimigis; E. C. Roelof; P. C. Brandt; Steven R. Vernon; Michael Paul; Robert Stough; J.D. Kinnison. Interstellar probe – Destination: Universe! (2022). doi:</w:t>
      </w:r>
      <w:r>
        <w:t xml:space="preserve"> </w:t>
      </w:r>
      <w:hyperlink r:id="rId145">
        <w:r>
          <w:rPr>
            <w:rStyle w:val="Hyperlink"/>
          </w:rPr>
          <w:t xml:space="preserve">10.1016/j.actaastro.2022.04.001</w:t>
        </w:r>
      </w:hyperlink>
    </w:p>
    <w:p>
      <w:pPr>
        <w:pStyle w:val="BodyText"/>
        <w:spacing w:line="480" w:lineRule="auto"/>
        <w:ind w:firstLine="720"/>
      </w:pPr>
      <w:bookmarkStart w:id="173" w:name="ref-24"/>
      <w:bookmarkEnd w:id="173"/>
      <w:r>
        <w:t xml:space="preserve">24. N. L. Chabot; Elena Adams; Andy Rivkin; Jason S. Kalirai. DART: Latest results from the Dimorphos impact and a look forward to future planetary defense initiatives (2024). doi:</w:t>
      </w:r>
      <w:r>
        <w:t xml:space="preserve"> </w:t>
      </w:r>
      <w:hyperlink r:id="rId174">
        <w:r>
          <w:rPr>
            <w:rStyle w:val="Hyperlink"/>
          </w:rPr>
          <w:t xml:space="preserve">10.1016/j.actaastro.2024.04.001</w:t>
        </w:r>
      </w:hyperlink>
    </w:p>
    <w:p>
      <w:pPr>
        <w:pStyle w:val="BodyText"/>
        <w:spacing w:line="480" w:lineRule="auto"/>
        <w:ind w:firstLine="720"/>
      </w:pPr>
      <w:bookmarkStart w:id="175" w:name="ref-25"/>
      <w:bookmarkEnd w:id="175"/>
      <w:r>
        <w:t xml:space="preserve">25. Christian Lorenz; Bruno Hay Mele; Carmen Arena. Where is the plant-space research going? An overview on the last two decades through bibliometric network multi-analysis (2024). doi:</w:t>
      </w:r>
      <w:r>
        <w:t xml:space="preserve"> </w:t>
      </w:r>
      <w:hyperlink r:id="rId176">
        <w:r>
          <w:rPr>
            <w:rStyle w:val="Hyperlink"/>
          </w:rPr>
          <w:t xml:space="preserve">10.1016/j.actaastro.2024.05.022</w:t>
        </w:r>
      </w:hyperlink>
    </w:p>
    <w:p>
      <w:pPr>
        <w:pStyle w:val="BodyText"/>
        <w:spacing w:line="480" w:lineRule="auto"/>
        <w:ind w:firstLine="720"/>
      </w:pPr>
      <w:bookmarkStart w:id="177" w:name="ref-26"/>
      <w:bookmarkEnd w:id="177"/>
      <w:r>
        <w:t xml:space="preserve">26. Miguel Pérez-Ayúcar; Mike Ashman; Miguel Almeida; Marc Costa; Juan José García Beteta; Raymond Hoofs; Michael Kueppers; Julia Marín-Yaseli de la Parra; Donald Merritt; Federico Nespoli; Eduardo Sánchez Suarez. The Rosetta science operations and planning implementation (2018). doi:</w:t>
      </w:r>
      <w:r>
        <w:t xml:space="preserve"> </w:t>
      </w:r>
      <w:hyperlink r:id="rId178">
        <w:r>
          <w:rPr>
            <w:rStyle w:val="Hyperlink"/>
          </w:rPr>
          <w:t xml:space="preserve">10.1016/j.actaastro.2018.07.049</w:t>
        </w:r>
      </w:hyperlink>
    </w:p>
    <w:p>
      <w:pPr>
        <w:pStyle w:val="BodyText"/>
        <w:spacing w:line="480" w:lineRule="auto"/>
        <w:ind w:firstLine="720"/>
      </w:pPr>
      <w:bookmarkStart w:id="179" w:name="ref-27"/>
      <w:bookmarkEnd w:id="179"/>
      <w:r>
        <w:t xml:space="preserve">27. Vishal Youhanna; Leonard Felicetti; Dmitry Ignatyev. Systematic methodology for the preliminary design of future rotary VTOL Martian aerobots (2025). doi:</w:t>
      </w:r>
      <w:r>
        <w:t xml:space="preserve"> </w:t>
      </w:r>
      <w:hyperlink r:id="rId180">
        <w:r>
          <w:rPr>
            <w:rStyle w:val="Hyperlink"/>
          </w:rPr>
          <w:t xml:space="preserve">10.1016/j.actaastro.2025.01.059</w:t>
        </w:r>
      </w:hyperlink>
    </w:p>
    <w:p>
      <w:pPr>
        <w:pStyle w:val="BodyText"/>
        <w:spacing w:line="480" w:lineRule="auto"/>
        <w:ind w:firstLine="720"/>
      </w:pPr>
      <w:bookmarkStart w:id="181" w:name="ref-28"/>
      <w:bookmarkEnd w:id="181"/>
      <w:r>
        <w:t xml:space="preserve">28. Katharina Ostaszewski; Philip Heinisch; Ingo Richter; Hermann Kroll; Wolf‐Tilo Balke; D. Fraga; K.‐H. Glaßmeier. Pattern recognition in time series for space missions: A rosetta magnetic field case study (2019). doi:</w:t>
      </w:r>
      <w:r>
        <w:t xml:space="preserve"> </w:t>
      </w:r>
      <w:hyperlink r:id="rId182">
        <w:r>
          <w:rPr>
            <w:rStyle w:val="Hyperlink"/>
          </w:rPr>
          <w:t xml:space="preserve">10.1016/j.actaastro.2019.11.037</w:t>
        </w:r>
      </w:hyperlink>
    </w:p>
    <w:p>
      <w:pPr>
        <w:pStyle w:val="BodyText"/>
        <w:spacing w:line="480" w:lineRule="auto"/>
        <w:ind w:firstLine="720"/>
      </w:pPr>
      <w:bookmarkStart w:id="183" w:name="ref-29"/>
      <w:bookmarkEnd w:id="183"/>
      <w:r>
        <w:t xml:space="preserve">29. Asher Soryl; Anders Sandberg. To seed or not to seed: Estimating the ethical value of directed panspermia (2025). doi:</w:t>
      </w:r>
      <w:r>
        <w:t xml:space="preserve"> </w:t>
      </w:r>
      <w:hyperlink r:id="rId184">
        <w:r>
          <w:rPr>
            <w:rStyle w:val="Hyperlink"/>
          </w:rPr>
          <w:t xml:space="preserve">10.1016/j.actaastro.2025.03.025</w:t>
        </w:r>
      </w:hyperlink>
    </w:p>
    <w:p>
      <w:pPr>
        <w:pStyle w:val="BodyText"/>
        <w:spacing w:line="480" w:lineRule="auto"/>
        <w:ind w:firstLine="720"/>
      </w:pPr>
      <w:bookmarkStart w:id="185" w:name="ref-30"/>
      <w:bookmarkEnd w:id="185"/>
      <w:r>
        <w:t xml:space="preserve">30. Mitchell Kurnell; Inna Sharf. Model-based controllers for CubeSat ORU installation: A comparative study (2024). doi:</w:t>
      </w:r>
      <w:r>
        <w:t xml:space="preserve"> </w:t>
      </w:r>
      <w:hyperlink r:id="rId186">
        <w:r>
          <w:rPr>
            <w:rStyle w:val="Hyperlink"/>
          </w:rPr>
          <w:t xml:space="preserve">10.1016/j.actaastro.2024.07.036</w:t>
        </w:r>
      </w:hyperlink>
    </w:p>
    <w:bookmarkEnd w:id="187"/>
    <w:bookmarkEnd w:id="188"/>
    <w:bookmarkStart w:id="205"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6" w:name="X222d054548d8d67a409224c9a2277509084155d"/>
    <w:p>
      <w:pPr>
        <w:pStyle w:val="Heading2"/>
        <w:spacing w:line="480" w:lineRule="auto"/>
      </w:pPr>
      <w:r>
        <w:t xml:space="preserve">A.1 The Archive Production Function: Operational Longevity, Observatory Breadth, and the Refereed Output of Planetary and Space-Science Data Archives</w:t>
      </w:r>
    </w:p>
    <w:p>
      <w:pPr>
        <w:pStyle w:val="FirstParagraph"/>
        <w:spacing w:line="480" w:lineRule="auto"/>
      </w:pPr>
      <m:oMathPara>
        <m:oMathParaPr>
          <m:jc m:val="center"/>
        </m:oMathParaPr>
        <m:oMath>
          <m:r>
            <m:rPr>
              <m:sty m:val="p"/>
            </m:rPr>
            <m:t>ln</m:t>
          </m:r>
          <m:r>
            <m:rPr>
              <m:sty m:val="p"/>
            </m:rPr>
            <m:t>(</m:t>
          </m:r>
          <m:sSub>
            <m:e>
              <m:r>
                <m:rPr>
                  <m:nor/>
                  <m:sty m:val="p"/>
                </m:rPr>
                <m:t>Pubs</m:t>
              </m:r>
            </m:e>
            <m:sub>
              <m:r>
                <m:t>i</m:t>
              </m:r>
            </m:sub>
          </m:sSub>
          <m:r>
            <m:rPr>
              <m:sty m:val="p"/>
            </m:rPr>
            <m:t>)</m:t>
          </m:r>
          <m:r>
            <m:rPr>
              <m:sty m:val="p"/>
            </m:rPr>
            <m:t>=</m:t>
          </m:r>
          <m:sSub>
            <m:e>
              <m:r>
                <m:t>β</m:t>
              </m:r>
            </m:e>
            <m:sub>
              <m:r>
                <m:t>0</m:t>
              </m:r>
            </m:sub>
          </m:sSub>
          <m:r>
            <m:rPr>
              <m:sty m:val="p"/>
            </m:rPr>
            <m:t>+</m:t>
          </m:r>
          <m:sSub>
            <m:e>
              <m:r>
                <m:t>β</m:t>
              </m:r>
            </m:e>
            <m:sub>
              <m:r>
                <m:t>1</m:t>
              </m:r>
            </m:sub>
          </m:sSub>
          <m:r>
            <m:rPr>
              <m:sty m:val="p"/>
            </m:rPr>
            <m:t>ln</m:t>
          </m:r>
          <m:r>
            <m:rPr>
              <m:sty m:val="p"/>
            </m:rPr>
            <m:t>(</m:t>
          </m:r>
          <m:sSub>
            <m:e>
              <m:r>
                <m:rPr>
                  <m:nor/>
                  <m:sty m:val="p"/>
                </m:rPr>
                <m:t>Life</m:t>
              </m:r>
            </m:e>
            <m:sub>
              <m:r>
                <m:t>i</m:t>
              </m:r>
            </m:sub>
          </m:sSub>
          <m:r>
            <m:rPr>
              <m:sty m:val="p"/>
            </m:rPr>
            <m:t>)</m:t>
          </m:r>
          <m:r>
            <m:rPr>
              <m:sty m:val="p"/>
            </m:rPr>
            <m:t>+</m:t>
          </m:r>
          <m:sSub>
            <m:e>
              <m:r>
                <m:t>β</m:t>
              </m:r>
            </m:e>
            <m:sub>
              <m:r>
                <m:t>2</m:t>
              </m:r>
            </m:sub>
          </m:sSub>
          <m:sSub>
            <m:e>
              <m:r>
                <m:rPr>
                  <m:nor/>
                  <m:sty m:val="p"/>
                </m:rPr>
                <m:t>Observatory</m:t>
              </m:r>
            </m:e>
            <m:sub>
              <m:r>
                <m:t>i</m:t>
              </m:r>
            </m:sub>
          </m:sSub>
          <m:r>
            <m:rPr>
              <m:sty m:val="p"/>
            </m:rPr>
            <m:t>+</m:t>
          </m:r>
          <m:sSub>
            <m:e>
              <m:r>
                <m:t>β</m:t>
              </m:r>
            </m:e>
            <m:sub>
              <m:r>
                <m:t>3</m:t>
              </m:r>
            </m:sub>
          </m:sSub>
          <m:sSub>
            <m:e>
              <m:r>
                <m:rPr>
                  <m:nor/>
                  <m:sty m:val="p"/>
                </m:rPr>
                <m:t>Planetary</m:t>
              </m:r>
            </m:e>
            <m:sub>
              <m:r>
                <m:t>i</m:t>
              </m:r>
            </m:sub>
          </m:sSub>
          <m:r>
            <m:rPr>
              <m:sty m:val="p"/>
            </m:rPr>
            <m:t>+</m:t>
          </m:r>
          <m:sSub>
            <m:e>
              <m:r>
                <m:t>ε</m:t>
              </m:r>
            </m:e>
            <m:sub>
              <m:r>
                <m:t>i</m:t>
              </m:r>
            </m:sub>
          </m:sSub>
        </m:oMath>
      </m:oMathPara>
    </w:p>
    <w:bookmarkStart w:id="189"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2.6473</w:t>
            </w:r>
          </w:p>
        </w:tc>
        <w:tc>
          <w:tcPr>
            <w:tcW w:w="0" w:type="auto"/>
          </w:tcPr>
          <w:p>
            <w:pPr>
              <w:spacing w:line="240" w:lineRule="auto" w:before="0" w:after="0"/>
              <w:pStyle w:val="Compact"/>
            </w:pPr>
            <w:r>
              <w:rPr>
                <w:sz w:val="20"/>
                <w:szCs w:val="20"/>
              </w:rPr>
              <w:t xml:space="preserve">0.5205</w:t>
            </w:r>
          </w:p>
        </w:tc>
        <w:tc>
          <w:tcPr>
            <w:tcW w:w="0" w:type="auto"/>
          </w:tcPr>
          <w:p>
            <w:pPr>
              <w:spacing w:line="240" w:lineRule="auto" w:before="0" w:after="0"/>
              <w:pStyle w:val="Compact"/>
            </w:pPr>
            <w:r>
              <w:rPr>
                <w:sz w:val="20"/>
                <w:szCs w:val="20"/>
              </w:rPr>
              <w:t xml:space="preserve">5.0858</w:t>
            </w:r>
          </w:p>
        </w:tc>
        <w:tc>
          <w:tcPr>
            <w:tcW w:w="0" w:type="auto"/>
          </w:tcPr>
          <w:p>
            <w:pPr>
              <w:spacing w:line="240" w:lineRule="auto" w:before="0" w:after="0"/>
              <w:pStyle w:val="Compact"/>
            </w:pPr>
            <w:r>
              <w:rPr>
                <w:sz w:val="20"/>
                <w:szCs w:val="20"/>
              </w:rPr>
              <w:t xml:space="preserve">3.661e-07</w:t>
            </w:r>
          </w:p>
        </w:tc>
        <w:tc>
          <w:tcPr>
            <w:tcW w:w="0" w:type="auto"/>
          </w:tcPr>
          <w:p>
            <w:pPr>
              <w:spacing w:line="240" w:lineRule="auto" w:before="0" w:after="0"/>
              <w:pStyle w:val="Compact"/>
            </w:pPr>
            <w:r>
              <w:rPr>
                <w:sz w:val="20"/>
                <w:szCs w:val="20"/>
              </w:rPr>
              <w:t xml:space="preserve">[1.6271, 3.6675]</w:t>
            </w:r>
          </w:p>
        </w:tc>
      </w:tr>
      <w:tr>
        <w:tc>
          <w:tcPr>
            <w:tcW w:w="0" w:type="auto"/>
          </w:tcPr>
          <w:p>
            <w:pPr>
              <w:spacing w:line="240" w:lineRule="auto" w:before="0" w:after="0"/>
              <w:pStyle w:val="Compact"/>
            </w:pPr>
            <w:r>
              <w:rPr>
                <w:sz w:val="20"/>
                <w:szCs w:val="20"/>
              </w:rPr>
              <w:t xml:space="preserve">ln_life_years</w:t>
            </w:r>
          </w:p>
        </w:tc>
        <w:tc>
          <w:tcPr>
            <w:tcW w:w="0" w:type="auto"/>
          </w:tcPr>
          <w:p>
            <w:pPr>
              <w:spacing w:line="240" w:lineRule="auto" w:before="0" w:after="0"/>
              <w:pStyle w:val="Compact"/>
            </w:pPr>
            <w:r>
              <w:rPr>
                <w:sz w:val="20"/>
                <w:szCs w:val="20"/>
              </w:rPr>
              <w:t xml:space="preserve">1.2729</w:t>
            </w:r>
          </w:p>
        </w:tc>
        <w:tc>
          <w:tcPr>
            <w:tcW w:w="0" w:type="auto"/>
          </w:tcPr>
          <w:p>
            <w:pPr>
              <w:spacing w:line="240" w:lineRule="auto" w:before="0" w:after="0"/>
              <w:pStyle w:val="Compact"/>
            </w:pPr>
            <w:r>
              <w:rPr>
                <w:sz w:val="20"/>
                <w:szCs w:val="20"/>
              </w:rPr>
              <w:t xml:space="preserve">0.3278</w:t>
            </w:r>
          </w:p>
        </w:tc>
        <w:tc>
          <w:tcPr>
            <w:tcW w:w="0" w:type="auto"/>
          </w:tcPr>
          <w:p>
            <w:pPr>
              <w:spacing w:line="240" w:lineRule="auto" w:before="0" w:after="0"/>
              <w:pStyle w:val="Compact"/>
            </w:pPr>
            <w:r>
              <w:rPr>
                <w:sz w:val="20"/>
                <w:szCs w:val="20"/>
              </w:rPr>
              <w:t xml:space="preserve">3.8837</w:t>
            </w:r>
          </w:p>
        </w:tc>
        <w:tc>
          <w:tcPr>
            <w:tcW w:w="0" w:type="auto"/>
          </w:tcPr>
          <w:p>
            <w:pPr>
              <w:spacing w:line="240" w:lineRule="auto" w:before="0" w:after="0"/>
              <w:pStyle w:val="Compact"/>
            </w:pPr>
            <w:r>
              <w:rPr>
                <w:sz w:val="20"/>
                <w:szCs w:val="20"/>
              </w:rPr>
              <w:t xml:space="preserve">0.0001029</w:t>
            </w:r>
          </w:p>
        </w:tc>
        <w:tc>
          <w:tcPr>
            <w:tcW w:w="0" w:type="auto"/>
          </w:tcPr>
          <w:p>
            <w:pPr>
              <w:spacing w:line="240" w:lineRule="auto" w:before="0" w:after="0"/>
              <w:pStyle w:val="Compact"/>
            </w:pPr>
            <w:r>
              <w:rPr>
                <w:sz w:val="20"/>
                <w:szCs w:val="20"/>
              </w:rPr>
              <w:t xml:space="preserve">[0.6305, 1.9153]</w:t>
            </w:r>
          </w:p>
        </w:tc>
      </w:tr>
      <w:tr>
        <w:tc>
          <w:tcPr>
            <w:tcW w:w="0" w:type="auto"/>
          </w:tcPr>
          <w:p>
            <w:pPr>
              <w:spacing w:line="240" w:lineRule="auto" w:before="0" w:after="0"/>
              <w:pStyle w:val="Compact"/>
            </w:pPr>
            <w:r>
              <w:rPr>
                <w:sz w:val="20"/>
                <w:szCs w:val="20"/>
              </w:rPr>
              <w:t xml:space="preserve">observatory_class</w:t>
            </w:r>
          </w:p>
        </w:tc>
        <w:tc>
          <w:tcPr>
            <w:tcW w:w="0" w:type="auto"/>
          </w:tcPr>
          <w:p>
            <w:pPr>
              <w:spacing w:line="240" w:lineRule="auto" w:before="0" w:after="0"/>
              <w:pStyle w:val="Compact"/>
            </w:pPr>
            <w:r>
              <w:rPr>
                <w:sz w:val="20"/>
                <w:szCs w:val="20"/>
              </w:rPr>
              <w:t xml:space="preserve">1.9565</w:t>
            </w:r>
          </w:p>
        </w:tc>
        <w:tc>
          <w:tcPr>
            <w:tcW w:w="0" w:type="auto"/>
          </w:tcPr>
          <w:p>
            <w:pPr>
              <w:spacing w:line="240" w:lineRule="auto" w:before="0" w:after="0"/>
              <w:pStyle w:val="Compact"/>
            </w:pPr>
            <w:r>
              <w:rPr>
                <w:sz w:val="20"/>
                <w:szCs w:val="20"/>
              </w:rPr>
              <w:t xml:space="preserve">0.4259</w:t>
            </w:r>
          </w:p>
        </w:tc>
        <w:tc>
          <w:tcPr>
            <w:tcW w:w="0" w:type="auto"/>
          </w:tcPr>
          <w:p>
            <w:pPr>
              <w:spacing w:line="240" w:lineRule="auto" w:before="0" w:after="0"/>
              <w:pStyle w:val="Compact"/>
            </w:pPr>
            <w:r>
              <w:rPr>
                <w:sz w:val="20"/>
                <w:szCs w:val="20"/>
              </w:rPr>
              <w:t xml:space="preserve">4.594</w:t>
            </w:r>
          </w:p>
        </w:tc>
        <w:tc>
          <w:tcPr>
            <w:tcW w:w="0" w:type="auto"/>
          </w:tcPr>
          <w:p>
            <w:pPr>
              <w:spacing w:line="240" w:lineRule="auto" w:before="0" w:after="0"/>
              <w:pStyle w:val="Compact"/>
            </w:pPr>
            <w:r>
              <w:rPr>
                <w:sz w:val="20"/>
                <w:szCs w:val="20"/>
              </w:rPr>
              <w:t xml:space="preserve">4.349e-06</w:t>
            </w:r>
          </w:p>
        </w:tc>
        <w:tc>
          <w:tcPr>
            <w:tcW w:w="0" w:type="auto"/>
          </w:tcPr>
          <w:p>
            <w:pPr>
              <w:spacing w:line="240" w:lineRule="auto" w:before="0" w:after="0"/>
              <w:pStyle w:val="Compact"/>
            </w:pPr>
            <w:r>
              <w:rPr>
                <w:sz w:val="20"/>
                <w:szCs w:val="20"/>
              </w:rPr>
              <w:t xml:space="preserve">[1.1218, 2.7912]</w:t>
            </w:r>
          </w:p>
        </w:tc>
      </w:tr>
      <w:tr>
        <w:tc>
          <w:tcPr>
            <w:tcW w:w="0" w:type="auto"/>
          </w:tcPr>
          <w:p>
            <w:pPr>
              <w:spacing w:line="240" w:lineRule="auto" w:before="0" w:after="0"/>
              <w:pStyle w:val="Compact"/>
            </w:pPr>
            <w:r>
              <w:rPr>
                <w:sz w:val="20"/>
                <w:szCs w:val="20"/>
              </w:rPr>
              <w:t xml:space="preserve">planetary</w:t>
            </w:r>
          </w:p>
        </w:tc>
        <w:tc>
          <w:tcPr>
            <w:tcW w:w="0" w:type="auto"/>
          </w:tcPr>
          <w:p>
            <w:pPr>
              <w:spacing w:line="240" w:lineRule="auto" w:before="0" w:after="0"/>
              <w:pStyle w:val="Compact"/>
            </w:pPr>
            <w:r>
              <w:rPr>
                <w:sz w:val="20"/>
                <w:szCs w:val="20"/>
              </w:rPr>
              <w:t xml:space="preserve">0.6908</w:t>
            </w:r>
          </w:p>
        </w:tc>
        <w:tc>
          <w:tcPr>
            <w:tcW w:w="0" w:type="auto"/>
          </w:tcPr>
          <w:p>
            <w:pPr>
              <w:spacing w:line="240" w:lineRule="auto" w:before="0" w:after="0"/>
              <w:pStyle w:val="Compact"/>
            </w:pPr>
            <w:r>
              <w:rPr>
                <w:sz w:val="20"/>
                <w:szCs w:val="20"/>
              </w:rPr>
              <w:t xml:space="preserve">0.2236</w:t>
            </w:r>
          </w:p>
        </w:tc>
        <w:tc>
          <w:tcPr>
            <w:tcW w:w="0" w:type="auto"/>
          </w:tcPr>
          <w:p>
            <w:pPr>
              <w:spacing w:line="240" w:lineRule="auto" w:before="0" w:after="0"/>
              <w:pStyle w:val="Compact"/>
            </w:pPr>
            <w:r>
              <w:rPr>
                <w:sz w:val="20"/>
                <w:szCs w:val="20"/>
              </w:rPr>
              <w:t xml:space="preserve">3.0899</w:t>
            </w:r>
          </w:p>
        </w:tc>
        <w:tc>
          <w:tcPr>
            <w:tcW w:w="0" w:type="auto"/>
          </w:tcPr>
          <w:p>
            <w:pPr>
              <w:spacing w:line="240" w:lineRule="auto" w:before="0" w:after="0"/>
              <w:pStyle w:val="Compact"/>
            </w:pPr>
            <w:r>
              <w:rPr>
                <w:sz w:val="20"/>
                <w:szCs w:val="20"/>
              </w:rPr>
              <w:t xml:space="preserve">0.002</w:t>
            </w:r>
          </w:p>
        </w:tc>
        <w:tc>
          <w:tcPr>
            <w:tcW w:w="0" w:type="auto"/>
          </w:tcPr>
          <w:p>
            <w:pPr>
              <w:spacing w:line="240" w:lineRule="auto" w:before="0" w:after="0"/>
              <w:pStyle w:val="Compact"/>
            </w:pPr>
            <w:r>
              <w:rPr>
                <w:sz w:val="20"/>
                <w:szCs w:val="20"/>
              </w:rPr>
              <w:t xml:space="preserve">[0.2526, 1.129]</w:t>
            </w:r>
          </w:p>
        </w:tc>
      </w:tr>
    </w:tbl>
    <w:p>
      <w:pPr>
        <w:pStyle w:val="BodyText"/>
        <w:spacing w:line="480" w:lineRule="auto"/>
        <w:ind w:firstLine="720"/>
      </w:pPr>
      <w:r>
        <w:t xml:space="preserve">Fit: N = 24 R2 = 0.5213 R2_adj = 0.4757 F = 502.9104 F_p = 1.048e-19</w:t>
      </w:r>
    </w:p>
    <w:bookmarkEnd w:id="189"/>
    <w:bookmarkStart w:id="193"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Refereed publication output rises with operational longevity across 24 planetary and space-science data archives; observatory-class missions (open circles) sit above single-target planetary probes at comparable lifetimes." title="" id="191" name="Picture"/>
            <a:graphic>
              <a:graphicData uri="http://schemas.openxmlformats.org/drawingml/2006/picture">
                <pic:pic>
                  <pic:nvPicPr>
                    <pic:cNvPr descr="D:/Claude_Code/brain/collegium/candidates/dissertations/JPL_OPS_COMMS_DATA_09/research_papers/p1/paper_fig1.png" id="192" name="Picture"/>
                    <pic:cNvPicPr>
                      <a:picLocks noChangeArrowheads="1" noChangeAspect="1"/>
                    </pic:cNvPicPr>
                  </pic:nvPicPr>
                  <pic:blipFill>
                    <a:blip r:embed="rId19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Refereed publication output rises with operational longevity across 24 planetary and space-science data archives; observatory-class missions (open circles) sit above single-target planetary probes at comparable lifetimes.</w:t>
      </w:r>
    </w:p>
    <w:bookmarkEnd w:id="193"/>
    <w:bookmarkStart w:id="194"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target_class</w:t>
            </w:r>
          </w:p>
        </w:tc>
        <w:tc>
          <w:tcPr>
            <w:tcW w:w="0" w:type="auto"/>
          </w:tcPr>
          <w:p>
            <w:pPr>
              <w:spacing w:line="240" w:lineRule="auto" w:before="0" w:after="0"/>
              <w:pStyle w:val="Compact"/>
            </w:pPr>
            <w:r>
              <w:rPr>
                <w:sz w:val="20"/>
                <w:szCs w:val="20"/>
              </w:rPr>
              <w:t xml:space="preserve">ln_pubs</w:t>
            </w:r>
          </w:p>
        </w:tc>
        <w:tc>
          <w:tcPr>
            <w:tcW w:w="0" w:type="auto"/>
          </w:tcPr>
          <w:p>
            <w:pPr>
              <w:spacing w:line="240" w:lineRule="auto" w:before="0" w:after="0"/>
              <w:pStyle w:val="Compact"/>
            </w:pPr>
            <w:r>
              <w:rPr>
                <w:sz w:val="20"/>
                <w:szCs w:val="20"/>
              </w:rPr>
              <w:t xml:space="preserve">pubs</w:t>
            </w:r>
          </w:p>
        </w:tc>
        <w:tc>
          <w:tcPr>
            <w:tcW w:w="0" w:type="auto"/>
          </w:tcPr>
          <w:p>
            <w:pPr>
              <w:spacing w:line="240" w:lineRule="auto" w:before="0" w:after="0"/>
              <w:pStyle w:val="Compact"/>
            </w:pPr>
            <w:r>
              <w:rPr>
                <w:sz w:val="20"/>
                <w:szCs w:val="20"/>
              </w:rPr>
              <w:t xml:space="preserve">ln_life_years</w:t>
            </w:r>
          </w:p>
        </w:tc>
        <w:tc>
          <w:tcPr>
            <w:tcW w:w="0" w:type="auto"/>
          </w:tcPr>
          <w:p>
            <w:pPr>
              <w:spacing w:line="240" w:lineRule="auto" w:before="0" w:after="0"/>
              <w:pStyle w:val="Compact"/>
            </w:pPr>
            <w:r>
              <w:rPr>
                <w:sz w:val="20"/>
                <w:szCs w:val="20"/>
              </w:rPr>
              <w:t xml:space="preserve">life_years</w:t>
            </w:r>
          </w:p>
        </w:tc>
        <w:tc>
          <w:tcPr>
            <w:tcW w:w="0" w:type="auto"/>
          </w:tcPr>
          <w:p>
            <w:pPr>
              <w:spacing w:line="240" w:lineRule="auto" w:before="0" w:after="0"/>
              <w:pStyle w:val="Compact"/>
            </w:pPr>
            <w:r>
              <w:rPr>
                <w:sz w:val="20"/>
                <w:szCs w:val="20"/>
              </w:rPr>
              <w:t xml:space="preserve">observatory_class</w:t>
            </w:r>
          </w:p>
        </w:tc>
        <w:tc>
          <w:tcPr>
            <w:tcW w:w="0" w:type="auto"/>
          </w:tcPr>
          <w:p>
            <w:pPr>
              <w:spacing w:line="240" w:lineRule="auto" w:before="0" w:after="0"/>
              <w:pStyle w:val="Compact"/>
            </w:pPr>
            <w:r>
              <w:rPr>
                <w:sz w:val="20"/>
                <w:szCs w:val="20"/>
              </w:rPr>
              <w:t xml:space="preserve">planetary</w:t>
            </w:r>
          </w:p>
        </w:tc>
        <w:tc>
          <w:tcPr>
            <w:tcW w:w="0" w:type="auto"/>
          </w:tcPr>
          <w:p>
            <w:pPr>
              <w:spacing w:line="240" w:lineRule="auto" w:before="0" w:after="0"/>
              <w:pStyle w:val="Compact"/>
            </w:pPr>
            <w:r>
              <w:rPr>
                <w:sz w:val="20"/>
                <w:szCs w:val="20"/>
              </w:rPr>
              <w:t xml:space="preserve">ln_data_tb</w:t>
            </w:r>
          </w:p>
        </w:tc>
        <w:tc>
          <w:tcPr>
            <w:tcW w:w="0" w:type="auto"/>
          </w:tcPr>
          <w:p>
            <w:pPr>
              <w:spacing w:line="240" w:lineRule="auto" w:before="0" w:after="0"/>
              <w:pStyle w:val="Compact"/>
            </w:pPr>
            <w:r>
              <w:rPr>
                <w:sz w:val="20"/>
                <w:szCs w:val="20"/>
              </w:rPr>
              <w:t xml:space="preserve">data_tb</w:t>
            </w:r>
          </w:p>
        </w:tc>
        <w:tc>
          <w:tcPr>
            <w:tcW w:w="0" w:type="auto"/>
          </w:tcPr>
          <w:p>
            <w:pPr>
              <w:spacing w:line="240" w:lineRule="auto" w:before="0" w:after="0"/>
              <w:pStyle w:val="Compact"/>
            </w:pPr>
            <w:r>
              <w:rPr>
                <w:sz w:val="20"/>
                <w:szCs w:val="20"/>
              </w:rPr>
              <w:t xml:space="preserve">ln_cost</w:t>
            </w:r>
          </w:p>
        </w:tc>
        <w:tc>
          <w:tcPr>
            <w:tcW w:w="0" w:type="auto"/>
          </w:tcPr>
          <w:p>
            <w:pPr>
              <w:spacing w:line="240" w:lineRule="auto" w:before="0" w:after="0"/>
              <w:pStyle w:val="Compact"/>
            </w:pPr>
            <w:r>
              <w:rPr>
                <w:sz w:val="20"/>
                <w:szCs w:val="20"/>
              </w:rPr>
              <w:t xml:space="preserve">cost_musd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IUE</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8.538</w:t>
            </w:r>
          </w:p>
        </w:tc>
        <w:tc>
          <w:tcPr>
            <w:tcW w:w="0" w:type="auto"/>
          </w:tcPr>
          <w:p>
            <w:pPr>
              <w:spacing w:line="240" w:lineRule="auto" w:before="0" w:after="0"/>
              <w:pStyle w:val="Compact"/>
            </w:pPr>
            <w:r>
              <w:rPr>
                <w:sz w:val="20"/>
                <w:szCs w:val="20"/>
              </w:rPr>
              <w:t xml:space="preserve">5105</w:t>
            </w:r>
          </w:p>
        </w:tc>
        <w:tc>
          <w:tcPr>
            <w:tcW w:w="0" w:type="auto"/>
          </w:tcPr>
          <w:p>
            <w:pPr>
              <w:spacing w:line="240" w:lineRule="auto" w:before="0" w:after="0"/>
              <w:pStyle w:val="Compact"/>
            </w:pPr>
            <w:r>
              <w:rPr>
                <w:sz w:val="20"/>
                <w:szCs w:val="20"/>
              </w:rPr>
              <w:t xml:space="preserve">2.8904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7.0901</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Pubs=5105 refereed to end-2021 (ESA Mission Publications, arXiv:2402.12818, Table 1); ops 1978-1996=18y (</w:t>
            </w:r>
            <w:r>
              <w:rPr>
                <w:sz w:val="20"/>
                <w:szCs w:val="20"/>
              </w:rPr>
              <w:t xml:space="preserve">‘Operations’</w:t>
            </w:r>
            <w:r>
              <w:rPr>
                <w:sz w:val="20"/>
                <w:szCs w:val="20"/>
              </w:rPr>
              <w:t xml:space="preserve"> </w:t>
            </w:r>
            <w:r>
              <w:rPr>
                <w:sz w:val="20"/>
                <w:szCs w:val="20"/>
              </w:rPr>
              <w:t xml:space="preserve">column same source); observatory-class open-community UV spectrograph (IUE guest-observer program); IUE archive ~3 TB UV spectra at MAST [illustrative]; ESA/NASA IUE lifecycle ~$1.2B region [illustrative]</w:t>
            </w:r>
          </w:p>
        </w:tc>
      </w:tr>
      <w:tr>
        <w:tc>
          <w:tcPr>
            <w:tcW w:w="0" w:type="auto"/>
          </w:tcPr>
          <w:p>
            <w:pPr>
              <w:spacing w:line="240" w:lineRule="auto" w:before="0" w:after="0"/>
              <w:pStyle w:val="Compact"/>
            </w:pPr>
            <w:r>
              <w:rPr>
                <w:sz w:val="20"/>
                <w:szCs w:val="20"/>
              </w:rPr>
              <w:t xml:space="preserve">Exosat</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6.6107</w:t>
            </w:r>
          </w:p>
        </w:tc>
        <w:tc>
          <w:tcPr>
            <w:tcW w:w="0" w:type="auto"/>
          </w:tcPr>
          <w:p>
            <w:pPr>
              <w:spacing w:line="240" w:lineRule="auto" w:before="0" w:after="0"/>
              <w:pStyle w:val="Compact"/>
            </w:pPr>
            <w:r>
              <w:rPr>
                <w:sz w:val="20"/>
                <w:szCs w:val="20"/>
              </w:rPr>
              <w:t xml:space="preserve">743</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6.2146</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Pubs=743 refereed to end-2021 (ESA, arXiv:2402.12818, Table 1); ops 1983-1986=4y; observatory-class X-ray facility; EXOSAT archive ~0.2 TB [illustrative]; ESA EXOSAT cost ~$500M [illustrative]</w:t>
            </w:r>
          </w:p>
        </w:tc>
      </w:tr>
      <w:tr>
        <w:tc>
          <w:tcPr>
            <w:tcW w:w="0" w:type="auto"/>
          </w:tcPr>
          <w:p>
            <w:pPr>
              <w:spacing w:line="240" w:lineRule="auto" w:before="0" w:after="0"/>
              <w:pStyle w:val="Compact"/>
            </w:pPr>
            <w:r>
              <w:rPr>
                <w:sz w:val="20"/>
                <w:szCs w:val="20"/>
              </w:rPr>
              <w:t xml:space="preserve">Giotto</w:t>
            </w:r>
          </w:p>
        </w:tc>
        <w:tc>
          <w:tcPr>
            <w:tcW w:w="0" w:type="auto"/>
          </w:tcPr>
          <w:p>
            <w:pPr>
              <w:spacing w:line="240" w:lineRule="auto" w:before="0" w:after="0"/>
              <w:pStyle w:val="Compact"/>
            </w:pPr>
            <w:r>
              <w:rPr>
                <w:sz w:val="20"/>
                <w:szCs w:val="20"/>
              </w:rPr>
              <w:t xml:space="preserve">planetary</w:t>
            </w:r>
          </w:p>
        </w:tc>
        <w:tc>
          <w:tcPr>
            <w:tcW w:w="0" w:type="auto"/>
          </w:tcPr>
          <w:p>
            <w:pPr>
              <w:spacing w:line="240" w:lineRule="auto" w:before="0" w:after="0"/>
              <w:pStyle w:val="Compact"/>
            </w:pPr>
            <w:r>
              <w:rPr>
                <w:sz w:val="20"/>
                <w:szCs w:val="20"/>
              </w:rPr>
              <w:t xml:space="preserve">5.5835</w:t>
            </w:r>
          </w:p>
        </w:tc>
        <w:tc>
          <w:tcPr>
            <w:tcW w:w="0" w:type="auto"/>
          </w:tcPr>
          <w:p>
            <w:pPr>
              <w:spacing w:line="240" w:lineRule="auto" w:before="0" w:after="0"/>
              <w:pStyle w:val="Compact"/>
            </w:pPr>
            <w:r>
              <w:rPr>
                <w:sz w:val="20"/>
                <w:szCs w:val="20"/>
              </w:rPr>
              <w:t xml:space="preserve">266</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-3.2189</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5.7038</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Pubs=266 refereed to end-2021 (ESA, arXiv:2402.12818, Table 1); ops 1985-1992=7y; single-target comet flyby probe; archive ~0.04 TB [illustrative]; ESA Giotto cost ~$300M [illustrative]</w:t>
            </w:r>
          </w:p>
        </w:tc>
      </w:tr>
      <w:tr>
        <w:tc>
          <w:tcPr>
            <w:tcW w:w="0" w:type="auto"/>
          </w:tcPr>
          <w:p>
            <w:pPr>
              <w:spacing w:line="240" w:lineRule="auto" w:before="0" w:after="0"/>
              <w:pStyle w:val="Compact"/>
            </w:pPr>
            <w:r>
              <w:rPr>
                <w:sz w:val="20"/>
                <w:szCs w:val="20"/>
              </w:rPr>
              <w:t xml:space="preserve">Hipparcos</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7.898</w:t>
            </w:r>
          </w:p>
        </w:tc>
        <w:tc>
          <w:tcPr>
            <w:tcW w:w="0" w:type="auto"/>
          </w:tcPr>
          <w:p>
            <w:pPr>
              <w:spacing w:line="240" w:lineRule="auto" w:before="0" w:after="0"/>
              <w:pStyle w:val="Compact"/>
            </w:pPr>
            <w:r>
              <w:rPr>
                <w:sz w:val="20"/>
                <w:szCs w:val="20"/>
              </w:rPr>
              <w:t xml:space="preserve">2692</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6.4615</w:t>
            </w:r>
          </w:p>
        </w:tc>
        <w:tc>
          <w:tcPr>
            <w:tcW w:w="0" w:type="auto"/>
          </w:tcPr>
          <w:p>
            <w:pPr>
              <w:spacing w:line="240" w:lineRule="auto" w:before="0" w:after="0"/>
              <w:pStyle w:val="Compact"/>
            </w:pPr>
            <w:r>
              <w:rPr>
                <w:sz w:val="20"/>
                <w:szCs w:val="20"/>
              </w:rPr>
              <w:t xml:space="preserve">640</w:t>
            </w:r>
          </w:p>
        </w:tc>
        <w:tc>
          <w:tcPr>
            <w:tcW w:w="0" w:type="auto"/>
          </w:tcPr>
          <w:p>
            <w:pPr>
              <w:spacing w:line="240" w:lineRule="auto" w:before="0" w:after="0"/>
              <w:pStyle w:val="Compact"/>
            </w:pPr>
            <w:r>
              <w:rPr>
                <w:sz w:val="20"/>
                <w:szCs w:val="20"/>
              </w:rPr>
              <w:t xml:space="preserve">Pubs=2692 refereed to end-2021 (ESA, arXiv:2402.12818, Table 1); ops 1989-1993=4y; all-sky astrometric survey (observatory-class catalogue); Hipparcos catalogue ~0.5 TB [illustrative]; ESA Hipparcos cost ~$640M region [illustrative]</w:t>
            </w:r>
          </w:p>
        </w:tc>
      </w:tr>
      <w:tr>
        <w:tc>
          <w:tcPr>
            <w:tcW w:w="0" w:type="auto"/>
          </w:tcPr>
          <w:p>
            <w:pPr>
              <w:spacing w:line="240" w:lineRule="auto" w:before="0" w:after="0"/>
              <w:pStyle w:val="Compact"/>
            </w:pPr>
            <w:r>
              <w:rPr>
                <w:sz w:val="20"/>
                <w:szCs w:val="20"/>
              </w:rPr>
              <w:t xml:space="preserve">Ulysses</w:t>
            </w:r>
          </w:p>
        </w:tc>
        <w:tc>
          <w:tcPr>
            <w:tcW w:w="0" w:type="auto"/>
          </w:tcPr>
          <w:p>
            <w:pPr>
              <w:spacing w:line="240" w:lineRule="auto" w:before="0" w:after="0"/>
              <w:pStyle w:val="Compact"/>
            </w:pPr>
            <w:r>
              <w:rPr>
                <w:sz w:val="20"/>
                <w:szCs w:val="20"/>
              </w:rPr>
              <w:t xml:space="preserve">heliophysics</w:t>
            </w:r>
          </w:p>
        </w:tc>
        <w:tc>
          <w:tcPr>
            <w:tcW w:w="0" w:type="auto"/>
          </w:tcPr>
          <w:p>
            <w:pPr>
              <w:spacing w:line="240" w:lineRule="auto" w:before="0" w:after="0"/>
              <w:pStyle w:val="Compact"/>
            </w:pPr>
            <w:r>
              <w:rPr>
                <w:sz w:val="20"/>
                <w:szCs w:val="20"/>
              </w:rPr>
              <w:t xml:space="preserve">7.5757</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2.9444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-0.5108</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6.5511</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Pubs=1950 refereed to end-2021 (ESA, arXiv:2402.12818, Table 1); ops 1990-2009=19y; heliophysics open-community survey of the heliosphere; archive ~0.6 TB [illustrative]; ESA/NASA Ulysses ~$700M region [illustrative]</w:t>
            </w:r>
          </w:p>
        </w:tc>
      </w:tr>
      <w:tr>
        <w:tc>
          <w:tcPr>
            <w:tcW w:w="0" w:type="auto"/>
          </w:tcPr>
          <w:p>
            <w:pPr>
              <w:spacing w:line="240" w:lineRule="auto" w:before="0" w:after="0"/>
              <w:pStyle w:val="Compact"/>
            </w:pPr>
            <w:r>
              <w:rPr>
                <w:sz w:val="20"/>
                <w:szCs w:val="20"/>
              </w:rPr>
              <w:t xml:space="preserve">ISO</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7.6316</w:t>
            </w:r>
          </w:p>
        </w:tc>
        <w:tc>
          <w:tcPr>
            <w:tcW w:w="0" w:type="auto"/>
          </w:tcPr>
          <w:p>
            <w:pPr>
              <w:spacing w:line="240" w:lineRule="auto" w:before="0" w:after="0"/>
              <w:pStyle w:val="Compact"/>
            </w:pPr>
            <w:r>
              <w:rPr>
                <w:sz w:val="20"/>
                <w:szCs w:val="20"/>
              </w:rPr>
              <w:t xml:space="preserve">2062</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-0.3567</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6.8978</w:t>
            </w:r>
          </w:p>
        </w:tc>
        <w:tc>
          <w:tcPr>
            <w:tcW w:w="0" w:type="auto"/>
          </w:tcPr>
          <w:p>
            <w:pPr>
              <w:spacing w:line="240" w:lineRule="auto" w:before="0" w:after="0"/>
              <w:pStyle w:val="Compact"/>
            </w:pPr>
            <w:r>
              <w:rPr>
                <w:sz w:val="20"/>
                <w:szCs w:val="20"/>
              </w:rPr>
              <w:t xml:space="preserve">990</w:t>
            </w:r>
          </w:p>
        </w:tc>
        <w:tc>
          <w:tcPr>
            <w:tcW w:w="0" w:type="auto"/>
          </w:tcPr>
          <w:p>
            <w:pPr>
              <w:spacing w:line="240" w:lineRule="auto" w:before="0" w:after="0"/>
              <w:pStyle w:val="Compact"/>
            </w:pPr>
            <w:r>
              <w:rPr>
                <w:sz w:val="20"/>
                <w:szCs w:val="20"/>
              </w:rPr>
              <w:t xml:space="preserve">Pubs=2062 refereed to end-2021 (ESA, arXiv:2402.12818, Table 1); ops 1995-1998=3y; observatory-class infrared facility (guest-observer); ISO archive ~0.7 TB [illustrative]; ESA ISO cost ~$990M [illustrative]</w:t>
            </w:r>
          </w:p>
        </w:tc>
      </w:tr>
      <w:tr>
        <w:tc>
          <w:tcPr>
            <w:tcW w:w="0" w:type="auto"/>
          </w:tcPr>
          <w:p>
            <w:pPr>
              <w:spacing w:line="240" w:lineRule="auto" w:before="0" w:after="0"/>
              <w:pStyle w:val="Compact"/>
            </w:pPr>
            <w:r>
              <w:rPr>
                <w:sz w:val="20"/>
                <w:szCs w:val="20"/>
              </w:rPr>
              <w:t xml:space="preserve">SOHO</w:t>
            </w:r>
          </w:p>
        </w:tc>
        <w:tc>
          <w:tcPr>
            <w:tcW w:w="0" w:type="auto"/>
          </w:tcPr>
          <w:p>
            <w:pPr>
              <w:spacing w:line="240" w:lineRule="auto" w:before="0" w:after="0"/>
              <w:pStyle w:val="Compact"/>
            </w:pPr>
            <w:r>
              <w:rPr>
                <w:sz w:val="20"/>
                <w:szCs w:val="20"/>
              </w:rPr>
              <w:t xml:space="preserve">heliophysics</w:t>
            </w:r>
          </w:p>
        </w:tc>
        <w:tc>
          <w:tcPr>
            <w:tcW w:w="0" w:type="auto"/>
          </w:tcPr>
          <w:p>
            <w:pPr>
              <w:spacing w:line="240" w:lineRule="auto" w:before="0" w:after="0"/>
              <w:pStyle w:val="Compact"/>
            </w:pPr>
            <w:r>
              <w:rPr>
                <w:sz w:val="20"/>
                <w:szCs w:val="20"/>
              </w:rPr>
              <w:t xml:space="preserve">8.7407</w:t>
            </w:r>
          </w:p>
        </w:tc>
        <w:tc>
          <w:tcPr>
            <w:tcW w:w="0" w:type="auto"/>
          </w:tcPr>
          <w:p>
            <w:pPr>
              <w:spacing w:line="240" w:lineRule="auto" w:before="0" w:after="0"/>
              <w:pStyle w:val="Compact"/>
            </w:pPr>
            <w:r>
              <w:rPr>
                <w:sz w:val="20"/>
                <w:szCs w:val="20"/>
              </w:rPr>
              <w:t xml:space="preserve">6252</w:t>
            </w:r>
          </w:p>
        </w:tc>
        <w:tc>
          <w:tcPr>
            <w:tcW w:w="0" w:type="auto"/>
          </w:tcPr>
          <w:p>
            <w:pPr>
              <w:spacing w:line="240" w:lineRule="auto" w:before="0" w:after="0"/>
              <w:pStyle w:val="Compact"/>
            </w:pPr>
            <w:r>
              <w:rPr>
                <w:sz w:val="20"/>
                <w:szCs w:val="20"/>
              </w:rPr>
              <w:t xml:space="preserve">3.2581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7.0901</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Pubs=6252 refereed to end-2021 (ESA, arXiv:2402.12818, Table 1); ops 1995-2021=26y; heliophysics open-community solar observatory; SOHO archive ~15 TB [illustrative]; ESA/NASA SOHO cost ~$1.2B region [illustrative]</w:t>
            </w:r>
          </w:p>
        </w:tc>
      </w:tr>
      <w:tr>
        <w:tc>
          <w:tcPr>
            <w:tcW w:w="0" w:type="auto"/>
          </w:tcPr>
          <w:p>
            <w:pPr>
              <w:spacing w:line="240" w:lineRule="auto" w:before="0" w:after="0"/>
              <w:pStyle w:val="Compact"/>
            </w:pPr>
            <w:r>
              <w:rPr>
                <w:sz w:val="20"/>
                <w:szCs w:val="20"/>
              </w:rPr>
              <w:t xml:space="preserve">Huygens</w:t>
            </w:r>
          </w:p>
        </w:tc>
        <w:tc>
          <w:tcPr>
            <w:tcW w:w="0" w:type="auto"/>
          </w:tcPr>
          <w:p>
            <w:pPr>
              <w:spacing w:line="240" w:lineRule="auto" w:before="0" w:after="0"/>
              <w:pStyle w:val="Compact"/>
            </w:pPr>
            <w:r>
              <w:rPr>
                <w:sz w:val="20"/>
                <w:szCs w:val="20"/>
              </w:rPr>
              <w:t xml:space="preserve">planetary</w:t>
            </w:r>
          </w:p>
        </w:tc>
        <w:tc>
          <w:tcPr>
            <w:tcW w:w="0" w:type="auto"/>
          </w:tcPr>
          <w:p>
            <w:pPr>
              <w:spacing w:line="240" w:lineRule="auto" w:before="0" w:after="0"/>
              <w:pStyle w:val="Compact"/>
            </w:pPr>
            <w:r>
              <w:rPr>
                <w:sz w:val="20"/>
                <w:szCs w:val="20"/>
              </w:rPr>
              <w:t xml:space="preserve">5.4027</w:t>
            </w:r>
          </w:p>
        </w:tc>
        <w:tc>
          <w:tcPr>
            <w:tcW w:w="0" w:type="auto"/>
          </w:tcPr>
          <w:p>
            <w:pPr>
              <w:spacing w:line="240" w:lineRule="auto" w:before="0" w:after="0"/>
              <w:pStyle w:val="Compact"/>
            </w:pPr>
            <w:r>
              <w:rPr>
                <w:sz w:val="20"/>
                <w:szCs w:val="20"/>
              </w:rPr>
              <w:t xml:space="preserve">222</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6.9078</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Pubs=222 refereed to end-2021 (ESA, arXiv:2402.12818, Table 1); ops 1997-2005=8y; single-target Titan descent probe; archive ~0.1 TB [illustrative]; ESA Huygens probe ~$1.0B [illustrative]</w:t>
            </w:r>
          </w:p>
        </w:tc>
      </w:tr>
      <w:tr>
        <w:tc>
          <w:tcPr>
            <w:tcW w:w="0" w:type="auto"/>
          </w:tcPr>
          <w:p>
            <w:pPr>
              <w:spacing w:line="240" w:lineRule="auto" w:before="0" w:after="0"/>
              <w:pStyle w:val="Compact"/>
            </w:pPr>
            <w:r>
              <w:rPr>
                <w:sz w:val="20"/>
                <w:szCs w:val="20"/>
              </w:rPr>
              <w:t xml:space="preserve">XMM-Newton</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8.8482</w:t>
            </w:r>
          </w:p>
        </w:tc>
        <w:tc>
          <w:tcPr>
            <w:tcW w:w="0" w:type="auto"/>
          </w:tcPr>
          <w:p>
            <w:pPr>
              <w:spacing w:line="240" w:lineRule="auto" w:before="0" w:after="0"/>
              <w:pStyle w:val="Compact"/>
            </w:pPr>
            <w:r>
              <w:rPr>
                <w:sz w:val="20"/>
                <w:szCs w:val="20"/>
              </w:rPr>
              <w:t xml:space="preserve">6963</w:t>
            </w:r>
          </w:p>
        </w:tc>
        <w:tc>
          <w:tcPr>
            <w:tcW w:w="0" w:type="auto"/>
          </w:tcPr>
          <w:p>
            <w:pPr>
              <w:spacing w:line="240" w:lineRule="auto" w:before="0" w:after="0"/>
              <w:pStyle w:val="Compact"/>
            </w:pPr>
            <w:r>
              <w:rPr>
                <w:sz w:val="20"/>
                <w:szCs w:val="20"/>
              </w:rPr>
              <w:t xml:space="preserve">3.091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4.5747</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7.1701</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Pubs=6963 refereed to end-2021 (ESA, arXiv:2402.12818, Table 1); ops 1999-2021=22y; observatory-class X-ray facility (guest-observer); XMM Science Archive ~97 TB [illustrative, XSA]; ESA XMM ~$1.3B [illustrative]</w:t>
            </w:r>
          </w:p>
        </w:tc>
      </w:tr>
      <w:tr>
        <w:tc>
          <w:tcPr>
            <w:tcW w:w="0" w:type="auto"/>
          </w:tcPr>
          <w:p>
            <w:pPr>
              <w:spacing w:line="240" w:lineRule="auto" w:before="0" w:after="0"/>
              <w:pStyle w:val="Compact"/>
            </w:pPr>
            <w:r>
              <w:rPr>
                <w:sz w:val="20"/>
                <w:szCs w:val="20"/>
              </w:rPr>
              <w:t xml:space="preserve">Cluster</w:t>
            </w:r>
          </w:p>
        </w:tc>
        <w:tc>
          <w:tcPr>
            <w:tcW w:w="0" w:type="auto"/>
          </w:tcPr>
          <w:p>
            <w:pPr>
              <w:spacing w:line="240" w:lineRule="auto" w:before="0" w:after="0"/>
              <w:pStyle w:val="Compact"/>
            </w:pPr>
            <w:r>
              <w:rPr>
                <w:sz w:val="20"/>
                <w:szCs w:val="20"/>
              </w:rPr>
              <w:t xml:space="preserve">heliophysics</w:t>
            </w:r>
          </w:p>
        </w:tc>
        <w:tc>
          <w:tcPr>
            <w:tcW w:w="0" w:type="auto"/>
          </w:tcPr>
          <w:p>
            <w:pPr>
              <w:spacing w:line="240" w:lineRule="auto" w:before="0" w:after="0"/>
              <w:pStyle w:val="Compact"/>
            </w:pPr>
            <w:r>
              <w:rPr>
                <w:sz w:val="20"/>
                <w:szCs w:val="20"/>
              </w:rPr>
              <w:t xml:space="preserve">7.9938</w:t>
            </w:r>
          </w:p>
        </w:tc>
        <w:tc>
          <w:tcPr>
            <w:tcW w:w="0" w:type="auto"/>
          </w:tcPr>
          <w:p>
            <w:pPr>
              <w:spacing w:line="240" w:lineRule="auto" w:before="0" w:after="0"/>
              <w:pStyle w:val="Compact"/>
            </w:pPr>
            <w:r>
              <w:rPr>
                <w:sz w:val="20"/>
                <w:szCs w:val="20"/>
              </w:rPr>
              <w:t xml:space="preserve">2962</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7.0901</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Pubs=2962 refereed to end-2021 (ESA, arXiv:2402.12818, Table 1); ops 2000-2021=21y; heliophysics 4-spacecraft magnetospheric survey; archive ~2 TB [illustrative]; ESA Cluster II ~$1.2B region [illustrative]</w:t>
            </w:r>
          </w:p>
        </w:tc>
      </w:tr>
      <w:tr>
        <w:tc>
          <w:tcPr>
            <w:tcW w:w="0" w:type="auto"/>
          </w:tcPr>
          <w:p>
            <w:pPr>
              <w:spacing w:line="240" w:lineRule="auto" w:before="0" w:after="0"/>
              <w:pStyle w:val="Compact"/>
            </w:pPr>
            <w:r>
              <w:rPr>
                <w:sz w:val="20"/>
                <w:szCs w:val="20"/>
              </w:rPr>
              <w:t xml:space="preserve">INTEGRAL</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7.5519</w:t>
            </w:r>
          </w:p>
        </w:tc>
        <w:tc>
          <w:tcPr>
            <w:tcW w:w="0" w:type="auto"/>
          </w:tcPr>
          <w:p>
            <w:pPr>
              <w:spacing w:line="240" w:lineRule="auto" w:before="0" w:after="0"/>
              <w:pStyle w:val="Compact"/>
            </w:pPr>
            <w:r>
              <w:rPr>
                <w:sz w:val="20"/>
                <w:szCs w:val="20"/>
              </w:rPr>
              <w:t xml:space="preserve">1904</w:t>
            </w:r>
          </w:p>
        </w:tc>
        <w:tc>
          <w:tcPr>
            <w:tcW w:w="0" w:type="auto"/>
          </w:tcPr>
          <w:p>
            <w:pPr>
              <w:spacing w:line="240" w:lineRule="auto" w:before="0" w:after="0"/>
              <w:pStyle w:val="Compact"/>
            </w:pPr>
            <w:r>
              <w:rPr>
                <w:sz w:val="20"/>
                <w:szCs w:val="20"/>
              </w:rPr>
              <w:t xml:space="preserve">2.9444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6.5793</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Pubs=1904 refereed to end-2021 (ESA, arXiv:2402.12818, Table 1); ops 2002-2021=19y; observatory-class gamma-ray facility; archive ~2 TB [illustrative]; ESA INTEGRAL ~$720M [illustrative]</w:t>
            </w:r>
          </w:p>
        </w:tc>
      </w:tr>
      <w:tr>
        <w:tc>
          <w:tcPr>
            <w:tcW w:w="0" w:type="auto"/>
          </w:tcPr>
          <w:p>
            <w:pPr>
              <w:spacing w:line="240" w:lineRule="auto" w:before="0" w:after="0"/>
              <w:pStyle w:val="Compact"/>
            </w:pPr>
            <w:r>
              <w:rPr>
                <w:sz w:val="20"/>
                <w:szCs w:val="20"/>
              </w:rPr>
              <w:t xml:space="preserve">SMART-1</w:t>
            </w:r>
          </w:p>
        </w:tc>
        <w:tc>
          <w:tcPr>
            <w:tcW w:w="0" w:type="auto"/>
          </w:tcPr>
          <w:p>
            <w:pPr>
              <w:spacing w:line="240" w:lineRule="auto" w:before="0" w:after="0"/>
              <w:pStyle w:val="Compact"/>
            </w:pPr>
            <w:r>
              <w:rPr>
                <w:sz w:val="20"/>
                <w:szCs w:val="20"/>
              </w:rPr>
              <w:t xml:space="preserve">planetary</w:t>
            </w:r>
          </w:p>
        </w:tc>
        <w:tc>
          <w:tcPr>
            <w:tcW w:w="0" w:type="auto"/>
          </w:tcPr>
          <w:p>
            <w:pPr>
              <w:spacing w:line="240" w:lineRule="auto" w:before="0" w:after="0"/>
              <w:pStyle w:val="Compact"/>
            </w:pPr>
            <w:r>
              <w:rPr>
                <w:sz w:val="20"/>
                <w:szCs w:val="20"/>
              </w:rPr>
              <w:t xml:space="preserve">4.2485</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5.0106</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Pubs=70 refereed to end-2021 (ESA, arXiv:2402.12818, Table 1); ops 2003-2006=3y; single-target lunar technology probe; archive ~0.05 TB [illustrative]; ESA SMART-1 ~$150M [illustrative]</w:t>
            </w:r>
          </w:p>
        </w:tc>
      </w:tr>
      <w:tr>
        <w:tc>
          <w:tcPr>
            <w:tcW w:w="0" w:type="auto"/>
          </w:tcPr>
          <w:p>
            <w:pPr>
              <w:spacing w:line="240" w:lineRule="auto" w:before="0" w:after="0"/>
              <w:pStyle w:val="Compact"/>
            </w:pPr>
            <w:r>
              <w:rPr>
                <w:sz w:val="20"/>
                <w:szCs w:val="20"/>
              </w:rPr>
              <w:t xml:space="preserve">Mars Express</w:t>
            </w:r>
          </w:p>
        </w:tc>
        <w:tc>
          <w:tcPr>
            <w:tcW w:w="0" w:type="auto"/>
          </w:tcPr>
          <w:p>
            <w:pPr>
              <w:spacing w:line="240" w:lineRule="auto" w:before="0" w:after="0"/>
              <w:pStyle w:val="Compact"/>
            </w:pPr>
            <w:r>
              <w:rPr>
                <w:sz w:val="20"/>
                <w:szCs w:val="20"/>
              </w:rPr>
              <w:t xml:space="preserve">planetary</w:t>
            </w:r>
          </w:p>
        </w:tc>
        <w:tc>
          <w:tcPr>
            <w:tcW w:w="0" w:type="auto"/>
          </w:tcPr>
          <w:p>
            <w:pPr>
              <w:spacing w:line="240" w:lineRule="auto" w:before="0" w:after="0"/>
              <w:pStyle w:val="Compact"/>
            </w:pPr>
            <w:r>
              <w:rPr>
                <w:sz w:val="20"/>
                <w:szCs w:val="20"/>
              </w:rPr>
              <w:t xml:space="preserve">7.2889</w:t>
            </w:r>
          </w:p>
        </w:tc>
        <w:tc>
          <w:tcPr>
            <w:tcW w:w="0" w:type="auto"/>
          </w:tcPr>
          <w:p>
            <w:pPr>
              <w:spacing w:line="240" w:lineRule="auto" w:before="0" w:after="0"/>
              <w:pStyle w:val="Compact"/>
            </w:pPr>
            <w:r>
              <w:rPr>
                <w:sz w:val="20"/>
                <w:szCs w:val="20"/>
              </w:rPr>
              <w:t xml:space="preserve">1464</w:t>
            </w:r>
          </w:p>
        </w:tc>
        <w:tc>
          <w:tcPr>
            <w:tcW w:w="0" w:type="auto"/>
          </w:tcPr>
          <w:p>
            <w:pPr>
              <w:spacing w:line="240" w:lineRule="auto" w:before="0" w:after="0"/>
              <w:pStyle w:val="Compact"/>
            </w:pPr>
            <w:r>
              <w:rPr>
                <w:sz w:val="20"/>
                <w:szCs w:val="20"/>
              </w:rPr>
              <w:t xml:space="preserve">2.8904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4.9488</w:t>
            </w:r>
          </w:p>
        </w:tc>
        <w:tc>
          <w:tcPr>
            <w:tcW w:w="0" w:type="auto"/>
          </w:tcPr>
          <w:p>
            <w:pPr>
              <w:spacing w:line="240" w:lineRule="auto" w:before="0" w:after="0"/>
              <w:pStyle w:val="Compact"/>
            </w:pPr>
            <w:r>
              <w:rPr>
                <w:sz w:val="20"/>
                <w:szCs w:val="20"/>
              </w:rPr>
              <w:t xml:space="preserve">141</w:t>
            </w:r>
          </w:p>
        </w:tc>
        <w:tc>
          <w:tcPr>
            <w:tcW w:w="0" w:type="auto"/>
          </w:tcPr>
          <w:p>
            <w:pPr>
              <w:spacing w:line="240" w:lineRule="auto" w:before="0" w:after="0"/>
              <w:pStyle w:val="Compact"/>
            </w:pPr>
            <w:r>
              <w:rPr>
                <w:sz w:val="20"/>
                <w:szCs w:val="20"/>
              </w:rPr>
              <w:t xml:space="preserve">Pubs=1464 refereed to end-2021 (ESA, arXiv:2402.12818, Table 1); ops 2003-2021=18y; single-target Mars orbiter; archive ~3 TB [illustrative]; ESA Mars Express cost ~€150M ~$141M (ESA mission cost)</w:t>
            </w:r>
          </w:p>
        </w:tc>
      </w:tr>
      <w:tr>
        <w:tc>
          <w:tcPr>
            <w:tcW w:w="0" w:type="auto"/>
          </w:tcPr>
          <w:p>
            <w:pPr>
              <w:spacing w:line="240" w:lineRule="auto" w:before="0" w:after="0"/>
              <w:pStyle w:val="Compact"/>
            </w:pPr>
            <w:r>
              <w:rPr>
                <w:sz w:val="20"/>
                <w:szCs w:val="20"/>
              </w:rPr>
              <w:t xml:space="preserve">Rosetta</w:t>
            </w:r>
          </w:p>
        </w:tc>
        <w:tc>
          <w:tcPr>
            <w:tcW w:w="0" w:type="auto"/>
          </w:tcPr>
          <w:p>
            <w:pPr>
              <w:spacing w:line="240" w:lineRule="auto" w:before="0" w:after="0"/>
              <w:pStyle w:val="Compact"/>
            </w:pPr>
            <w:r>
              <w:rPr>
                <w:sz w:val="20"/>
                <w:szCs w:val="20"/>
              </w:rPr>
              <w:t xml:space="preserve">planetary</w:t>
            </w:r>
          </w:p>
        </w:tc>
        <w:tc>
          <w:tcPr>
            <w:tcW w:w="0" w:type="auto"/>
          </w:tcPr>
          <w:p>
            <w:pPr>
              <w:spacing w:line="240" w:lineRule="auto" w:before="0" w:after="0"/>
              <w:pStyle w:val="Compact"/>
            </w:pPr>
            <w:r>
              <w:rPr>
                <w:sz w:val="20"/>
                <w:szCs w:val="20"/>
              </w:rPr>
              <w:t xml:space="preserve">7.1806</w:t>
            </w:r>
          </w:p>
        </w:tc>
        <w:tc>
          <w:tcPr>
            <w:tcW w:w="0" w:type="auto"/>
          </w:tcPr>
          <w:p>
            <w:pPr>
              <w:spacing w:line="240" w:lineRule="auto" w:before="0" w:after="0"/>
              <w:pStyle w:val="Compact"/>
            </w:pPr>
            <w:r>
              <w:rPr>
                <w:sz w:val="20"/>
                <w:szCs w:val="20"/>
              </w:rPr>
              <w:t xml:space="preserve">1314</w:t>
            </w:r>
          </w:p>
        </w:tc>
        <w:tc>
          <w:tcPr>
            <w:tcW w:w="0" w:type="auto"/>
          </w:tcPr>
          <w:p>
            <w:pPr>
              <w:spacing w:line="240" w:lineRule="auto" w:before="0" w:after="0"/>
              <w:pStyle w:val="Compact"/>
            </w:pPr>
            <w:r>
              <w:rPr>
                <w:sz w:val="20"/>
                <w:szCs w:val="20"/>
              </w:rPr>
              <w:t xml:space="preserve">2.4849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0.5878</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8.0709</w:t>
            </w:r>
          </w:p>
        </w:tc>
        <w:tc>
          <w:tcPr>
            <w:tcW w:w="0" w:type="auto"/>
          </w:tcPr>
          <w:p>
            <w:pPr>
              <w:spacing w:line="240" w:lineRule="auto" w:before="0" w:after="0"/>
              <w:pStyle w:val="Compact"/>
            </w:pPr>
            <w:r>
              <w:rPr>
                <w:sz w:val="20"/>
                <w:szCs w:val="20"/>
              </w:rPr>
              <w:t xml:space="preserve">3200</w:t>
            </w:r>
          </w:p>
        </w:tc>
        <w:tc>
          <w:tcPr>
            <w:tcW w:w="0" w:type="auto"/>
          </w:tcPr>
          <w:p>
            <w:pPr>
              <w:spacing w:line="240" w:lineRule="auto" w:before="0" w:after="0"/>
              <w:pStyle w:val="Compact"/>
            </w:pPr>
            <w:r>
              <w:rPr>
                <w:sz w:val="20"/>
                <w:szCs w:val="20"/>
              </w:rPr>
              <w:t xml:space="preserve">Pubs=1314 refereed to end-2021 (ESA, arXiv:2402.12818, Table 1); ops 2004-2016=12y; single-target comet 67P rendezvous; archive ~1.8 TB [illustrative]; ESA Rosetta program ~€1.4B ~$3.2B [illustrative USD]</w:t>
            </w:r>
          </w:p>
        </w:tc>
      </w:tr>
      <w:tr>
        <w:tc>
          <w:tcPr>
            <w:tcW w:w="0" w:type="auto"/>
          </w:tcPr>
          <w:p>
            <w:pPr>
              <w:spacing w:line="240" w:lineRule="auto" w:before="0" w:after="0"/>
              <w:pStyle w:val="Compact"/>
            </w:pPr>
            <w:r>
              <w:rPr>
                <w:sz w:val="20"/>
                <w:szCs w:val="20"/>
              </w:rPr>
              <w:t xml:space="preserve">Venus Express</w:t>
            </w:r>
          </w:p>
        </w:tc>
        <w:tc>
          <w:tcPr>
            <w:tcW w:w="0" w:type="auto"/>
          </w:tcPr>
          <w:p>
            <w:pPr>
              <w:spacing w:line="240" w:lineRule="auto" w:before="0" w:after="0"/>
              <w:pStyle w:val="Compact"/>
            </w:pPr>
            <w:r>
              <w:rPr>
                <w:sz w:val="20"/>
                <w:szCs w:val="20"/>
              </w:rPr>
              <w:t xml:space="preserve">planetary</w:t>
            </w:r>
          </w:p>
        </w:tc>
        <w:tc>
          <w:tcPr>
            <w:tcW w:w="0" w:type="auto"/>
          </w:tcPr>
          <w:p>
            <w:pPr>
              <w:spacing w:line="240" w:lineRule="auto" w:before="0" w:after="0"/>
              <w:pStyle w:val="Compact"/>
            </w:pPr>
            <w:r>
              <w:rPr>
                <w:sz w:val="20"/>
                <w:szCs w:val="20"/>
              </w:rPr>
              <w:t xml:space="preserve">6.6026</w:t>
            </w:r>
          </w:p>
        </w:tc>
        <w:tc>
          <w:tcPr>
            <w:tcW w:w="0" w:type="auto"/>
          </w:tcPr>
          <w:p>
            <w:pPr>
              <w:spacing w:line="240" w:lineRule="auto" w:before="0" w:after="0"/>
              <w:pStyle w:val="Compact"/>
            </w:pPr>
            <w:r>
              <w:rPr>
                <w:sz w:val="20"/>
                <w:szCs w:val="20"/>
              </w:rPr>
              <w:t xml:space="preserve">737</w:t>
            </w:r>
          </w:p>
        </w:tc>
        <w:tc>
          <w:tcPr>
            <w:tcW w:w="0" w:type="auto"/>
          </w:tcPr>
          <w:p>
            <w:pPr>
              <w:spacing w:line="240" w:lineRule="auto" w:before="0" w:after="0"/>
              <w:pStyle w:val="Compact"/>
            </w:pPr>
            <w:r>
              <w:rPr>
                <w:sz w:val="20"/>
                <w:szCs w:val="20"/>
              </w:rPr>
              <w:t xml:space="preserve">2.1972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-0.3567</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4.7875</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Pubs=737 refereed to end-2021 (ESA, arXiv:2402.12818, Table 1); ops 2005-2014=9y; single-target Venus orbiter; archive ~0.7 TB [illustrative]; ESA Venus Express ~€220M ~$120M region [illustrative]</w:t>
            </w:r>
          </w:p>
        </w:tc>
      </w:tr>
      <w:tr>
        <w:tc>
          <w:tcPr>
            <w:tcW w:w="0" w:type="auto"/>
          </w:tcPr>
          <w:p>
            <w:pPr>
              <w:spacing w:line="240" w:lineRule="auto" w:before="0" w:after="0"/>
              <w:pStyle w:val="Compact"/>
            </w:pPr>
            <w:r>
              <w:rPr>
                <w:sz w:val="20"/>
                <w:szCs w:val="20"/>
              </w:rPr>
              <w:t xml:space="preserve">Herschel</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8.0969</w:t>
            </w:r>
          </w:p>
        </w:tc>
        <w:tc>
          <w:tcPr>
            <w:tcW w:w="0" w:type="auto"/>
          </w:tcPr>
          <w:p>
            <w:pPr>
              <w:spacing w:line="240" w:lineRule="auto" w:before="0" w:after="0"/>
              <w:pStyle w:val="Compact"/>
            </w:pPr>
            <w:r>
              <w:rPr>
                <w:sz w:val="20"/>
                <w:szCs w:val="20"/>
              </w:rPr>
              <w:t xml:space="preserve">3284</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7.4955</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Pubs=3284 refereed to end-2021 (ESA, arXiv:2402.12818, Table 1); ops 2009-2013=4y; observatory-class far-IR facility (guest-observer); archive ~1.5 TB [illustrative]; ESA Herschel ~€1.1B ~$1.8B [illustrative]</w:t>
            </w:r>
          </w:p>
        </w:tc>
      </w:tr>
      <w:tr>
        <w:tc>
          <w:tcPr>
            <w:tcW w:w="0" w:type="auto"/>
          </w:tcPr>
          <w:p>
            <w:pPr>
              <w:spacing w:line="240" w:lineRule="auto" w:before="0" w:after="0"/>
              <w:pStyle w:val="Compact"/>
            </w:pPr>
            <w:r>
              <w:rPr>
                <w:sz w:val="20"/>
                <w:szCs w:val="20"/>
              </w:rPr>
              <w:t xml:space="preserve">Planck</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7.9162</w:t>
            </w:r>
          </w:p>
        </w:tc>
        <w:tc>
          <w:tcPr>
            <w:tcW w:w="0" w:type="auto"/>
          </w:tcPr>
          <w:p>
            <w:pPr>
              <w:spacing w:line="240" w:lineRule="auto" w:before="0" w:after="0"/>
              <w:pStyle w:val="Compact"/>
            </w:pPr>
            <w:r>
              <w:rPr>
                <w:sz w:val="20"/>
                <w:szCs w:val="20"/>
              </w:rPr>
              <w:t xml:space="preserve">2742</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6.9551</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Pubs=2742 refereed to end-2021 (ESA, arXiv:2402.12818, Table 1); ops 2009-2013=4y; all-sky CMB survey (observatory-class data release); archive ~1.5 TB [illustrative]; ESA Planck ~€700M ~$1.05B [illustrative]</w:t>
            </w:r>
          </w:p>
        </w:tc>
      </w:tr>
      <w:tr>
        <w:tc>
          <w:tcPr>
            <w:tcW w:w="0" w:type="auto"/>
          </w:tcPr>
          <w:p>
            <w:pPr>
              <w:spacing w:line="240" w:lineRule="auto" w:before="0" w:after="0"/>
              <w:pStyle w:val="Compact"/>
            </w:pPr>
            <w:r>
              <w:rPr>
                <w:sz w:val="20"/>
                <w:szCs w:val="20"/>
              </w:rPr>
              <w:t xml:space="preserve">PROBA-2</w:t>
            </w:r>
          </w:p>
        </w:tc>
        <w:tc>
          <w:tcPr>
            <w:tcW w:w="0" w:type="auto"/>
          </w:tcPr>
          <w:p>
            <w:pPr>
              <w:spacing w:line="240" w:lineRule="auto" w:before="0" w:after="0"/>
              <w:pStyle w:val="Compact"/>
            </w:pPr>
            <w:r>
              <w:rPr>
                <w:sz w:val="20"/>
                <w:szCs w:val="20"/>
              </w:rPr>
              <w:t xml:space="preserve">heliophysics</w:t>
            </w:r>
          </w:p>
        </w:tc>
        <w:tc>
          <w:tcPr>
            <w:tcW w:w="0" w:type="auto"/>
          </w:tcPr>
          <w:p>
            <w:pPr>
              <w:spacing w:line="240" w:lineRule="auto" w:before="0" w:after="0"/>
              <w:pStyle w:val="Compact"/>
            </w:pPr>
            <w:r>
              <w:rPr>
                <w:sz w:val="20"/>
                <w:szCs w:val="20"/>
              </w:rPr>
              <w:t xml:space="preserve">4.92</w:t>
            </w:r>
          </w:p>
        </w:tc>
        <w:tc>
          <w:tcPr>
            <w:tcW w:w="0" w:type="auto"/>
          </w:tcPr>
          <w:p>
            <w:pPr>
              <w:spacing w:line="240" w:lineRule="auto" w:before="0" w:after="0"/>
              <w:pStyle w:val="Compact"/>
            </w:pPr>
            <w:r>
              <w:rPr>
                <w:sz w:val="20"/>
                <w:szCs w:val="20"/>
              </w:rPr>
              <w:t xml:space="preserve">137</w:t>
            </w:r>
          </w:p>
        </w:tc>
        <w:tc>
          <w:tcPr>
            <w:tcW w:w="0" w:type="auto"/>
          </w:tcPr>
          <w:p>
            <w:pPr>
              <w:spacing w:line="240" w:lineRule="auto" w:before="0" w:after="0"/>
              <w:pStyle w:val="Compact"/>
            </w:pPr>
            <w:r>
              <w:rPr>
                <w:sz w:val="20"/>
                <w:szCs w:val="20"/>
              </w:rPr>
              <w:t xml:space="preserve">2.4849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4.0943</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Pubs=137 refereed to end-2021 (ESA, arXiv:2402.12818, Table 1); ops 2009-2021=12y; heliophysics solar-monitor open data; archive ~0.05 TB [illustrative]; ESA PROBA-2 small-sat ~$60M [illustrative]</w:t>
            </w:r>
          </w:p>
        </w:tc>
      </w:tr>
      <w:tr>
        <w:tc>
          <w:tcPr>
            <w:tcW w:w="0" w:type="auto"/>
          </w:tcPr>
          <w:p>
            <w:pPr>
              <w:spacing w:line="240" w:lineRule="auto" w:before="0" w:after="0"/>
              <w:pStyle w:val="Compact"/>
            </w:pPr>
            <w:r>
              <w:rPr>
                <w:sz w:val="20"/>
                <w:szCs w:val="20"/>
              </w:rPr>
              <w:t xml:space="preserve">Gaia</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8.7646</w:t>
            </w:r>
          </w:p>
        </w:tc>
        <w:tc>
          <w:tcPr>
            <w:tcW w:w="0" w:type="auto"/>
          </w:tcPr>
          <w:p>
            <w:pPr>
              <w:spacing w:line="240" w:lineRule="auto" w:before="0" w:after="0"/>
              <w:pStyle w:val="Compact"/>
            </w:pPr>
            <w:r>
              <w:rPr>
                <w:sz w:val="20"/>
                <w:szCs w:val="20"/>
              </w:rPr>
              <w:t xml:space="preserve">6403</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4.0073</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7.3132</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Pubs=6403 refereed to end-2021 (ESA, arXiv:2402.12818, Table 1); ops 2013-2021=8y in window; all-sky astrometric survey (observatory-class data releases); archive ~55 TB region [illustrative]; ESA Gaia ~€1.0B+ ~$1.5B [illustrative]</w:t>
            </w:r>
          </w:p>
        </w:tc>
      </w:tr>
      <w:tr>
        <w:tc>
          <w:tcPr>
            <w:tcW w:w="0" w:type="auto"/>
          </w:tcPr>
          <w:p>
            <w:pPr>
              <w:spacing w:line="240" w:lineRule="auto" w:before="0" w:after="0"/>
              <w:pStyle w:val="Compact"/>
            </w:pPr>
            <w:r>
              <w:rPr>
                <w:sz w:val="20"/>
                <w:szCs w:val="20"/>
              </w:rPr>
              <w:t xml:space="preserve">ExoMars 2016</w:t>
            </w:r>
          </w:p>
        </w:tc>
        <w:tc>
          <w:tcPr>
            <w:tcW w:w="0" w:type="auto"/>
          </w:tcPr>
          <w:p>
            <w:pPr>
              <w:spacing w:line="240" w:lineRule="auto" w:before="0" w:after="0"/>
              <w:pStyle w:val="Compact"/>
            </w:pPr>
            <w:r>
              <w:rPr>
                <w:sz w:val="20"/>
                <w:szCs w:val="20"/>
              </w:rPr>
              <w:t xml:space="preserve">planetary</w:t>
            </w:r>
          </w:p>
        </w:tc>
        <w:tc>
          <w:tcPr>
            <w:tcW w:w="0" w:type="auto"/>
          </w:tcPr>
          <w:p>
            <w:pPr>
              <w:spacing w:line="240" w:lineRule="auto" w:before="0" w:after="0"/>
              <w:pStyle w:val="Compact"/>
            </w:pPr>
            <w:r>
              <w:rPr>
                <w:sz w:val="20"/>
                <w:szCs w:val="20"/>
              </w:rPr>
              <w:t xml:space="preserve">4.9273</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-0.3567</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6.5793</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Pubs=138 refereed to end-2021 (ESA, arXiv:2402.12818, Table 1); ops 2016-2021=5y; single-target Mars Trace Gas Orbiter; archive ~0.7 TB [illustrative]; ESA ExoMars 2016 ~€650M ~$720M [illustrative]</w:t>
            </w:r>
          </w:p>
        </w:tc>
      </w:tr>
      <w:tr>
        <w:tc>
          <w:tcPr>
            <w:tcW w:w="0" w:type="auto"/>
          </w:tcPr>
          <w:p>
            <w:pPr>
              <w:spacing w:line="240" w:lineRule="auto" w:before="0" w:after="0"/>
              <w:pStyle w:val="Compact"/>
            </w:pPr>
            <w:r>
              <w:rPr>
                <w:sz w:val="20"/>
                <w:szCs w:val="20"/>
              </w:rPr>
              <w:t xml:space="preserve">LISA Pathfinder</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3.4965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-3.5066</w:t>
            </w:r>
          </w:p>
        </w:tc>
        <w:tc>
          <w:tcPr>
            <w:tcW w:w="0" w:type="auto"/>
          </w:tcPr>
          <w:p>
            <w:pPr>
              <w:spacing w:line="240" w:lineRule="auto" w:before="0" w:after="0"/>
              <w:pStyle w:val="Compact"/>
            </w:pPr>
            <w:r>
              <w:rPr>
                <w:sz w:val="20"/>
                <w:szCs w:val="20"/>
              </w:rPr>
              <w:t xml:space="preserve">0.03</w:t>
            </w:r>
          </w:p>
        </w:tc>
        <w:tc>
          <w:tcPr>
            <w:tcW w:w="0" w:type="auto"/>
          </w:tcPr>
          <w:p>
            <w:pPr>
              <w:spacing w:line="240" w:lineRule="auto" w:before="0" w:after="0"/>
              <w:pStyle w:val="Compact"/>
            </w:pPr>
            <w:r>
              <w:rPr>
                <w:sz w:val="20"/>
                <w:szCs w:val="20"/>
              </w:rPr>
              <w:t xml:space="preserve">6.1334</w:t>
            </w:r>
          </w:p>
        </w:tc>
        <w:tc>
          <w:tcPr>
            <w:tcW w:w="0" w:type="auto"/>
          </w:tcPr>
          <w:p>
            <w:pPr>
              <w:spacing w:line="240" w:lineRule="auto" w:before="0" w:after="0"/>
              <w:pStyle w:val="Compact"/>
            </w:pPr>
            <w:r>
              <w:rPr>
                <w:sz w:val="20"/>
                <w:szCs w:val="20"/>
              </w:rPr>
              <w:t xml:space="preserve">460</w:t>
            </w:r>
          </w:p>
        </w:tc>
        <w:tc>
          <w:tcPr>
            <w:tcW w:w="0" w:type="auto"/>
          </w:tcPr>
          <w:p>
            <w:pPr>
              <w:spacing w:line="240" w:lineRule="auto" w:before="0" w:after="0"/>
              <w:pStyle w:val="Compact"/>
            </w:pPr>
            <w:r>
              <w:rPr>
                <w:sz w:val="20"/>
                <w:szCs w:val="20"/>
              </w:rPr>
              <w:t xml:space="preserve">Pubs=33 refereed to end-2021 (ESA, arXiv:2402.12818, Table 1); ops 2015-2017=2y; observatory-class gravitational-wave technology demonstrator; archive ~0.03 TB [illustrative]; ESA LISA Pathfinder ~€400M ~$460M [illustrative]</w:t>
            </w:r>
          </w:p>
        </w:tc>
      </w:tr>
      <w:tr>
        <w:tc>
          <w:tcPr>
            <w:tcW w:w="0" w:type="auto"/>
          </w:tcPr>
          <w:p>
            <w:pPr>
              <w:spacing w:line="240" w:lineRule="auto" w:before="0" w:after="0"/>
              <w:pStyle w:val="Compact"/>
            </w:pPr>
            <w:r>
              <w:rPr>
                <w:sz w:val="20"/>
                <w:szCs w:val="20"/>
              </w:rPr>
              <w:t xml:space="preserve">BepiColombo</w:t>
            </w:r>
          </w:p>
        </w:tc>
        <w:tc>
          <w:tcPr>
            <w:tcW w:w="0" w:type="auto"/>
          </w:tcPr>
          <w:p>
            <w:pPr>
              <w:spacing w:line="240" w:lineRule="auto" w:before="0" w:after="0"/>
              <w:pStyle w:val="Compact"/>
            </w:pPr>
            <w:r>
              <w:rPr>
                <w:sz w:val="20"/>
                <w:szCs w:val="20"/>
              </w:rPr>
              <w:t xml:space="preserve">planetary</w:t>
            </w:r>
          </w:p>
        </w:tc>
        <w:tc>
          <w:tcPr>
            <w:tcW w:w="0" w:type="auto"/>
          </w:tcPr>
          <w:p>
            <w:pPr>
              <w:spacing w:line="240" w:lineRule="auto" w:before="0" w:after="0"/>
              <w:pStyle w:val="Compact"/>
            </w:pPr>
            <w:r>
              <w:rPr>
                <w:sz w:val="20"/>
                <w:szCs w:val="20"/>
              </w:rPr>
              <w:t xml:space="preserve">4.2627</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7.3132</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Pubs=71 refereed to end-2021 (ESA, arXiv:2402.12818, Table 1, cruise); ops 2018-2021=3y in window; single-target Mercury mission (cruise phase); archive ~0.05 TB cruise [illustrative]; ESA BepiColombo ~€1.3B ~$1.5B [illustrative]</w:t>
            </w:r>
          </w:p>
        </w:tc>
      </w:tr>
      <w:tr>
        <w:tc>
          <w:tcPr>
            <w:tcW w:w="0" w:type="auto"/>
          </w:tcPr>
          <w:p>
            <w:pPr>
              <w:spacing w:line="240" w:lineRule="auto" w:before="0" w:after="0"/>
              <w:pStyle w:val="Compact"/>
            </w:pPr>
            <w:r>
              <w:rPr>
                <w:sz w:val="20"/>
                <w:szCs w:val="20"/>
              </w:rPr>
              <w:t xml:space="preserve">CHEOPS</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3.6376</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-3.5066</w:t>
            </w:r>
          </w:p>
        </w:tc>
        <w:tc>
          <w:tcPr>
            <w:tcW w:w="0" w:type="auto"/>
          </w:tcPr>
          <w:p>
            <w:pPr>
              <w:spacing w:line="240" w:lineRule="auto" w:before="0" w:after="0"/>
              <w:pStyle w:val="Compact"/>
            </w:pPr>
            <w:r>
              <w:rPr>
                <w:sz w:val="20"/>
                <w:szCs w:val="20"/>
              </w:rPr>
              <w:t xml:space="preserve">0.03</w:t>
            </w:r>
          </w:p>
        </w:tc>
        <w:tc>
          <w:tcPr>
            <w:tcW w:w="0" w:type="auto"/>
          </w:tcPr>
          <w:p>
            <w:pPr>
              <w:spacing w:line="240" w:lineRule="auto" w:before="0" w:after="0"/>
              <w:pStyle w:val="Compact"/>
            </w:pPr>
            <w:r>
              <w:rPr>
                <w:sz w:val="20"/>
                <w:szCs w:val="20"/>
              </w:rPr>
              <w:t xml:space="preserve">5.0752</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Pubs=38 refereed to end-2021 (ESA, arXiv:2402.12818, Table 1); ops 2019-2021=2y in window; observatory-class exoplanet photometry facility; archive ~0.03 TB [illustrative]; ESA CHEOPS ~€150M ~$160M [illustrative]</w:t>
            </w:r>
          </w:p>
        </w:tc>
      </w:tr>
      <w:tr>
        <w:tc>
          <w:tcPr>
            <w:tcW w:w="0" w:type="auto"/>
          </w:tcPr>
          <w:p>
            <w:pPr>
              <w:spacing w:line="240" w:lineRule="auto" w:before="0" w:after="0"/>
              <w:pStyle w:val="Compact"/>
            </w:pPr>
            <w:r>
              <w:rPr>
                <w:sz w:val="20"/>
                <w:szCs w:val="20"/>
              </w:rPr>
              <w:t xml:space="preserve">Mars Reconnaissance Orbiter</w:t>
            </w:r>
          </w:p>
        </w:tc>
        <w:tc>
          <w:tcPr>
            <w:tcW w:w="0" w:type="auto"/>
          </w:tcPr>
          <w:p>
            <w:pPr>
              <w:spacing w:line="240" w:lineRule="auto" w:before="0" w:after="0"/>
              <w:pStyle w:val="Compact"/>
            </w:pPr>
            <w:r>
              <w:rPr>
                <w:sz w:val="20"/>
                <w:szCs w:val="20"/>
              </w:rPr>
              <w:t xml:space="preserve">planetary</w:t>
            </w:r>
          </w:p>
        </w:tc>
        <w:tc>
          <w:tcPr>
            <w:tcW w:w="0" w:type="auto"/>
          </w:tcPr>
          <w:p>
            <w:pPr>
              <w:spacing w:line="240" w:lineRule="auto" w:before="0" w:after="0"/>
              <w:pStyle w:val="Compact"/>
            </w:pPr>
            <w:r>
              <w:rPr>
                <w:sz w:val="20"/>
                <w:szCs w:val="20"/>
              </w:rPr>
              <w:t xml:space="preserve">7.6014</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5.4596</w:t>
            </w:r>
          </w:p>
        </w:tc>
        <w:tc>
          <w:tcPr>
            <w:tcW w:w="0" w:type="auto"/>
          </w:tcPr>
          <w:p>
            <w:pPr>
              <w:spacing w:line="240" w:lineRule="auto" w:before="0" w:after="0"/>
              <w:pStyle w:val="Compact"/>
            </w:pPr>
            <w:r>
              <w:rPr>
                <w:sz w:val="20"/>
                <w:szCs w:val="20"/>
              </w:rPr>
              <w:t xml:space="preserve">235</w:t>
            </w:r>
          </w:p>
        </w:tc>
        <w:tc>
          <w:tcPr>
            <w:tcW w:w="0" w:type="auto"/>
          </w:tcPr>
          <w:p>
            <w:pPr>
              <w:spacing w:line="240" w:lineRule="auto" w:before="0" w:after="0"/>
              <w:pStyle w:val="Compact"/>
            </w:pPr>
            <w:r>
              <w:rPr>
                <w:sz w:val="20"/>
                <w:szCs w:val="20"/>
              </w:rPr>
              <w:t xml:space="preserve">6.5567</w:t>
            </w:r>
          </w:p>
        </w:tc>
        <w:tc>
          <w:tcPr>
            <w:tcW w:w="0" w:type="auto"/>
          </w:tcPr>
          <w:p>
            <w:pPr>
              <w:spacing w:line="240" w:lineRule="auto" w:before="0" w:after="0"/>
              <w:pStyle w:val="Compact"/>
            </w:pPr>
            <w:r>
              <w:rPr>
                <w:sz w:val="20"/>
                <w:szCs w:val="20"/>
              </w:rPr>
              <w:t xml:space="preserve">704</w:t>
            </w:r>
          </w:p>
        </w:tc>
        <w:tc>
          <w:tcPr>
            <w:tcW w:w="0" w:type="auto"/>
          </w:tcPr>
          <w:p>
            <w:pPr>
              <w:spacing w:line="240" w:lineRule="auto" w:before="0" w:after="0"/>
              <w:pStyle w:val="Compact"/>
            </w:pPr>
            <w:r>
              <w:rPr>
                <w:sz w:val="20"/>
                <w:szCs w:val="20"/>
              </w:rPr>
              <w:t xml:space="preserve">Pubs≈2000 peer-reviewed citing MRO/HiRISE (HiRISE 2006-2022 retrospective, ui.adsabs.harvard.edu/abs/2022EPSC…16…38M); ops 2006-2021=15y; single-target Mars orbiter; archive 235+ TB to PDS Imaging Node (pds-imaging.jpl.nasa.gov/volumes/mro.html); MRO cost ~$704M (NASA/Planetary Society)</w:t>
            </w:r>
          </w:p>
        </w:tc>
      </w:tr>
    </w:tbl>
    <w:bookmarkEnd w:id="194"/>
    <w:bookmarkStart w:id="195"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ln_pubs</w:t>
            </w:r>
          </w:p>
        </w:tc>
        <w:tc>
          <w:tcPr>
            <w:tcW w:w="0" w:type="auto"/>
          </w:tcPr>
          <w:p>
            <w:pPr>
              <w:spacing w:line="240" w:lineRule="auto" w:before="0" w:after="0"/>
              <w:pStyle w:val="Compact"/>
            </w:pPr>
            <w:r>
              <w:rPr>
                <w:sz w:val="20"/>
                <w:szCs w:val="20"/>
              </w:rPr>
              <w:t xml:space="preserve">Natural log of the cumulative count of refereed publications attributed to the mission data archive through end-2021</w:t>
            </w:r>
          </w:p>
        </w:tc>
        <w:tc>
          <w:tcPr>
            <w:tcW w:w="0" w:type="auto"/>
          </w:tcPr>
          <w:p>
            <w:pPr>
              <w:spacing w:line="240" w:lineRule="auto" w:before="0" w:after="0"/>
              <w:pStyle w:val="Compact"/>
            </w:pPr>
            <w:r>
              <w:rPr>
                <w:sz w:val="20"/>
                <w:szCs w:val="20"/>
              </w:rPr>
              <w:t xml:space="preserve">ESA Mission Publications study (arXiv:2402.12818, Tables 1-2); MRO via HiRISE 2006-2022 ADS retrospective</w:t>
            </w:r>
          </w:p>
        </w:tc>
      </w:tr>
      <w:tr>
        <w:tc>
          <w:tcPr>
            <w:tcW w:w="0" w:type="auto"/>
          </w:tcPr>
          <w:p>
            <w:pPr>
              <w:spacing w:line="240" w:lineRule="auto" w:before="0" w:after="0"/>
              <w:pStyle w:val="Compact"/>
            </w:pPr>
            <w:r>
              <w:rPr>
                <w:sz w:val="20"/>
                <w:szCs w:val="20"/>
              </w:rPr>
              <w:t xml:space="preserve">ln_life_years</w:t>
            </w:r>
          </w:p>
        </w:tc>
        <w:tc>
          <w:tcPr>
            <w:tcW w:w="0" w:type="auto"/>
          </w:tcPr>
          <w:p>
            <w:pPr>
              <w:spacing w:line="240" w:lineRule="auto" w:before="0" w:after="0"/>
              <w:pStyle w:val="Compact"/>
            </w:pPr>
            <w:r>
              <w:rPr>
                <w:sz w:val="20"/>
                <w:szCs w:val="20"/>
              </w:rPr>
              <w:t xml:space="preserve">Natural log of operational/archive-accumulation lifetime in years, from the documented launch-to-end (or launch-to-2021) operations span</w:t>
            </w:r>
          </w:p>
        </w:tc>
        <w:tc>
          <w:tcPr>
            <w:tcW w:w="0" w:type="auto"/>
          </w:tcPr>
          <w:p>
            <w:pPr>
              <w:spacing w:line="240" w:lineRule="auto" w:before="0" w:after="0"/>
              <w:pStyle w:val="Compact"/>
            </w:pPr>
            <w:r>
              <w:rPr>
                <w:sz w:val="20"/>
                <w:szCs w:val="20"/>
              </w:rPr>
              <w:t xml:space="preserve">ESA Mission Publications study</w:t>
            </w:r>
            <w:r>
              <w:rPr>
                <w:sz w:val="20"/>
                <w:szCs w:val="20"/>
              </w:rPr>
              <w:t xml:space="preserve"> </w:t>
            </w:r>
            <w:r>
              <w:rPr>
                <w:sz w:val="20"/>
                <w:szCs w:val="20"/>
              </w:rPr>
              <w:t xml:space="preserve">‘Operations’</w:t>
            </w:r>
            <w:r>
              <w:rPr>
                <w:sz w:val="20"/>
                <w:szCs w:val="20"/>
              </w:rPr>
              <w:t xml:space="preserve"> </w:t>
            </w:r>
            <w:r>
              <w:rPr>
                <w:sz w:val="20"/>
                <w:szCs w:val="20"/>
              </w:rPr>
              <w:t xml:space="preserve">column (arXiv:2402.12818); NASA mission pages</w:t>
            </w:r>
          </w:p>
        </w:tc>
      </w:tr>
      <w:tr>
        <w:tc>
          <w:tcPr>
            <w:tcW w:w="0" w:type="auto"/>
          </w:tcPr>
          <w:p>
            <w:pPr>
              <w:spacing w:line="240" w:lineRule="auto" w:before="0" w:after="0"/>
              <w:pStyle w:val="Compact"/>
            </w:pPr>
            <w:r>
              <w:rPr>
                <w:sz w:val="20"/>
                <w:szCs w:val="20"/>
              </w:rPr>
              <w:t xml:space="preserve">observatory_class</w:t>
            </w:r>
          </w:p>
        </w:tc>
        <w:tc>
          <w:tcPr>
            <w:tcW w:w="0" w:type="auto"/>
          </w:tcPr>
          <w:p>
            <w:pPr>
              <w:spacing w:line="240" w:lineRule="auto" w:before="0" w:after="0"/>
              <w:pStyle w:val="Compact"/>
            </w:pPr>
            <w:r>
              <w:rPr>
                <w:sz w:val="20"/>
                <w:szCs w:val="20"/>
              </w:rPr>
              <w:t xml:space="preserve">Indicator = 1 if the mission is a survey or pointed-observatory facility serving an open user community (general-observer time, all-sky or large-area data products); 0 if a single-target probe/lander</w:t>
            </w:r>
          </w:p>
        </w:tc>
        <w:tc>
          <w:tcPr>
            <w:tcW w:w="0" w:type="auto"/>
          </w:tcPr>
          <w:p>
            <w:pPr>
              <w:spacing w:line="240" w:lineRule="auto" w:before="0" w:after="0"/>
              <w:pStyle w:val="Compact"/>
            </w:pPr>
            <w:r>
              <w:rPr>
                <w:sz w:val="20"/>
                <w:szCs w:val="20"/>
              </w:rPr>
              <w:t xml:space="preserve">Mission descriptions: ESA/NASA mission overview pages; instrument class</w:t>
            </w:r>
          </w:p>
        </w:tc>
      </w:tr>
      <w:tr>
        <w:tc>
          <w:tcPr>
            <w:tcW w:w="0" w:type="auto"/>
          </w:tcPr>
          <w:p>
            <w:pPr>
              <w:spacing w:line="240" w:lineRule="auto" w:before="0" w:after="0"/>
              <w:pStyle w:val="Compact"/>
            </w:pPr>
            <w:r>
              <w:rPr>
                <w:sz w:val="20"/>
                <w:szCs w:val="20"/>
              </w:rPr>
              <w:t xml:space="preserve">planetary</w:t>
            </w:r>
          </w:p>
        </w:tc>
        <w:tc>
          <w:tcPr>
            <w:tcW w:w="0" w:type="auto"/>
          </w:tcPr>
          <w:p>
            <w:pPr>
              <w:spacing w:line="240" w:lineRule="auto" w:before="0" w:after="0"/>
              <w:pStyle w:val="Compact"/>
            </w:pPr>
            <w:r>
              <w:rPr>
                <w:sz w:val="20"/>
                <w:szCs w:val="20"/>
              </w:rPr>
              <w:t xml:space="preserve">Indicator = 1 if the mission targets a planetary/solar-system body (planet, moon, comet, asteroid); 0 for astronomy/heliophysics observatory missions</w:t>
            </w:r>
          </w:p>
        </w:tc>
        <w:tc>
          <w:tcPr>
            <w:tcW w:w="0" w:type="auto"/>
          </w:tcPr>
          <w:p>
            <w:pPr>
              <w:spacing w:line="240" w:lineRule="auto" w:before="0" w:after="0"/>
              <w:pStyle w:val="Compact"/>
            </w:pPr>
            <w:r>
              <w:rPr>
                <w:sz w:val="20"/>
                <w:szCs w:val="20"/>
              </w:rPr>
              <w:t xml:space="preserve">Mission target classification: NASA Planetary Data System and ESA mission pages</w:t>
            </w:r>
          </w:p>
        </w:tc>
      </w:tr>
      <w:tr>
        <w:tc>
          <w:tcPr>
            <w:tcW w:w="0" w:type="auto"/>
          </w:tcPr>
          <w:p>
            <w:pPr>
              <w:spacing w:line="240" w:lineRule="auto" w:before="0" w:after="0"/>
              <w:pStyle w:val="Compact"/>
            </w:pPr>
            <w:r>
              <w:rPr>
                <w:sz w:val="20"/>
                <w:szCs w:val="20"/>
              </w:rPr>
              <w:t xml:space="preserve">pubs</w:t>
            </w:r>
          </w:p>
        </w:tc>
        <w:tc>
          <w:tcPr>
            <w:tcW w:w="0" w:type="auto"/>
          </w:tcPr>
          <w:p>
            <w:pPr>
              <w:spacing w:line="240" w:lineRule="auto" w:before="0" w:after="0"/>
              <w:pStyle w:val="Compact"/>
            </w:pPr>
            <w:r>
              <w:rPr>
                <w:sz w:val="20"/>
                <w:szCs w:val="20"/>
              </w:rPr>
              <w:t xml:space="preserve">Cumulative refereed publication count (level), dependent variable in levels</w:t>
            </w:r>
          </w:p>
        </w:tc>
        <w:tc>
          <w:tcPr>
            <w:tcW w:w="0" w:type="auto"/>
          </w:tcPr>
          <w:p>
            <w:pPr>
              <w:spacing w:line="240" w:lineRule="auto" w:before="0" w:after="0"/>
              <w:pStyle w:val="Compact"/>
            </w:pPr>
            <w:r>
              <w:rPr>
                <w:sz w:val="20"/>
                <w:szCs w:val="20"/>
              </w:rPr>
              <w:t xml:space="preserve">ESA Mission Publications study (arXiv:2402.12818); HiRISE ADS retrospective for MRO</w:t>
            </w:r>
          </w:p>
        </w:tc>
      </w:tr>
      <w:tr>
        <w:tc>
          <w:tcPr>
            <w:tcW w:w="0" w:type="auto"/>
          </w:tcPr>
          <w:p>
            <w:pPr>
              <w:spacing w:line="240" w:lineRule="auto" w:before="0" w:after="0"/>
              <w:pStyle w:val="Compact"/>
            </w:pPr>
            <w:r>
              <w:rPr>
                <w:sz w:val="20"/>
                <w:szCs w:val="20"/>
              </w:rPr>
              <w:t xml:space="preserve">data_tb</w:t>
            </w:r>
          </w:p>
        </w:tc>
        <w:tc>
          <w:tcPr>
            <w:tcW w:w="0" w:type="auto"/>
          </w:tcPr>
          <w:p>
            <w:pPr>
              <w:spacing w:line="240" w:lineRule="auto" w:before="0" w:after="0"/>
              <w:pStyle w:val="Compact"/>
            </w:pPr>
            <w:r>
              <w:rPr>
                <w:sz w:val="20"/>
                <w:szCs w:val="20"/>
              </w:rPr>
              <w:t xml:space="preserve">Approximate archived data volume in terabytes (auxiliary descriptive variable, not a regressor)</w:t>
            </w:r>
          </w:p>
        </w:tc>
        <w:tc>
          <w:tcPr>
            <w:tcW w:w="0" w:type="auto"/>
          </w:tcPr>
          <w:p>
            <w:pPr>
              <w:spacing w:line="240" w:lineRule="auto" w:before="0" w:after="0"/>
              <w:pStyle w:val="Compact"/>
            </w:pPr>
            <w:r>
              <w:rPr>
                <w:sz w:val="20"/>
                <w:szCs w:val="20"/>
              </w:rPr>
              <w:t xml:space="preserve">PDS Imaging Node volume pages; STScI MAST holdings; mission press materials</w:t>
            </w:r>
          </w:p>
        </w:tc>
      </w:tr>
      <w:tr>
        <w:tc>
          <w:tcPr>
            <w:tcW w:w="0" w:type="auto"/>
          </w:tcPr>
          <w:p>
            <w:pPr>
              <w:spacing w:line="240" w:lineRule="auto" w:before="0" w:after="0"/>
              <w:pStyle w:val="Compact"/>
            </w:pPr>
            <w:r>
              <w:rPr>
                <w:sz w:val="20"/>
                <w:szCs w:val="20"/>
              </w:rPr>
              <w:t xml:space="preserve">cost_musd</w:t>
            </w:r>
          </w:p>
        </w:tc>
        <w:tc>
          <w:tcPr>
            <w:tcW w:w="0" w:type="auto"/>
          </w:tcPr>
          <w:p>
            <w:pPr>
              <w:spacing w:line="240" w:lineRule="auto" w:before="0" w:after="0"/>
              <w:pStyle w:val="Compact"/>
            </w:pPr>
            <w:r>
              <w:rPr>
                <w:sz w:val="20"/>
                <w:szCs w:val="20"/>
              </w:rPr>
              <w:t xml:space="preserve">Approximate mission lifecycle cost in millions of USD (auxiliary descriptive variable, not a regressor)</w:t>
            </w:r>
          </w:p>
        </w:tc>
        <w:tc>
          <w:tcPr>
            <w:tcW w:w="0" w:type="auto"/>
          </w:tcPr>
          <w:p>
            <w:pPr>
              <w:spacing w:line="240" w:lineRule="auto" w:before="0" w:after="0"/>
              <w:pStyle w:val="Compact"/>
            </w:pPr>
            <w:r>
              <w:rPr>
                <w:sz w:val="20"/>
                <w:szCs w:val="20"/>
              </w:rPr>
              <w:t xml:space="preserve">NASA mission pages; The Planetary Society cost charts; GAO cost factsheets; ESA mission figures</w:t>
            </w:r>
          </w:p>
        </w:tc>
      </w:tr>
    </w:tbl>
    <w:bookmarkEnd w:id="195"/>
    <w:bookmarkEnd w:id="196"/>
    <w:bookmarkStart w:id="204" w:name="Xb319feae860a9cbf9cdc82432a39ea5093f09bd"/>
    <w:p>
      <w:pPr>
        <w:pStyle w:val="Heading2"/>
        <w:spacing w:line="480" w:lineRule="auto"/>
      </w:pPr>
      <w:r>
        <w:t xml:space="preserve">A.2 Time-to-First-Science in Planetary Data Archives: A Proportional-Hazards Model of Scientific Uptake</w:t>
      </w:r>
    </w:p>
    <w:p>
      <w:pPr>
        <w:pStyle w:val="FirstParagraph"/>
        <w:spacing w:line="480" w:lineRule="auto"/>
      </w:pPr>
      <m:oMathPara>
        <m:oMathParaPr>
          <m:jc m:val="center"/>
        </m:oMathParaPr>
        <m:oMath>
          <m:r>
            <m:t>h</m:t>
          </m:r>
          <m:r>
            <m:rPr>
              <m:sty m:val="p"/>
            </m:rPr>
            <m:t>(</m:t>
          </m:r>
          <m:r>
            <m:t>t</m:t>
          </m:r>
          <m:r>
            <m:rPr>
              <m:sty m:val="p"/>
            </m:rPr>
            <m:t>∣</m:t>
          </m:r>
          <m:r>
            <m:rPr>
              <m:sty m:val="b"/>
            </m:rP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nor/>
                  <m:sty m:val="p"/>
                </m:rPr>
                <m:t>pds4</m:t>
              </m:r>
              <m:r>
                <m:rPr>
                  <m:sty m:val="p"/>
                </m:rPr>
                <m:t>+</m:t>
              </m:r>
              <m:sSub>
                <m:e>
                  <m:r>
                    <m:t>β</m:t>
                  </m:r>
                </m:e>
                <m:sub>
                  <m:r>
                    <m:t>2</m:t>
                  </m:r>
                </m:sub>
              </m:sSub>
              <m:r>
                <m:t> </m:t>
              </m:r>
              <m:r>
                <m:rPr>
                  <m:sty m:val="p"/>
                </m:rPr>
                <m:t>ln</m:t>
              </m:r>
              <m:r>
                <m:t>V</m:t>
              </m:r>
              <m:r>
                <m:rPr>
                  <m:sty m:val="p"/>
                </m:rPr>
                <m:t>+</m:t>
              </m:r>
              <m:sSub>
                <m:e>
                  <m:r>
                    <m:t>β</m:t>
                  </m:r>
                </m:e>
                <m:sub>
                  <m:r>
                    <m:t>3</m:t>
                  </m:r>
                </m:sub>
              </m:sSub>
              <m:r>
                <m:t> </m:t>
              </m:r>
              <m:r>
                <m:rPr>
                  <m:nor/>
                  <m:sty m:val="p"/>
                </m:rPr>
                <m:t>team</m:t>
              </m:r>
              <m:r>
                <m:rPr>
                  <m:sty m:val="p"/>
                </m:rPr>
                <m:t>+</m:t>
              </m:r>
              <m:sSub>
                <m:e>
                  <m:r>
                    <m:t>β</m:t>
                  </m:r>
                </m:e>
                <m:sub>
                  <m:r>
                    <m:t>4</m:t>
                  </m:r>
                </m:sub>
              </m:sSub>
              <m:r>
                <m:t> </m:t>
              </m:r>
              <m:r>
                <m:rPr>
                  <m:nor/>
                  <m:sty m:val="p"/>
                </m:rPr>
                <m:t>priority</m:t>
              </m:r>
            </m:e>
          </m:d>
        </m:oMath>
      </m:oMathPara>
    </w:p>
    <w:bookmarkStart w:id="197"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pds4</w:t>
            </w:r>
          </w:p>
        </w:tc>
        <w:tc>
          <w:tcPr>
            <w:tcW w:w="0" w:type="auto"/>
          </w:tcPr>
          <w:p>
            <w:pPr>
              <w:spacing w:line="240" w:lineRule="auto" w:before="0" w:after="0"/>
              <w:pStyle w:val="Compact"/>
            </w:pPr>
            <w:r>
              <w:rPr>
                <w:sz w:val="20"/>
                <w:szCs w:val="20"/>
              </w:rPr>
              <w:t xml:space="preserve">0.1185</w:t>
            </w:r>
          </w:p>
        </w:tc>
        <w:tc>
          <w:tcPr>
            <w:tcW w:w="0" w:type="auto"/>
          </w:tcPr>
          <w:p>
            <w:pPr>
              <w:spacing w:line="240" w:lineRule="auto" w:before="0" w:after="0"/>
              <w:pStyle w:val="Compact"/>
            </w:pPr>
            <w:r>
              <w:rPr>
                <w:sz w:val="20"/>
                <w:szCs w:val="20"/>
              </w:rPr>
              <w:t xml:space="preserve">0.3933</w:t>
            </w:r>
          </w:p>
        </w:tc>
        <w:tc>
          <w:tcPr>
            <w:tcW w:w="0" w:type="auto"/>
          </w:tcPr>
          <w:p>
            <w:pPr>
              <w:spacing w:line="240" w:lineRule="auto" w:before="0" w:after="0"/>
              <w:pStyle w:val="Compact"/>
            </w:pPr>
            <w:r>
              <w:rPr>
                <w:sz w:val="20"/>
                <w:szCs w:val="20"/>
              </w:rPr>
              <w:t xml:space="preserve">0.3014</w:t>
            </w:r>
          </w:p>
        </w:tc>
        <w:tc>
          <w:tcPr>
            <w:tcW w:w="0" w:type="auto"/>
          </w:tcPr>
          <w:p>
            <w:pPr>
              <w:spacing w:line="240" w:lineRule="auto" w:before="0" w:after="0"/>
              <w:pStyle w:val="Compact"/>
            </w:pPr>
            <w:r>
              <w:rPr>
                <w:sz w:val="20"/>
                <w:szCs w:val="20"/>
              </w:rPr>
              <w:t xml:space="preserve">0.7631</w:t>
            </w:r>
          </w:p>
        </w:tc>
        <w:tc>
          <w:tcPr>
            <w:tcW w:w="0" w:type="auto"/>
          </w:tcPr>
          <w:p>
            <w:pPr>
              <w:spacing w:line="240" w:lineRule="auto" w:before="0" w:after="0"/>
              <w:pStyle w:val="Compact"/>
            </w:pPr>
            <w:r>
              <w:rPr>
                <w:sz w:val="20"/>
                <w:szCs w:val="20"/>
              </w:rPr>
              <w:t xml:space="preserve">[-0.6523, 0.8893]</w:t>
            </w:r>
          </w:p>
        </w:tc>
        <w:tc>
          <w:tcPr>
            <w:tcW w:w="0" w:type="auto"/>
          </w:tcPr>
          <w:p>
            <w:pPr>
              <w:spacing w:line="240" w:lineRule="auto" w:before="0" w:after="0"/>
              <w:pStyle w:val="Compact"/>
            </w:pPr>
            <w:r>
              <w:rPr>
                <w:sz w:val="20"/>
                <w:szCs w:val="20"/>
              </w:rPr>
              <w:t xml:space="preserve">1.1258</w:t>
            </w:r>
          </w:p>
        </w:tc>
      </w:tr>
      <w:tr>
        <w:tc>
          <w:tcPr>
            <w:tcW w:w="0" w:type="auto"/>
          </w:tcPr>
          <w:p>
            <w:pPr>
              <w:spacing w:line="240" w:lineRule="auto" w:before="0" w:after="0"/>
              <w:pStyle w:val="Compact"/>
            </w:pPr>
            <w:r>
              <w:rPr>
                <w:sz w:val="20"/>
                <w:szCs w:val="20"/>
              </w:rPr>
              <w:t xml:space="preserve">data_volume_log</w:t>
            </w:r>
          </w:p>
        </w:tc>
        <w:tc>
          <w:tcPr>
            <w:tcW w:w="0" w:type="auto"/>
          </w:tcPr>
          <w:p>
            <w:pPr>
              <w:spacing w:line="240" w:lineRule="auto" w:before="0" w:after="0"/>
              <w:pStyle w:val="Compact"/>
            </w:pPr>
            <w:r>
              <w:rPr>
                <w:sz w:val="20"/>
                <w:szCs w:val="20"/>
              </w:rPr>
              <w:t xml:space="preserve">1.3505</w:t>
            </w:r>
          </w:p>
        </w:tc>
        <w:tc>
          <w:tcPr>
            <w:tcW w:w="0" w:type="auto"/>
          </w:tcPr>
          <w:p>
            <w:pPr>
              <w:spacing w:line="240" w:lineRule="auto" w:before="0" w:after="0"/>
              <w:pStyle w:val="Compact"/>
            </w:pPr>
            <w:r>
              <w:rPr>
                <w:sz w:val="20"/>
                <w:szCs w:val="20"/>
              </w:rPr>
              <w:t xml:space="preserve">1.0617</w:t>
            </w:r>
          </w:p>
        </w:tc>
        <w:tc>
          <w:tcPr>
            <w:tcW w:w="0" w:type="auto"/>
          </w:tcPr>
          <w:p>
            <w:pPr>
              <w:spacing w:line="240" w:lineRule="auto" w:before="0" w:after="0"/>
              <w:pStyle w:val="Compact"/>
            </w:pPr>
            <w:r>
              <w:rPr>
                <w:sz w:val="20"/>
                <w:szCs w:val="20"/>
              </w:rPr>
              <w:t xml:space="preserve">1.272</w:t>
            </w:r>
          </w:p>
        </w:tc>
        <w:tc>
          <w:tcPr>
            <w:tcW w:w="0" w:type="auto"/>
          </w:tcPr>
          <w:p>
            <w:pPr>
              <w:spacing w:line="240" w:lineRule="auto" w:before="0" w:after="0"/>
              <w:pStyle w:val="Compact"/>
            </w:pPr>
            <w:r>
              <w:rPr>
                <w:sz w:val="20"/>
                <w:szCs w:val="20"/>
              </w:rPr>
              <w:t xml:space="preserve">0.2034</w:t>
            </w:r>
          </w:p>
        </w:tc>
        <w:tc>
          <w:tcPr>
            <w:tcW w:w="0" w:type="auto"/>
          </w:tcPr>
          <w:p>
            <w:pPr>
              <w:spacing w:line="240" w:lineRule="auto" w:before="0" w:after="0"/>
              <w:pStyle w:val="Compact"/>
            </w:pPr>
            <w:r>
              <w:rPr>
                <w:sz w:val="20"/>
                <w:szCs w:val="20"/>
              </w:rPr>
              <w:t xml:space="preserve">[-0.7305, 3.4315]</w:t>
            </w:r>
          </w:p>
        </w:tc>
        <w:tc>
          <w:tcPr>
            <w:tcW w:w="0" w:type="auto"/>
          </w:tcPr>
          <w:p>
            <w:pPr>
              <w:spacing w:line="240" w:lineRule="auto" w:before="0" w:after="0"/>
              <w:pStyle w:val="Compact"/>
            </w:pPr>
            <w:r>
              <w:rPr>
                <w:sz w:val="20"/>
                <w:szCs w:val="20"/>
              </w:rPr>
              <w:t xml:space="preserve">3.8593</w:t>
            </w:r>
          </w:p>
        </w:tc>
      </w:tr>
      <w:tr>
        <w:tc>
          <w:tcPr>
            <w:tcW w:w="0" w:type="auto"/>
          </w:tcPr>
          <w:p>
            <w:pPr>
              <w:spacing w:line="240" w:lineRule="auto" w:before="0" w:after="0"/>
              <w:pStyle w:val="Compact"/>
            </w:pPr>
            <w:r>
              <w:rPr>
                <w:sz w:val="20"/>
                <w:szCs w:val="20"/>
              </w:rPr>
              <w:t xml:space="preserve">team_size</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0.2706</w:t>
            </w:r>
          </w:p>
        </w:tc>
        <w:tc>
          <w:tcPr>
            <w:tcW w:w="0" w:type="auto"/>
          </w:tcPr>
          <w:p>
            <w:pPr>
              <w:spacing w:line="240" w:lineRule="auto" w:before="0" w:after="0"/>
              <w:pStyle w:val="Compact"/>
            </w:pPr>
            <w:r>
              <w:rPr>
                <w:sz w:val="20"/>
                <w:szCs w:val="20"/>
              </w:rPr>
              <w:t xml:space="preserve">-0.5373</w:t>
            </w:r>
          </w:p>
        </w:tc>
        <w:tc>
          <w:tcPr>
            <w:tcW w:w="0" w:type="auto"/>
          </w:tcPr>
          <w:p>
            <w:pPr>
              <w:spacing w:line="240" w:lineRule="auto" w:before="0" w:after="0"/>
              <w:pStyle w:val="Compact"/>
            </w:pPr>
            <w:r>
              <w:rPr>
                <w:sz w:val="20"/>
                <w:szCs w:val="20"/>
              </w:rPr>
              <w:t xml:space="preserve">0.5911</w:t>
            </w:r>
          </w:p>
        </w:tc>
        <w:tc>
          <w:tcPr>
            <w:tcW w:w="0" w:type="auto"/>
          </w:tcPr>
          <w:p>
            <w:pPr>
              <w:spacing w:line="240" w:lineRule="auto" w:before="0" w:after="0"/>
              <w:pStyle w:val="Compact"/>
            </w:pPr>
            <w:r>
              <w:rPr>
                <w:sz w:val="20"/>
                <w:szCs w:val="20"/>
              </w:rPr>
              <w:t xml:space="preserve">[-0.6758, 0.385]</w:t>
            </w:r>
          </w:p>
        </w:tc>
        <w:tc>
          <w:tcPr>
            <w:tcW w:w="0" w:type="auto"/>
          </w:tcPr>
          <w:p>
            <w:pPr>
              <w:spacing w:line="240" w:lineRule="auto" w:before="0" w:after="0"/>
              <w:pStyle w:val="Compact"/>
            </w:pPr>
            <w:r>
              <w:rPr>
                <w:sz w:val="20"/>
                <w:szCs w:val="20"/>
              </w:rPr>
              <w:t xml:space="preserve">0.8647</w:t>
            </w:r>
          </w:p>
        </w:tc>
      </w:tr>
      <w:tr>
        <w:tc>
          <w:tcPr>
            <w:tcW w:w="0" w:type="auto"/>
          </w:tcPr>
          <w:p>
            <w:pPr>
              <w:spacing w:line="240" w:lineRule="auto" w:before="0" w:after="0"/>
              <w:pStyle w:val="Compact"/>
            </w:pPr>
            <w:r>
              <w:rPr>
                <w:sz w:val="20"/>
                <w:szCs w:val="20"/>
              </w:rPr>
              <w:t xml:space="preserve">priority_body</w:t>
            </w:r>
          </w:p>
        </w:tc>
        <w:tc>
          <w:tcPr>
            <w:tcW w:w="0" w:type="auto"/>
          </w:tcPr>
          <w:p>
            <w:pPr>
              <w:spacing w:line="240" w:lineRule="auto" w:before="0" w:after="0"/>
              <w:pStyle w:val="Compact"/>
            </w:pPr>
            <w:r>
              <w:rPr>
                <w:sz w:val="20"/>
                <w:szCs w:val="20"/>
              </w:rPr>
              <w:t xml:space="preserve">0.1734</w:t>
            </w:r>
          </w:p>
        </w:tc>
        <w:tc>
          <w:tcPr>
            <w:tcW w:w="0" w:type="auto"/>
          </w:tcPr>
          <w:p>
            <w:pPr>
              <w:spacing w:line="240" w:lineRule="auto" w:before="0" w:after="0"/>
              <w:pStyle w:val="Compact"/>
            </w:pPr>
            <w:r>
              <w:rPr>
                <w:sz w:val="20"/>
                <w:szCs w:val="20"/>
              </w:rPr>
              <w:t xml:space="preserve">0.4338</w:t>
            </w:r>
          </w:p>
        </w:tc>
        <w:tc>
          <w:tcPr>
            <w:tcW w:w="0" w:type="auto"/>
          </w:tcPr>
          <w:p>
            <w:pPr>
              <w:spacing w:line="240" w:lineRule="auto" w:before="0" w:after="0"/>
              <w:pStyle w:val="Compact"/>
            </w:pPr>
            <w:r>
              <w:rPr>
                <w:sz w:val="20"/>
                <w:szCs w:val="20"/>
              </w:rPr>
              <w:t xml:space="preserve">0.3998</w:t>
            </w:r>
          </w:p>
        </w:tc>
        <w:tc>
          <w:tcPr>
            <w:tcW w:w="0" w:type="auto"/>
          </w:tcPr>
          <w:p>
            <w:pPr>
              <w:spacing w:line="240" w:lineRule="auto" w:before="0" w:after="0"/>
              <w:pStyle w:val="Compact"/>
            </w:pPr>
            <w:r>
              <w:rPr>
                <w:sz w:val="20"/>
                <w:szCs w:val="20"/>
              </w:rPr>
              <w:t xml:space="preserve">0.6893</w:t>
            </w:r>
          </w:p>
        </w:tc>
        <w:tc>
          <w:tcPr>
            <w:tcW w:w="0" w:type="auto"/>
          </w:tcPr>
          <w:p>
            <w:pPr>
              <w:spacing w:line="240" w:lineRule="auto" w:before="0" w:after="0"/>
              <w:pStyle w:val="Compact"/>
            </w:pPr>
            <w:r>
              <w:rPr>
                <w:sz w:val="20"/>
                <w:szCs w:val="20"/>
              </w:rPr>
              <w:t xml:space="preserve">[-0.6768, 1.0237]</w:t>
            </w:r>
          </w:p>
        </w:tc>
        <w:tc>
          <w:tcPr>
            <w:tcW w:w="0" w:type="auto"/>
          </w:tcPr>
          <w:p>
            <w:pPr>
              <w:spacing w:line="240" w:lineRule="auto" w:before="0" w:after="0"/>
              <w:pStyle w:val="Compact"/>
            </w:pPr>
            <w:r>
              <w:rPr>
                <w:sz w:val="20"/>
                <w:szCs w:val="20"/>
              </w:rPr>
              <w:t xml:space="preserve">1.1894</w:t>
            </w:r>
          </w:p>
        </w:tc>
      </w:tr>
    </w:tbl>
    <w:p>
      <w:pPr>
        <w:pStyle w:val="BodyText"/>
        <w:spacing w:line="480" w:lineRule="auto"/>
        <w:ind w:firstLine="720"/>
      </w:pPr>
      <w:r>
        <w:t xml:space="preserve">Fit: N = 34 events = 34</w:t>
      </w:r>
    </w:p>
    <w:bookmarkEnd w:id="197"/>
    <w:bookmarkStart w:id="201"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Time from public release to first archival-science publication across NASA planetary mission datasets, against released data volume; PDS4-era datasets cluster at shorter latencies." title="" id="199" name="Picture"/>
            <a:graphic>
              <a:graphicData uri="http://schemas.openxmlformats.org/drawingml/2006/picture">
                <pic:pic>
                  <pic:nvPicPr>
                    <pic:cNvPr descr="D:/Claude_Code/brain/collegium/candidates/dissertations/JPL_OPS_COMMS_DATA_09/research_papers/p2/paper_fig1.png" id="200" name="Picture"/>
                    <pic:cNvPicPr>
                      <a:picLocks noChangeArrowheads="1" noChangeAspect="1"/>
                    </pic:cNvPicPr>
                  </pic:nvPicPr>
                  <pic:blipFill>
                    <a:blip r:embed="rId19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Time from public release to first archival-science publication across NASA planetary mission datasets, against released data volume; PDS4-era datasets cluster at shorter latencies.</w:t>
      </w:r>
    </w:p>
    <w:bookmarkEnd w:id="201"/>
    <w:bookmarkStart w:id="202"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dataset</w:t>
            </w:r>
          </w:p>
        </w:tc>
        <w:tc>
          <w:tcPr>
            <w:tcW w:w="0" w:type="auto"/>
          </w:tcPr>
          <w:p>
            <w:pPr>
              <w:spacing w:line="240" w:lineRule="auto" w:before="0" w:after="0"/>
              <w:pStyle w:val="Compact"/>
            </w:pPr>
            <w:r>
              <w:rPr>
                <w:sz w:val="20"/>
                <w:szCs w:val="20"/>
              </w:rPr>
              <w:t xml:space="preserve">release_year</w:t>
            </w:r>
          </w:p>
        </w:tc>
        <w:tc>
          <w:tcPr>
            <w:tcW w:w="0" w:type="auto"/>
          </w:tcPr>
          <w:p>
            <w:pPr>
              <w:spacing w:line="240" w:lineRule="auto" w:before="0" w:after="0"/>
              <w:pStyle w:val="Compact"/>
            </w:pPr>
            <w:r>
              <w:rPr>
                <w:sz w:val="20"/>
                <w:szCs w:val="20"/>
              </w:rPr>
              <w:t xml:space="preserve">years_to_first_pub</w:t>
            </w:r>
          </w:p>
        </w:tc>
        <w:tc>
          <w:tcPr>
            <w:tcW w:w="0" w:type="auto"/>
          </w:tcPr>
          <w:p>
            <w:pPr>
              <w:spacing w:line="240" w:lineRule="auto" w:before="0" w:after="0"/>
              <w:pStyle w:val="Compact"/>
            </w:pPr>
            <w:r>
              <w:rPr>
                <w:sz w:val="20"/>
                <w:szCs w:val="20"/>
              </w:rPr>
              <w:t xml:space="preserve">observed</w:t>
            </w:r>
          </w:p>
        </w:tc>
        <w:tc>
          <w:tcPr>
            <w:tcW w:w="0" w:type="auto"/>
          </w:tcPr>
          <w:p>
            <w:pPr>
              <w:spacing w:line="240" w:lineRule="auto" w:before="0" w:after="0"/>
              <w:pStyle w:val="Compact"/>
            </w:pPr>
            <w:r>
              <w:rPr>
                <w:sz w:val="20"/>
                <w:szCs w:val="20"/>
              </w:rPr>
              <w:t xml:space="preserve">pds4</w:t>
            </w:r>
          </w:p>
        </w:tc>
        <w:tc>
          <w:tcPr>
            <w:tcW w:w="0" w:type="auto"/>
          </w:tcPr>
          <w:p>
            <w:pPr>
              <w:spacing w:line="240" w:lineRule="auto" w:before="0" w:after="0"/>
              <w:pStyle w:val="Compact"/>
            </w:pPr>
            <w:r>
              <w:rPr>
                <w:sz w:val="20"/>
                <w:szCs w:val="20"/>
              </w:rPr>
              <w:t xml:space="preserve">data_volume_log</w:t>
            </w:r>
          </w:p>
        </w:tc>
        <w:tc>
          <w:tcPr>
            <w:tcW w:w="0" w:type="auto"/>
          </w:tcPr>
          <w:p>
            <w:pPr>
              <w:spacing w:line="240" w:lineRule="auto" w:before="0" w:after="0"/>
              <w:pStyle w:val="Compact"/>
            </w:pPr>
            <w:r>
              <w:rPr>
                <w:sz w:val="20"/>
                <w:szCs w:val="20"/>
              </w:rPr>
              <w:t xml:space="preserve">team_size</w:t>
            </w:r>
          </w:p>
        </w:tc>
        <w:tc>
          <w:tcPr>
            <w:tcW w:w="0" w:type="auto"/>
          </w:tcPr>
          <w:p>
            <w:pPr>
              <w:spacing w:line="240" w:lineRule="auto" w:before="0" w:after="0"/>
              <w:pStyle w:val="Compact"/>
            </w:pPr>
            <w:r>
              <w:rPr>
                <w:sz w:val="20"/>
                <w:szCs w:val="20"/>
              </w:rPr>
              <w:t xml:space="preserve">priority_body</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MRO_HiRISE</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McEwen et al. 2007 JGR Planets HiRISE instrument paper doi:10.1029/2005JE002605; MRO data via PDS Imaging/Geosciences Node https://pds-geosciences.wustl.edu/missions/mro/</w:t>
            </w:r>
          </w:p>
        </w:tc>
      </w:tr>
      <w:tr>
        <w:tc>
          <w:tcPr>
            <w:tcW w:w="0" w:type="auto"/>
          </w:tcPr>
          <w:p>
            <w:pPr>
              <w:spacing w:line="240" w:lineRule="auto" w:before="0" w:after="0"/>
              <w:pStyle w:val="Compact"/>
            </w:pPr>
            <w:r>
              <w:rPr>
                <w:sz w:val="20"/>
                <w:szCs w:val="20"/>
              </w:rPr>
              <w:t xml:space="preserve">MRO_CRISM</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Murchie et al. 2007 JGR CRISM; MRO PDS Geosciences Node https://pds-geosciences.wustl.edu/missions/mro/</w:t>
            </w:r>
          </w:p>
        </w:tc>
      </w:tr>
      <w:tr>
        <w:tc>
          <w:tcPr>
            <w:tcW w:w="0" w:type="auto"/>
          </w:tcPr>
          <w:p>
            <w:pPr>
              <w:spacing w:line="240" w:lineRule="auto" w:before="0" w:after="0"/>
              <w:pStyle w:val="Compact"/>
            </w:pPr>
            <w:r>
              <w:rPr>
                <w:sz w:val="20"/>
                <w:szCs w:val="20"/>
              </w:rPr>
              <w:t xml:space="preserve">MRO_SHARAD</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Seu et al. 2007 JGR SHARAD; MRO PDS Geosciences Node release logs https://pds-geosciences.wustl.edu/missions/mro/</w:t>
            </w:r>
          </w:p>
        </w:tc>
      </w:tr>
      <w:tr>
        <w:tc>
          <w:tcPr>
            <w:tcW w:w="0" w:type="auto"/>
          </w:tcPr>
          <w:p>
            <w:pPr>
              <w:spacing w:line="240" w:lineRule="auto" w:before="0" w:after="0"/>
              <w:pStyle w:val="Compact"/>
            </w:pPr>
            <w:r>
              <w:rPr>
                <w:sz w:val="20"/>
                <w:szCs w:val="20"/>
              </w:rPr>
              <w:t xml:space="preserve">MGS_MOLA</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Smith et al. 2001 JGR MOLA experiment summary; PDS Geosciences Node MGS MOLA archive</w:t>
            </w:r>
          </w:p>
        </w:tc>
      </w:tr>
      <w:tr>
        <w:tc>
          <w:tcPr>
            <w:tcW w:w="0" w:type="auto"/>
          </w:tcPr>
          <w:p>
            <w:pPr>
              <w:spacing w:line="240" w:lineRule="auto" w:before="0" w:after="0"/>
              <w:pStyle w:val="Compact"/>
            </w:pPr>
            <w:r>
              <w:rPr>
                <w:sz w:val="20"/>
                <w:szCs w:val="20"/>
              </w:rPr>
              <w:t xml:space="preserve">MGS_TES</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Christensen et al. 2001 JGR TES; PDS Geosciences Node MGS archive</w:t>
            </w:r>
          </w:p>
        </w:tc>
      </w:tr>
      <w:tr>
        <w:tc>
          <w:tcPr>
            <w:tcW w:w="0" w:type="auto"/>
          </w:tcPr>
          <w:p>
            <w:pPr>
              <w:spacing w:line="240" w:lineRule="auto" w:before="0" w:after="0"/>
              <w:pStyle w:val="Compact"/>
            </w:pPr>
            <w:r>
              <w:rPr>
                <w:sz w:val="20"/>
                <w:szCs w:val="20"/>
              </w:rPr>
              <w:t xml:space="preserve">ODY_THEMIS</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Christensen et al. 2004 Space Sci Rev THEMIS; Mars Odyssey PDS archive</w:t>
            </w:r>
          </w:p>
        </w:tc>
      </w:tr>
      <w:tr>
        <w:tc>
          <w:tcPr>
            <w:tcW w:w="0" w:type="auto"/>
          </w:tcPr>
          <w:p>
            <w:pPr>
              <w:spacing w:line="240" w:lineRule="auto" w:before="0" w:after="0"/>
              <w:pStyle w:val="Compact"/>
            </w:pPr>
            <w:r>
              <w:rPr>
                <w:sz w:val="20"/>
                <w:szCs w:val="20"/>
              </w:rPr>
              <w:t xml:space="preserve">ODY_GRS</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Boynton et al. 2004 Space Sci Rev GRS; Mars Odyssey PDS Geosciences Node</w:t>
            </w:r>
          </w:p>
        </w:tc>
      </w:tr>
      <w:tr>
        <w:tc>
          <w:tcPr>
            <w:tcW w:w="0" w:type="auto"/>
          </w:tcPr>
          <w:p>
            <w:pPr>
              <w:spacing w:line="240" w:lineRule="auto" w:before="0" w:after="0"/>
              <w:pStyle w:val="Compact"/>
            </w:pPr>
            <w:r>
              <w:rPr>
                <w:sz w:val="20"/>
                <w:szCs w:val="20"/>
              </w:rPr>
              <w:t xml:space="preserve">LRO_LROC</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Robinson et al. 2010 Space Sci Rev LROC; LROC PDS release via Arizona State / PDS Imaging Node</w:t>
            </w:r>
          </w:p>
        </w:tc>
      </w:tr>
      <w:tr>
        <w:tc>
          <w:tcPr>
            <w:tcW w:w="0" w:type="auto"/>
          </w:tcPr>
          <w:p>
            <w:pPr>
              <w:spacing w:line="240" w:lineRule="auto" w:before="0" w:after="0"/>
              <w:pStyle w:val="Compact"/>
            </w:pPr>
            <w:r>
              <w:rPr>
                <w:sz w:val="20"/>
                <w:szCs w:val="20"/>
              </w:rPr>
              <w:t xml:space="preserve">LRO_LOLA</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Smith et al. 2010 Space Sci Rev LOLA; LRO PDS Geosciences Node archive</w:t>
            </w:r>
          </w:p>
        </w:tc>
      </w:tr>
      <w:tr>
        <w:tc>
          <w:tcPr>
            <w:tcW w:w="0" w:type="auto"/>
          </w:tcPr>
          <w:p>
            <w:pPr>
              <w:spacing w:line="240" w:lineRule="auto" w:before="0" w:after="0"/>
              <w:pStyle w:val="Compact"/>
            </w:pPr>
            <w:r>
              <w:rPr>
                <w:sz w:val="20"/>
                <w:szCs w:val="20"/>
              </w:rPr>
              <w:t xml:space="preserve">LRO_Diviner</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Paige et al. 2010 Space Sci Rev Diviner; LRO PDS Geosciences Node</w:t>
            </w:r>
          </w:p>
        </w:tc>
      </w:tr>
      <w:tr>
        <w:tc>
          <w:tcPr>
            <w:tcW w:w="0" w:type="auto"/>
          </w:tcPr>
          <w:p>
            <w:pPr>
              <w:spacing w:line="240" w:lineRule="auto" w:before="0" w:after="0"/>
              <w:pStyle w:val="Compact"/>
            </w:pPr>
            <w:r>
              <w:rPr>
                <w:sz w:val="20"/>
                <w:szCs w:val="20"/>
              </w:rPr>
              <w:t xml:space="preserve">LRO_Mini-RF</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Nozette et al. 2010 Space Sci Rev Mini-RF; LRO PDS archive</w:t>
            </w:r>
          </w:p>
        </w:tc>
      </w:tr>
      <w:tr>
        <w:tc>
          <w:tcPr>
            <w:tcW w:w="0" w:type="auto"/>
          </w:tcPr>
          <w:p>
            <w:pPr>
              <w:spacing w:line="240" w:lineRule="auto" w:before="0" w:after="0"/>
              <w:pStyle w:val="Compact"/>
            </w:pPr>
            <w:r>
              <w:rPr>
                <w:sz w:val="20"/>
                <w:szCs w:val="20"/>
              </w:rPr>
              <w:t xml:space="preserve">Cassini_ISS</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Porco et al. 2004 Space Sci Rev ISS; Cassini archive plan NTRS 2000-05 https://ntrs.nasa.gov + PDS Imaging Node</w:t>
            </w:r>
          </w:p>
        </w:tc>
      </w:tr>
      <w:tr>
        <w:tc>
          <w:tcPr>
            <w:tcW w:w="0" w:type="auto"/>
          </w:tcPr>
          <w:p>
            <w:pPr>
              <w:spacing w:line="240" w:lineRule="auto" w:before="0" w:after="0"/>
              <w:pStyle w:val="Compact"/>
            </w:pPr>
            <w:r>
              <w:rPr>
                <w:sz w:val="20"/>
                <w:szCs w:val="20"/>
              </w:rPr>
              <w:t xml:space="preserve">Cassini_VIMS</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Brown et al. 2004 Space Sci Rev VIMS; Cassini PDS Atmospheres/Imaging Node archive</w:t>
            </w:r>
          </w:p>
        </w:tc>
      </w:tr>
      <w:tr>
        <w:tc>
          <w:tcPr>
            <w:tcW w:w="0" w:type="auto"/>
          </w:tcPr>
          <w:p>
            <w:pPr>
              <w:spacing w:line="240" w:lineRule="auto" w:before="0" w:after="0"/>
              <w:pStyle w:val="Compact"/>
            </w:pPr>
            <w:r>
              <w:rPr>
                <w:sz w:val="20"/>
                <w:szCs w:val="20"/>
              </w:rPr>
              <w:t xml:space="preserve">Cassini_CIRS</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Flasar et al. 2004 Space Sci Rev CIRS; Cassini PDS archive</w:t>
            </w:r>
          </w:p>
        </w:tc>
      </w:tr>
      <w:tr>
        <w:tc>
          <w:tcPr>
            <w:tcW w:w="0" w:type="auto"/>
          </w:tcPr>
          <w:p>
            <w:pPr>
              <w:spacing w:line="240" w:lineRule="auto" w:before="0" w:after="0"/>
              <w:pStyle w:val="Compact"/>
            </w:pPr>
            <w:r>
              <w:rPr>
                <w:sz w:val="20"/>
                <w:szCs w:val="20"/>
              </w:rPr>
              <w:t xml:space="preserve">Cassini_RADAR</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Elachi et al. 2004 Space Sci Rev RADAR; Cassini PDS Imaging Node</w:t>
            </w:r>
          </w:p>
        </w:tc>
      </w:tr>
      <w:tr>
        <w:tc>
          <w:tcPr>
            <w:tcW w:w="0" w:type="auto"/>
          </w:tcPr>
          <w:p>
            <w:pPr>
              <w:spacing w:line="240" w:lineRule="auto" w:before="0" w:after="0"/>
              <w:pStyle w:val="Compact"/>
            </w:pPr>
            <w:r>
              <w:rPr>
                <w:sz w:val="20"/>
                <w:szCs w:val="20"/>
              </w:rPr>
              <w:t xml:space="preserve">MESSENGER_MDIS</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Hawkins et al. 2007 Space Sci Rev MDIS; MESSENGER PDS Geosciences/Imaging Node release</w:t>
            </w:r>
          </w:p>
        </w:tc>
      </w:tr>
      <w:tr>
        <w:tc>
          <w:tcPr>
            <w:tcW w:w="0" w:type="auto"/>
          </w:tcPr>
          <w:p>
            <w:pPr>
              <w:spacing w:line="240" w:lineRule="auto" w:before="0" w:after="0"/>
              <w:pStyle w:val="Compact"/>
            </w:pPr>
            <w:r>
              <w:rPr>
                <w:sz w:val="20"/>
                <w:szCs w:val="20"/>
              </w:rPr>
              <w:t xml:space="preserve">MESSENGER_MASCS</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McClintock &amp; Lankton 2007 Space Sci Rev MASCS; MESSENGER PDS Geosciences Node</w:t>
            </w:r>
          </w:p>
        </w:tc>
      </w:tr>
      <w:tr>
        <w:tc>
          <w:tcPr>
            <w:tcW w:w="0" w:type="auto"/>
          </w:tcPr>
          <w:p>
            <w:pPr>
              <w:spacing w:line="240" w:lineRule="auto" w:before="0" w:after="0"/>
              <w:pStyle w:val="Compact"/>
            </w:pPr>
            <w:r>
              <w:rPr>
                <w:sz w:val="20"/>
                <w:szCs w:val="20"/>
              </w:rPr>
              <w:t xml:space="preserve">MESSENGER_GRNS</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Goldsten et al. 2007 Space Sci Rev GRNS; MESSENGER PDS archive</w:t>
            </w:r>
          </w:p>
        </w:tc>
      </w:tr>
      <w:tr>
        <w:tc>
          <w:tcPr>
            <w:tcW w:w="0" w:type="auto"/>
          </w:tcPr>
          <w:p>
            <w:pPr>
              <w:spacing w:line="240" w:lineRule="auto" w:before="0" w:after="0"/>
              <w:pStyle w:val="Compact"/>
            </w:pPr>
            <w:r>
              <w:rPr>
                <w:sz w:val="20"/>
                <w:szCs w:val="20"/>
              </w:rPr>
              <w:t xml:space="preserve">Dawn_FC</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Sierks et al. 2011 Space Sci Rev Framing Camera; Dawn Vesta PDS release 2012-11-09 https://www.planetary.org/articles/20121129-machacek-dawn-vesta</w:t>
            </w:r>
          </w:p>
        </w:tc>
      </w:tr>
      <w:tr>
        <w:tc>
          <w:tcPr>
            <w:tcW w:w="0" w:type="auto"/>
          </w:tcPr>
          <w:p>
            <w:pPr>
              <w:spacing w:line="240" w:lineRule="auto" w:before="0" w:after="0"/>
              <w:pStyle w:val="Compact"/>
            </w:pPr>
            <w:r>
              <w:rPr>
                <w:sz w:val="20"/>
                <w:szCs w:val="20"/>
              </w:rPr>
              <w:t xml:space="preserve">Dawn_VIR</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 Sanctis et al. 2011 Space Sci Rev VIR; Dawn Vesta PDS release 2012 https://www.lpi.usra.edu/planetary_news/2016/10/18/pds-dawn-vesta-and-ceres-data-release/</w:t>
            </w:r>
          </w:p>
        </w:tc>
      </w:tr>
      <w:tr>
        <w:tc>
          <w:tcPr>
            <w:tcW w:w="0" w:type="auto"/>
          </w:tcPr>
          <w:p>
            <w:pPr>
              <w:spacing w:line="240" w:lineRule="auto" w:before="0" w:after="0"/>
              <w:pStyle w:val="Compact"/>
            </w:pPr>
            <w:r>
              <w:rPr>
                <w:sz w:val="20"/>
                <w:szCs w:val="20"/>
              </w:rPr>
              <w:t xml:space="preserve">Dawn_GRaND</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Prettyman et al. 2011 Space Sci Rev GRaND; Dawn PDS Small Bodies Node</w:t>
            </w:r>
          </w:p>
        </w:tc>
      </w:tr>
      <w:tr>
        <w:tc>
          <w:tcPr>
            <w:tcW w:w="0" w:type="auto"/>
          </w:tcPr>
          <w:p>
            <w:pPr>
              <w:spacing w:line="240" w:lineRule="auto" w:before="0" w:after="0"/>
              <w:pStyle w:val="Compact"/>
            </w:pPr>
            <w:r>
              <w:rPr>
                <w:sz w:val="20"/>
                <w:szCs w:val="20"/>
              </w:rPr>
              <w:t xml:space="preserve">NH_LORRI</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Cheng et al. 2008 Space Sci Rev LORRI; New Horizons Pluto PDS Small Bodies Node release 2017</w:t>
            </w:r>
          </w:p>
        </w:tc>
      </w:tr>
      <w:tr>
        <w:tc>
          <w:tcPr>
            <w:tcW w:w="0" w:type="auto"/>
          </w:tcPr>
          <w:p>
            <w:pPr>
              <w:spacing w:line="240" w:lineRule="auto" w:before="0" w:after="0"/>
              <w:pStyle w:val="Compact"/>
            </w:pPr>
            <w:r>
              <w:rPr>
                <w:sz w:val="20"/>
                <w:szCs w:val="20"/>
              </w:rPr>
              <w:t xml:space="preserve">NH_Ralph</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Reuter et al. 2008 Space Sci Rev Ralph; New Horizons PDS Small Bodies Node 2017 release</w:t>
            </w:r>
          </w:p>
        </w:tc>
      </w:tr>
      <w:tr>
        <w:tc>
          <w:tcPr>
            <w:tcW w:w="0" w:type="auto"/>
          </w:tcPr>
          <w:p>
            <w:pPr>
              <w:spacing w:line="240" w:lineRule="auto" w:before="0" w:after="0"/>
              <w:pStyle w:val="Compact"/>
            </w:pPr>
            <w:r>
              <w:rPr>
                <w:sz w:val="20"/>
                <w:szCs w:val="20"/>
              </w:rPr>
              <w:t xml:space="preserve">MAVEN_IUVS</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McClintock et al. 2015 Space Sci Rev IUVS; MAVEN first PDS4 archive cohort https://science.data.nasa.gov/features-events/planetary-data-ecosystem-live</w:t>
            </w:r>
          </w:p>
        </w:tc>
      </w:tr>
      <w:tr>
        <w:tc>
          <w:tcPr>
            <w:tcW w:w="0" w:type="auto"/>
          </w:tcPr>
          <w:p>
            <w:pPr>
              <w:spacing w:line="240" w:lineRule="auto" w:before="0" w:after="0"/>
              <w:pStyle w:val="Compact"/>
            </w:pPr>
            <w:r>
              <w:rPr>
                <w:sz w:val="20"/>
                <w:szCs w:val="20"/>
              </w:rPr>
              <w:t xml:space="preserve">MAVEN_NGIMS</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Mahaffy et al. 2015 Space Sci Rev NGIMS; MAVEN PDS4 Atmospheres Node release 2015</w:t>
            </w:r>
          </w:p>
        </w:tc>
      </w:tr>
      <w:tr>
        <w:tc>
          <w:tcPr>
            <w:tcW w:w="0" w:type="auto"/>
          </w:tcPr>
          <w:p>
            <w:pPr>
              <w:spacing w:line="240" w:lineRule="auto" w:before="0" w:after="0"/>
              <w:pStyle w:val="Compact"/>
            </w:pPr>
            <w:r>
              <w:rPr>
                <w:sz w:val="20"/>
                <w:szCs w:val="20"/>
              </w:rPr>
              <w:t xml:space="preserve">MAVEN_SWIA</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Halekas et al. 2015 Space Sci Rev SWIA; MAVEN PDS4 PPI Node archive</w:t>
            </w:r>
          </w:p>
        </w:tc>
      </w:tr>
      <w:tr>
        <w:tc>
          <w:tcPr>
            <w:tcW w:w="0" w:type="auto"/>
          </w:tcPr>
          <w:p>
            <w:pPr>
              <w:spacing w:line="240" w:lineRule="auto" w:before="0" w:after="0"/>
              <w:pStyle w:val="Compact"/>
            </w:pPr>
            <w:r>
              <w:rPr>
                <w:sz w:val="20"/>
                <w:szCs w:val="20"/>
              </w:rPr>
              <w:t xml:space="preserve">LADEE_NMS</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Mahaffy et al. 2015 Space Sci Rev LADEE NMS; LADEE first PDS4 mission cohort 2015</w:t>
            </w:r>
          </w:p>
        </w:tc>
      </w:tr>
      <w:tr>
        <w:tc>
          <w:tcPr>
            <w:tcW w:w="0" w:type="auto"/>
          </w:tcPr>
          <w:p>
            <w:pPr>
              <w:spacing w:line="240" w:lineRule="auto" w:before="0" w:after="0"/>
              <w:pStyle w:val="Compact"/>
            </w:pPr>
            <w:r>
              <w:rPr>
                <w:sz w:val="20"/>
                <w:szCs w:val="20"/>
              </w:rPr>
              <w:t xml:space="preserve">LADEE_UVS</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Colaprete et al. 2014 LADEE UVS; LADEE PDS4 archive 2015 [illustrative team_size]</w:t>
            </w:r>
          </w:p>
        </w:tc>
      </w:tr>
      <w:tr>
        <w:tc>
          <w:tcPr>
            <w:tcW w:w="0" w:type="auto"/>
          </w:tcPr>
          <w:p>
            <w:pPr>
              <w:spacing w:line="240" w:lineRule="auto" w:before="0" w:after="0"/>
              <w:pStyle w:val="Compact"/>
            </w:pPr>
            <w:r>
              <w:rPr>
                <w:sz w:val="20"/>
                <w:szCs w:val="20"/>
              </w:rPr>
              <w:t xml:space="preserve">Juno_JunoCam</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Hansen et al. 2017 Space Sci Rev JunoCam; Juno PDS4 Atmospheres Node release</w:t>
            </w:r>
          </w:p>
        </w:tc>
      </w:tr>
      <w:tr>
        <w:tc>
          <w:tcPr>
            <w:tcW w:w="0" w:type="auto"/>
          </w:tcPr>
          <w:p>
            <w:pPr>
              <w:spacing w:line="240" w:lineRule="auto" w:before="0" w:after="0"/>
              <w:pStyle w:val="Compact"/>
            </w:pPr>
            <w:r>
              <w:rPr>
                <w:sz w:val="20"/>
                <w:szCs w:val="20"/>
              </w:rPr>
              <w:t xml:space="preserve">Juno_MWR</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Janssen et al. 2017 Space Sci Rev MWR; Juno PDS4 archive [illustrative volume]</w:t>
            </w:r>
          </w:p>
        </w:tc>
      </w:tr>
      <w:tr>
        <w:tc>
          <w:tcPr>
            <w:tcW w:w="0" w:type="auto"/>
          </w:tcPr>
          <w:p>
            <w:pPr>
              <w:spacing w:line="240" w:lineRule="auto" w:before="0" w:after="0"/>
              <w:pStyle w:val="Compact"/>
            </w:pPr>
            <w:r>
              <w:rPr>
                <w:sz w:val="20"/>
                <w:szCs w:val="20"/>
              </w:rPr>
              <w:t xml:space="preserve">Phoenix_SSI</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Lemmon et al. 2008 JGR Phoenix SSI; Phoenix Mars PDS Imaging/Geosciences Node</w:t>
            </w:r>
          </w:p>
        </w:tc>
      </w:tr>
      <w:tr>
        <w:tc>
          <w:tcPr>
            <w:tcW w:w="0" w:type="auto"/>
          </w:tcPr>
          <w:p>
            <w:pPr>
              <w:spacing w:line="240" w:lineRule="auto" w:before="0" w:after="0"/>
              <w:pStyle w:val="Compact"/>
            </w:pPr>
            <w:r>
              <w:rPr>
                <w:sz w:val="20"/>
                <w:szCs w:val="20"/>
              </w:rPr>
              <w:t xml:space="preserve">InSight_SEIS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Lognonne et al. 2019 Space Sci Rev SEIS; InSight PDS4 Geosciences Node release 2019</w:t>
            </w:r>
          </w:p>
        </w:tc>
      </w:tr>
      <w:tr>
        <w:tc>
          <w:tcPr>
            <w:tcW w:w="0" w:type="auto"/>
          </w:tcPr>
          <w:p>
            <w:pPr>
              <w:spacing w:line="240" w:lineRule="auto" w:before="0" w:after="0"/>
              <w:pStyle w:val="Compact"/>
            </w:pPr>
            <w:r>
              <w:rPr>
                <w:sz w:val="20"/>
                <w:szCs w:val="20"/>
              </w:rPr>
              <w:t xml:space="preserve">OSIRIS-REx_OCAMS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Rizk et al. 2018 Space Sci Rev OCAMS; OSIRIS-REx Bennu PDS4 Small Bodies Node 2020</w:t>
            </w:r>
          </w:p>
        </w:tc>
      </w:tr>
      <w:tr>
        <w:tc>
          <w:tcPr>
            <w:tcW w:w="0" w:type="auto"/>
          </w:tcPr>
          <w:p>
            <w:pPr>
              <w:spacing w:line="240" w:lineRule="auto" w:before="0" w:after="0"/>
              <w:pStyle w:val="Compact"/>
            </w:pPr>
            <w:r>
              <w:rPr>
                <w:sz w:val="20"/>
                <w:szCs w:val="20"/>
              </w:rPr>
              <w:t xml:space="preserve">OSIRIS-REx_OVIRS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Reuter et al. 2018 Space Sci Rev OVIRS; OSIRIS-REx PDS4 Small Bodies Node 2020</w:t>
            </w:r>
          </w:p>
        </w:tc>
      </w:tr>
    </w:tbl>
    <w:bookmarkEnd w:id="202"/>
    <w:bookmarkStart w:id="203"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years_to_first_pub</w:t>
            </w:r>
          </w:p>
        </w:tc>
        <w:tc>
          <w:tcPr>
            <w:tcW w:w="0" w:type="auto"/>
          </w:tcPr>
          <w:p>
            <w:pPr>
              <w:spacing w:line="240" w:lineRule="auto" w:before="0" w:after="0"/>
              <w:pStyle w:val="Compact"/>
            </w:pPr>
            <w:r>
              <w:rPr>
                <w:sz w:val="20"/>
                <w:szCs w:val="20"/>
              </w:rPr>
              <w:t xml:space="preserve">Duration in years from a dataset’s public release to the first peer-reviewed publication that uses the archived data</w:t>
            </w:r>
          </w:p>
        </w:tc>
        <w:tc>
          <w:tcPr>
            <w:tcW w:w="0" w:type="auto"/>
          </w:tcPr>
          <w:p>
            <w:pPr>
              <w:spacing w:line="240" w:lineRule="auto" w:before="0" w:after="0"/>
              <w:pStyle w:val="Compact"/>
            </w:pPr>
            <w:r>
              <w:rPr>
                <w:sz w:val="20"/>
                <w:szCs w:val="20"/>
              </w:rPr>
              <w:t xml:space="preserve">Instrument overview papers (Space Science Reviews / JGR) joined to documented PDS node release dates</w:t>
            </w:r>
          </w:p>
        </w:tc>
      </w:tr>
      <w:tr>
        <w:tc>
          <w:tcPr>
            <w:tcW w:w="0" w:type="auto"/>
          </w:tcPr>
          <w:p>
            <w:pPr>
              <w:spacing w:line="240" w:lineRule="auto" w:before="0" w:after="0"/>
              <w:pStyle w:val="Compact"/>
            </w:pPr>
            <w:r>
              <w:rPr>
                <w:sz w:val="20"/>
                <w:szCs w:val="20"/>
              </w:rPr>
              <w:t xml:space="preserve">observed</w:t>
            </w:r>
          </w:p>
        </w:tc>
        <w:tc>
          <w:tcPr>
            <w:tcW w:w="0" w:type="auto"/>
          </w:tcPr>
          <w:p>
            <w:pPr>
              <w:spacing w:line="240" w:lineRule="auto" w:before="0" w:after="0"/>
              <w:pStyle w:val="Compact"/>
            </w:pPr>
            <w:r>
              <w:rPr>
                <w:sz w:val="20"/>
                <w:szCs w:val="20"/>
              </w:rPr>
              <w:t xml:space="preserve">Event indicator equal to 1 when the first archival-science publication is observed, 0 if right-censored</w:t>
            </w:r>
          </w:p>
        </w:tc>
        <w:tc>
          <w:tcPr>
            <w:tcW w:w="0" w:type="auto"/>
          </w:tcPr>
          <w:p>
            <w:pPr>
              <w:spacing w:line="240" w:lineRule="auto" w:before="0" w:after="0"/>
              <w:pStyle w:val="Compact"/>
            </w:pPr>
            <w:r>
              <w:rPr>
                <w:sz w:val="20"/>
                <w:szCs w:val="20"/>
              </w:rPr>
              <w:t xml:space="preserve">Mission archival-science publication record; all sampled datasets reached first use</w:t>
            </w:r>
          </w:p>
        </w:tc>
      </w:tr>
      <w:tr>
        <w:tc>
          <w:tcPr>
            <w:tcW w:w="0" w:type="auto"/>
          </w:tcPr>
          <w:p>
            <w:pPr>
              <w:spacing w:line="240" w:lineRule="auto" w:before="0" w:after="0"/>
              <w:pStyle w:val="Compact"/>
            </w:pPr>
            <w:r>
              <w:rPr>
                <w:sz w:val="20"/>
                <w:szCs w:val="20"/>
              </w:rPr>
              <w:t xml:space="preserve">pds4</w:t>
            </w:r>
          </w:p>
        </w:tc>
        <w:tc>
          <w:tcPr>
            <w:tcW w:w="0" w:type="auto"/>
          </w:tcPr>
          <w:p>
            <w:pPr>
              <w:spacing w:line="240" w:lineRule="auto" w:before="0" w:after="0"/>
              <w:pStyle w:val="Compact"/>
            </w:pPr>
            <w:r>
              <w:rPr>
                <w:sz w:val="20"/>
                <w:szCs w:val="20"/>
              </w:rPr>
              <w:t xml:space="preserve">Indicator equal to 1 if the dataset was released under the modernized PDS4 standard with programmatic access, 0 for legacy PDS3</w:t>
            </w:r>
          </w:p>
        </w:tc>
        <w:tc>
          <w:tcPr>
            <w:tcW w:w="0" w:type="auto"/>
          </w:tcPr>
          <w:p>
            <w:pPr>
              <w:spacing w:line="240" w:lineRule="auto" w:before="0" w:after="0"/>
              <w:pStyle w:val="Compact"/>
            </w:pPr>
            <w:r>
              <w:rPr>
                <w:sz w:val="20"/>
                <w:szCs w:val="20"/>
              </w:rPr>
              <w:t xml:space="preserve">PDS Engineering Node PDS4 rollout (September 2013) and per-mission archive cohort records</w:t>
            </w:r>
          </w:p>
        </w:tc>
      </w:tr>
      <w:tr>
        <w:tc>
          <w:tcPr>
            <w:tcW w:w="0" w:type="auto"/>
          </w:tcPr>
          <w:p>
            <w:pPr>
              <w:spacing w:line="240" w:lineRule="auto" w:before="0" w:after="0"/>
              <w:pStyle w:val="Compact"/>
            </w:pPr>
            <w:r>
              <w:rPr>
                <w:sz w:val="20"/>
                <w:szCs w:val="20"/>
              </w:rPr>
              <w:t xml:space="preserve">data_volume_log</w:t>
            </w:r>
          </w:p>
        </w:tc>
        <w:tc>
          <w:tcPr>
            <w:tcW w:w="0" w:type="auto"/>
          </w:tcPr>
          <w:p>
            <w:pPr>
              <w:spacing w:line="240" w:lineRule="auto" w:before="0" w:after="0"/>
              <w:pStyle w:val="Compact"/>
            </w:pPr>
            <w:r>
              <w:rPr>
                <w:sz w:val="20"/>
                <w:szCs w:val="20"/>
              </w:rPr>
              <w:t xml:space="preserve">Base-10 logarithm of released data volume in gigabytes, a scale proxy for the holdings input</w:t>
            </w:r>
          </w:p>
        </w:tc>
        <w:tc>
          <w:tcPr>
            <w:tcW w:w="0" w:type="auto"/>
          </w:tcPr>
          <w:p>
            <w:pPr>
              <w:spacing w:line="240" w:lineRule="auto" w:before="0" w:after="0"/>
              <w:pStyle w:val="Compact"/>
            </w:pPr>
            <w:r>
              <w:rPr>
                <w:sz w:val="20"/>
                <w:szCs w:val="20"/>
              </w:rPr>
              <w:t xml:space="preserve">Mission and PDS node volume documentation; two values marked illustrative</w:t>
            </w:r>
          </w:p>
        </w:tc>
      </w:tr>
      <w:tr>
        <w:tc>
          <w:tcPr>
            <w:tcW w:w="0" w:type="auto"/>
          </w:tcPr>
          <w:p>
            <w:pPr>
              <w:spacing w:line="240" w:lineRule="auto" w:before="0" w:after="0"/>
              <w:pStyle w:val="Compact"/>
            </w:pPr>
            <w:r>
              <w:rPr>
                <w:sz w:val="20"/>
                <w:szCs w:val="20"/>
              </w:rPr>
              <w:t xml:space="preserve">team_size</w:t>
            </w:r>
          </w:p>
        </w:tc>
        <w:tc>
          <w:tcPr>
            <w:tcW w:w="0" w:type="auto"/>
          </w:tcPr>
          <w:p>
            <w:pPr>
              <w:spacing w:line="240" w:lineRule="auto" w:before="0" w:after="0"/>
              <w:pStyle w:val="Compact"/>
            </w:pPr>
            <w:r>
              <w:rPr>
                <w:sz w:val="20"/>
                <w:szCs w:val="20"/>
              </w:rPr>
              <w:t xml:space="preserve">Count of named instrument-team co-investigators on the instrument overview paper, a proxy for the using-community size at release</w:t>
            </w:r>
          </w:p>
        </w:tc>
        <w:tc>
          <w:tcPr>
            <w:tcW w:w="0" w:type="auto"/>
          </w:tcPr>
          <w:p>
            <w:pPr>
              <w:spacing w:line="240" w:lineRule="auto" w:before="0" w:after="0"/>
              <w:pStyle w:val="Compact"/>
            </w:pPr>
            <w:r>
              <w:rPr>
                <w:sz w:val="20"/>
                <w:szCs w:val="20"/>
              </w:rPr>
              <w:t xml:space="preserve">Instrument overview paper author and co-I rosters; two values marked illustrative</w:t>
            </w:r>
          </w:p>
        </w:tc>
      </w:tr>
      <w:tr>
        <w:tc>
          <w:tcPr>
            <w:tcW w:w="0" w:type="auto"/>
          </w:tcPr>
          <w:p>
            <w:pPr>
              <w:spacing w:line="240" w:lineRule="auto" w:before="0" w:after="0"/>
              <w:pStyle w:val="Compact"/>
            </w:pPr>
            <w:r>
              <w:rPr>
                <w:sz w:val="20"/>
                <w:szCs w:val="20"/>
              </w:rPr>
              <w:t xml:space="preserve">priority_body</w:t>
            </w:r>
          </w:p>
        </w:tc>
        <w:tc>
          <w:tcPr>
            <w:tcW w:w="0" w:type="auto"/>
          </w:tcPr>
          <w:p>
            <w:pPr>
              <w:spacing w:line="240" w:lineRule="auto" w:before="0" w:after="0"/>
              <w:pStyle w:val="Compact"/>
            </w:pPr>
            <w:r>
              <w:rPr>
                <w:sz w:val="20"/>
                <w:szCs w:val="20"/>
              </w:rPr>
              <w:t xml:space="preserve">Indicator equal to 1 if the target body is a Planetary Science Decadal high-priority body (Mars, Moon, ocean worlds, primitive bodies), 0 otherwise</w:t>
            </w:r>
          </w:p>
        </w:tc>
        <w:tc>
          <w:tcPr>
            <w:tcW w:w="0" w:type="auto"/>
          </w:tcPr>
          <w:p>
            <w:pPr>
              <w:spacing w:line="240" w:lineRule="auto" w:before="0" w:after="0"/>
              <w:pStyle w:val="Compact"/>
            </w:pPr>
            <w:r>
              <w:rPr>
                <w:sz w:val="20"/>
                <w:szCs w:val="20"/>
              </w:rPr>
              <w:t xml:space="preserve">NASA Planetary Science Decadal Survey priority-target framing</w:t>
            </w:r>
          </w:p>
        </w:tc>
      </w:tr>
    </w:tbl>
    <w:bookmarkEnd w:id="203"/>
    <w:bookmarkEnd w:id="204"/>
    <w:bookmarkEnd w:id="20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0" Type="http://schemas.openxmlformats.org/officeDocument/2006/relationships/image" Target="media/rId190.png"/><Relationship Id="rId198" Type="http://schemas.openxmlformats.org/officeDocument/2006/relationships/image" Target="media/rId198.png"/><Relationship Id="rId157" Type="http://schemas.openxmlformats.org/officeDocument/2006/relationships/hyperlink" Target="https://doi.org/10.1016/j.actaastro.2017.09.019" TargetMode="External"/><Relationship Id="rId178" Type="http://schemas.openxmlformats.org/officeDocument/2006/relationships/hyperlink" Target="https://doi.org/10.1016/j.actaastro.2018.07.049" TargetMode="External"/><Relationship Id="rId159" Type="http://schemas.openxmlformats.org/officeDocument/2006/relationships/hyperlink" Target="https://doi.org/10.1016/j.actaastro.2019.09.029" TargetMode="External"/><Relationship Id="rId182" Type="http://schemas.openxmlformats.org/officeDocument/2006/relationships/hyperlink" Target="https://doi.org/10.1016/j.actaastro.2019.11.037" TargetMode="External"/><Relationship Id="rId145" Type="http://schemas.openxmlformats.org/officeDocument/2006/relationships/hyperlink" Target="https://doi.org/10.1016/j.actaastro.2022.04.001" TargetMode="External"/><Relationship Id="rId174" Type="http://schemas.openxmlformats.org/officeDocument/2006/relationships/hyperlink" Target="https://doi.org/10.1016/j.actaastro.2024.04.001" TargetMode="External"/><Relationship Id="rId176" Type="http://schemas.openxmlformats.org/officeDocument/2006/relationships/hyperlink" Target="https://doi.org/10.1016/j.actaastro.2024.05.022" TargetMode="External"/><Relationship Id="rId163" Type="http://schemas.openxmlformats.org/officeDocument/2006/relationships/hyperlink" Target="https://doi.org/10.1016/j.actaastro.2024.05.046" TargetMode="External"/><Relationship Id="rId186" Type="http://schemas.openxmlformats.org/officeDocument/2006/relationships/hyperlink" Target="https://doi.org/10.1016/j.actaastro.2024.07.036" TargetMode="External"/><Relationship Id="rId180" Type="http://schemas.openxmlformats.org/officeDocument/2006/relationships/hyperlink" Target="https://doi.org/10.1016/j.actaastro.2025.01.059" TargetMode="External"/><Relationship Id="rId184" Type="http://schemas.openxmlformats.org/officeDocument/2006/relationships/hyperlink" Target="https://doi.org/10.1016/j.actaastro.2025.03.025" TargetMode="External"/><Relationship Id="rId148" Type="http://schemas.openxmlformats.org/officeDocument/2006/relationships/hyperlink" Target="https://doi.org/10.64861/KSXC7986" TargetMode="External"/><Relationship Id="rId151" Type="http://schemas.openxmlformats.org/officeDocument/2006/relationships/hyperlink" Target="https://doi.org/10.64861/PWTG6037" TargetMode="External"/></Relationships>
</file>

<file path=word/_rels/footnotes.xml.rels><?xml version='1.0' encoding='UTF-8' standalone='yes'?>
<Relationships xmlns="http://schemas.openxmlformats.org/package/2006/relationships"><Relationship Id="rId157" Type="http://schemas.openxmlformats.org/officeDocument/2006/relationships/hyperlink" Target="https://doi.org/10.1016/j.actaastro.2017.09.019" TargetMode="External"/><Relationship Id="rId178" Type="http://schemas.openxmlformats.org/officeDocument/2006/relationships/hyperlink" Target="https://doi.org/10.1016/j.actaastro.2018.07.049" TargetMode="External"/><Relationship Id="rId159" Type="http://schemas.openxmlformats.org/officeDocument/2006/relationships/hyperlink" Target="https://doi.org/10.1016/j.actaastro.2019.09.029" TargetMode="External"/><Relationship Id="rId182" Type="http://schemas.openxmlformats.org/officeDocument/2006/relationships/hyperlink" Target="https://doi.org/10.1016/j.actaastro.2019.11.037" TargetMode="External"/><Relationship Id="rId145" Type="http://schemas.openxmlformats.org/officeDocument/2006/relationships/hyperlink" Target="https://doi.org/10.1016/j.actaastro.2022.04.001" TargetMode="External"/><Relationship Id="rId174" Type="http://schemas.openxmlformats.org/officeDocument/2006/relationships/hyperlink" Target="https://doi.org/10.1016/j.actaastro.2024.04.001" TargetMode="External"/><Relationship Id="rId176" Type="http://schemas.openxmlformats.org/officeDocument/2006/relationships/hyperlink" Target="https://doi.org/10.1016/j.actaastro.2024.05.022" TargetMode="External"/><Relationship Id="rId163" Type="http://schemas.openxmlformats.org/officeDocument/2006/relationships/hyperlink" Target="https://doi.org/10.1016/j.actaastro.2024.05.046" TargetMode="External"/><Relationship Id="rId186" Type="http://schemas.openxmlformats.org/officeDocument/2006/relationships/hyperlink" Target="https://doi.org/10.1016/j.actaastro.2024.07.036" TargetMode="External"/><Relationship Id="rId180" Type="http://schemas.openxmlformats.org/officeDocument/2006/relationships/hyperlink" Target="https://doi.org/10.1016/j.actaastro.2025.01.059" TargetMode="External"/><Relationship Id="rId184" Type="http://schemas.openxmlformats.org/officeDocument/2006/relationships/hyperlink" Target="https://doi.org/10.1016/j.actaastro.2025.03.025" TargetMode="External"/><Relationship Id="rId148" Type="http://schemas.openxmlformats.org/officeDocument/2006/relationships/hyperlink" Target="https://doi.org/10.64861/KSXC7986" TargetMode="External"/><Relationship Id="rId151" Type="http://schemas.openxmlformats.org/officeDocument/2006/relationships/hyperlink" Target="https://doi.org/10.64861/PWTG60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Productivity of Planetary Data Archives: A Bibliometric Production Function</dc:title>
  <dc:creator>Vincent Bianchi (1B-SDS-034)</dc:creator>
  <cp:keywords/>
  <dcterms:created xsi:type="dcterms:W3CDTF">2026-07-02T15:42:04Z</dcterms:created>
  <dcterms:modified xsi:type="dcterms:W3CDTF">2026-07-02T15:42:04Z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