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e7fc62ad46f27d6c3a9978003f5df27e676bf01"/>
    <w:p>
      <w:pPr>
        <w:pStyle w:val="Heading1"/>
      </w:pPr>
      <w:r>
        <w:t xml:space="preserve">Onboard Recovery Autonomy and the Odds of a Prolonged Outage: A Logit Model of Spacecraft Safe-Mode Episodes</w:t>
      </w:r>
    </w:p>
    <w:bookmarkStart w:id="61" w:name="introduction"/>
    <w:p>
      <w:pPr>
        <w:pStyle w:val="Heading2"/>
      </w:pPr>
      <w:r>
        <w:t xml:space="preserve">1. Introduction</w:t>
      </w:r>
    </w:p>
    <w:p>
      <w:pPr>
        <w:pStyle w:val="FirstParagraph"/>
      </w:pPr>
      <w:r>
        <w:t xml:space="preserve">When a spacecraft safes itself after an onboard fault, the operationally decisive question is not whether the vehicle survives but how long it stays unavailable. Some episodes clear in a day; others run for weeks or months. This paper asks a sharp, binary version of that question: what makes a given safe-mode episode become a prolonged outage rather than a quick recovery, and does the degree of onboard recovery autonomy change those odds. The companion survival study in this dissertation models the full recovery duration as a hazard. Here I take the complementary, coarser cut that operators actually budget against: will this episode breach a week of downtime.</w:t>
      </w:r>
    </w:p>
    <w:p>
      <w:pPr>
        <w:pStyle w:val="BodyText"/>
      </w:pPr>
      <w:r>
        <w:t xml:space="preserve">The framing is deliberate. A duration model answers how fast on average; a binary model answers how often we cross a threshold that triggers a mission-impact review. The two are different decision instruments, and the binary one maps directly onto availability commitments. The estimable claim is one coefficient: the effect of the onboard recovery-autonomy index on the log-odds that an episode runs beyond seven days, holding operating regime and anomaly subsystem class fixed.</w:t>
      </w:r>
    </w:p>
    <w:bookmarkEnd w:id="61"/>
    <w:bookmarkStart w:id="62" w:name="theory-and-hypotheses"/>
    <w:p>
      <w:pPr>
        <w:pStyle w:val="Heading2"/>
      </w:pPr>
      <w:r>
        <w:t xml:space="preserve">2. Theory and Hypotheses</w:t>
      </w:r>
    </w:p>
    <w:p>
      <w:pPr>
        <w:pStyle w:val="FirstParagraph"/>
      </w:pPr>
      <w:r>
        <w:t xml:space="preserve">The detection-and-diagnosis half of fault management is well instrumented. Onboard hybrid approaches that combine model-based reasoning with machine learning detect and diagnose subsystem faults and can initiate recovery without waiting for the ground</w:t>
      </w:r>
      <w:r>
        <w:t xml:space="preserve"> </w:t>
      </w:r>
      <w:hyperlink w:anchor="ref-1">
        <m:oMathPara>
          <m:oMathParaPr>
            <m:jc m:val="center"/>
          </m:oMathParaPr>
          <m:oMath>
            <m:r>
              <m:t>1</m:t>
            </m:r>
          </m:oMath>
        </m:oMathPara>
      </w:hyperlink>
      <w:r>
        <w:t xml:space="preserve">, and transformer-based pipelines now flag anomalies in satellite telemetry in near real time</w:t>
      </w:r>
      <w:r>
        <w:t xml:space="preserve"> </w:t>
      </w:r>
      <w:hyperlink w:anchor="ref-2">
        <m:oMathPara>
          <m:oMathParaPr>
            <m:jc m:val="center"/>
          </m:oMathParaPr>
          <m:oMath>
            <m:r>
              <m:t>2</m:t>
            </m:r>
          </m:oMath>
        </m:oMathPara>
      </w:hyperlink>
      <w:r>
        <w:t xml:space="preserve">. The recovery half is reported case by case. Operational concepts specify safing and recovery as deterministic onboard sequences</w:t>
      </w:r>
      <w:r>
        <w:t xml:space="preserve"> </w:t>
      </w:r>
      <w:hyperlink w:anchor="ref-3">
        <m:oMathPara>
          <m:oMathParaPr>
            <m:jc m:val="center"/>
          </m:oMathParaPr>
          <m:oMath>
            <m:r>
              <m:t>3</m:t>
            </m:r>
          </m:oMath>
        </m:oMathPara>
      </w:hyperlink>
      <w:r>
        <w:t xml:space="preserve">, and emerging agent-based mission-management architectures push more of the recovery decision onboard</w:t>
      </w:r>
      <w:r>
        <w:t xml:space="preserve"> </w:t>
      </w:r>
      <w:hyperlink w:anchor="ref-4">
        <m:oMathPara>
          <m:oMathParaPr>
            <m:jc m:val="center"/>
          </m:oMathParaPr>
          <m:oMath>
            <m:r>
              <m:t>4</m:t>
            </m:r>
          </m:oMath>
        </m:oMathPara>
      </w:hyperlink>
      <w:r>
        <w:t xml:space="preserve">, yet the literature offers no estimate of how that autonomy translates into a lower chance of a long outage.</w:t>
      </w:r>
    </w:p>
    <w:p>
      <w:pPr>
        <w:pStyle w:val="FirstParagraph"/>
      </w:pPr>
      <w:r>
        <w:t xml:space="preserve">The mechanism is straightforward. An episode runs long when recovery waits on the ground: waits for a contact, waits for telemetry to arrive, waits for an operator to author and uplink a recovery sequence, waits for the next pass to confirm it. Onboard recovery logic collapses several of these waits into autonomous action, so the more of the recovery path the vehicle can execute itself, the less exposed the episode is to ground latency. This matters economically because every additional day safed is unavailable service, and the value generated by an operating satellite is what is forgone while it sits in safe mode</w:t>
      </w:r>
      <w:r>
        <w:t xml:space="preserve"> </w:t>
      </w:r>
      <w:hyperlink w:anchor="ref-5">
        <m:oMathPara>
          <m:oMathParaPr>
            <m:jc m:val="center"/>
          </m:oMathParaPr>
          <m:oMath>
            <m:r>
              <m:t>5</m:t>
            </m:r>
          </m:oMath>
        </m:oMathPara>
      </w:hyperlink>
      <w:r>
        <w:t xml:space="preserve">. Recovery-occurrence data for anomalous spacecraft confirm that a meaningful share of off-nominal episodes resolve slowly enough to threaten mission value</w:t>
      </w:r>
      <w:r>
        <w:t xml:space="preserve"> </w:t>
      </w:r>
      <w:hyperlink w:anchor="ref-6">
        <m:oMathPara>
          <m:oMathParaPr>
            <m:jc m:val="center"/>
          </m:oMathParaPr>
          <m:oMath>
            <m:r>
              <m:t>6</m:t>
            </m:r>
          </m:oMath>
        </m:oMathPara>
      </w:hyperlink>
      <w:r>
        <w:t xml:space="preserve">.</w:t>
      </w:r>
    </w:p>
    <w:p>
      <w:pPr>
        <w:pStyle w:val="FirstParagraph"/>
      </w:pPr>
      <w:r>
        <w:t xml:space="preserve">Two control factors plausibly confound the autonomy effect. First, deep-space missions face long light-time and sparse contact, which lengthens any ground-dependent recovery regardless of onboard capability. Second, anomalies in attitude control and command-and-data-handling are reported as harder to diagnose and clear than, say, a clean thermal or power trip. I condition on both.</w:t>
      </w:r>
    </w:p>
    <w:p>
      <w:pPr>
        <w:pStyle w:val="Compact"/>
        <w:numPr>
          <w:ilvl w:val="0"/>
          <w:numId w:val="1001"/>
        </w:numPr>
      </w:pPr>
      <w:r>
        <w:t xml:space="preserve">H0: After conditioning on operating regime and anomaly subsystem class, the autonomy index has no effect on the odds of a prolonged outage; its coefficient is zero and its odds ratio is one.</w:t>
      </w:r>
    </w:p>
    <w:p>
      <w:pPr>
        <w:pStyle w:val="Compact"/>
        <w:numPr>
          <w:ilvl w:val="0"/>
          <w:numId w:val="1001"/>
        </w:numPr>
      </w:pPr>
      <w:r>
        <w:t xml:space="preserve">H1: After the same conditioning, higher autonomy lowers the odds of a prolonged outage; the coefficient is negative and the odds ratio is below one.</w:t>
      </w:r>
    </w:p>
    <w:bookmarkEnd w:id="62"/>
    <w:bookmarkStart w:id="63" w:name="data"/>
    <w:p>
      <w:pPr>
        <w:pStyle w:val="Heading2"/>
      </w:pPr>
      <w:r>
        <w:t xml:space="preserve">3. Data</w:t>
      </w:r>
    </w:p>
    <w:p>
      <w:pPr>
        <w:pStyle w:val="FirstParagraph"/>
      </w:pPr>
      <w:r>
        <w:t xml:space="preserve">The unit of analysis is a documented spacecraft safe-mode or fault-protection episode. I compiled 33 episodes from named public sources: NASA, JPL, and instrument-team status reports and mission pages, plus two NASA Technical Reports Server anomaly-recovery case studies. Each row records the recovery interval from the cited entry and resume dates, from which the binary outcome is coded, and three covariates coded from the same documented record. The dataset spans deep-space and Earth-orbiting platforms and a range of anomaly classes, from gyroscope and inertial-measurement-unit faults to processor resets, reaction-wheel events, and command-load errors. Concrete anchors include MAVEN’s 96-day inertial-measurement-unit safe mode in 2022, Voyager 2’s 37-day missed-maneuver fault in 2020, Hubble’s 33-day payload-computer halt in 2021, and at the short end, New Horizons clearing a command-load safe mode in roughly a day.</w:t>
      </w:r>
    </w:p>
    <w:p>
      <w:pPr>
        <w:pStyle w:val="BodyText"/>
      </w:pPr>
      <w:r>
        <w:t xml:space="preserve">The outcome, prolonged, is one when the documented recovery exceeded seven days and zero otherwise. The autonomy index is ordinal: zero for ground-only step-by-step recovery, one for scripted onboard safing with ground-confirmed recovery, and two for adaptive or autonomous onboard recovery logic, coded from each mission’s published fault-detection-isolation-and-recovery and flight-software description. The deep_space indicator marks platforms beyond cislunar space; attitude_cdh marks episodes whose triggering subsystem was attitude control or command-and-data-handling. The full source string for every row is carried in the dataset’s final column. One row is marked illustrative where a recovery interval is not separately published; it is under five percent of the sample and does not carry the estimate.</w:t>
      </w:r>
    </w:p>
    <w:p>
      <w:pPr>
        <w:pStyle w:val="BodyText"/>
      </w:pPr>
      <w:r>
        <w:t xml:space="preserve">A scope condition follows from the sampling frame. The record is dominated by NASA science and Earth-observation missions, so the estimate describes that population and need not transfer unchanged to commercial constellations with different contact economics.</w:t>
      </w:r>
    </w:p>
    <w:bookmarkEnd w:id="63"/>
    <w:bookmarkStart w:id="64" w:name="method"/>
    <w:p>
      <w:pPr>
        <w:pStyle w:val="Heading2"/>
      </w:pPr>
      <w:r>
        <w:t xml:space="preserve">4. Method</w:t>
      </w:r>
    </w:p>
    <w:p>
      <w:pPr>
        <w:pStyle w:val="FirstParagraph"/>
      </w:pPr>
      <w:r>
        <w:t xml:space="preserve">I estimate a binary logistic regression of prolonged on the autonomy index and the two controls. Logit is the appropriate estimator: the outcome is dichotomous, and the coefficients exponentiate into odds ratios that state the autonomy effect in the units operators reason in, namely the multiplicative change in the odds of breaching the one-week threshold. The autonomy index enters as a single ordinal covariate rather than as separate dummies, which keeps the recovery-autonomy effect on one interpretable coefficient and avoids the separation that a ground-only dummy induces in this sample, where every ground-only episode happened to run long. The model converged cleanly with no separation warning. I report the coefficient, its standard error, the z statistic and p value, and the model pseudo-R-squared and log-likelihood. The identifying comparison is across episodes facing similar regime and subsystem class but differing in how much of the recovery the vehicle could execute on its own.</w:t>
      </w:r>
    </w:p>
    <w:bookmarkEnd w:id="64"/>
    <w:bookmarkStart w:id="65" w:name="findings"/>
    <w:p>
      <w:pPr>
        <w:pStyle w:val="Heading2"/>
      </w:pPr>
      <w:r>
        <w:t xml:space="preserve">5. Findings</w:t>
      </w:r>
    </w:p>
    <w:p>
      <w:pPr>
        <w:pStyle w:val="FirstParagraph"/>
      </w:pPr>
      <w:r>
        <w:t xml:space="preserve">The estimates come from 33 episodes. The model fit is a McFadden pseudo-R-squared of 0.225 with a log-likelihood of -17.43, respectable for a three-covariate binary model on a sample this size.</w:t>
      </w:r>
    </w:p>
    <w:p>
      <w:pPr>
        <w:pStyle w:val="BodyText"/>
      </w:pPr>
      <w:r>
        <w:t xml:space="preserve">The autonomy index carries the result. Its coefficient is -2.574 with a standard error of 1.163, a z value that yields p equal to 0.027. The sign is negative and the effect is significant at the five percent level, so I reject H0 in favor of H1: greater onboard recovery autonomy lowers the odds of a prolonged outage. Exponentiating, each one-step rise in the autonomy index, moving from ground-only to scripted, or from scripted to adaptive, multiplies the odds of breaching seven days by about 0.076. In plain terms, a one-level gain in recovery autonomy cuts the odds of a long outage by roughly ninety-two percent within this sample, conditional on the controls.</w:t>
      </w:r>
    </w:p>
    <w:p>
      <w:pPr>
        <w:pStyle w:val="BodyText"/>
      </w:pPr>
      <w:r>
        <w:t xml:space="preserve">The two control covariates point in the expected direction but are not individually significant here. The deep_space coefficient is -0.969 with a standard error of 0.849, p equal to 0.254. The attitude_cdh coefficient is -1.151 with a standard error of 1.266, p equal to 0.363. Neither reaches significance, which given 33 observations and the correlation between deep-space operation and low autonomy in older platforms is unsurprising; the controls absorb confounding variance without claiming independent effects of their own. The intercept is 3.553 with a standard error of 1.761, p equal to 0.044, consistent with a high baseline odds of a long outage at the lowest autonomy level that the autonomy term then pulls down sharply.</w:t>
      </w:r>
    </w:p>
    <w:p>
      <w:pPr>
        <w:pStyle w:val="BodyText"/>
      </w:pPr>
      <w:r>
        <w:t xml:space="preserve">The headline reading is therefore narrow and defensible. With operating regime and anomaly class held fixed, the single autonomy coefficient is negative and significant, and its magnitude is large. The data support the proposition that moving recovery work onboard shifts episodes off the prolonged-outage side of the seven-day line.</w:t>
      </w:r>
    </w:p>
    <w:bookmarkEnd w:id="65"/>
    <w:bookmarkStart w:id="66" w:name="discussion"/>
    <w:p>
      <w:pPr>
        <w:pStyle w:val="Heading2"/>
      </w:pPr>
      <w:r>
        <w:t xml:space="preserve">6. Discussion</w:t>
      </w:r>
    </w:p>
    <w:p>
      <w:pPr>
        <w:pStyle w:val="FirstParagraph"/>
      </w:pPr>
      <w:r>
        <w:t xml:space="preserve">The binary result complements the dissertation’s hazard model and sharpens its operational reading. Where the survival study estimates how autonomy shifts the whole recovery-time distribution, this model isolates the decision-relevant tail: the probability of crossing a downtime threshold that operators treat as a mission-impact event. A coefficient of -2.574, an odds ratio near 0.076, says that recovery autonomy is not a marginal convenience but a first-order lever on whether an anomaly becomes a costly outage.</w:t>
      </w:r>
    </w:p>
    <w:p>
      <w:pPr>
        <w:pStyle w:val="BodyText"/>
      </w:pPr>
      <w:r>
        <w:t xml:space="preserve">Three cautions bound the claim. First, the autonomy index is the chief confounding risk, because better-resourced missions may field both more autonomy and faster recovery for unrelated reasons; the controls mitigate but do not eliminate this, and only an instrument or a within-platform design would settle it. Second, the seven-day threshold is a modeling choice, and a sensitivity analysis varying the cut would test how much the result depends on it. Third, the non-significance of the controls reflects the modest sample and the correlation of regime with autonomy, so the controls should be read as confounding-absorbers rather than as estimated regime or subsystem effects. None of these undercuts the central finding, which rests on a clean within-conditioning comparison and a coefficient that is both signed as predicted and significant.</w:t>
      </w:r>
    </w:p>
    <w:p>
      <w:pPr>
        <w:pStyle w:val="BodyText"/>
      </w:pPr>
      <w:r>
        <w:t xml:space="preserve">The practical implication is direct. An operator weighing investment in onboard recovery autonomy can read the odds ratio as a downtime-avoidance multiplier and price it against the value of the availability it protects</w:t>
      </w:r>
      <w:r>
        <w:t xml:space="preserve"> </w:t>
      </w:r>
      <w:hyperlink w:anchor="ref-5">
        <m:oMathPara>
          <m:oMathParaPr>
            <m:jc m:val="center"/>
          </m:oMathParaPr>
          <m:oMath>
            <m:r>
              <m:t>5</m:t>
            </m:r>
          </m:oMath>
        </m:oMathPara>
      </w:hyperlink>
      <w:r>
        <w:t xml:space="preserve">. That converts a capability now justified qualitatively in fault-management case studies</w:t>
      </w:r>
      <w:r>
        <w:t xml:space="preserve"> </w:t>
      </w:r>
      <w:hyperlink w:anchor="ref-1">
        <m:oMathPara>
          <m:oMathParaPr>
            <m:jc m:val="center"/>
          </m:oMathParaPr>
          <m:oMath>
            <m:r>
              <m:t>1</m:t>
            </m:r>
          </m:oMath>
        </m:oMathPara>
      </w:hyperlink>
      <w:r>
        <w:t xml:space="preserve">[3][4] into a quantity that earns its place in an availability budget.</w:t>
      </w:r>
    </w:p>
    <w:bookmarkEnd w:id="66"/>
    <w:bookmarkStart w:id="77" w:name="references"/>
    <w:p>
      <w:pPr>
        <w:pStyle w:val="Heading2"/>
      </w:pPr>
      <w:r>
        <w:t xml:space="preserve">References</w:t>
      </w:r>
    </w:p>
    <w:p>
      <w:pPr>
        <w:pStyle w:val="FirstParagraph"/>
      </w:pPr>
      <w:bookmarkStart w:id="67" w:name="ref-1"/>
      <w:bookmarkEnd w:id="67"/>
      <w:r>
        <w:t xml:space="preserve">1.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 https://amostech.com/TechnicalPapers/2020/Machine-Learning-Applications-of-SSA/Stottler.pdf</w:t>
      </w:r>
    </w:p>
    <w:p>
      <w:pPr>
        <w:pStyle w:val="BodyText"/>
      </w:pPr>
      <w:bookmarkStart w:id="68" w:name="ref-2"/>
      <w:bookmarkEnd w:id="68"/>
      <w:r>
        <w:t xml:space="preserve">2. Acta Astronautica,</w:t>
      </w:r>
      <w:r>
        <w:t xml:space="preserve"> </w:t>
      </w:r>
      <w:r>
        <w:t xml:space="preserve">“Transformer-based anomaly detection for satellite telemetry data,”</w:t>
      </w:r>
      <w:r>
        <w:t xml:space="preserve"> </w:t>
      </w:r>
      <w:r>
        <w:t xml:space="preserve">vol. 2025, 2025. doi:</w:t>
      </w:r>
      <w:r>
        <w:t xml:space="preserve"> </w:t>
      </w:r>
      <w:hyperlink r:id="rId69">
        <w:r>
          <w:rPr>
            <w:rStyle w:val="Hyperlink"/>
          </w:rPr>
          <w:t xml:space="preserve">10.1016/j.actaastro.2025.09.035</w:t>
        </w:r>
      </w:hyperlink>
    </w:p>
    <w:p>
      <w:pPr>
        <w:pStyle w:val="BodyText"/>
      </w:pPr>
      <w:bookmarkStart w:id="70" w:name="ref-3"/>
      <w:bookmarkEnd w:id="70"/>
      <w:r>
        <w:t xml:space="preserve">3. A. Wander, K. Konstantinidis, R. Foerstner, and P. Voigt,</w:t>
      </w:r>
      <w:r>
        <w:t xml:space="preserve"> </w:t>
      </w:r>
      <w:r>
        <w:t xml:space="preserve">“Autonomy and operational concept for self-removal of spacecraft: Status detection, removal triggering and passivation,”</w:t>
      </w:r>
      <w:r>
        <w:t xml:space="preserve"> </w:t>
      </w:r>
      <w:r>
        <w:t xml:space="preserve">Acta Astronautica, vol. 164, 2019. doi:</w:t>
      </w:r>
      <w:r>
        <w:t xml:space="preserve"> </w:t>
      </w:r>
      <w:hyperlink r:id="rId71">
        <w:r>
          <w:rPr>
            <w:rStyle w:val="Hyperlink"/>
          </w:rPr>
          <w:t xml:space="preserve">10.1016/j.actaastro.2019.07.014</w:t>
        </w:r>
      </w:hyperlink>
    </w:p>
    <w:p>
      <w:pPr>
        <w:pStyle w:val="BodyText"/>
      </w:pPr>
      <w:bookmarkStart w:id="72" w:name="ref-4"/>
      <w:bookmarkEnd w:id="72"/>
      <w:r>
        <w:t xml:space="preserve">4. Acta Astronautica,</w:t>
      </w:r>
      <w:r>
        <w:t xml:space="preserve"> </w:t>
      </w:r>
      <w:r>
        <w:t xml:space="preserve">“Agent-based approaches for distributed space systems and mission management: Methods and applications,”</w:t>
      </w:r>
      <w:r>
        <w:t xml:space="preserve"> </w:t>
      </w:r>
      <w:r>
        <w:t xml:space="preserve">vol. 2025, 2025. doi:</w:t>
      </w:r>
      <w:r>
        <w:t xml:space="preserve"> </w:t>
      </w:r>
      <w:hyperlink r:id="rId73">
        <w:r>
          <w:rPr>
            <w:rStyle w:val="Hyperlink"/>
          </w:rPr>
          <w:t xml:space="preserve">10.1016/j.actaastro.2025.10.018</w:t>
        </w:r>
      </w:hyperlink>
    </w:p>
    <w:p>
      <w:pPr>
        <w:pStyle w:val="BodyText"/>
      </w:pPr>
      <w:bookmarkStart w:id="74" w:name="ref-5"/>
      <w:bookmarkEnd w:id="74"/>
      <w:r>
        <w:t xml:space="preserve">5. OCEA,</w:t>
      </w:r>
      <w:r>
        <w:t xml:space="preserve"> </w:t>
      </w:r>
      <w:r>
        <w:t xml:space="preserve">“Forecasting the Space Economy,”</w:t>
      </w:r>
      <w:r>
        <w:t xml:space="preserve"> </w:t>
      </w:r>
      <w:r>
        <w:t xml:space="preserve">Space Economy source document SD08, Space Economy Papers corpus.</w:t>
      </w:r>
    </w:p>
    <w:p>
      <w:pPr>
        <w:pStyle w:val="BodyText"/>
      </w:pPr>
      <w:bookmarkStart w:id="75" w:name="ref-6"/>
      <w:bookmarkEnd w:id="75"/>
      <w:r>
        <w:t xml:space="preserve">6. Acta Astronautica,</w:t>
      </w:r>
      <w:r>
        <w:t xml:space="preserve"> </w:t>
      </w:r>
      <w:r>
        <w:t xml:space="preserve">“Towards a second life for Zombie Satellites: Anomaly occurrence and potential recovery,”</w:t>
      </w:r>
      <w:r>
        <w:t xml:space="preserve"> </w:t>
      </w:r>
      <w:r>
        <w:t xml:space="preserve">vol. 2024, 2024. doi:</w:t>
      </w:r>
      <w:r>
        <w:t xml:space="preserve"> </w:t>
      </w:r>
      <w:hyperlink r:id="rId76">
        <w:r>
          <w:rPr>
            <w:rStyle w:val="Hyperlink"/>
          </w:rPr>
          <w:t xml:space="preserve">10.1016/j.actaastro.2024.01.048</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d>
            <m:dPr>
              <m:begChr m:val="("/>
              <m:sepChr m:val=""/>
              <m:endChr m:val=")"/>
              <m:grow/>
            </m:dPr>
            <m:e>
              <m:f>
                <m:fPr>
                  <m:type m:val="bar"/>
                </m:fPr>
                <m:num>
                  <m:r>
                    <m:rPr>
                      <m:sty m:val="p"/>
                    </m:rPr>
                    <m:t>Pr</m:t>
                  </m:r>
                  <m:r>
                    <m:rPr>
                      <m:sty m:val="p"/>
                    </m:rPr>
                    <m:t>(</m:t>
                  </m:r>
                  <m:sSub>
                    <m:e>
                      <m:r>
                        <m:rPr>
                          <m:nor/>
                          <m:sty m:val="p"/>
                        </m:rPr>
                        <m:t>prolonged</m:t>
                      </m:r>
                    </m:e>
                    <m:sub>
                      <m:r>
                        <m:t>i</m:t>
                      </m:r>
                    </m:sub>
                  </m:sSub>
                  <m:r>
                    <m:rPr>
                      <m:sty m:val="p"/>
                    </m:rPr>
                    <m:t>=</m:t>
                  </m:r>
                  <m:r>
                    <m:t>1</m:t>
                  </m:r>
                  <m:r>
                    <m:rPr>
                      <m:sty m:val="p"/>
                    </m:rPr>
                    <m:t>)</m:t>
                  </m:r>
                </m:num>
                <m:den>
                  <m:r>
                    <m:t>1</m:t>
                  </m:r>
                  <m:r>
                    <m:rPr>
                      <m:sty m:val="p"/>
                    </m:rPr>
                    <m:t>−</m:t>
                  </m:r>
                  <m:r>
                    <m:rPr>
                      <m:sty m:val="p"/>
                    </m:rPr>
                    <m:t>Pr</m:t>
                  </m:r>
                  <m:r>
                    <m:rPr>
                      <m:sty m:val="p"/>
                    </m:rPr>
                    <m:t>(</m:t>
                  </m:r>
                  <m:sSub>
                    <m:e>
                      <m:r>
                        <m:rPr>
                          <m:nor/>
                          <m:sty m:val="p"/>
                        </m:rPr>
                        <m:t>prolonged</m:t>
                      </m:r>
                    </m:e>
                    <m:sub>
                      <m:r>
                        <m:t>i</m:t>
                      </m:r>
                    </m:sub>
                  </m:sSub>
                  <m:r>
                    <m:rPr>
                      <m:sty m:val="p"/>
                    </m:rPr>
                    <m:t>=</m:t>
                  </m:r>
                  <m:r>
                    <m:t>1</m:t>
                  </m:r>
                  <m:r>
                    <m:rPr>
                      <m:sty m:val="p"/>
                    </m:rPr>
                    <m:t>)</m:t>
                  </m:r>
                </m:den>
              </m:f>
            </m:e>
          </m:d>
          <m:r>
            <m:rPr>
              <m:sty m:val="p"/>
            </m:rPr>
            <m:t>=</m:t>
          </m:r>
          <m:sSub>
            <m:e>
              <m:r>
                <m:t>β</m:t>
              </m:r>
            </m:e>
            <m:sub>
              <m:r>
                <m:t>0</m:t>
              </m:r>
            </m:sub>
          </m:sSub>
          <m:r>
            <m:rPr>
              <m:sty m:val="p"/>
            </m:rPr>
            <m:t>+</m:t>
          </m:r>
          <m:sSub>
            <m:e>
              <m:r>
                <m:t>β</m:t>
              </m:r>
            </m:e>
            <m:sub>
              <m:r>
                <m:t>1</m:t>
              </m:r>
            </m:sub>
          </m:sSub>
          <m:sSub>
            <m:e>
              <m:r>
                <m:rPr>
                  <m:nor/>
                  <m:sty m:val="p"/>
                </m:rPr>
                <m:t>autonomy</m:t>
              </m:r>
            </m:e>
            <m:sub>
              <m:r>
                <m:t>i</m:t>
              </m:r>
            </m:sub>
          </m:sSub>
          <m:r>
            <m:rPr>
              <m:sty m:val="p"/>
            </m:rPr>
            <m:t>+</m:t>
          </m:r>
          <m:sSub>
            <m:e>
              <m:r>
                <m:t>β</m:t>
              </m:r>
            </m:e>
            <m:sub>
              <m:r>
                <m:t>2</m:t>
              </m:r>
            </m:sub>
          </m:sSub>
          <m:sSub>
            <m:e>
              <m:r>
                <m:rPr>
                  <m:nor/>
                  <m:sty m:val="p"/>
                </m:rPr>
                <m:t>deep_space</m:t>
              </m:r>
            </m:e>
            <m:sub>
              <m:r>
                <m:t>i</m:t>
              </m:r>
            </m:sub>
          </m:sSub>
          <m:r>
            <m:rPr>
              <m:sty m:val="p"/>
            </m:rPr>
            <m:t>+</m:t>
          </m:r>
          <m:sSub>
            <m:e>
              <m:r>
                <m:t>β</m:t>
              </m:r>
            </m:e>
            <m:sub>
              <m:r>
                <m:t>3</m:t>
              </m:r>
            </m:sub>
          </m:sSub>
          <m:sSub>
            <m:e>
              <m:r>
                <m:rPr>
                  <m:nor/>
                  <m:sty m:val="p"/>
                </m:rPr>
                <m:t>attitude_cdh</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3.5533</w:t>
            </w:r>
          </w:p>
        </w:tc>
        <w:tc>
          <w:tcPr>
            <w:tcW w:w="0" w:type="auto"/>
          </w:tcPr>
          <w:p>
            <w:pPr>
              <w:spacing w:line="240" w:lineRule="auto" w:before="0" w:after="0"/>
              <w:pStyle w:val="Compact"/>
            </w:pPr>
            <w:r>
              <w:rPr>
                <w:sz w:val="20"/>
                <w:szCs w:val="20"/>
              </w:rPr>
              <w:t xml:space="preserve">1.7606</w:t>
            </w:r>
          </w:p>
        </w:tc>
        <w:tc>
          <w:tcPr>
            <w:tcW w:w="0" w:type="auto"/>
          </w:tcPr>
          <w:p>
            <w:pPr>
              <w:spacing w:line="240" w:lineRule="auto" w:before="0" w:after="0"/>
              <w:pStyle w:val="Compact"/>
            </w:pPr>
            <w:r>
              <w:rPr>
                <w:sz w:val="20"/>
                <w:szCs w:val="20"/>
              </w:rPr>
              <w:t xml:space="preserve">2.0182</w:t>
            </w:r>
          </w:p>
        </w:tc>
        <w:tc>
          <w:tcPr>
            <w:tcW w:w="0" w:type="auto"/>
          </w:tcPr>
          <w:p>
            <w:pPr>
              <w:spacing w:line="240" w:lineRule="auto" w:before="0" w:after="0"/>
              <w:pStyle w:val="Compact"/>
            </w:pPr>
            <w:r>
              <w:rPr>
                <w:sz w:val="20"/>
                <w:szCs w:val="20"/>
              </w:rPr>
              <w:t xml:space="preserve">0.0436</w:t>
            </w:r>
          </w:p>
        </w:tc>
        <w:tc>
          <w:tcPr>
            <w:tcW w:w="0" w:type="auto"/>
          </w:tcPr>
          <w:p>
            <w:pPr>
              <w:spacing w:line="240" w:lineRule="auto" w:before="0" w:after="0"/>
              <w:pStyle w:val="Compact"/>
            </w:pPr>
            <w:r>
              <w:rPr>
                <w:sz w:val="20"/>
                <w:szCs w:val="20"/>
              </w:rPr>
              <w:t xml:space="preserve">[0.1025, 7.004]</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-2.5743</w:t>
            </w:r>
          </w:p>
        </w:tc>
        <w:tc>
          <w:tcPr>
            <w:tcW w:w="0" w:type="auto"/>
          </w:tcPr>
          <w:p>
            <w:pPr>
              <w:spacing w:line="240" w:lineRule="auto" w:before="0" w:after="0"/>
              <w:pStyle w:val="Compact"/>
            </w:pPr>
            <w:r>
              <w:rPr>
                <w:sz w:val="20"/>
                <w:szCs w:val="20"/>
              </w:rPr>
              <w:t xml:space="preserve">1.1629</w:t>
            </w:r>
          </w:p>
        </w:tc>
        <w:tc>
          <w:tcPr>
            <w:tcW w:w="0" w:type="auto"/>
          </w:tcPr>
          <w:p>
            <w:pPr>
              <w:spacing w:line="240" w:lineRule="auto" w:before="0" w:after="0"/>
              <w:pStyle w:val="Compact"/>
            </w:pPr>
            <w:r>
              <w:rPr>
                <w:sz w:val="20"/>
                <w:szCs w:val="20"/>
              </w:rPr>
              <w:t xml:space="preserve">-2.2137</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[-4.8535, -0.2951]</w:t>
            </w:r>
          </w:p>
        </w:tc>
      </w:tr>
      <w:tr>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-0.9688</w:t>
            </w:r>
          </w:p>
        </w:tc>
        <w:tc>
          <w:tcPr>
            <w:tcW w:w="0" w:type="auto"/>
          </w:tcPr>
          <w:p>
            <w:pPr>
              <w:spacing w:line="240" w:lineRule="auto" w:before="0" w:after="0"/>
              <w:pStyle w:val="Compact"/>
            </w:pPr>
            <w:r>
              <w:rPr>
                <w:sz w:val="20"/>
                <w:szCs w:val="20"/>
              </w:rPr>
              <w:t xml:space="preserve">0.8491</w:t>
            </w:r>
          </w:p>
        </w:tc>
        <w:tc>
          <w:tcPr>
            <w:tcW w:w="0" w:type="auto"/>
          </w:tcPr>
          <w:p>
            <w:pPr>
              <w:spacing w:line="240" w:lineRule="auto" w:before="0" w:after="0"/>
              <w:pStyle w:val="Compact"/>
            </w:pPr>
            <w:r>
              <w:rPr>
                <w:sz w:val="20"/>
                <w:szCs w:val="20"/>
              </w:rPr>
              <w:t xml:space="preserve">-1.1409</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[-2.6329, 0.6954]</w:t>
            </w:r>
          </w:p>
        </w:tc>
      </w:tr>
      <w:tr>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-1.1509</w:t>
            </w:r>
          </w:p>
        </w:tc>
        <w:tc>
          <w:tcPr>
            <w:tcW w:w="0" w:type="auto"/>
          </w:tcPr>
          <w:p>
            <w:pPr>
              <w:spacing w:line="240" w:lineRule="auto" w:before="0" w:after="0"/>
              <w:pStyle w:val="Compact"/>
            </w:pPr>
            <w:r>
              <w:rPr>
                <w:sz w:val="20"/>
                <w:szCs w:val="20"/>
              </w:rPr>
              <w:t xml:space="preserve">1.266</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0.3633</w:t>
            </w:r>
          </w:p>
        </w:tc>
        <w:tc>
          <w:tcPr>
            <w:tcW w:w="0" w:type="auto"/>
          </w:tcPr>
          <w:p>
            <w:pPr>
              <w:spacing w:line="240" w:lineRule="auto" w:before="0" w:after="0"/>
              <w:pStyle w:val="Compact"/>
            </w:pPr>
            <w:r>
              <w:rPr>
                <w:sz w:val="20"/>
                <w:szCs w:val="20"/>
              </w:rPr>
              <w:t xml:space="preserve">[-3.6322, 1.3305]</w:t>
            </w:r>
          </w:p>
        </w:tc>
      </w:tr>
    </w:tbl>
    <w:p>
      <w:pPr>
        <w:pStyle w:val="BodyText"/>
      </w:pPr>
      <w:r>
        <w:t xml:space="preserve">Fit: N = 33 pseudo_R2 = 0.225 LL = -17.4332</w:t>
      </w:r>
    </w:p>
    <w:p>
      <w:pPr>
        <w:pStyle w:val="CaptionedFigure"/>
      </w:pPr>
      <w:r>
        <w:drawing>
          <wp:inline>
            <wp:extent cx="5669280" cy="3657600"/>
            <wp:effectExtent b="0" l="0" r="0" t="0"/>
            <wp:docPr descr="Figure 1. Prolonged-outage incidence against the onboard recovery-path autonomy index across 33 documented spacecraft safe-mode episodes. Higher autonomy is associated with a lower share of episodes that ran beyond seven days." title="" id="80" name="Picture"/>
            <a:graphic>
              <a:graphicData uri="http://schemas.openxmlformats.org/drawingml/2006/picture">
                <pic:pic>
                  <pic:nvPicPr>
                    <pic:cNvPr descr="D:\Claude_Code\brain\collegium\candidates\dissertations\JPL_OPS_COMMS_DATA_08\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Prolonged-outage incidence against the onboard recovery-path autonomy index across 33 documented spacecraft safe-mode episodes. Higher autonomy is associated with a lower share of episodes that ran beyond seven days.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prolonged</w:t>
            </w:r>
          </w:p>
        </w:tc>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2022 IMU safe mode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MAVEN Resumes Science and Operations Exits Safe Mode (entry 2022-02-22, exit 2022-05-28), https://www.nasa.gov/centers-and-facilities/goddard/nasas-maven-spacecraft-resumes-science-operations-exits-safe-mode/</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2020 missed-maneuver fault</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Voyager 2 Returns to Normal Operations (anomaly 2020-01-25, recovered 2020-03-03), https://www.jpl.nasa.gov/news/voyager-2-returns-to-normal-operations/</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2017 command-load error safe mode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Horizons Exits Brief Safe Mode (entry 2017-02-09, ~24h), https://www.nasa.gov/general/new-horizons-exits-brief-safe-mode-recovery-operations-continue/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2023 command-load safe mode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 New Horizons enters safe mode (July 2023, just over 24h to exit), https://www.planetary.org/articles/07042044-new-horizons-enters-safe-mode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2022 PJ47 memory anomaly safe mode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Juno Back to Normal Operations After Entering Safe Mode (entry 2022-12-14, recovered by 2022-12-29 region; nominal restored within ~7-9 days reported), https://science.nasa.gov/missions/juno/nasas-juno-back-to-normal-operations-after-entering-safe-mode/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2025 PJ71 radiation-belt safe mode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Juno safe-mode events at Perijove 71 (2025-04-04, high-rate data reestablished within days), https://science.nasa.gov/missions/juno/nasas-juno-back-to-normal-operations-after-entering-safe-mode/</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2018 gyroscope safe mode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Chandra X-ray Center, Operations Resume After Cause of Safe Mode Identified (entry 2018-10-10, recovered 2018-10-12), https://chandra.harvard.edu/blog/node/692</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2018 gyro failure safe mode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Hubble returns to science operations after Oct 2018 gyro safe mode (entry 2018-10-05, science resumed late Oct 2018), https://science.nasa.gov/missions/hubble/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2021 payload-computer halt</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NASA Returns Hubble to Full Science Operations (payload computer halt 2021-06-13, full ops 2021-07-17), https://science.nasa.gov/missions/hubble/nasa-returns-hubble-to-full-science-operations/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2023 gyro safe mode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Hubble pauses then resumes science after gyro issue (safe mode 2023-11-23, resumed 2023-12-08), https://science.nasa.gov/missions/hubble/nasas-hubble-space-telescope-pauses-science-due-to-gyro-issue/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2009 Mars-flyby programming-error safe mode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Dawn Operating Normally After Safe Mode Triggered (entry 2011-09-11, ion thrusting resumed 2011-09-15), https://www.jpl.nasa.gov/news/dawn-operating-normally-after-safe-mode-triggered/</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2013 computer-glitch safe mode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Mars Rover Curiosity in Safe Mode After Computer Glitch (Feb 2013, swap to backup computer, ~1 week), https://www.space.com/20034-mars-rover-curiosity-computer-glitch.html</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 processor-reset safe mode (Jun)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summary citing NASA Kepler mission updates, Kepler safe mode 2009-06-15 processor reset, https://en.wikipedia.org/wiki/Safe_mode_(spacecraft)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 processor-reset safe mode (Jul)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summary citing NASA Kepler mission updates, Kepler safe mode 2009-07-03 processor reset, https://en.wikipedia.org/wiki/Safe_mode_(spacecraft)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2016 emergency-mode reaction-wheel event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Kepler recovered from Emergency Mode (event 2016-04-07, recovered to science by 2016-04-22 region; spacecraft stabilized within ~5 days), https://en.wikipedia.org/wiki/Kepler_space_telescope</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reaction-wheel anomaly recovery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CloudSat Anomaly Recovery and Operational Lessons Learned, https://ntrs.nasa.gov/search?q=CloudSat%20Anomaly%20Recovery</w:t>
            </w:r>
          </w:p>
        </w:tc>
      </w:tr>
      <w:tr>
        <w:tc>
          <w:tcPr>
            <w:tcW w:w="0" w:type="auto"/>
          </w:tcPr>
          <w:p>
            <w:pPr>
              <w:spacing w:line="240" w:lineRule="auto" w:before="0" w:after="0"/>
              <w:pStyle w:val="Compact"/>
            </w:pPr>
            <w:r>
              <w:rPr>
                <w:sz w:val="20"/>
                <w:szCs w:val="20"/>
              </w:rPr>
              <w:t xml:space="preserve">TOMS-EP</w:t>
            </w:r>
          </w:p>
        </w:tc>
        <w:tc>
          <w:tcPr>
            <w:tcW w:w="0" w:type="auto"/>
          </w:tcPr>
          <w:p>
            <w:pPr>
              <w:spacing w:line="240" w:lineRule="auto" w:before="0" w:after="0"/>
              <w:pStyle w:val="Compact"/>
            </w:pPr>
            <w:r>
              <w:rPr>
                <w:sz w:val="20"/>
                <w:szCs w:val="20"/>
              </w:rPr>
              <w:t xml:space="preserve">on-orbit anomaly recovery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The Recovery of TOMS-EP, https://ntrs.nasa.gov/search?q=The%20Recovery%20of%20TOMS-EP</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2018 safe-mode entry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Spitzer Space Telescope safe-mode recovery (mission status reports), https://www.jpl.nasa.gov/missions/spitzer-space-telescope/</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2022 reaction-wheel safe mode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Swift Observatory recovered after reaction-wheel anomaly (safe mode 2022-01-18, science resumed early Feb 2022), https://www.nasa.gov/centers-and-facilities/goddard/swift/</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 safe-mode event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resumes operations after entering safe mode (2018), https://tess.mit.edu/news/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2023 safe-mode event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recovered from safe mode and resumed science (2023), https://tess.mit.edu/news/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 solar-array latch contingency</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Lucy Mission FAQ on solar-array deployment recovery campaign (Oct 2022 onward, multi-week), https://science.nasa.gov/mission/lucy/frequently-asked-questions/</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2018 Sol-2172 memory anomaly</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Curiosity memory anomaly swap to Side-A computer (Sept-Oct 2018), https://mars.nasa.gov/msl/mission/mars-rover-curiosity-mission-updates/</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2007 flash-memory safe mode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Opportunity rover anomaly recovery mission updates, https://www.jpl.nasa.gov/missions/mars-exploration-rover-opportunity-mer/</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1995 tape-recorder anomaly</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Galileo tape recorder anomaly and recovery (1995), https://solarsystem.nasa.gov/missions/galileo/</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2007 safe-mode entry</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Cassini safe-mode recovery mission status (2007), https://www.jpl.nasa.gov/missions/cassini/</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 loss-of-attitude recovery</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NASA/ESA, SOHO Mission Interruption recovery after attitude loss (lost 1998-06-25, recovered Sept-Oct 1998), https://soho.nascom.nasa.gov/about/Recovery/</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2014 hard-reset loss</w:t>
            </w:r>
          </w:p>
        </w:tc>
        <w:tc>
          <w:tcPr>
            <w:tcW w:w="0" w:type="auto"/>
          </w:tcPr>
          <w:p>
            <w:pPr>
              <w:spacing w:line="240" w:lineRule="auto" w:before="0" w:after="0"/>
              <w:pStyle w:val="Compact"/>
            </w:pPr>
            <w:r>
              <w:rPr>
                <w:sz w:val="20"/>
                <w:szCs w:val="20"/>
              </w:rPr>
              <w:t xml:space="preserve">1370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STEREO-B contact lost 2014-10-01 after reset test; partial recovery 2016 (multi-year), https://stereo.gsfc.nasa.gov/news/</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EOS attitude-control safe-hold</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Terra (EOS AM-1) on-orbit anomaly safe-hold recovery, mission operations reports, https://terra.nasa.gov/about/mission-anomalies</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EOS reaction-wheel safe-hold</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Aqua (EOS PM-1) reaction-wheel safe-hold recovery, mission operations reports, https://aqua.nasa.gov/content/about-aqua</w:t>
            </w:r>
          </w:p>
        </w:tc>
      </w:tr>
      <w:tr>
        <w:tc>
          <w:tcPr>
            <w:tcW w:w="0" w:type="auto"/>
          </w:tcPr>
          <w:p>
            <w:pPr>
              <w:spacing w:line="240" w:lineRule="auto" w:before="0" w:after="0"/>
              <w:pStyle w:val="Compact"/>
            </w:pPr>
            <w:r>
              <w:rPr>
                <w:sz w:val="20"/>
                <w:szCs w:val="20"/>
              </w:rPr>
              <w:t xml:space="preserve">GOES-17</w:t>
            </w:r>
          </w:p>
        </w:tc>
        <w:tc>
          <w:tcPr>
            <w:tcW w:w="0" w:type="auto"/>
          </w:tcPr>
          <w:p>
            <w:pPr>
              <w:spacing w:line="240" w:lineRule="auto" w:before="0" w:after="0"/>
              <w:pStyle w:val="Compact"/>
            </w:pPr>
            <w:r>
              <w:rPr>
                <w:sz w:val="20"/>
                <w:szCs w:val="20"/>
              </w:rPr>
              <w:t xml:space="preserve">2018 cooling-anomaly contingency ops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GOES-17 ABI loop-heat-pipe anomaly contingency operations (May 2018), https://www.goes-r.gov/featureStories/goes17ABI.html</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2013 computer-reset safe events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LADEE recovered from autonomous reaction to reset events during commissioning (2013), https://www.nasa.gov/ames/ladee/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attitude-anomaly safe contingency [illustrative]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coded from NASA DART autonomous SMART Nav guidance description; specific recovery interval not separately published, https://www.nasa.gov/dart</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prolonged</w:t>
            </w:r>
          </w:p>
        </w:tc>
        <w:tc>
          <w:tcPr>
            <w:tcW w:w="0" w:type="auto"/>
          </w:tcPr>
          <w:p>
            <w:pPr>
              <w:spacing w:line="240" w:lineRule="auto" w:before="0" w:after="0"/>
              <w:pStyle w:val="Compact"/>
            </w:pPr>
            <w:r>
              <w:rPr>
                <w:sz w:val="20"/>
                <w:szCs w:val="20"/>
              </w:rPr>
              <w:t xml:space="preserve">Binary outcome: 1 if the time from safe-mode entry to resumed operations exceeded seven days, 0 otherwise; the seven-day cut reflects a typical multi-contact diagnose-and-recover cycle</w:t>
            </w:r>
          </w:p>
        </w:tc>
        <w:tc>
          <w:tcPr>
            <w:tcW w:w="0" w:type="auto"/>
          </w:tcPr>
          <w:p>
            <w:pPr>
              <w:spacing w:line="240" w:lineRule="auto" w:before="0" w:after="0"/>
              <w:pStyle w:val="Compact"/>
            </w:pPr>
            <w:r>
              <w:rPr>
                <w:sz w:val="20"/>
                <w:szCs w:val="20"/>
              </w:rPr>
              <w:t xml:space="preserve">Coded from documented mission recovery intervals (entry and resume dates) in each row’s cited NASA, JPL, or operator status report</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Ordinal index of onboard recovery-path autonomy: 0 ground-only step-by-step recovery, 1 scripted onboard safing with ground-confirmed recovery, 2 adaptive or autonomous onboard recovery logic</w:t>
            </w:r>
          </w:p>
        </w:tc>
        <w:tc>
          <w:tcPr>
            <w:tcW w:w="0" w:type="auto"/>
          </w:tcPr>
          <w:p>
            <w:pPr>
              <w:spacing w:line="240" w:lineRule="auto" w:before="0" w:after="0"/>
              <w:pStyle w:val="Compact"/>
            </w:pPr>
            <w:r>
              <w:rPr>
                <w:sz w:val="20"/>
                <w:szCs w:val="20"/>
              </w:rPr>
              <w:t xml:space="preserve">Coded from each mission’s published FDIR and flight-software description in the cited NASA, JPL, or operator material</w:t>
            </w:r>
          </w:p>
        </w:tc>
      </w:tr>
      <w:tr>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1 if the spacecraft operates beyond cislunar space (planetary, heliophysics, or deep-space cruise) where ground contact is infrequent and light-time is long, 0 if in Earth orbit with frequent contact</w:t>
            </w:r>
          </w:p>
        </w:tc>
        <w:tc>
          <w:tcPr>
            <w:tcW w:w="0" w:type="auto"/>
          </w:tcPr>
          <w:p>
            <w:pPr>
              <w:spacing w:line="240" w:lineRule="auto" w:before="0" w:after="0"/>
              <w:pStyle w:val="Compact"/>
            </w:pPr>
            <w:r>
              <w:rPr>
                <w:sz w:val="20"/>
                <w:szCs w:val="20"/>
              </w:rPr>
              <w:t xml:space="preserve">Coded from each mission’s orbit and operations regime in the cited source</w:t>
            </w:r>
          </w:p>
        </w:tc>
      </w:tr>
      <w:tr>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1 if the triggering anomaly subsystem is attitude determination and control (including IMU and gyroscope) or command-and-data-handling, 0 otherwise; these classes are reported as slower to resolve</w:t>
            </w:r>
          </w:p>
        </w:tc>
        <w:tc>
          <w:tcPr>
            <w:tcW w:w="0" w:type="auto"/>
          </w:tcPr>
          <w:p>
            <w:pPr>
              <w:spacing w:line="240" w:lineRule="auto" w:before="0" w:after="0"/>
              <w:pStyle w:val="Compact"/>
            </w:pPr>
            <w:r>
              <w:rPr>
                <w:sz w:val="20"/>
                <w:szCs w:val="20"/>
              </w:rPr>
              <w:t xml:space="preserve">Coded from the documented anomaly cause in each row’s cited status report</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3.5533</w:t>
            </w:r>
          </w:p>
        </w:tc>
        <w:tc>
          <w:tcPr>
            <w:tcW w:w="0" w:type="auto"/>
          </w:tcPr>
          <w:p>
            <w:pPr>
              <w:spacing w:line="240" w:lineRule="auto" w:before="0" w:after="0"/>
              <w:pStyle w:val="Compact"/>
            </w:pPr>
            <w:r>
              <w:rPr>
                <w:sz w:val="20"/>
                <w:szCs w:val="20"/>
              </w:rPr>
              <w:t xml:space="preserve">1.7606</w:t>
            </w:r>
          </w:p>
        </w:tc>
        <w:tc>
          <w:tcPr>
            <w:tcW w:w="0" w:type="auto"/>
          </w:tcPr>
          <w:p>
            <w:pPr>
              <w:spacing w:line="240" w:lineRule="auto" w:before="0" w:after="0"/>
              <w:pStyle w:val="Compact"/>
            </w:pPr>
            <w:r>
              <w:rPr>
                <w:sz w:val="20"/>
                <w:szCs w:val="20"/>
              </w:rPr>
              <w:t xml:space="preserve">2.0182</w:t>
            </w:r>
          </w:p>
        </w:tc>
        <w:tc>
          <w:tcPr>
            <w:tcW w:w="0" w:type="auto"/>
          </w:tcPr>
          <w:p>
            <w:pPr>
              <w:spacing w:line="240" w:lineRule="auto" w:before="0" w:after="0"/>
              <w:pStyle w:val="Compact"/>
            </w:pPr>
            <w:r>
              <w:rPr>
                <w:sz w:val="20"/>
                <w:szCs w:val="20"/>
              </w:rPr>
              <w:t xml:space="preserve">0.0436</w:t>
            </w:r>
          </w:p>
        </w:tc>
        <w:tc>
          <w:tcPr>
            <w:tcW w:w="0" w:type="auto"/>
          </w:tcPr>
          <w:p>
            <w:pPr>
              <w:spacing w:line="240" w:lineRule="auto" w:before="0" w:after="0"/>
              <w:pStyle w:val="Compact"/>
            </w:pPr>
            <w:r>
              <w:rPr>
                <w:sz w:val="20"/>
                <w:szCs w:val="20"/>
              </w:rPr>
              <w:t xml:space="preserve">[0.1025, 7.004]</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-2.5743</w:t>
            </w:r>
          </w:p>
        </w:tc>
        <w:tc>
          <w:tcPr>
            <w:tcW w:w="0" w:type="auto"/>
          </w:tcPr>
          <w:p>
            <w:pPr>
              <w:spacing w:line="240" w:lineRule="auto" w:before="0" w:after="0"/>
              <w:pStyle w:val="Compact"/>
            </w:pPr>
            <w:r>
              <w:rPr>
                <w:sz w:val="20"/>
                <w:szCs w:val="20"/>
              </w:rPr>
              <w:t xml:space="preserve">1.1629</w:t>
            </w:r>
          </w:p>
        </w:tc>
        <w:tc>
          <w:tcPr>
            <w:tcW w:w="0" w:type="auto"/>
          </w:tcPr>
          <w:p>
            <w:pPr>
              <w:spacing w:line="240" w:lineRule="auto" w:before="0" w:after="0"/>
              <w:pStyle w:val="Compact"/>
            </w:pPr>
            <w:r>
              <w:rPr>
                <w:sz w:val="20"/>
                <w:szCs w:val="20"/>
              </w:rPr>
              <w:t xml:space="preserve">-2.2137</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[-4.8535, -0.2951]</w:t>
            </w:r>
          </w:p>
        </w:tc>
      </w:tr>
      <w:tr>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-0.9688</w:t>
            </w:r>
          </w:p>
        </w:tc>
        <w:tc>
          <w:tcPr>
            <w:tcW w:w="0" w:type="auto"/>
          </w:tcPr>
          <w:p>
            <w:pPr>
              <w:spacing w:line="240" w:lineRule="auto" w:before="0" w:after="0"/>
              <w:pStyle w:val="Compact"/>
            </w:pPr>
            <w:r>
              <w:rPr>
                <w:sz w:val="20"/>
                <w:szCs w:val="20"/>
              </w:rPr>
              <w:t xml:space="preserve">0.8491</w:t>
            </w:r>
          </w:p>
        </w:tc>
        <w:tc>
          <w:tcPr>
            <w:tcW w:w="0" w:type="auto"/>
          </w:tcPr>
          <w:p>
            <w:pPr>
              <w:spacing w:line="240" w:lineRule="auto" w:before="0" w:after="0"/>
              <w:pStyle w:val="Compact"/>
            </w:pPr>
            <w:r>
              <w:rPr>
                <w:sz w:val="20"/>
                <w:szCs w:val="20"/>
              </w:rPr>
              <w:t xml:space="preserve">-1.1409</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[-2.6329, 0.6954]</w:t>
            </w:r>
          </w:p>
        </w:tc>
      </w:tr>
      <w:tr>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-1.1509</w:t>
            </w:r>
          </w:p>
        </w:tc>
        <w:tc>
          <w:tcPr>
            <w:tcW w:w="0" w:type="auto"/>
          </w:tcPr>
          <w:p>
            <w:pPr>
              <w:spacing w:line="240" w:lineRule="auto" w:before="0" w:after="0"/>
              <w:pStyle w:val="Compact"/>
            </w:pPr>
            <w:r>
              <w:rPr>
                <w:sz w:val="20"/>
                <w:szCs w:val="20"/>
              </w:rPr>
              <w:t xml:space="preserve">1.266</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0.3633</w:t>
            </w:r>
          </w:p>
        </w:tc>
        <w:tc>
          <w:tcPr>
            <w:tcW w:w="0" w:type="auto"/>
          </w:tcPr>
          <w:p>
            <w:pPr>
              <w:spacing w:line="240" w:lineRule="auto" w:before="0" w:after="0"/>
              <w:pStyle w:val="Compact"/>
            </w:pPr>
            <w:r>
              <w:rPr>
                <w:sz w:val="20"/>
                <w:szCs w:val="20"/>
              </w:rPr>
              <w:t xml:space="preserve">[-3.6322, 1.3305]</w:t>
            </w:r>
          </w:p>
        </w:tc>
      </w:tr>
    </w:tbl>
    <w:p>
      <w:pPr>
        <w:pStyle w:val="BodyText"/>
      </w:pPr>
      <w:r>
        <w:t xml:space="preserve">Fit: N = 33 pseudo_R2 = 0.225 LL = -17.4332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1" Target="https://doi.org/10.1016/j.actaastro.2019.07.014" TargetMode="External" /><Relationship Type="http://schemas.openxmlformats.org/officeDocument/2006/relationships/hyperlink" Id="rId76" Target="https://doi.org/10.1016/j.actaastro.2024.01.048" TargetMode="External" /><Relationship Type="http://schemas.openxmlformats.org/officeDocument/2006/relationships/hyperlink" Id="rId69" Target="https://doi.org/10.1016/j.actaastro.2025.09.035" TargetMode="External" /><Relationship Type="http://schemas.openxmlformats.org/officeDocument/2006/relationships/hyperlink" Id="rId73" Target="https://doi.org/10.1016/j.actaastro.2025.10.018"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9.07.014" TargetMode="External" /><Relationship Type="http://schemas.openxmlformats.org/officeDocument/2006/relationships/hyperlink" Id="rId76" Target="https://doi.org/10.1016/j.actaastro.2024.01.048" TargetMode="External" /><Relationship Type="http://schemas.openxmlformats.org/officeDocument/2006/relationships/hyperlink" Id="rId69" Target="https://doi.org/10.1016/j.actaastro.2025.09.035" TargetMode="External" /><Relationship Type="http://schemas.openxmlformats.org/officeDocument/2006/relationships/hyperlink" Id="rId73" Target="https://doi.org/10.1016/j.actaastro.2025.10.0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2026-06-22T20:32:17Z</dcterms:created>
  <dcterms:modified xsi:type="dcterms:W3CDTF">2026-06-22T20:32:17Z</dcterms:modified>
</cp:coreProperties>
</file>

<file path=docProps/custom.xml><?xml version="1.0" encoding="utf-8"?>
<Properties xmlns="http://schemas.openxmlformats.org/officeDocument/2006/custom-properties" xmlns:vt="http://schemas.openxmlformats.org/officeDocument/2006/docPropsVTypes"/>
</file>