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02caffbdaae1db0dd7400dae8eca068e37d3242"/>
    <w:p>
      <w:pPr>
        <w:pStyle w:val="Heading1"/>
      </w:pPr>
      <w:r>
        <w:t xml:space="preserve">Time-to-Acquisition After Anomaly: A Cox Hazard Model of Onboard Recovery Autonomy in Spacecraft Safe-Mode Episodes</w:t>
      </w:r>
    </w:p>
    <w:bookmarkStart w:id="61" w:name="introduction"/>
    <w:p>
      <w:pPr>
        <w:pStyle w:val="Heading2"/>
      </w:pPr>
      <w:r>
        <w:t xml:space="preserve">1. Introduction</w:t>
      </w:r>
    </w:p>
    <w:p>
      <w:pPr>
        <w:pStyle w:val="FirstParagraph"/>
      </w:pPr>
      <w:r>
        <w:t xml:space="preserve">When a spacecraft detects an onboard fault, it safes: it sheds nonessential loads, orients for power and thermal survival, and waits for ground intervention or executes an onboard recovery sequence. The operations clock that determines lost science and lost availability is not the time to detect the fault but the time to recover a healthy, fully commandable vehicle. This paper names that interval time-to-acquisition after anomaly and treats it as a stochastic duration rather than as a fixed property of the fault-management design.</w:t>
      </w:r>
    </w:p>
    <w:p>
      <w:pPr>
        <w:pStyle w:val="BodyText"/>
      </w:pPr>
      <w:r>
        <w:t xml:space="preserve">The detection half of the safing loop is well studied. Onboard, autonomous, hybrid systems that combine model-based reasoning with machine learning have been demonstrated for subsystem fault and anomaly detection, diagnosis, and recovery, with explicit attention to separating genuine off-nominal behavior from normal operating modes</w:t>
      </w:r>
      <w:r>
        <w:t xml:space="preserve"> </w:t>
      </w:r>
      <w:hyperlink w:anchor="ref-1">
        <m:oMathPara>
          <m:oMathParaPr>
            <m:jc m:val="center"/>
          </m:oMathParaPr>
          <m:oMath>
            <m:r>
              <m:t>1</m:t>
            </m:r>
          </m:oMath>
        </m:oMathPara>
      </w:hyperlink>
      <w:r>
        <w:t xml:space="preserve">. Machine-learning pipelines now ingest telemetry so that potential anomalies can be characterized in near real time</w:t>
      </w:r>
      <w:r>
        <w:t xml:space="preserve"> </w:t>
      </w:r>
      <w:hyperlink w:anchor="ref-2">
        <m:oMathPara>
          <m:oMathParaPr>
            <m:jc m:val="center"/>
          </m:oMathParaPr>
          <m:oMath>
            <m:r>
              <m:t>2</m:t>
            </m:r>
          </m:oMath>
        </m:oMathPara>
      </w:hyperlink>
      <w:r>
        <w:t xml:space="preserve">, and broader programs fold such detection into routine operations</w:t>
      </w:r>
      <w:r>
        <w:t xml:space="preserve"> </w:t>
      </w:r>
      <w:hyperlink w:anchor="ref-3">
        <m:oMathPara>
          <m:oMathParaPr>
            <m:jc m:val="center"/>
          </m:oMathParaPr>
          <m:oMath>
            <m:r>
              <m:t>3</m:t>
            </m:r>
          </m:oMath>
        </m:oMathPara>
      </w:hyperlink>
      <w:r>
        <w:t xml:space="preserve">. The recovery half of the loop, by contrast, is reported anecdotally: recovery is presented as a deterministic behavior of the autonomy stack rather than as a random variable whose duration varies with anomaly class, autonomy maturity, and ground-contact cadence</w:t>
      </w:r>
      <w:r>
        <w:t xml:space="preserve"> </w:t>
      </w:r>
      <w:hyperlink w:anchor="ref-4">
        <m:oMathPara>
          <m:oMathParaPr>
            <m:jc m:val="center"/>
          </m:oMathParaPr>
          <m:oMath>
            <m:r>
              <m:t>4</m:t>
            </m:r>
          </m:oMath>
        </m:oMathPara>
      </w:hyperlink>
      <w:r>
        <w:t xml:space="preserve">. The economic stakes make that gap consequential. Industry accounting of the value generated by satellites quantifies what is forgone when a vehicle is not delivering, so the length of each safe-mode episode is a first-order driver of realized mission value rather than a footnote to reliability</w:t>
      </w:r>
      <w:r>
        <w:t xml:space="preserve"> </w:t>
      </w:r>
      <w:hyperlink w:anchor="ref-5">
        <m:oMathPara>
          <m:oMathParaPr>
            <m:jc m:val="center"/>
          </m:oMathParaPr>
          <m:oMath>
            <m:r>
              <m:t>5</m:t>
            </m:r>
          </m:oMath>
        </m:oMathPara>
      </w:hyperlink>
      <w:r>
        <w:t xml:space="preserve">.</w:t>
      </w:r>
    </w:p>
    <w:p>
      <w:pPr>
        <w:pStyle w:val="FirstParagraph"/>
      </w:pPr>
      <w:r>
        <w:t xml:space="preserve">This paper estimates the recovery duration as a time-to-event outcome and asks whether onboard recovery autonomy shortens it. The contribution is a single estimable coefficient: the effect of recovery-path autonomy on the recovery hazard, the instantaneous rate of completing safe-mode recovery conditional on not yet having recovered, after conditioning on ground-contact cadence and subsystem class.</w:t>
      </w:r>
    </w:p>
    <w:bookmarkEnd w:id="61"/>
    <w:bookmarkStart w:id="62" w:name="theory-and-hypotheses"/>
    <w:p>
      <w:pPr>
        <w:pStyle w:val="Heading2"/>
      </w:pPr>
      <w:r>
        <w:t xml:space="preserve">2. Theory and Hypotheses</w:t>
      </w:r>
    </w:p>
    <w:p>
      <w:pPr>
        <w:pStyle w:val="FirstParagraph"/>
      </w:pPr>
      <w:r>
        <w:t xml:space="preserve">The recovery of a safed vehicle is a race between two clocks. One clock is the diagnostic and reconfiguration work needed to restore a commandable state. The other is the cadence at which the ground can observe, command, and confirm the vehicle. Where recovery depends on a ground-diagnosed sequence, the second clock binds: recovery cannot complete faster than operators can close the loop, which on deep-space vehicles is gated by scheduled tracking passes</w:t>
      </w:r>
      <w:r>
        <w:t xml:space="preserve"> </w:t>
      </w:r>
      <w:hyperlink w:anchor="ref-4">
        <m:oMathPara>
          <m:oMathParaPr>
            <m:jc m:val="center"/>
          </m:oMathParaPr>
          <m:oMath>
            <m:r>
              <m:t>4</m:t>
            </m:r>
          </m:oMath>
        </m:oMathPara>
      </w:hyperlink>
      <w:r>
        <w:t xml:space="preserve">. Onboard recovery autonomy attacks the first clock and partially decouples the vehicle from the second. A vehicle that can execute a scripted safing recovery, or adaptively reconfigure around a failed unit, advances its own recovery between contacts rather than idling until the next pass.</w:t>
      </w:r>
    </w:p>
    <w:p>
      <w:pPr>
        <w:pStyle w:val="FirstParagraph"/>
      </w:pPr>
      <w:r>
        <w:t xml:space="preserve">The detection literature gives the mechanism its plausibility. Hybrid onboard systems already perform diagnosis and root-cause determination aboard the vehicle</w:t>
      </w:r>
      <w:r>
        <w:t xml:space="preserve"> </w:t>
      </w:r>
      <w:hyperlink w:anchor="ref-1">
        <m:oMathPara>
          <m:oMathParaPr>
            <m:jc m:val="center"/>
          </m:oMathParaPr>
          <m:oMath>
            <m:r>
              <m:t>1</m:t>
            </m:r>
          </m:oMath>
        </m:oMathPara>
      </w:hyperlink>
      <w:r>
        <w:t xml:space="preserve">, and the same architectural move that compresses detection latency should compress recovery latency where the recovery path is resident onboard. The operational-awareness literature frames this as moving inference from the ground to the platform</w:t>
      </w:r>
      <w:r>
        <w:t xml:space="preserve"> </w:t>
      </w:r>
      <w:hyperlink w:anchor="ref-2">
        <m:oMathPara>
          <m:oMathParaPr>
            <m:jc m:val="center"/>
          </m:oMathParaPr>
          <m:oMath>
            <m:r>
              <m:t>2</m:t>
            </m:r>
          </m:oMath>
        </m:oMathPara>
      </w:hyperlink>
      <w:r>
        <w:t xml:space="preserve">[3]. If that move shortens recovery, it should appear as a higher instantaneous rate of reaching reacquisition for higher-autonomy recovery paths, holding the contact clock and the anomaly class fixed.</w:t>
      </w:r>
    </w:p>
    <w:p>
      <w:pPr>
        <w:pStyle w:val="Compact"/>
        <w:numPr>
          <w:ilvl w:val="0"/>
          <w:numId w:val="1001"/>
        </w:numPr>
      </w:pPr>
      <w:r>
        <w:rPr>
          <w:b/>
          <w:bCs/>
        </w:rPr>
        <w:t xml:space="preserve">H0 (null):</w:t>
      </w:r>
      <w:r>
        <w:t xml:space="preserve"> </w:t>
      </w:r>
      <w:r>
        <w:t xml:space="preserve">After conditioning on time-to-next-ground-contact and command-and-data-handling subsystem class, onboard recovery autonomy has no effect on the recovery hazard. The autonomy hazard ratio equals 1 and its 95 percent confidence interval contains 1.</w:t>
      </w:r>
    </w:p>
    <w:p>
      <w:pPr>
        <w:pStyle w:val="Compact"/>
        <w:numPr>
          <w:ilvl w:val="0"/>
          <w:numId w:val="1001"/>
        </w:numPr>
      </w:pPr>
      <w:r>
        <w:rPr>
          <w:b/>
          <w:bCs/>
        </w:rPr>
        <w:t xml:space="preserve">H1 (alternative):</w:t>
      </w:r>
      <w:r>
        <w:t xml:space="preserve"> </w:t>
      </w:r>
      <w:r>
        <w:t xml:space="preserve">After the same conditioning, higher onboard recovery autonomy raises the recovery hazard (hazard ratio greater than 1), shortening expected time-to-acquisition.</w:t>
      </w:r>
    </w:p>
    <w:p>
      <w:pPr>
        <w:pStyle w:val="FirstParagraph"/>
      </w:pPr>
      <w:r>
        <w:t xml:space="preserve">The claim is falsified if the estimated autonomy hazard ratio is not significantly greater than 1, or if it reverses sign.</w:t>
      </w:r>
    </w:p>
    <w:bookmarkEnd w:id="62"/>
    <w:bookmarkStart w:id="63" w:name="data"/>
    <w:p>
      <w:pPr>
        <w:pStyle w:val="Heading2"/>
      </w:pPr>
      <w:r>
        <w:t xml:space="preserve">3. Data</w:t>
      </w:r>
    </w:p>
    <w:p>
      <w:pPr>
        <w:pStyle w:val="FirstParagraph"/>
      </w:pPr>
      <w:r>
        <w:t xml:space="preserve">The unit of observation is a documented safe-mode episode: a single entry into safe mode for which a public record gives the entry date, the affected subsystem, and, where the vehicle recovered, the date of return to normal or science operations. The compiled dataset is 24 episodes drawn from 16 missions, ranging from low-Earth-orbit observatories with frequent ground and relay passes (Hubble, TESS, CloudSat) to planetary and deep-space vehicles whose contact is gated by scheduled tracking (MAVEN, Juno, Curiosity, Dawn, Voyager 1 and 2). Each row carries its source in the data file: NASA Science, NASA and JPL mission releases, ESA status updates, and Caltech status reports, cited individually so any duration can be traced to a named release.</w:t>
      </w:r>
    </w:p>
    <w:p>
      <w:pPr>
        <w:pStyle w:val="BodyText"/>
      </w:pPr>
      <w:r>
        <w:t xml:space="preserve">The outcome, recovery_days, is the integer number of days from documented safe-mode entry to documented return to operations. The event indicator, recovered, is 1 for the 23 episodes with a confirmed return and 0 for the one right-censored episode, Opportunity in 2018, which entered a low-power fault during the global dust storm and never reacquired before mission end. Recovery durations span two days (Dawn’s autonomous hydrazine handoff in 2017; Kepler’s 2009 processor-reset recovery) to 633 days (CloudSat’s extended battery-anomaly recovery), with most observatory episodes in the one-to-three-week range.</w:t>
      </w:r>
    </w:p>
    <w:p>
      <w:pPr>
        <w:pStyle w:val="BodyText"/>
      </w:pPr>
      <w:r>
        <w:t xml:space="preserve">Three covariates are coded. The autonomy index, autonomy_idx, is an ordinal measure of the recovery path: 0 for ground-loop manual recovery, 1 for scripted onboard safing recovered with a ground command, and 2 for adaptive autonomous reconfiguration that acted before ground intervention, as in Dawn’s autonomous handoff to thruster control and Juno’s perijove-71 self-safing. Time-to-next-ground-contact, contact_gap_hr, is the characteristic contact interval in hours for the mission’s regime, smaller for frequently passed observatories and larger for deep-space vehicles. The subsystem control, cdh_flag, is 1 when the anomaly cause is command-and-data-handling, flight software, or onboard computer or memory, and 0 for attitude, power, or propulsion faults. Three duration values (12.5 percent of rows) are marked illustrative where an exact return date was not published; all subsystem, autonomy, and contact codings are drawn from the cited records.</w:t>
      </w:r>
    </w:p>
    <w:bookmarkEnd w:id="63"/>
    <w:bookmarkStart w:id="64" w:name="method"/>
    <w:p>
      <w:pPr>
        <w:pStyle w:val="Heading2"/>
      </w:pPr>
      <w:r>
        <w:t xml:space="preserve">4. Method</w:t>
      </w:r>
    </w:p>
    <w:p>
      <w:pPr>
        <w:pStyle w:val="FirstParagraph"/>
      </w:pPr>
      <w:r>
        <w:t xml:space="preserve">The estimator is a Cox proportional-hazards model, fit by partial likelihood, which imposes no parametric form on the baseline duration distribution and yields the autonomy effect directly as a hazard ratio. The hazard for an episode with covariate vector X is</w:t>
      </w:r>
    </w:p>
    <w:p>
      <w:pPr>
        <w:pStyle w:val="BodyText"/>
      </w:pPr>
      <w:r>
        <w:t xml:space="preserve">h(t | X) = h0(t) exp(b1 autonomy_idx + b2 contact_gap_hr + b3 cdh_flag),</w:t>
      </w:r>
    </w:p>
    <w:p>
      <w:pPr>
        <w:pStyle w:val="BodyText"/>
      </w:pPr>
      <w:r>
        <w:t xml:space="preserve">where h0(t) is the unspecified baseline hazard and exp(b1) is the multiplicative effect of a one-step increase in the autonomy index on the instantaneous recovery rate. The single right-censored episode enters the partial likelihood through its risk-set contribution without a recovery event, which is the native treatment of censoring and the reason a survival model is preferred to a regression on completed durations alone: dropping the censored mission-ending case would bias the recovery rate upward. Identification of the autonomy effect rests on comparison across episodes facing comparable contact cadence and subsystem class, with contact_gap_hr and cdh_flag included as conditioning covariates. The model was estimated in statsmodels (PHReg) over the 24 episodes with 23 events.</w:t>
      </w:r>
    </w:p>
    <w:bookmarkEnd w:id="64"/>
    <w:bookmarkStart w:id="65" w:name="findings"/>
    <w:p>
      <w:pPr>
        <w:pStyle w:val="Heading2"/>
      </w:pPr>
      <w:r>
        <w:t xml:space="preserve">5. Findings</w:t>
      </w:r>
    </w:p>
    <w:p>
      <w:pPr>
        <w:pStyle w:val="FirstParagraph"/>
      </w:pPr>
      <w:r>
        <w:t xml:space="preserve">The autonomy coefficient is positive and statistically distinguishable from zero. The estimated coefficient on autonomy_idx is 1.3689 with a standard error of 0.4355, a z-statistic of 3.14, and a p-value of 0.0017. Exponentiating gives a hazard ratio of 3.93 with a 95 percent confidence interval of [1.67, 9.23]. Because that interval lies entirely above 1, the null of no autonomy effect is rejected. Each one-step increase along the autonomy index, from ground-loop recovery to scripted onboard safing, or from scripted safing to adaptive autonomous reconfiguration, multiplies the instantaneous recovery rate by roughly 3.9. A vehicle whose recovery path is resident and adaptive reaches reacquisition far faster, at any moment in the recovery, than an otherwise comparable vehicle waiting on a ground-diagnosed sequence. This is the direction and significance predicted by H1.</w:t>
      </w:r>
    </w:p>
    <w:p>
      <w:pPr>
        <w:pStyle w:val="BodyText"/>
      </w:pPr>
      <w:r>
        <w:t xml:space="preserve">The two conditioning covariates are not individually significant. Time-to-next-ground-contact carries a coefficient of -0.0047 (standard error 0.0207, p = 0.8185), a hazard ratio of 0.995 with a confidence interval of [0.96, 1.04] that straddles 1; the contact clock does not show an independent effect on the recovery rate once autonomy is held fixed, which is consistent with autonomy rather than raw contact frequency being the operative margin. The command-and-data-handling subsystem flag carries a coefficient of 0.4973 (standard error 0.5191, p = 0.3381), a hazard ratio of 1.64 with a confidence interval of [0.59, 4.55]; the point estimate suggests software and computer faults may recover somewhat faster than attitude, power, and propulsion faults, plausibly because they are addressed by uplinked patches rather than physical reconfiguration, but the estimate is too imprecise at this sample size to support a claim. The model fit summarizes 24 episodes and 23 recovery events.</w:t>
      </w:r>
    </w:p>
    <w:p>
      <w:pPr>
        <w:pStyle w:val="BodyText"/>
      </w:pPr>
      <w:r>
        <w:t xml:space="preserve">Read together, the result is sharp: the autonomy margin, not the contact margin and not the subsystem class, is what moves the recovery hazard in this sample, and it moves it strongly.</w:t>
      </w:r>
    </w:p>
    <w:bookmarkEnd w:id="65"/>
    <w:bookmarkStart w:id="66" w:name="discussion"/>
    <w:p>
      <w:pPr>
        <w:pStyle w:val="Heading2"/>
      </w:pPr>
      <w:r>
        <w:t xml:space="preserve">6. Discussion</w:t>
      </w:r>
    </w:p>
    <w:p>
      <w:pPr>
        <w:pStyle w:val="FirstParagraph"/>
      </w:pPr>
      <w:r>
        <w:t xml:space="preserve">The estimate converts a quantity the fault-management literature describes qualitatively into an estimable hazard with an interpretable coefficient. A recovery-autonomy hazard ratio near four, conditioned on contact cadence and subsystem class, is a direct argument for investing the recovery path with the same onboard intelligence that the detection path has already received</w:t>
      </w:r>
      <w:r>
        <w:t xml:space="preserve"> </w:t>
      </w:r>
      <w:hyperlink w:anchor="ref-1">
        <m:oMathPara>
          <m:oMathParaPr>
            <m:jc m:val="center"/>
          </m:oMathParaPr>
          <m:oMath>
            <m:r>
              <m:t>1</m:t>
            </m:r>
          </m:oMath>
        </m:oMathPara>
      </w:hyperlink>
      <w:r>
        <w:t xml:space="preserve">[2][3]. Where the detection literature has moved inference onto the vehicle to compress detection latency, the same architectural move applied to recovery appears to compress the far more costly recovery latency. Priced against the value forgone while a vehicle is safed</w:t>
      </w:r>
      <w:r>
        <w:t xml:space="preserve"> </w:t>
      </w:r>
      <w:hyperlink w:anchor="ref-5">
        <m:oMathPara>
          <m:oMathParaPr>
            <m:jc m:val="center"/>
          </m:oMathParaPr>
          <m:oMath>
            <m:r>
              <m:t>5</m:t>
            </m:r>
          </m:oMath>
        </m:oMathPara>
      </w:hyperlink>
      <w:r>
        <w:t xml:space="preserve">, a model that attaches an expected outage reduction to an autonomy increment lets operators weigh an autonomy investment against the downtime it is expected to avert, rather than treating recovery duration as fixed</w:t>
      </w:r>
      <w:r>
        <w:t xml:space="preserve"> </w:t>
      </w:r>
      <w:hyperlink w:anchor="ref-4">
        <m:oMathPara>
          <m:oMathParaPr>
            <m:jc m:val="center"/>
          </m:oMathParaPr>
          <m:oMath>
            <m:r>
              <m:t>4</m:t>
            </m:r>
          </m:oMath>
        </m:oMathPara>
      </w:hyperlink>
      <w:r>
        <w:t xml:space="preserve">.</w:t>
      </w:r>
    </w:p>
    <w:p>
      <w:pPr>
        <w:pStyle w:val="FirstParagraph"/>
      </w:pPr>
      <w:r>
        <w:t xml:space="preserve">Four limits bound the claim. First, the autonomy index is the chief confounding risk: better-resourced missions may field both more autonomy and faster recovery for unrelated reasons, so the coefficient should be read as conditional association on this sample rather than as an identified causal effect; mission-phase and platform-class controls and a per-platform frailty term, deferred here for sample size, are the next step. Second, recovery-time recording is heterogeneous across releases, and the three illustrative durations and the integer-day resolution introduce measurement error that most plausibly attenuates rather than inflates the autonomy coefficient. Third, with a single censored observation the competing-risk treatment of mission-ending events cannot yet be estimated separately and is left to the dissertation’s larger anomaly-database sample. Fourth, the sample is dominated by NASA and ESA science and Earth-observation platforms, so the hazard ratio may not transfer to commercial constellations with different contact economics; that is a scope condition, stated rather than overclaimed. The proportional-hazards assumption itself, checkable with Schoenfeld residuals on a larger sample, is assumed here. None of these reverses the headline: across 24 documented episodes, higher onboard recovery autonomy is associated with a substantially higher recovery hazard, and the effect is significant at conventional levels.</w:t>
      </w:r>
    </w:p>
    <w:bookmarkEnd w:id="66"/>
    <w:bookmarkStart w:id="73" w:name="references"/>
    <w:p>
      <w:pPr>
        <w:pStyle w:val="Heading2"/>
      </w:pPr>
      <w:r>
        <w:t xml:space="preserve">References</w:t>
      </w:r>
    </w:p>
    <w:p>
      <w:pPr>
        <w:pStyle w:val="FirstParagraph"/>
      </w:pPr>
      <w:bookmarkStart w:id="67" w:name="ref-1"/>
      <w:bookmarkEnd w:id="67"/>
      <w:r>
        <w:t xml:space="preserve">1. R. Stottler, S. Ramachandran, C. Belardi, and R. Mandayam,</w:t>
      </w:r>
      <w:r>
        <w:t xml:space="preserve"> </w:t>
      </w:r>
      <w:r>
        <w:t xml:space="preserve">“On-board, Autonomous, Hybrid Spacecraft Subsystem Fault and Anomaly Detection, Diagnosis, and Recovery,”</w:t>
      </w:r>
      <w:r>
        <w:t xml:space="preserve"> </w:t>
      </w:r>
      <w:r>
        <w:t xml:space="preserve">Proc. Advanced Maui Optical and Space Surveillance Technologies (AMOS) Conference, 2020. https://amostech.space/year/2020/on-board-autonomous-hybrid-spacecraft-subsystem-fault-and-anomaly-detection-diagnosis-and-recovery/</w:t>
      </w:r>
    </w:p>
    <w:p>
      <w:pPr>
        <w:pStyle w:val="BodyText"/>
      </w:pPr>
      <w:bookmarkStart w:id="68" w:name="ref-2"/>
      <w:bookmarkEnd w:id="68"/>
      <w:r>
        <w:t xml:space="preserve">2. Z. Li,</w:t>
      </w:r>
      <w:r>
        <w:t xml:space="preserve"> </w:t>
      </w:r>
      <w:r>
        <w:t xml:space="preserve">“Creating Situational Awareness in Spacecraft Operations with the Machine Learning Approach,”</w:t>
      </w:r>
      <w:r>
        <w:t xml:space="preserve"> </w:t>
      </w:r>
      <w:r>
        <w:t xml:space="preserve">Proc. Advanced Maui Optical and Space Surveillance Technologies (AMOS) Conference, 2016. https://amostech.space/year/2016/creating-situational-awareness-in-spacecraft-operations-with-the-machine-learning-approach/</w:t>
      </w:r>
    </w:p>
    <w:p>
      <w:pPr>
        <w:pStyle w:val="BodyText"/>
      </w:pPr>
      <w:bookmarkStart w:id="69" w:name="ref-3"/>
      <w:bookmarkEnd w:id="69"/>
      <w:r>
        <w:t xml:space="preserve">3. R. Stottler, S. Ramachandran, C. Healy, and A. Singhal,</w:t>
      </w:r>
      <w:r>
        <w:t xml:space="preserve"> </w:t>
      </w:r>
      <w:r>
        <w:t xml:space="preserve">“Autonomous, Hybrid Space System Fault and Anomaly Detection, Diagnosis, Root Cause Determination, and Recovery,”</w:t>
      </w:r>
      <w:r>
        <w:t xml:space="preserve"> </w:t>
      </w:r>
      <w:r>
        <w:t xml:space="preserve">Proc. Advanced Maui Optical and Space Surveillance Technologies (AMOS) Conference, 2023. doi:</w:t>
      </w:r>
      <w:r>
        <w:t xml:space="preserve"> </w:t>
      </w:r>
      <w:hyperlink r:id="rId70">
        <w:r>
          <w:rPr>
            <w:rStyle w:val="Hyperlink"/>
          </w:rPr>
          <w:t xml:space="preserve">10.64861/XHRO4751</w:t>
        </w:r>
      </w:hyperlink>
    </w:p>
    <w:p>
      <w:pPr>
        <w:pStyle w:val="BodyText"/>
      </w:pPr>
      <w:bookmarkStart w:id="71" w:name="ref-4"/>
      <w:bookmarkEnd w:id="71"/>
      <w:r>
        <w:t xml:space="preserve">4. A. Nicholas, M. DiNicola, T. Randolph, and T. Imken,</w:t>
      </w:r>
      <w:r>
        <w:t xml:space="preserve"> </w:t>
      </w:r>
      <w:r>
        <w:t xml:space="preserve">“Modeling Spacecraft Safe Mode Events,”</w:t>
      </w:r>
      <w:r>
        <w:t xml:space="preserve"> </w:t>
      </w:r>
      <w:r>
        <w:t xml:space="preserve">NASA Technical Reports Server, citation 20210008140, 2018. https://ntrs.nasa.gov/citations/20210008140</w:t>
      </w:r>
    </w:p>
    <w:p>
      <w:pPr>
        <w:pStyle w:val="BodyText"/>
      </w:pPr>
      <w:bookmarkStart w:id="72" w:name="ref-5"/>
      <w:bookmarkEnd w:id="72"/>
      <w:r>
        <w:t xml:space="preserve">5. OCEA,</w:t>
      </w:r>
      <w:r>
        <w:t xml:space="preserve"> </w:t>
      </w:r>
      <w:r>
        <w:t xml:space="preserve">“Forecasting the Space Economy,”</w:t>
      </w:r>
      <w:r>
        <w:t xml:space="preserve"> </w:t>
      </w:r>
      <w:r>
        <w:t xml:space="preserve">Space Economy source document SD08, Space Economy Papers corpus.</w:t>
      </w:r>
    </w:p>
    <w:bookmarkEnd w:id="73"/>
    <w:bookmarkStart w:id="74"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sty m:val="p"/>
                </m:rPr>
                <m:t>a</m:t>
              </m:r>
              <m:r>
                <m:rPr>
                  <m:sty m:val="p"/>
                </m:rPr>
                <m:t>u</m:t>
              </m:r>
              <m:r>
                <m:rPr>
                  <m:sty m:val="p"/>
                </m:rPr>
                <m:t>t</m:t>
              </m:r>
              <m:r>
                <m:rPr>
                  <m:sty m:val="p"/>
                </m:rPr>
                <m:t>o</m:t>
              </m:r>
              <m:r>
                <m:rPr>
                  <m:sty m:val="p"/>
                </m:rPr>
                <m:t>n</m:t>
              </m:r>
              <m:r>
                <m:rPr>
                  <m:sty m:val="p"/>
                </m:rPr>
                <m:t>o</m:t>
              </m:r>
              <m:r>
                <m:rPr>
                  <m:sty m:val="p"/>
                </m:rPr>
                <m:t>m</m:t>
              </m:r>
              <m:r>
                <m:rPr>
                  <m:sty m:val="p"/>
                </m:rPr>
                <m:t>y</m:t>
              </m:r>
              <m:r>
                <m:rPr>
                  <m:sty m:val="p"/>
                </m:rPr>
                <m:t>_</m:t>
              </m:r>
              <m:r>
                <m:rPr>
                  <m:sty m:val="p"/>
                </m:rPr>
                <m:t>i</m:t>
              </m:r>
              <m:r>
                <m:rPr>
                  <m:sty m:val="p"/>
                </m:rPr>
                <m:t>d</m:t>
              </m:r>
              <m:r>
                <m:rPr>
                  <m:sty m:val="p"/>
                </m:rPr>
                <m:t>x</m:t>
              </m:r>
              <m:r>
                <m:rPr>
                  <m:sty m:val="p"/>
                </m:rPr>
                <m:t>+</m:t>
              </m:r>
              <m:sSub>
                <m:e>
                  <m:r>
                    <m:t>β</m:t>
                  </m:r>
                </m:e>
                <m:sub>
                  <m:r>
                    <m:t>2</m:t>
                  </m:r>
                </m:sub>
              </m:sSub>
              <m:r>
                <m:t> </m:t>
              </m:r>
              <m:r>
                <m:rPr>
                  <m:sty m:val="p"/>
                </m:rPr>
                <m:t>c</m:t>
              </m:r>
              <m:r>
                <m:rPr>
                  <m:sty m:val="p"/>
                </m:rPr>
                <m:t>o</m:t>
              </m:r>
              <m:r>
                <m:rPr>
                  <m:sty m:val="p"/>
                </m:rPr>
                <m:t>n</m:t>
              </m:r>
              <m:r>
                <m:rPr>
                  <m:sty m:val="p"/>
                </m:rPr>
                <m:t>t</m:t>
              </m:r>
              <m:r>
                <m:rPr>
                  <m:sty m:val="p"/>
                </m:rPr>
                <m:t>a</m:t>
              </m:r>
              <m:r>
                <m:rPr>
                  <m:sty m:val="p"/>
                </m:rPr>
                <m:t>c</m:t>
              </m:r>
              <m:r>
                <m:rPr>
                  <m:sty m:val="p"/>
                </m:rPr>
                <m:t>t</m:t>
              </m:r>
              <m:r>
                <m:rPr>
                  <m:sty m:val="p"/>
                </m:rPr>
                <m:t>_</m:t>
              </m:r>
              <m:r>
                <m:rPr>
                  <m:sty m:val="p"/>
                </m:rPr>
                <m:t>g</m:t>
              </m:r>
              <m:r>
                <m:rPr>
                  <m:sty m:val="p"/>
                </m:rPr>
                <m:t>a</m:t>
              </m:r>
              <m:r>
                <m:rPr>
                  <m:sty m:val="p"/>
                </m:rPr>
                <m:t>p</m:t>
              </m:r>
              <m:r>
                <m:rPr>
                  <m:sty m:val="p"/>
                </m:rPr>
                <m:t>_</m:t>
              </m:r>
              <m:r>
                <m:rPr>
                  <m:sty m:val="p"/>
                </m:rPr>
                <m:t>h</m:t>
              </m:r>
              <m:r>
                <m:rPr>
                  <m:sty m:val="p"/>
                </m:rPr>
                <m:t>r</m:t>
              </m:r>
              <m:r>
                <m:rPr>
                  <m:sty m:val="p"/>
                </m:rPr>
                <m:t>+</m:t>
              </m:r>
              <m:sSub>
                <m:e>
                  <m:r>
                    <m:t>β</m:t>
                  </m:r>
                </m:e>
                <m:sub>
                  <m:r>
                    <m:t>3</m:t>
                  </m:r>
                </m:sub>
              </m:sSub>
              <m:r>
                <m:t> </m:t>
              </m:r>
              <m:r>
                <m:rPr>
                  <m:sty m:val="p"/>
                </m:rPr>
                <m:t>c</m:t>
              </m:r>
              <m:r>
                <m:rPr>
                  <m:sty m:val="p"/>
                </m:rPr>
                <m:t>d</m:t>
              </m:r>
              <m:r>
                <m:rPr>
                  <m:sty m:val="p"/>
                </m:rPr>
                <m:t>h</m:t>
              </m:r>
              <m:r>
                <m:rPr>
                  <m:sty m:val="p"/>
                </m:rPr>
                <m:t>_</m:t>
              </m:r>
              <m:r>
                <m:rPr>
                  <m:sty m:val="p"/>
                </m:rPr>
                <m:t>f</m:t>
              </m:r>
              <m:r>
                <m:rPr>
                  <m:sty m:val="p"/>
                </m:rPr>
                <m:t>l</m:t>
              </m:r>
              <m:r>
                <m:rPr>
                  <m:sty m:val="p"/>
                </m:rPr>
                <m:t>a</m:t>
              </m:r>
              <m:r>
                <m:rPr>
                  <m:sty m:val="p"/>
                </m:rPr>
                <m:t>g</m:t>
              </m:r>
            </m:e>
          </m:d>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autonomy_idx</w:t>
            </w:r>
          </w:p>
        </w:tc>
        <w:tc>
          <w:tcPr>
            <w:tcW w:w="0" w:type="auto"/>
          </w:tcPr>
          <w:p>
            <w:pPr>
              <w:spacing w:line="240" w:lineRule="auto" w:before="0" w:after="0"/>
              <w:pStyle w:val="Compact"/>
            </w:pPr>
            <w:r>
              <w:rPr>
                <w:sz w:val="20"/>
                <w:szCs w:val="20"/>
              </w:rPr>
              <w:t xml:space="preserve">1.3689</w:t>
            </w:r>
          </w:p>
        </w:tc>
        <w:tc>
          <w:tcPr>
            <w:tcW w:w="0" w:type="auto"/>
          </w:tcPr>
          <w:p>
            <w:pPr>
              <w:spacing w:line="240" w:lineRule="auto" w:before="0" w:after="0"/>
              <w:pStyle w:val="Compact"/>
            </w:pPr>
            <w:r>
              <w:rPr>
                <w:sz w:val="20"/>
                <w:szCs w:val="20"/>
              </w:rPr>
              <w:t xml:space="preserve">0.4355</w:t>
            </w:r>
          </w:p>
        </w:tc>
        <w:tc>
          <w:tcPr>
            <w:tcW w:w="0" w:type="auto"/>
          </w:tcPr>
          <w:p>
            <w:pPr>
              <w:spacing w:line="240" w:lineRule="auto" w:before="0" w:after="0"/>
              <w:pStyle w:val="Compact"/>
            </w:pPr>
            <w:r>
              <w:rPr>
                <w:sz w:val="20"/>
                <w:szCs w:val="20"/>
              </w:rPr>
              <w:t xml:space="preserve">3.1436</w:t>
            </w:r>
          </w:p>
        </w:tc>
        <w:tc>
          <w:tcPr>
            <w:tcW w:w="0" w:type="auto"/>
          </w:tcPr>
          <w:p>
            <w:pPr>
              <w:spacing w:line="240" w:lineRule="auto" w:before="0" w:after="0"/>
              <w:pStyle w:val="Compact"/>
            </w:pPr>
            <w:r>
              <w:rPr>
                <w:sz w:val="20"/>
                <w:szCs w:val="20"/>
              </w:rPr>
              <w:t xml:space="preserve">0.0017</w:t>
            </w:r>
          </w:p>
        </w:tc>
        <w:tc>
          <w:tcPr>
            <w:tcW w:w="0" w:type="auto"/>
          </w:tcPr>
          <w:p>
            <w:pPr>
              <w:spacing w:line="240" w:lineRule="auto" w:before="0" w:after="0"/>
              <w:pStyle w:val="Compact"/>
            </w:pPr>
            <w:r>
              <w:rPr>
                <w:sz w:val="20"/>
                <w:szCs w:val="20"/>
              </w:rPr>
              <w:t xml:space="preserve">[0.5154, 2.2224]</w:t>
            </w:r>
          </w:p>
        </w:tc>
        <w:tc>
          <w:tcPr>
            <w:tcW w:w="0" w:type="auto"/>
          </w:tcPr>
          <w:p>
            <w:pPr>
              <w:spacing w:line="240" w:lineRule="auto" w:before="0" w:after="0"/>
              <w:pStyle w:val="Compact"/>
            </w:pPr>
            <w:r>
              <w:rPr>
                <w:sz w:val="20"/>
                <w:szCs w:val="20"/>
              </w:rPr>
              <w:t xml:space="preserve">3.9311</w:t>
            </w:r>
          </w:p>
        </w:tc>
      </w:tr>
      <w:tr>
        <w:tc>
          <w:tcPr>
            <w:tcW w:w="0" w:type="auto"/>
          </w:tcPr>
          <w:p>
            <w:pPr>
              <w:spacing w:line="240" w:lineRule="auto" w:before="0" w:after="0"/>
              <w:pStyle w:val="Compact"/>
            </w:pPr>
            <w:r>
              <w:rPr>
                <w:sz w:val="20"/>
                <w:szCs w:val="20"/>
              </w:rPr>
              <w:t xml:space="preserve">contact_gap_hr</w:t>
            </w:r>
          </w:p>
        </w:tc>
        <w:tc>
          <w:tcPr>
            <w:tcW w:w="0" w:type="auto"/>
          </w:tcPr>
          <w:p>
            <w:pPr>
              <w:spacing w:line="240" w:lineRule="auto" w:before="0" w:after="0"/>
              <w:pStyle w:val="Compact"/>
            </w:pPr>
            <w:r>
              <w:rPr>
                <w:sz w:val="20"/>
                <w:szCs w:val="20"/>
              </w:rPr>
              <w:t xml:space="preserve">-0.0047</w:t>
            </w:r>
          </w:p>
        </w:tc>
        <w:tc>
          <w:tcPr>
            <w:tcW w:w="0" w:type="auto"/>
          </w:tcPr>
          <w:p>
            <w:pPr>
              <w:spacing w:line="240" w:lineRule="auto" w:before="0" w:after="0"/>
              <w:pStyle w:val="Compact"/>
            </w:pPr>
            <w:r>
              <w:rPr>
                <w:sz w:val="20"/>
                <w:szCs w:val="20"/>
              </w:rPr>
              <w:t xml:space="preserve">0.0207</w:t>
            </w:r>
          </w:p>
        </w:tc>
        <w:tc>
          <w:tcPr>
            <w:tcW w:w="0" w:type="auto"/>
          </w:tcPr>
          <w:p>
            <w:pPr>
              <w:spacing w:line="240" w:lineRule="auto" w:before="0" w:after="0"/>
              <w:pStyle w:val="Compact"/>
            </w:pPr>
            <w:r>
              <w:rPr>
                <w:sz w:val="20"/>
                <w:szCs w:val="20"/>
              </w:rPr>
              <w:t xml:space="preserve">-0.2295</w:t>
            </w:r>
          </w:p>
        </w:tc>
        <w:tc>
          <w:tcPr>
            <w:tcW w:w="0" w:type="auto"/>
          </w:tcPr>
          <w:p>
            <w:pPr>
              <w:spacing w:line="240" w:lineRule="auto" w:before="0" w:after="0"/>
              <w:pStyle w:val="Compact"/>
            </w:pPr>
            <w:r>
              <w:rPr>
                <w:sz w:val="20"/>
                <w:szCs w:val="20"/>
              </w:rPr>
              <w:t xml:space="preserve">0.8185</w:t>
            </w:r>
          </w:p>
        </w:tc>
        <w:tc>
          <w:tcPr>
            <w:tcW w:w="0" w:type="auto"/>
          </w:tcPr>
          <w:p>
            <w:pPr>
              <w:spacing w:line="240" w:lineRule="auto" w:before="0" w:after="0"/>
              <w:pStyle w:val="Compact"/>
            </w:pPr>
            <w:r>
              <w:rPr>
                <w:sz w:val="20"/>
                <w:szCs w:val="20"/>
              </w:rPr>
              <w:t xml:space="preserve">[-0.0452, 0.0358]</w:t>
            </w:r>
          </w:p>
        </w:tc>
        <w:tc>
          <w:tcPr>
            <w:tcW w:w="0" w:type="auto"/>
          </w:tcPr>
          <w:p>
            <w:pPr>
              <w:spacing w:line="240" w:lineRule="auto" w:before="0" w:after="0"/>
              <w:pStyle w:val="Compact"/>
            </w:pPr>
            <w:r>
              <w:rPr>
                <w:sz w:val="20"/>
                <w:szCs w:val="20"/>
              </w:rPr>
              <w:t xml:space="preserve">0.9953</w:t>
            </w:r>
          </w:p>
        </w:tc>
      </w:tr>
      <w:tr>
        <w:tc>
          <w:tcPr>
            <w:tcW w:w="0" w:type="auto"/>
          </w:tcPr>
          <w:p>
            <w:pPr>
              <w:spacing w:line="240" w:lineRule="auto" w:before="0" w:after="0"/>
              <w:pStyle w:val="Compact"/>
            </w:pPr>
            <w:r>
              <w:rPr>
                <w:sz w:val="20"/>
                <w:szCs w:val="20"/>
              </w:rPr>
              <w:t xml:space="preserve">cdh_flag</w:t>
            </w:r>
          </w:p>
        </w:tc>
        <w:tc>
          <w:tcPr>
            <w:tcW w:w="0" w:type="auto"/>
          </w:tcPr>
          <w:p>
            <w:pPr>
              <w:spacing w:line="240" w:lineRule="auto" w:before="0" w:after="0"/>
              <w:pStyle w:val="Compact"/>
            </w:pPr>
            <w:r>
              <w:rPr>
                <w:sz w:val="20"/>
                <w:szCs w:val="20"/>
              </w:rPr>
              <w:t xml:space="preserve">0.4973</w:t>
            </w:r>
          </w:p>
        </w:tc>
        <w:tc>
          <w:tcPr>
            <w:tcW w:w="0" w:type="auto"/>
          </w:tcPr>
          <w:p>
            <w:pPr>
              <w:spacing w:line="240" w:lineRule="auto" w:before="0" w:after="0"/>
              <w:pStyle w:val="Compact"/>
            </w:pPr>
            <w:r>
              <w:rPr>
                <w:sz w:val="20"/>
                <w:szCs w:val="20"/>
              </w:rPr>
              <w:t xml:space="preserve">0.5191</w:t>
            </w:r>
          </w:p>
        </w:tc>
        <w:tc>
          <w:tcPr>
            <w:tcW w:w="0" w:type="auto"/>
          </w:tcPr>
          <w:p>
            <w:pPr>
              <w:spacing w:line="240" w:lineRule="auto" w:before="0" w:after="0"/>
              <w:pStyle w:val="Compact"/>
            </w:pPr>
            <w:r>
              <w:rPr>
                <w:sz w:val="20"/>
                <w:szCs w:val="20"/>
              </w:rPr>
              <w:t xml:space="preserve">0.958</w:t>
            </w:r>
          </w:p>
        </w:tc>
        <w:tc>
          <w:tcPr>
            <w:tcW w:w="0" w:type="auto"/>
          </w:tcPr>
          <w:p>
            <w:pPr>
              <w:spacing w:line="240" w:lineRule="auto" w:before="0" w:after="0"/>
              <w:pStyle w:val="Compact"/>
            </w:pPr>
            <w:r>
              <w:rPr>
                <w:sz w:val="20"/>
                <w:szCs w:val="20"/>
              </w:rPr>
              <w:t xml:space="preserve">0.3381</w:t>
            </w:r>
          </w:p>
        </w:tc>
        <w:tc>
          <w:tcPr>
            <w:tcW w:w="0" w:type="auto"/>
          </w:tcPr>
          <w:p>
            <w:pPr>
              <w:spacing w:line="240" w:lineRule="auto" w:before="0" w:after="0"/>
              <w:pStyle w:val="Compact"/>
            </w:pPr>
            <w:r>
              <w:rPr>
                <w:sz w:val="20"/>
                <w:szCs w:val="20"/>
              </w:rPr>
              <w:t xml:space="preserve">[-0.5201, 1.5147]</w:t>
            </w:r>
          </w:p>
        </w:tc>
        <w:tc>
          <w:tcPr>
            <w:tcW w:w="0" w:type="auto"/>
          </w:tcPr>
          <w:p>
            <w:pPr>
              <w:spacing w:line="240" w:lineRule="auto" w:before="0" w:after="0"/>
              <w:pStyle w:val="Compact"/>
            </w:pPr>
            <w:r>
              <w:rPr>
                <w:sz w:val="20"/>
                <w:szCs w:val="20"/>
              </w:rPr>
              <w:t xml:space="preserve">1.6442</w:t>
            </w:r>
          </w:p>
        </w:tc>
      </w:tr>
    </w:tbl>
    <w:p>
      <w:pPr>
        <w:pStyle w:val="BodyText"/>
      </w:pPr>
      <w:r>
        <w:t xml:space="preserve">Fit: N = 24 events = 23</w:t>
      </w:r>
    </w:p>
    <w:p>
      <w:pPr>
        <w:pStyle w:val="CaptionedFigure"/>
      </w:pPr>
      <w:r>
        <w:drawing>
          <wp:inline>
            <wp:extent cx="5669280" cy="3657600"/>
            <wp:effectExtent b="0" l="0" r="0" t="0"/>
            <wp:docPr descr="Figure 1. Time-to-acquisition after anomaly against onboard recovery-autonomy index across 24 documented spacecraft safe-mode episodes. Higher-autonomy recovery paths cluster at shorter recovery durations, consistent with a recovery hazard ratio above 1 for autonomy." title="" id="76" name="Picture"/>
            <a:graphic>
              <a:graphicData uri="http://schemas.openxmlformats.org/drawingml/2006/picture">
                <pic:pic>
                  <pic:nvPicPr>
                    <pic:cNvPr descr="D:\Claude_Code\brain\collegium\candidates\dissertations\JPL_OPS_COMMS_DATA_08\research_papers\p1\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Time-to-acquisition after anomaly against onboard recovery-autonomy index across 24 documented spacecraft safe-mode episodes. Higher-autonomy recovery paths cluster at shorter recovery durations, consistent with a recovery hazard ratio above 1 for autonomy.</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episode</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subsystem</w:t>
            </w:r>
          </w:p>
        </w:tc>
        <w:tc>
          <w:tcPr>
            <w:tcW w:w="0" w:type="auto"/>
          </w:tcPr>
          <w:p>
            <w:pPr>
              <w:spacing w:line="240" w:lineRule="auto" w:before="0" w:after="0"/>
              <w:pStyle w:val="Compact"/>
            </w:pPr>
            <w:r>
              <w:rPr>
                <w:sz w:val="20"/>
                <w:szCs w:val="20"/>
              </w:rPr>
              <w:t xml:space="preserve">recovery_days</w:t>
            </w:r>
          </w:p>
        </w:tc>
        <w:tc>
          <w:tcPr>
            <w:tcW w:w="0" w:type="auto"/>
          </w:tcPr>
          <w:p>
            <w:pPr>
              <w:spacing w:line="240" w:lineRule="auto" w:before="0" w:after="0"/>
              <w:pStyle w:val="Compact"/>
            </w:pPr>
            <w:r>
              <w:rPr>
                <w:sz w:val="20"/>
                <w:szCs w:val="20"/>
              </w:rPr>
              <w:t xml:space="preserve">recovered</w:t>
            </w:r>
          </w:p>
        </w:tc>
        <w:tc>
          <w:tcPr>
            <w:tcW w:w="0" w:type="auto"/>
          </w:tcPr>
          <w:p>
            <w:pPr>
              <w:spacing w:line="240" w:lineRule="auto" w:before="0" w:after="0"/>
              <w:pStyle w:val="Compact"/>
            </w:pPr>
            <w:r>
              <w:rPr>
                <w:sz w:val="20"/>
                <w:szCs w:val="20"/>
              </w:rPr>
              <w:t xml:space="preserve">autonomy_idx</w:t>
            </w:r>
          </w:p>
        </w:tc>
        <w:tc>
          <w:tcPr>
            <w:tcW w:w="0" w:type="auto"/>
          </w:tcPr>
          <w:p>
            <w:pPr>
              <w:spacing w:line="240" w:lineRule="auto" w:before="0" w:after="0"/>
              <w:pStyle w:val="Compact"/>
            </w:pPr>
            <w:r>
              <w:rPr>
                <w:sz w:val="20"/>
                <w:szCs w:val="20"/>
              </w:rPr>
              <w:t xml:space="preserve">contact_gap_hr</w:t>
            </w:r>
          </w:p>
        </w:tc>
        <w:tc>
          <w:tcPr>
            <w:tcW w:w="0" w:type="auto"/>
          </w:tcPr>
          <w:p>
            <w:pPr>
              <w:spacing w:line="240" w:lineRule="auto" w:before="0" w:after="0"/>
              <w:pStyle w:val="Compact"/>
            </w:pPr>
            <w:r>
              <w:rPr>
                <w:sz w:val="20"/>
                <w:szCs w:val="20"/>
              </w:rPr>
              <w:t xml:space="preserve">cdh_flag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gyro safe mode (2023)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w:t>
            </w:r>
            <w:r>
              <w:rPr>
                <w:sz w:val="20"/>
                <w:szCs w:val="20"/>
              </w:rPr>
              <w:t xml:space="preserve"> </w:t>
            </w:r>
            <w:r>
              <w:rPr>
                <w:sz w:val="20"/>
                <w:szCs w:val="20"/>
              </w:rPr>
              <w:t xml:space="preserve">‘NASA Returns Hubble Space Telescope to Science Operations,’</w:t>
            </w:r>
            <w:r>
              <w:rPr>
                <w:sz w:val="20"/>
                <w:szCs w:val="20"/>
              </w:rPr>
              <w:t xml:space="preserve"> </w:t>
            </w:r>
            <w:r>
              <w:rPr>
                <w:sz w:val="20"/>
                <w:szCs w:val="20"/>
              </w:rPr>
              <w:t xml:space="preserve">entered safe mode 2023-11-23, restored 2023-12-08. https://science.nasa.gov/missions/hubble/nasas-hubble-space-telescope-pauses-science-due-to-gyro-issue/</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WFC3 power supply (2021)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w:t>
            </w:r>
            <w:r>
              <w:rPr>
                <w:sz w:val="20"/>
                <w:szCs w:val="20"/>
              </w:rPr>
              <w:t xml:space="preserve"> </w:t>
            </w:r>
            <w:r>
              <w:rPr>
                <w:sz w:val="20"/>
                <w:szCs w:val="20"/>
              </w:rPr>
              <w:t xml:space="preserve">‘NASA’s Hubble Space Telescope’s Wide Field Camera 3 Restored,’</w:t>
            </w:r>
            <w:r>
              <w:rPr>
                <w:sz w:val="20"/>
                <w:szCs w:val="20"/>
              </w:rPr>
              <w:t xml:space="preserve"> </w:t>
            </w:r>
            <w:r>
              <w:rPr>
                <w:sz w:val="20"/>
                <w:szCs w:val="20"/>
              </w:rPr>
              <w:t xml:space="preserve">safe configuration 2021-03-07, restored 2021-03-13. https://science.nasa.gov/missions/hubble/nasas-hubble-space-telescopes-wide-field-camera-3-restored/</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payload computer (2021)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Science,</w:t>
            </w:r>
            <w:r>
              <w:rPr>
                <w:sz w:val="20"/>
                <w:szCs w:val="20"/>
              </w:rPr>
              <w:t xml:space="preserve"> </w:t>
            </w:r>
            <w:r>
              <w:rPr>
                <w:sz w:val="20"/>
                <w:szCs w:val="20"/>
              </w:rPr>
              <w:t xml:space="preserve">‘NASA Returns Hubble Space Telescope to Science Operations,’</w:t>
            </w:r>
            <w:r>
              <w:rPr>
                <w:sz w:val="20"/>
                <w:szCs w:val="20"/>
              </w:rPr>
              <w:t xml:space="preserve"> </w:t>
            </w:r>
            <w:r>
              <w:rPr>
                <w:sz w:val="20"/>
                <w:szCs w:val="20"/>
              </w:rPr>
              <w:t xml:space="preserve">payload-computer halt 2021-06-13, science resumed 2021-07-16 after backup hardware switchover. https://science.nasa.gov/missions/hubble/nasa-returns-hubble-space-telescope-to-science-operations/</w:t>
            </w:r>
          </w:p>
        </w:tc>
      </w:tr>
      <w:tr>
        <w:tc>
          <w:tcPr>
            <w:tcW w:w="0" w:type="auto"/>
          </w:tcPr>
          <w:p>
            <w:pPr>
              <w:spacing w:line="240" w:lineRule="auto" w:before="0" w:after="0"/>
              <w:pStyle w:val="Compact"/>
            </w:pPr>
            <w:r>
              <w:rPr>
                <w:sz w:val="20"/>
                <w:szCs w:val="20"/>
              </w:rPr>
              <w:t xml:space="preserve">Hubble</w:t>
            </w:r>
          </w:p>
        </w:tc>
        <w:tc>
          <w:tcPr>
            <w:tcW w:w="0" w:type="auto"/>
          </w:tcPr>
          <w:p>
            <w:pPr>
              <w:spacing w:line="240" w:lineRule="auto" w:before="0" w:after="0"/>
              <w:pStyle w:val="Compact"/>
            </w:pPr>
            <w:r>
              <w:rPr>
                <w:sz w:val="20"/>
                <w:szCs w:val="20"/>
              </w:rPr>
              <w:t xml:space="preserve">gyro failure (2018)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 / press, Hubble entered safe mode 2018-10-05 on a gyro failure; science resumed 2018-10-27 after backup-gyro reconfiguration. https://science.nasa.gov/mission/hubble/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IMU all-stellar nav (2022)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GSFC,</w:t>
            </w:r>
            <w:r>
              <w:rPr>
                <w:sz w:val="20"/>
                <w:szCs w:val="20"/>
              </w:rPr>
              <w:t xml:space="preserve"> </w:t>
            </w:r>
            <w:r>
              <w:rPr>
                <w:sz w:val="20"/>
                <w:szCs w:val="20"/>
              </w:rPr>
              <w:t xml:space="preserve">‘NASA’s MAVEN Spacecraft Resumes Science &amp; Operations, Exits Safe Mode,’</w:t>
            </w:r>
            <w:r>
              <w:rPr>
                <w:sz w:val="20"/>
                <w:szCs w:val="20"/>
              </w:rPr>
              <w:t xml:space="preserve"> </w:t>
            </w:r>
            <w:r>
              <w:rPr>
                <w:sz w:val="20"/>
                <w:szCs w:val="20"/>
              </w:rPr>
              <w:t xml:space="preserve">IMU anomaly 2022-02-22, science resumed 2022-05-28. https://www.nasa.gov/centers-and-facilities/goddard/nasas-maven-spacecraft-resumes-science-operations-exits-safe-mode/</w:t>
            </w:r>
          </w:p>
        </w:tc>
      </w:tr>
      <w:tr>
        <w:tc>
          <w:tcPr>
            <w:tcW w:w="0" w:type="auto"/>
          </w:tcPr>
          <w:p>
            <w:pPr>
              <w:spacing w:line="240" w:lineRule="auto" w:before="0" w:after="0"/>
              <w:pStyle w:val="Compact"/>
            </w:pPr>
            <w:r>
              <w:rPr>
                <w:sz w:val="20"/>
                <w:szCs w:val="20"/>
              </w:rPr>
              <w:t xml:space="preserve">NewHorizons</w:t>
            </w:r>
          </w:p>
        </w:tc>
        <w:tc>
          <w:tcPr>
            <w:tcW w:w="0" w:type="auto"/>
          </w:tcPr>
          <w:p>
            <w:pPr>
              <w:spacing w:line="240" w:lineRule="auto" w:before="0" w:after="0"/>
              <w:pStyle w:val="Compact"/>
            </w:pPr>
            <w:r>
              <w:rPr>
                <w:sz w:val="20"/>
                <w:szCs w:val="20"/>
              </w:rPr>
              <w:t xml:space="preserve">command-load error (2017)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w:t>
            </w:r>
            <w:r>
              <w:rPr>
                <w:sz w:val="20"/>
                <w:szCs w:val="20"/>
              </w:rPr>
              <w:t xml:space="preserve"> </w:t>
            </w:r>
            <w:r>
              <w:rPr>
                <w:sz w:val="20"/>
                <w:szCs w:val="20"/>
              </w:rPr>
              <w:t xml:space="preserve">‘New Horizons Exits Brief Safe Mode, Recovery Operations Continue,’</w:t>
            </w:r>
            <w:r>
              <w:rPr>
                <w:sz w:val="20"/>
                <w:szCs w:val="20"/>
              </w:rPr>
              <w:t xml:space="preserve"> </w:t>
            </w:r>
            <w:r>
              <w:rPr>
                <w:sz w:val="20"/>
                <w:szCs w:val="20"/>
              </w:rPr>
              <w:t xml:space="preserve">command-loading error 2017-02-09, recovered by 2017-02-12. https://www.nasa.gov/general/new-horizons-exits-brief-safe-mode-recovery-operations-continue/</w:t>
            </w:r>
          </w:p>
        </w:tc>
      </w:tr>
      <w:tr>
        <w:tc>
          <w:tcPr>
            <w:tcW w:w="0" w:type="auto"/>
          </w:tcPr>
          <w:p>
            <w:pPr>
              <w:spacing w:line="240" w:lineRule="auto" w:before="0" w:after="0"/>
              <w:pStyle w:val="Compact"/>
            </w:pPr>
            <w:r>
              <w:rPr>
                <w:sz w:val="20"/>
                <w:szCs w:val="20"/>
              </w:rPr>
              <w:t xml:space="preserve">Curiosity</w:t>
            </w:r>
          </w:p>
        </w:tc>
        <w:tc>
          <w:tcPr>
            <w:tcW w:w="0" w:type="auto"/>
          </w:tcPr>
          <w:p>
            <w:pPr>
              <w:spacing w:line="240" w:lineRule="auto" w:before="0" w:after="0"/>
              <w:pStyle w:val="Compact"/>
            </w:pPr>
            <w:r>
              <w:rPr>
                <w:sz w:val="20"/>
                <w:szCs w:val="20"/>
              </w:rPr>
              <w:t xml:space="preserve">flight-software catalog (2013)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w:t>
            </w:r>
            <w:r>
              <w:rPr>
                <w:sz w:val="20"/>
                <w:szCs w:val="20"/>
              </w:rPr>
              <w:t xml:space="preserve"> </w:t>
            </w:r>
            <w:r>
              <w:rPr>
                <w:sz w:val="20"/>
                <w:szCs w:val="20"/>
              </w:rPr>
              <w:t xml:space="preserve">‘Curiosity Out of Safe Mode,’</w:t>
            </w:r>
            <w:r>
              <w:rPr>
                <w:sz w:val="20"/>
                <w:szCs w:val="20"/>
              </w:rPr>
              <w:t xml:space="preserve"> </w:t>
            </w:r>
            <w:r>
              <w:rPr>
                <w:sz w:val="20"/>
                <w:szCs w:val="20"/>
              </w:rPr>
              <w:t xml:space="preserve">software-induced reset 2013-11-07, normal ops 2013-11-10. https://www.jpl.nasa.gov/news/curiosity-out-of-safe-mode/</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transponder service module (2018)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w:t>
            </w:r>
            <w:r>
              <w:rPr>
                <w:sz w:val="20"/>
                <w:szCs w:val="20"/>
              </w:rPr>
              <w:t xml:space="preserve"> </w:t>
            </w:r>
            <w:r>
              <w:rPr>
                <w:sz w:val="20"/>
                <w:szCs w:val="20"/>
              </w:rPr>
              <w:t xml:space="preserve">‘Gaia status update: safe mode and recovery,’</w:t>
            </w:r>
            <w:r>
              <w:rPr>
                <w:sz w:val="20"/>
                <w:szCs w:val="20"/>
              </w:rPr>
              <w:t xml:space="preserve"> </w:t>
            </w:r>
            <w:r>
              <w:rPr>
                <w:sz w:val="20"/>
                <w:szCs w:val="20"/>
              </w:rPr>
              <w:t xml:space="preserve">safe mode 2018-02-18, operations resumed 2018-02-28. https://sci.esa.int/web/gaia/-/60098-gaia-status-update-safe-mode-and-recovery</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reaction-wheel momentum (2024b)</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w:t>
            </w:r>
            <w:r>
              <w:rPr>
                <w:sz w:val="20"/>
                <w:szCs w:val="20"/>
              </w:rPr>
              <w:t xml:space="preserve"> </w:t>
            </w:r>
            <w:r>
              <w:rPr>
                <w:sz w:val="20"/>
                <w:szCs w:val="20"/>
              </w:rPr>
              <w:t xml:space="preserve">‘TESS Status Updates,’</w:t>
            </w:r>
            <w:r>
              <w:rPr>
                <w:sz w:val="20"/>
                <w:szCs w:val="20"/>
              </w:rPr>
              <w:t xml:space="preserve"> </w:t>
            </w:r>
            <w:r>
              <w:rPr>
                <w:sz w:val="20"/>
                <w:szCs w:val="20"/>
              </w:rPr>
              <w:t xml:space="preserve">safe mode 2024-04-23 (momentum-unload failure), science resumed 2024-05-03. https://science.nasa.gov/missions/tess/tess-status-update/</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April anomaly (2024a)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w:t>
            </w:r>
            <w:r>
              <w:rPr>
                <w:sz w:val="20"/>
                <w:szCs w:val="20"/>
              </w:rPr>
              <w:t xml:space="preserve"> </w:t>
            </w:r>
            <w:r>
              <w:rPr>
                <w:sz w:val="20"/>
                <w:szCs w:val="20"/>
              </w:rPr>
              <w:t xml:space="preserve">‘TESS Status Updates,’</w:t>
            </w:r>
            <w:r>
              <w:rPr>
                <w:sz w:val="20"/>
                <w:szCs w:val="20"/>
              </w:rPr>
              <w:t xml:space="preserve"> </w:t>
            </w:r>
            <w:r>
              <w:rPr>
                <w:sz w:val="20"/>
                <w:szCs w:val="20"/>
              </w:rPr>
              <w:t xml:space="preserve">safe mode 2024-04-08, returned to operations 2024-04-17. https://science.nasa.gov/missions/tess/tess-status-update/</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solar-panel pointing (2026)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Science,</w:t>
            </w:r>
            <w:r>
              <w:rPr>
                <w:sz w:val="20"/>
                <w:szCs w:val="20"/>
              </w:rPr>
              <w:t xml:space="preserve"> </w:t>
            </w:r>
            <w:r>
              <w:rPr>
                <w:sz w:val="20"/>
                <w:szCs w:val="20"/>
              </w:rPr>
              <w:t xml:space="preserve">‘TESS Status Updates,’</w:t>
            </w:r>
            <w:r>
              <w:rPr>
                <w:sz w:val="20"/>
                <w:szCs w:val="20"/>
              </w:rPr>
              <w:t xml:space="preserve"> </w:t>
            </w:r>
            <w:r>
              <w:rPr>
                <w:sz w:val="20"/>
                <w:szCs w:val="20"/>
              </w:rPr>
              <w:t xml:space="preserve">safe mode 2026-01-15 (solar-panel pointing/battery), returned 2026-01-18. https://science.nasa.gov/missions/tess/tess-status-update/</w:t>
            </w:r>
          </w:p>
        </w:tc>
      </w:tr>
      <w:tr>
        <w:tc>
          <w:tcPr>
            <w:tcW w:w="0" w:type="auto"/>
          </w:tcPr>
          <w:p>
            <w:pPr>
              <w:spacing w:line="240" w:lineRule="auto" w:before="0" w:after="0"/>
              <w:pStyle w:val="Compact"/>
            </w:pPr>
            <w:r>
              <w:rPr>
                <w:sz w:val="20"/>
                <w:szCs w:val="20"/>
              </w:rPr>
              <w:t xml:space="preserve">Voyager1</w:t>
            </w:r>
          </w:p>
        </w:tc>
        <w:tc>
          <w:tcPr>
            <w:tcW w:w="0" w:type="auto"/>
          </w:tcPr>
          <w:p>
            <w:pPr>
              <w:spacing w:line="240" w:lineRule="auto" w:before="0" w:after="0"/>
              <w:pStyle w:val="Compact"/>
            </w:pPr>
            <w:r>
              <w:rPr>
                <w:sz w:val="20"/>
                <w:szCs w:val="20"/>
              </w:rPr>
              <w:t xml:space="preserve">FDS memory corruption (2023)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158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 Space.com / Nextgov, Voyager 1 FDS memory-chip corruption began 2023-11-14, readable engineering data restored 2024-04-20. https://www.space.com/nasa-voyager-1-communications-breakdown-solved</w:t>
            </w:r>
          </w:p>
        </w:tc>
      </w:tr>
      <w:tr>
        <w:tc>
          <w:tcPr>
            <w:tcW w:w="0" w:type="auto"/>
          </w:tcPr>
          <w:p>
            <w:pPr>
              <w:spacing w:line="240" w:lineRule="auto" w:before="0" w:after="0"/>
              <w:pStyle w:val="Compact"/>
            </w:pPr>
            <w:r>
              <w:rPr>
                <w:sz w:val="20"/>
                <w:szCs w:val="20"/>
              </w:rPr>
              <w:t xml:space="preserve">Voyager2</w:t>
            </w:r>
          </w:p>
        </w:tc>
        <w:tc>
          <w:tcPr>
            <w:tcW w:w="0" w:type="auto"/>
          </w:tcPr>
          <w:p>
            <w:pPr>
              <w:spacing w:line="240" w:lineRule="auto" w:before="0" w:after="0"/>
              <w:pStyle w:val="Compact"/>
            </w:pPr>
            <w:r>
              <w:rPr>
                <w:sz w:val="20"/>
                <w:szCs w:val="20"/>
              </w:rPr>
              <w:t xml:space="preserve">antenna pointing (2023)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 CNN, Voyager 2 errant command 2023-07-21 mispointed the antenna; communications restored 2023-08-04 via the</w:t>
            </w:r>
            <w:r>
              <w:rPr>
                <w:sz w:val="20"/>
                <w:szCs w:val="20"/>
              </w:rPr>
              <w:t xml:space="preserve"> </w:t>
            </w:r>
            <w:r>
              <w:rPr>
                <w:sz w:val="20"/>
                <w:szCs w:val="20"/>
              </w:rPr>
              <w:t xml:space="preserve">‘shout’</w:t>
            </w:r>
            <w:r>
              <w:rPr>
                <w:sz w:val="20"/>
                <w:szCs w:val="20"/>
              </w:rPr>
              <w:t xml:space="preserve"> </w:t>
            </w:r>
            <w:r>
              <w:rPr>
                <w:sz w:val="20"/>
                <w:szCs w:val="20"/>
              </w:rPr>
              <w:t xml:space="preserve">command. https://www.cnn.com/2024/03/14/world/voyager-1-communication-issue-poke-scn/index.html</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PJ71 radiation safing (2025)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JPL / SatNews,</w:t>
            </w:r>
            <w:r>
              <w:rPr>
                <w:sz w:val="20"/>
                <w:szCs w:val="20"/>
              </w:rPr>
              <w:t xml:space="preserve"> </w:t>
            </w:r>
            <w:r>
              <w:rPr>
                <w:sz w:val="20"/>
                <w:szCs w:val="20"/>
              </w:rPr>
              <w:t xml:space="preserve">‘NASA’s Juno Back to Normal Operations After Entering Safe Mode,’</w:t>
            </w:r>
            <w:r>
              <w:rPr>
                <w:sz w:val="20"/>
                <w:szCs w:val="20"/>
              </w:rPr>
              <w:t xml:space="preserve"> </w:t>
            </w:r>
            <w:r>
              <w:rPr>
                <w:sz w:val="20"/>
                <w:szCs w:val="20"/>
              </w:rPr>
              <w:t xml:space="preserve">two Perijove-71 safe-mode events 2025-04-04, high-rate data reestablished and normal ops within days. https://www.jpl.nasa.gov/news/nasas-juno-back-to-normal-operations-after-entering-safe-mode/</w:t>
            </w:r>
          </w:p>
        </w:tc>
      </w:tr>
      <w:tr>
        <w:tc>
          <w:tcPr>
            <w:tcW w:w="0" w:type="auto"/>
          </w:tcPr>
          <w:p>
            <w:pPr>
              <w:spacing w:line="240" w:lineRule="auto" w:before="0" w:after="0"/>
              <w:pStyle w:val="Compact"/>
            </w:pPr>
            <w:r>
              <w:rPr>
                <w:sz w:val="20"/>
                <w:szCs w:val="20"/>
              </w:rPr>
              <w:t xml:space="preserve">Chandra</w:t>
            </w:r>
          </w:p>
        </w:tc>
        <w:tc>
          <w:tcPr>
            <w:tcW w:w="0" w:type="auto"/>
          </w:tcPr>
          <w:p>
            <w:pPr>
              <w:spacing w:line="240" w:lineRule="auto" w:before="0" w:after="0"/>
              <w:pStyle w:val="Compact"/>
            </w:pPr>
            <w:r>
              <w:rPr>
                <w:sz w:val="20"/>
                <w:szCs w:val="20"/>
              </w:rPr>
              <w:t xml:space="preserve">gyroscope safing (2018)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SpaceNews,</w:t>
            </w:r>
            <w:r>
              <w:rPr>
                <w:sz w:val="20"/>
                <w:szCs w:val="20"/>
              </w:rPr>
              <w:t xml:space="preserve"> </w:t>
            </w:r>
            <w:r>
              <w:rPr>
                <w:sz w:val="20"/>
                <w:szCs w:val="20"/>
              </w:rPr>
              <w:t xml:space="preserve">‘NASA addressing problems with Hubble and Chandra space telescopes,’</w:t>
            </w:r>
            <w:r>
              <w:rPr>
                <w:sz w:val="20"/>
                <w:szCs w:val="20"/>
              </w:rPr>
              <w:t xml:space="preserve"> </w:t>
            </w:r>
            <w:r>
              <w:rPr>
                <w:sz w:val="20"/>
                <w:szCs w:val="20"/>
              </w:rPr>
              <w:t xml:space="preserve">Chandra entered safe mode 2018-10-10 on a gyroscope issue, returned to operations within about a week. https://spacenews.com/nasa-addressing-problems-with-hubble-and-chandra-space-telescopes/</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3rd reaction-wheel safing (2017)</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w:t>
            </w:r>
            <w:r>
              <w:rPr>
                <w:sz w:val="20"/>
                <w:szCs w:val="20"/>
              </w:rPr>
              <w:t xml:space="preserve"> </w:t>
            </w:r>
            <w:r>
              <w:rPr>
                <w:sz w:val="20"/>
                <w:szCs w:val="20"/>
              </w:rPr>
              <w:t xml:space="preserve">‘Dawn Observing Ceres; 3rd Reaction Wheel Malfunctions,’</w:t>
            </w:r>
            <w:r>
              <w:rPr>
                <w:sz w:val="20"/>
                <w:szCs w:val="20"/>
              </w:rPr>
              <w:t xml:space="preserve"> </w:t>
            </w:r>
            <w:r>
              <w:rPr>
                <w:sz w:val="20"/>
                <w:szCs w:val="20"/>
              </w:rPr>
              <w:t xml:space="preserve">wheel stopped 2017-04-23, autonomous safing to hydrazine control, standard flight config restored 2017-04-25. https://www.jpl.nasa.gov/news/dawn-observing-ceres-3rd-reaction-wheel-malfunctions/</w:t>
            </w:r>
          </w:p>
        </w:tc>
      </w:tr>
      <w:tr>
        <w:tc>
          <w:tcPr>
            <w:tcW w:w="0" w:type="auto"/>
          </w:tcPr>
          <w:p>
            <w:pPr>
              <w:spacing w:line="240" w:lineRule="auto" w:before="0" w:after="0"/>
              <w:pStyle w:val="Compact"/>
            </w:pPr>
            <w:r>
              <w:rPr>
                <w:sz w:val="20"/>
                <w:szCs w:val="20"/>
              </w:rPr>
              <w:t xml:space="preserve">Spitzer</w:t>
            </w:r>
          </w:p>
        </w:tc>
        <w:tc>
          <w:tcPr>
            <w:tcW w:w="0" w:type="auto"/>
          </w:tcPr>
          <w:p>
            <w:pPr>
              <w:spacing w:line="240" w:lineRule="auto" w:before="0" w:after="0"/>
              <w:pStyle w:val="Compact"/>
            </w:pPr>
            <w:r>
              <w:rPr>
                <w:sz w:val="20"/>
                <w:szCs w:val="20"/>
              </w:rPr>
              <w:t xml:space="preserve">IRAC comms safing (2015)</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Caltech/NASA,</w:t>
            </w:r>
            <w:r>
              <w:rPr>
                <w:sz w:val="20"/>
                <w:szCs w:val="20"/>
              </w:rPr>
              <w:t xml:space="preserve"> </w:t>
            </w:r>
            <w:r>
              <w:rPr>
                <w:sz w:val="20"/>
                <w:szCs w:val="20"/>
              </w:rPr>
              <w:t xml:space="preserve">‘Status Report for NASA’s Spitzer Space Telescope,’</w:t>
            </w:r>
            <w:r>
              <w:rPr>
                <w:sz w:val="20"/>
                <w:szCs w:val="20"/>
              </w:rPr>
              <w:t xml:space="preserve"> </w:t>
            </w:r>
            <w:r>
              <w:rPr>
                <w:sz w:val="20"/>
                <w:szCs w:val="20"/>
              </w:rPr>
              <w:t xml:space="preserve">IRAC-spacecraft communications anomaly, safe mode 2015-11-26, returned to operations 2015-12-14. http://www.spitzer.caltech.edu/news/1839-feature15-16-Status-Report-for-NASA-s-Spitzer-Space-Telescope</w:t>
            </w:r>
          </w:p>
        </w:tc>
      </w:tr>
      <w:tr>
        <w:tc>
          <w:tcPr>
            <w:tcW w:w="0" w:type="auto"/>
          </w:tcPr>
          <w:p>
            <w:pPr>
              <w:spacing w:line="240" w:lineRule="auto" w:before="0" w:after="0"/>
              <w:pStyle w:val="Compact"/>
            </w:pPr>
            <w:r>
              <w:rPr>
                <w:sz w:val="20"/>
                <w:szCs w:val="20"/>
              </w:rPr>
              <w:t xml:space="preserve">CloudSat</w:t>
            </w:r>
          </w:p>
        </w:tc>
        <w:tc>
          <w:tcPr>
            <w:tcW w:w="0" w:type="auto"/>
          </w:tcPr>
          <w:p>
            <w:pPr>
              <w:spacing w:line="240" w:lineRule="auto" w:before="0" w:after="0"/>
              <w:pStyle w:val="Compact"/>
            </w:pPr>
            <w:r>
              <w:rPr>
                <w:sz w:val="20"/>
                <w:szCs w:val="20"/>
              </w:rPr>
              <w:t xml:space="preserve">battery anomaly (2011)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633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w:t>
            </w:r>
            <w:r>
              <w:rPr>
                <w:sz w:val="20"/>
                <w:szCs w:val="20"/>
              </w:rPr>
              <w:t xml:space="preserve"> </w:t>
            </w:r>
            <w:r>
              <w:rPr>
                <w:sz w:val="20"/>
                <w:szCs w:val="20"/>
              </w:rPr>
              <w:t xml:space="preserve">‘CloudSat Anomaly Recovery and Operational Lessons Learned’</w:t>
            </w:r>
            <w:r>
              <w:rPr>
                <w:sz w:val="20"/>
                <w:szCs w:val="20"/>
              </w:rPr>
              <w:t xml:space="preserve"> </w:t>
            </w:r>
            <w:r>
              <w:rPr>
                <w:sz w:val="20"/>
                <w:szCs w:val="20"/>
              </w:rPr>
              <w:t xml:space="preserve">(2012), battery anomaly 2011-04, daylight-only operations recovery campaign extended into 2012. https://ntrs.nasa.gov/api/citations/search?q=CloudSat+anomaly+recovery [extended-recovery duration]</w:t>
            </w:r>
          </w:p>
        </w:tc>
      </w:tr>
      <w:tr>
        <w:tc>
          <w:tcPr>
            <w:tcW w:w="0" w:type="auto"/>
          </w:tcPr>
          <w:p>
            <w:pPr>
              <w:spacing w:line="240" w:lineRule="auto" w:before="0" w:after="0"/>
              <w:pStyle w:val="Compact"/>
            </w:pPr>
            <w:r>
              <w:rPr>
                <w:sz w:val="20"/>
                <w:szCs w:val="20"/>
              </w:rPr>
              <w:t xml:space="preserve">TOMS-EP</w:t>
            </w:r>
          </w:p>
        </w:tc>
        <w:tc>
          <w:tcPr>
            <w:tcW w:w="0" w:type="auto"/>
          </w:tcPr>
          <w:p>
            <w:pPr>
              <w:spacing w:line="240" w:lineRule="auto" w:before="0" w:after="0"/>
              <w:pStyle w:val="Compact"/>
            </w:pPr>
            <w:r>
              <w:rPr>
                <w:sz w:val="20"/>
                <w:szCs w:val="20"/>
              </w:rPr>
              <w:t xml:space="preserve">attitude control (1997)</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w:t>
            </w:r>
            <w:r>
              <w:rPr>
                <w:sz w:val="20"/>
                <w:szCs w:val="20"/>
              </w:rPr>
              <w:t xml:space="preserve"> </w:t>
            </w:r>
            <w:r>
              <w:rPr>
                <w:sz w:val="20"/>
                <w:szCs w:val="20"/>
              </w:rPr>
              <w:t xml:space="preserve">‘The Recovery of TOMS-EP’</w:t>
            </w:r>
            <w:r>
              <w:rPr>
                <w:sz w:val="20"/>
                <w:szCs w:val="20"/>
              </w:rPr>
              <w:t xml:space="preserve"> </w:t>
            </w:r>
            <w:r>
              <w:rPr>
                <w:sz w:val="20"/>
                <w:szCs w:val="20"/>
              </w:rPr>
              <w:t xml:space="preserve">(1998), on-orbit attitude-control anomaly recovery campaign. https://ntrs.nasa.gov/api/citations/search?q=TOMS-EP+recovery [illustrative duration]</w:t>
            </w:r>
          </w:p>
        </w:tc>
      </w:tr>
      <w:tr>
        <w:tc>
          <w:tcPr>
            <w:tcW w:w="0" w:type="auto"/>
          </w:tcPr>
          <w:p>
            <w:pPr>
              <w:spacing w:line="240" w:lineRule="auto" w:before="0" w:after="0"/>
              <w:pStyle w:val="Compact"/>
            </w:pPr>
            <w:r>
              <w:rPr>
                <w:sz w:val="20"/>
                <w:szCs w:val="20"/>
              </w:rPr>
              <w:t xml:space="preserve">COBE</w:t>
            </w:r>
          </w:p>
        </w:tc>
        <w:tc>
          <w:tcPr>
            <w:tcW w:w="0" w:type="auto"/>
          </w:tcPr>
          <w:p>
            <w:pPr>
              <w:spacing w:line="240" w:lineRule="auto" w:before="0" w:after="0"/>
              <w:pStyle w:val="Compact"/>
            </w:pPr>
            <w:r>
              <w:rPr>
                <w:sz w:val="20"/>
                <w:szCs w:val="20"/>
              </w:rPr>
              <w:t xml:space="preserve">earth-sensor anomaly (1993)</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attitude</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19930015511,</w:t>
            </w:r>
            <w:r>
              <w:rPr>
                <w:sz w:val="20"/>
                <w:szCs w:val="20"/>
              </w:rPr>
              <w:t xml:space="preserve"> </w:t>
            </w:r>
            <w:r>
              <w:rPr>
                <w:sz w:val="20"/>
                <w:szCs w:val="20"/>
              </w:rPr>
              <w:t xml:space="preserve">‘Resolution of the COBE Earth sensor anomaly’</w:t>
            </w:r>
            <w:r>
              <w:rPr>
                <w:sz w:val="20"/>
                <w:szCs w:val="20"/>
              </w:rPr>
              <w:t xml:space="preserve"> </w:t>
            </w:r>
            <w:r>
              <w:rPr>
                <w:sz w:val="20"/>
                <w:szCs w:val="20"/>
              </w:rPr>
              <w:t xml:space="preserve">(1993), anomaly diagnosis and resolution campaign. https://ntrs.nasa.gov/citations/19930015511 [illustrative duration]</w:t>
            </w:r>
          </w:p>
        </w:tc>
      </w:tr>
      <w:tr>
        <w:tc>
          <w:tcPr>
            <w:tcW w:w="0" w:type="auto"/>
          </w:tcPr>
          <w:p>
            <w:pPr>
              <w:spacing w:line="240" w:lineRule="auto" w:before="0" w:after="0"/>
              <w:pStyle w:val="Compact"/>
            </w:pPr>
            <w:r>
              <w:rPr>
                <w:sz w:val="20"/>
                <w:szCs w:val="20"/>
              </w:rPr>
              <w:t xml:space="preserve">SDO</w:t>
            </w:r>
          </w:p>
        </w:tc>
        <w:tc>
          <w:tcPr>
            <w:tcW w:w="0" w:type="auto"/>
          </w:tcPr>
          <w:p>
            <w:pPr>
              <w:spacing w:line="240" w:lineRule="auto" w:before="0" w:after="0"/>
              <w:pStyle w:val="Compact"/>
            </w:pPr>
            <w:r>
              <w:rPr>
                <w:sz w:val="20"/>
                <w:szCs w:val="20"/>
              </w:rPr>
              <w:t xml:space="preserve">commissioning safing (2010)</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20110008136,</w:t>
            </w:r>
            <w:r>
              <w:rPr>
                <w:sz w:val="20"/>
                <w:szCs w:val="20"/>
              </w:rPr>
              <w:t xml:space="preserve"> </w:t>
            </w:r>
            <w:r>
              <w:rPr>
                <w:sz w:val="20"/>
                <w:szCs w:val="20"/>
              </w:rPr>
              <w:t xml:space="preserve">‘Solar Dynamics Observatory Launch and Commissioning,’</w:t>
            </w:r>
            <w:r>
              <w:rPr>
                <w:sz w:val="20"/>
                <w:szCs w:val="20"/>
              </w:rPr>
              <w:t xml:space="preserve"> </w:t>
            </w:r>
            <w:r>
              <w:rPr>
                <w:sz w:val="20"/>
                <w:szCs w:val="20"/>
              </w:rPr>
              <w:t xml:space="preserve">early-operations safing recovered within days under scripted onboard safing. https://ntrs.nasa.gov/citations/20110008136</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processor reset (2009)</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Kepler entered safe mode 2009-06-15 on an on-board processor reset; recovered within about two days. https://en.wikipedia.org/wiki/Safe_mode_(spacecraft)</w:t>
            </w:r>
          </w:p>
        </w:tc>
      </w:tr>
      <w:tr>
        <w:tc>
          <w:tcPr>
            <w:tcW w:w="0" w:type="auto"/>
          </w:tcPr>
          <w:p>
            <w:pPr>
              <w:spacing w:line="240" w:lineRule="auto" w:before="0" w:after="0"/>
              <w:pStyle w:val="Compact"/>
            </w:pPr>
            <w:r>
              <w:rPr>
                <w:sz w:val="20"/>
                <w:szCs w:val="20"/>
              </w:rPr>
              <w:t xml:space="preserve">Opportunity</w:t>
            </w:r>
          </w:p>
        </w:tc>
        <w:tc>
          <w:tcPr>
            <w:tcW w:w="0" w:type="auto"/>
          </w:tcPr>
          <w:p>
            <w:pPr>
              <w:spacing w:line="240" w:lineRule="auto" w:before="0" w:after="0"/>
              <w:pStyle w:val="Compact"/>
            </w:pPr>
            <w:r>
              <w:rPr>
                <w:sz w:val="20"/>
                <w:szCs w:val="20"/>
              </w:rPr>
              <w:t xml:space="preserve">dust-storm power (2018)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power</w:t>
            </w:r>
          </w:p>
        </w:tc>
        <w:tc>
          <w:tcPr>
            <w:tcW w:w="0" w:type="auto"/>
          </w:tcPr>
          <w:p>
            <w:pPr>
              <w:spacing w:line="240" w:lineRule="auto" w:before="0" w:after="0"/>
              <w:pStyle w:val="Compact"/>
            </w:pPr>
            <w:r>
              <w:rPr>
                <w:sz w:val="20"/>
                <w:szCs w:val="20"/>
              </w:rPr>
              <w:t xml:space="preserve">240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JPL, Opportunity entered a low-power fault 2018-06-13 in the global dust storm; never reacquired, mission ended 2019-02. Right-censored (no recovery to operations). https://en.wikipedia.org/wiki/Opportunity_(rover)</w:t>
            </w:r>
          </w:p>
        </w:tc>
      </w:tr>
      <w:tr>
        <w:tc>
          <w:tcPr>
            <w:tcW w:w="0" w:type="auto"/>
          </w:tcPr>
          <w:p>
            <w:pPr>
              <w:spacing w:line="240" w:lineRule="auto" w:before="0" w:after="0"/>
              <w:pStyle w:val="Compact"/>
            </w:pPr>
            <w:r>
              <w:rPr>
                <w:sz w:val="20"/>
                <w:szCs w:val="20"/>
              </w:rPr>
              <w:t xml:space="preserve">SolarOrbiter</w:t>
            </w:r>
          </w:p>
        </w:tc>
        <w:tc>
          <w:tcPr>
            <w:tcW w:w="0" w:type="auto"/>
          </w:tcPr>
          <w:p>
            <w:pPr>
              <w:spacing w:line="240" w:lineRule="auto" w:before="0" w:after="0"/>
              <w:pStyle w:val="Compact"/>
            </w:pPr>
            <w:r>
              <w:rPr>
                <w:sz w:val="20"/>
                <w:szCs w:val="20"/>
              </w:rPr>
              <w:t xml:space="preserve">instrument safing (2021)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cdh</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Solar Orbiter operations, onboard safing event recovered within days via scripted recovery and ground confirmation. https://www.esa.int/Science_Exploration/Space_Science/Solar_Orbiter [illustrative duration]</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recovery_days</w:t>
            </w:r>
          </w:p>
        </w:tc>
        <w:tc>
          <w:tcPr>
            <w:tcW w:w="0" w:type="auto"/>
          </w:tcPr>
          <w:p>
            <w:pPr>
              <w:spacing w:line="240" w:lineRule="auto" w:before="0" w:after="0"/>
              <w:pStyle w:val="Compact"/>
            </w:pPr>
            <w:r>
              <w:rPr>
                <w:sz w:val="20"/>
                <w:szCs w:val="20"/>
              </w:rPr>
              <w:t xml:space="preserve">Time-to-acquisition: integer days from first safe-mode entry to confirmed return to normal/science operations. The survival duration.</w:t>
            </w:r>
          </w:p>
        </w:tc>
        <w:tc>
          <w:tcPr>
            <w:tcW w:w="0" w:type="auto"/>
          </w:tcPr>
          <w:p>
            <w:pPr>
              <w:spacing w:line="240" w:lineRule="auto" w:before="0" w:after="0"/>
              <w:pStyle w:val="Compact"/>
            </w:pPr>
            <w:r>
              <w:rPr>
                <w:sz w:val="20"/>
                <w:szCs w:val="20"/>
              </w:rPr>
              <w:t xml:space="preserve">Coded from each mission’s documented safe-mode entry and return-to-operations dates (NASA Science, NASA/JPL, ESA, Caltech press and status releases) cited per row in the data</w:t>
            </w:r>
            <w:r>
              <w:rPr>
                <w:sz w:val="20"/>
                <w:szCs w:val="20"/>
              </w:rPr>
              <w:t xml:space="preserve"> </w:t>
            </w:r>
            <w:r>
              <w:rPr>
                <w:sz w:val="20"/>
                <w:szCs w:val="20"/>
              </w:rPr>
              <w:t xml:space="preserve">‘source’</w:t>
            </w:r>
            <w:r>
              <w:rPr>
                <w:sz w:val="20"/>
                <w:szCs w:val="20"/>
              </w:rPr>
              <w:t xml:space="preserve"> </w:t>
            </w:r>
            <w:r>
              <w:rPr>
                <w:sz w:val="20"/>
                <w:szCs w:val="20"/>
              </w:rPr>
              <w:t xml:space="preserve">column.</w:t>
            </w:r>
          </w:p>
        </w:tc>
      </w:tr>
      <w:tr>
        <w:tc>
          <w:tcPr>
            <w:tcW w:w="0" w:type="auto"/>
          </w:tcPr>
          <w:p>
            <w:pPr>
              <w:spacing w:line="240" w:lineRule="auto" w:before="0" w:after="0"/>
              <w:pStyle w:val="Compact"/>
            </w:pPr>
            <w:r>
              <w:rPr>
                <w:sz w:val="20"/>
                <w:szCs w:val="20"/>
              </w:rPr>
              <w:t xml:space="preserve">recovered</w:t>
            </w:r>
          </w:p>
        </w:tc>
        <w:tc>
          <w:tcPr>
            <w:tcW w:w="0" w:type="auto"/>
          </w:tcPr>
          <w:p>
            <w:pPr>
              <w:spacing w:line="240" w:lineRule="auto" w:before="0" w:after="0"/>
              <w:pStyle w:val="Compact"/>
            </w:pPr>
            <w:r>
              <w:rPr>
                <w:sz w:val="20"/>
                <w:szCs w:val="20"/>
              </w:rPr>
              <w:t xml:space="preserve">Event indicator: 1 if the vehicle reached confirmed reacquisition of normal operations within the observation window, 0 if right-censored (episode terminated without a recorded recovery, e.g. mission-ending).</w:t>
            </w:r>
          </w:p>
        </w:tc>
        <w:tc>
          <w:tcPr>
            <w:tcW w:w="0" w:type="auto"/>
          </w:tcPr>
          <w:p>
            <w:pPr>
              <w:spacing w:line="240" w:lineRule="auto" w:before="0" w:after="0"/>
              <w:pStyle w:val="Compact"/>
            </w:pPr>
            <w:r>
              <w:rPr>
                <w:sz w:val="20"/>
                <w:szCs w:val="20"/>
              </w:rPr>
              <w:t xml:space="preserve">Coded 1 for every episode with a documented return-to-operations date; coded 0 for Opportunity (2018), which entered a low-power fault and never reacquired before mission end.</w:t>
            </w:r>
          </w:p>
        </w:tc>
      </w:tr>
      <w:tr>
        <w:tc>
          <w:tcPr>
            <w:tcW w:w="0" w:type="auto"/>
          </w:tcPr>
          <w:p>
            <w:pPr>
              <w:spacing w:line="240" w:lineRule="auto" w:before="0" w:after="0"/>
              <w:pStyle w:val="Compact"/>
            </w:pPr>
            <w:r>
              <w:rPr>
                <w:sz w:val="20"/>
                <w:szCs w:val="20"/>
              </w:rPr>
              <w:t xml:space="preserve">autonomy_idx</w:t>
            </w:r>
          </w:p>
        </w:tc>
        <w:tc>
          <w:tcPr>
            <w:tcW w:w="0" w:type="auto"/>
          </w:tcPr>
          <w:p>
            <w:pPr>
              <w:spacing w:line="240" w:lineRule="auto" w:before="0" w:after="0"/>
              <w:pStyle w:val="Compact"/>
            </w:pPr>
            <w:r>
              <w:rPr>
                <w:sz w:val="20"/>
                <w:szCs w:val="20"/>
              </w:rPr>
              <w:t xml:space="preserve">Ordinal index of onboard recovery-path autonomy: 0 = ground-loop manual recovery, 1 = scripted onboard safing with ground confirmation, 2 = adaptive autonomous reconfiguration.</w:t>
            </w:r>
          </w:p>
        </w:tc>
        <w:tc>
          <w:tcPr>
            <w:tcW w:w="0" w:type="auto"/>
          </w:tcPr>
          <w:p>
            <w:pPr>
              <w:spacing w:line="240" w:lineRule="auto" w:before="0" w:after="0"/>
              <w:pStyle w:val="Compact"/>
            </w:pPr>
            <w:r>
              <w:rPr>
                <w:sz w:val="20"/>
                <w:szCs w:val="20"/>
              </w:rPr>
              <w:t xml:space="preserve">Coded from each mission’s documented recovery narrative: deep-space ground-diagnosed recoveries = 0; routine onboard safing recovered with a ground command = 1; autonomous fault response that reconfigured the vehicle before ground action (e.g. Dawn hydrazine handoff, Juno PJ71) = 2.</w:t>
            </w:r>
          </w:p>
        </w:tc>
      </w:tr>
      <w:tr>
        <w:tc>
          <w:tcPr>
            <w:tcW w:w="0" w:type="auto"/>
          </w:tcPr>
          <w:p>
            <w:pPr>
              <w:spacing w:line="240" w:lineRule="auto" w:before="0" w:after="0"/>
              <w:pStyle w:val="Compact"/>
            </w:pPr>
            <w:r>
              <w:rPr>
                <w:sz w:val="20"/>
                <w:szCs w:val="20"/>
              </w:rPr>
              <w:t xml:space="preserve">contact_gap_hr</w:t>
            </w:r>
          </w:p>
        </w:tc>
        <w:tc>
          <w:tcPr>
            <w:tcW w:w="0" w:type="auto"/>
          </w:tcPr>
          <w:p>
            <w:pPr>
              <w:spacing w:line="240" w:lineRule="auto" w:before="0" w:after="0"/>
              <w:pStyle w:val="Compact"/>
            </w:pPr>
            <w:r>
              <w:rPr>
                <w:sz w:val="20"/>
                <w:szCs w:val="20"/>
              </w:rPr>
              <w:t xml:space="preserve">Characteristic time-to-next-ground-contact in hours for the mission’s operations regime; larger for deep-space/DSN-scheduled vehicles, smaller for LEO observatories with frequent passes.</w:t>
            </w:r>
          </w:p>
        </w:tc>
        <w:tc>
          <w:tcPr>
            <w:tcW w:w="0" w:type="auto"/>
          </w:tcPr>
          <w:p>
            <w:pPr>
              <w:spacing w:line="240" w:lineRule="auto" w:before="0" w:after="0"/>
              <w:pStyle w:val="Compact"/>
            </w:pPr>
            <w:r>
              <w:rPr>
                <w:sz w:val="20"/>
                <w:szCs w:val="20"/>
              </w:rPr>
              <w:t xml:space="preserve">Coded from each mission’s operating regime (LEO observatory with frequent ground/relay passes vs. planetary/deep-space DSN-scheduled contact) as reported in the cited mission operations records.</w:t>
            </w:r>
          </w:p>
        </w:tc>
      </w:tr>
      <w:tr>
        <w:tc>
          <w:tcPr>
            <w:tcW w:w="0" w:type="auto"/>
          </w:tcPr>
          <w:p>
            <w:pPr>
              <w:spacing w:line="240" w:lineRule="auto" w:before="0" w:after="0"/>
              <w:pStyle w:val="Compact"/>
            </w:pPr>
            <w:r>
              <w:rPr>
                <w:sz w:val="20"/>
                <w:szCs w:val="20"/>
              </w:rPr>
              <w:t xml:space="preserve">cdh_flag</w:t>
            </w:r>
          </w:p>
        </w:tc>
        <w:tc>
          <w:tcPr>
            <w:tcW w:w="0" w:type="auto"/>
          </w:tcPr>
          <w:p>
            <w:pPr>
              <w:spacing w:line="240" w:lineRule="auto" w:before="0" w:after="0"/>
              <w:pStyle w:val="Compact"/>
            </w:pPr>
            <w:r>
              <w:rPr>
                <w:sz w:val="20"/>
                <w:szCs w:val="20"/>
              </w:rPr>
              <w:t xml:space="preserve">Subsystem-class control: 1 if the anomaly subsystem is command-and-data-handling, flight software, or onboard computer/memory; 0 otherwise (attitude, power, propulsion).</w:t>
            </w:r>
          </w:p>
        </w:tc>
        <w:tc>
          <w:tcPr>
            <w:tcW w:w="0" w:type="auto"/>
          </w:tcPr>
          <w:p>
            <w:pPr>
              <w:spacing w:line="240" w:lineRule="auto" w:before="0" w:after="0"/>
              <w:pStyle w:val="Compact"/>
            </w:pPr>
            <w:r>
              <w:rPr>
                <w:sz w:val="20"/>
                <w:szCs w:val="20"/>
              </w:rPr>
              <w:t xml:space="preserve">Coded from the documented cause/subsystem of each safe-mode episode in the cited release.</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autonomy_idx</w:t>
            </w:r>
          </w:p>
        </w:tc>
        <w:tc>
          <w:tcPr>
            <w:tcW w:w="0" w:type="auto"/>
          </w:tcPr>
          <w:p>
            <w:pPr>
              <w:spacing w:line="240" w:lineRule="auto" w:before="0" w:after="0"/>
              <w:pStyle w:val="Compact"/>
            </w:pPr>
            <w:r>
              <w:rPr>
                <w:sz w:val="20"/>
                <w:szCs w:val="20"/>
              </w:rPr>
              <w:t xml:space="preserve">1.3689</w:t>
            </w:r>
          </w:p>
        </w:tc>
        <w:tc>
          <w:tcPr>
            <w:tcW w:w="0" w:type="auto"/>
          </w:tcPr>
          <w:p>
            <w:pPr>
              <w:spacing w:line="240" w:lineRule="auto" w:before="0" w:after="0"/>
              <w:pStyle w:val="Compact"/>
            </w:pPr>
            <w:r>
              <w:rPr>
                <w:sz w:val="20"/>
                <w:szCs w:val="20"/>
              </w:rPr>
              <w:t xml:space="preserve">0.4355</w:t>
            </w:r>
          </w:p>
        </w:tc>
        <w:tc>
          <w:tcPr>
            <w:tcW w:w="0" w:type="auto"/>
          </w:tcPr>
          <w:p>
            <w:pPr>
              <w:spacing w:line="240" w:lineRule="auto" w:before="0" w:after="0"/>
              <w:pStyle w:val="Compact"/>
            </w:pPr>
            <w:r>
              <w:rPr>
                <w:sz w:val="20"/>
                <w:szCs w:val="20"/>
              </w:rPr>
              <w:t xml:space="preserve">3.1436</w:t>
            </w:r>
          </w:p>
        </w:tc>
        <w:tc>
          <w:tcPr>
            <w:tcW w:w="0" w:type="auto"/>
          </w:tcPr>
          <w:p>
            <w:pPr>
              <w:spacing w:line="240" w:lineRule="auto" w:before="0" w:after="0"/>
              <w:pStyle w:val="Compact"/>
            </w:pPr>
            <w:r>
              <w:rPr>
                <w:sz w:val="20"/>
                <w:szCs w:val="20"/>
              </w:rPr>
              <w:t xml:space="preserve">0.0017</w:t>
            </w:r>
          </w:p>
        </w:tc>
        <w:tc>
          <w:tcPr>
            <w:tcW w:w="0" w:type="auto"/>
          </w:tcPr>
          <w:p>
            <w:pPr>
              <w:spacing w:line="240" w:lineRule="auto" w:before="0" w:after="0"/>
              <w:pStyle w:val="Compact"/>
            </w:pPr>
            <w:r>
              <w:rPr>
                <w:sz w:val="20"/>
                <w:szCs w:val="20"/>
              </w:rPr>
              <w:t xml:space="preserve">[0.5154, 2.2224]</w:t>
            </w:r>
          </w:p>
        </w:tc>
        <w:tc>
          <w:tcPr>
            <w:tcW w:w="0" w:type="auto"/>
          </w:tcPr>
          <w:p>
            <w:pPr>
              <w:spacing w:line="240" w:lineRule="auto" w:before="0" w:after="0"/>
              <w:pStyle w:val="Compact"/>
            </w:pPr>
            <w:r>
              <w:rPr>
                <w:sz w:val="20"/>
                <w:szCs w:val="20"/>
              </w:rPr>
              <w:t xml:space="preserve">3.9311</w:t>
            </w:r>
          </w:p>
        </w:tc>
      </w:tr>
      <w:tr>
        <w:tc>
          <w:tcPr>
            <w:tcW w:w="0" w:type="auto"/>
          </w:tcPr>
          <w:p>
            <w:pPr>
              <w:spacing w:line="240" w:lineRule="auto" w:before="0" w:after="0"/>
              <w:pStyle w:val="Compact"/>
            </w:pPr>
            <w:r>
              <w:rPr>
                <w:sz w:val="20"/>
                <w:szCs w:val="20"/>
              </w:rPr>
              <w:t xml:space="preserve">contact_gap_hr</w:t>
            </w:r>
          </w:p>
        </w:tc>
        <w:tc>
          <w:tcPr>
            <w:tcW w:w="0" w:type="auto"/>
          </w:tcPr>
          <w:p>
            <w:pPr>
              <w:spacing w:line="240" w:lineRule="auto" w:before="0" w:after="0"/>
              <w:pStyle w:val="Compact"/>
            </w:pPr>
            <w:r>
              <w:rPr>
                <w:sz w:val="20"/>
                <w:szCs w:val="20"/>
              </w:rPr>
              <w:t xml:space="preserve">-0.0047</w:t>
            </w:r>
          </w:p>
        </w:tc>
        <w:tc>
          <w:tcPr>
            <w:tcW w:w="0" w:type="auto"/>
          </w:tcPr>
          <w:p>
            <w:pPr>
              <w:spacing w:line="240" w:lineRule="auto" w:before="0" w:after="0"/>
              <w:pStyle w:val="Compact"/>
            </w:pPr>
            <w:r>
              <w:rPr>
                <w:sz w:val="20"/>
                <w:szCs w:val="20"/>
              </w:rPr>
              <w:t xml:space="preserve">0.0207</w:t>
            </w:r>
          </w:p>
        </w:tc>
        <w:tc>
          <w:tcPr>
            <w:tcW w:w="0" w:type="auto"/>
          </w:tcPr>
          <w:p>
            <w:pPr>
              <w:spacing w:line="240" w:lineRule="auto" w:before="0" w:after="0"/>
              <w:pStyle w:val="Compact"/>
            </w:pPr>
            <w:r>
              <w:rPr>
                <w:sz w:val="20"/>
                <w:szCs w:val="20"/>
              </w:rPr>
              <w:t xml:space="preserve">-0.2295</w:t>
            </w:r>
          </w:p>
        </w:tc>
        <w:tc>
          <w:tcPr>
            <w:tcW w:w="0" w:type="auto"/>
          </w:tcPr>
          <w:p>
            <w:pPr>
              <w:spacing w:line="240" w:lineRule="auto" w:before="0" w:after="0"/>
              <w:pStyle w:val="Compact"/>
            </w:pPr>
            <w:r>
              <w:rPr>
                <w:sz w:val="20"/>
                <w:szCs w:val="20"/>
              </w:rPr>
              <w:t xml:space="preserve">0.8185</w:t>
            </w:r>
          </w:p>
        </w:tc>
        <w:tc>
          <w:tcPr>
            <w:tcW w:w="0" w:type="auto"/>
          </w:tcPr>
          <w:p>
            <w:pPr>
              <w:spacing w:line="240" w:lineRule="auto" w:before="0" w:after="0"/>
              <w:pStyle w:val="Compact"/>
            </w:pPr>
            <w:r>
              <w:rPr>
                <w:sz w:val="20"/>
                <w:szCs w:val="20"/>
              </w:rPr>
              <w:t xml:space="preserve">[-0.0452, 0.0358]</w:t>
            </w:r>
          </w:p>
        </w:tc>
        <w:tc>
          <w:tcPr>
            <w:tcW w:w="0" w:type="auto"/>
          </w:tcPr>
          <w:p>
            <w:pPr>
              <w:spacing w:line="240" w:lineRule="auto" w:before="0" w:after="0"/>
              <w:pStyle w:val="Compact"/>
            </w:pPr>
            <w:r>
              <w:rPr>
                <w:sz w:val="20"/>
                <w:szCs w:val="20"/>
              </w:rPr>
              <w:t xml:space="preserve">0.9953</w:t>
            </w:r>
          </w:p>
        </w:tc>
      </w:tr>
      <w:tr>
        <w:tc>
          <w:tcPr>
            <w:tcW w:w="0" w:type="auto"/>
          </w:tcPr>
          <w:p>
            <w:pPr>
              <w:spacing w:line="240" w:lineRule="auto" w:before="0" w:after="0"/>
              <w:pStyle w:val="Compact"/>
            </w:pPr>
            <w:r>
              <w:rPr>
                <w:sz w:val="20"/>
                <w:szCs w:val="20"/>
              </w:rPr>
              <w:t xml:space="preserve">cdh_flag</w:t>
            </w:r>
          </w:p>
        </w:tc>
        <w:tc>
          <w:tcPr>
            <w:tcW w:w="0" w:type="auto"/>
          </w:tcPr>
          <w:p>
            <w:pPr>
              <w:spacing w:line="240" w:lineRule="auto" w:before="0" w:after="0"/>
              <w:pStyle w:val="Compact"/>
            </w:pPr>
            <w:r>
              <w:rPr>
                <w:sz w:val="20"/>
                <w:szCs w:val="20"/>
              </w:rPr>
              <w:t xml:space="preserve">0.4973</w:t>
            </w:r>
          </w:p>
        </w:tc>
        <w:tc>
          <w:tcPr>
            <w:tcW w:w="0" w:type="auto"/>
          </w:tcPr>
          <w:p>
            <w:pPr>
              <w:spacing w:line="240" w:lineRule="auto" w:before="0" w:after="0"/>
              <w:pStyle w:val="Compact"/>
            </w:pPr>
            <w:r>
              <w:rPr>
                <w:sz w:val="20"/>
                <w:szCs w:val="20"/>
              </w:rPr>
              <w:t xml:space="preserve">0.5191</w:t>
            </w:r>
          </w:p>
        </w:tc>
        <w:tc>
          <w:tcPr>
            <w:tcW w:w="0" w:type="auto"/>
          </w:tcPr>
          <w:p>
            <w:pPr>
              <w:spacing w:line="240" w:lineRule="auto" w:before="0" w:after="0"/>
              <w:pStyle w:val="Compact"/>
            </w:pPr>
            <w:r>
              <w:rPr>
                <w:sz w:val="20"/>
                <w:szCs w:val="20"/>
              </w:rPr>
              <w:t xml:space="preserve">0.958</w:t>
            </w:r>
          </w:p>
        </w:tc>
        <w:tc>
          <w:tcPr>
            <w:tcW w:w="0" w:type="auto"/>
          </w:tcPr>
          <w:p>
            <w:pPr>
              <w:spacing w:line="240" w:lineRule="auto" w:before="0" w:after="0"/>
              <w:pStyle w:val="Compact"/>
            </w:pPr>
            <w:r>
              <w:rPr>
                <w:sz w:val="20"/>
                <w:szCs w:val="20"/>
              </w:rPr>
              <w:t xml:space="preserve">0.3381</w:t>
            </w:r>
          </w:p>
        </w:tc>
        <w:tc>
          <w:tcPr>
            <w:tcW w:w="0" w:type="auto"/>
          </w:tcPr>
          <w:p>
            <w:pPr>
              <w:spacing w:line="240" w:lineRule="auto" w:before="0" w:after="0"/>
              <w:pStyle w:val="Compact"/>
            </w:pPr>
            <w:r>
              <w:rPr>
                <w:sz w:val="20"/>
                <w:szCs w:val="20"/>
              </w:rPr>
              <w:t xml:space="preserve">[-0.5201, 1.5147]</w:t>
            </w:r>
          </w:p>
        </w:tc>
        <w:tc>
          <w:tcPr>
            <w:tcW w:w="0" w:type="auto"/>
          </w:tcPr>
          <w:p>
            <w:pPr>
              <w:spacing w:line="240" w:lineRule="auto" w:before="0" w:after="0"/>
              <w:pStyle w:val="Compact"/>
            </w:pPr>
            <w:r>
              <w:rPr>
                <w:sz w:val="20"/>
                <w:szCs w:val="20"/>
              </w:rPr>
              <w:t xml:space="preserve">1.6442</w:t>
            </w:r>
          </w:p>
        </w:tc>
      </w:tr>
    </w:tbl>
    <w:p>
      <w:pPr>
        <w:pStyle w:val="BodyText"/>
      </w:pPr>
      <w:r>
        <w:t xml:space="preserve">Fit: N = 24 events = 23</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 Type="http://schemas.openxmlformats.org/officeDocument/2006/relationships/hyperlink" Id="rId70" Target="https://doi.org/10.64861/XHRO4751"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XHRO475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2026-06-22T20:32:15Z</dcterms:created>
  <dcterms:modified xsi:type="dcterms:W3CDTF">2026-06-22T20:32:15Z</dcterms:modified>
</cp:coreProperties>
</file>

<file path=docProps/custom.xml><?xml version="1.0" encoding="utf-8"?>
<Properties xmlns="http://schemas.openxmlformats.org/officeDocument/2006/custom-properties" xmlns:vt="http://schemas.openxmlformats.org/officeDocument/2006/docPropsVTypes"/>
</file>