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TIME-TO-ACQUISITION AFTER ANOMALY: A HAZARD MODEL OF SPACECRAFT SAFE-MODE RECOVERY</w:t>
      </w:r>
    </w:p>
    <w:p>
      <w:pPr>
        <w:jc w:val="center"/>
      </w:pPr>
    </w:p>
    <w:p>
      <w:pPr>
        <w:jc w:val="center"/>
      </w:pPr>
      <w:r>
        <w:rPr>
          <w:rFonts w:ascii="Times New Roman" w:hAnsi="Times New Roman"/>
          <w:sz w:val="24"/>
        </w:rPr>
        <w:t>by</w:t>
      </w:r>
    </w:p>
    <w:p>
      <w:pPr>
        <w:jc w:val="center"/>
      </w:pPr>
      <w:r>
        <w:rPr>
          <w:rFonts w:ascii="Times New Roman" w:hAnsi="Times New Roman"/>
          <w:b/>
          <w:sz w:val="28"/>
        </w:rPr>
        <w:t>Lucia Delgado</w:t>
      </w:r>
    </w:p>
    <w:p>
      <w:pPr>
        <w:jc w:val="center"/>
      </w:pPr>
      <w:r>
        <w:rPr>
          <w:rFonts w:ascii="Times New Roman" w:hAnsi="Times New Roman"/>
          <w:sz w:val="24"/>
        </w:rPr>
        <w:t>1B-OPS-033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operational-clock-that-matters"/>
    <w:p>
      <w:pPr>
        <w:pStyle w:val="Heading2"/>
        <w:spacing w:line="480" w:lineRule="auto"/>
      </w:pPr>
      <w:r>
        <w:t xml:space="preserve">1.1 The Operational Clock That Matters</w:t>
      </w:r>
    </w:p>
    <w:p>
      <w:pPr>
        <w:pStyle w:val="FirstParagraph"/>
        <w:spacing w:line="480" w:lineRule="auto"/>
      </w:pPr>
      <w:r>
        <w:t xml:space="preserve">When a spacecraft detects an onboard fault, it safes. The vehicle sheds nonessential loads, slews to a power-positive and thermally survivable attitude, suspends its science timeline, and then either waits for ground intervention or executes a resident recovery sequence. From the standpoint of mission assurance, safing is a success: the vehicle protected itself and remains alive. From the standpoint of mission operations, safing is the opening of a clock that does not stop until a healthy, fully commandable vehicle is back under nominal control. This dissertation is about that clock. It is about the interval from first safe-mode entry to confirmed reacquisition of a commandable, operational spacecraft, an interval I term time-to-acquisition after anomaly, and it is about a single question concerning that interval: does onboard recovery autonomy make it shorter.</w:t>
      </w:r>
    </w:p>
    <w:p>
      <w:pPr>
        <w:pStyle w:val="BodyText"/>
        <w:spacing w:line="480" w:lineRule="auto"/>
        <w:ind w:firstLine="720"/>
      </w:pPr>
      <w:r>
        <w:t xml:space="preserve">The distinction between detecting an anomaly and recovering from it is not a pedantic one. The operations community has invested heavily in compressing detection latency, the time from fault onset to fault recognition, and that investment is visible in the literature. Onboard, autonomous, hybrid systems that fuse model-based reasoning with machine learning now detect, diagnose, and even propose recovery for subsystem faults, with explicit attention to separating genuine off-nominal behavior from normal operating modes</w:t>
      </w:r>
      <w:r>
        <w:t xml:space="preserve"> </w:t>
      </w:r>
      <w:hyperlink w:anchor="ref-1">
        <w:r>
          <w:rPr>
            <w:rStyle w:val="Hyperlink"/>
          </w:rPr>
          <w:t xml:space="preserve">[1]</w:t>
        </w:r>
      </w:hyperlink>
      <w:r>
        <w:t xml:space="preserve">. Machine-learning pipelines ingest telemetry so that candidate anomalies are characterized in near real time</w:t>
      </w:r>
      <w:r>
        <w:t xml:space="preserve"> </w:t>
      </w:r>
      <w:hyperlink w:anchor="ref-2">
        <w:r>
          <w:rPr>
            <w:rStyle w:val="Hyperlink"/>
          </w:rPr>
          <w:t xml:space="preserve">[2]</w:t>
        </w:r>
      </w:hyperlink>
      <w:r>
        <w:t xml:space="preserve">, and broader operational programs fold such detection into the routine cadence of spacecraft operations</w:t>
      </w:r>
      <w:r>
        <w:t xml:space="preserve"> </w:t>
      </w:r>
      <w:hyperlink w:anchor="ref-3">
        <w:r>
          <w:rPr>
            <w:rStyle w:val="Hyperlink"/>
          </w:rPr>
          <w:t xml:space="preserve">[3]</w:t>
        </w:r>
      </w:hyperlink>
      <w:r>
        <w:t xml:space="preserve">. The detection clock has been studied, instrumented, and shortened. That is the front end of the loop.</w:t>
      </w:r>
    </w:p>
    <w:p>
      <w:pPr>
        <w:pStyle w:val="BodyText"/>
        <w:spacing w:line="480" w:lineRule="auto"/>
        <w:ind w:firstLine="720"/>
      </w:pPr>
      <w:r>
        <w:t xml:space="preserve">The recovery clock has not. It sits in the dark. Once a vehicle is safed, how long it remains safed is, in the existing literature, reported anecdotally, as a property of a particular fault-management design demonstrated on a particular mission, rather than as a stochastic duration that varies systematically across a population of anomalies. Operational concepts specify safing and recovery as deterministic onboard sequences whose status detection, triggering, and execution are laid out step by step</w:t>
      </w:r>
      <w:r>
        <w:t xml:space="preserve"> </w:t>
      </w:r>
      <w:hyperlink w:anchor="ref-4">
        <w:r>
          <w:rPr>
            <w:rStyle w:val="Hyperlink"/>
          </w:rPr>
          <w:t xml:space="preserve">[4]</w:t>
        </w:r>
      </w:hyperlink>
      <w:r>
        <w:t xml:space="preserve">. That is the right way to specify a flight rule. It is the wrong way to understand a duration, because it presents recovery as a fixed behavior of the autonomy stack rather than as a random variable whose realized length depends on what failed, how much of the recovery path lives onboard, and how often the ground can close the loop. The central premise of this dissertation is that time-to-acquisition is exactly such a random variable, and that it can and should be modeled as one.</w:t>
      </w:r>
    </w:p>
    <w:bookmarkEnd w:id="61"/>
    <w:bookmarkStart w:id="62" w:name="Xe2164aa6c5f7e63b1dde8ef342ef3840f7ff489"/>
    <w:p>
      <w:pPr>
        <w:pStyle w:val="Heading2"/>
        <w:spacing w:line="480" w:lineRule="auto"/>
      </w:pPr>
      <w:r>
        <w:t xml:space="preserve">1.2 Why the Recovery Clock Matters to NASA and JPL</w:t>
      </w:r>
    </w:p>
    <w:p>
      <w:pPr>
        <w:pStyle w:val="FirstParagraph"/>
        <w:spacing w:line="480" w:lineRule="auto"/>
      </w:pPr>
      <w:r>
        <w:t xml:space="preserve">The stakes of the recovery clock are operational, scientific, and economic, and they fall directly on the institutions this dissertation is written to serve.</w:t>
      </w:r>
    </w:p>
    <w:p>
      <w:pPr>
        <w:pStyle w:val="BodyText"/>
        <w:spacing w:line="480" w:lineRule="auto"/>
        <w:ind w:firstLine="720"/>
      </w:pPr>
      <w:r>
        <w:t xml:space="preserve">The operational stakes are the most immediate. A safed spacecraft has stopped doing its job. It is not collecting science, not returning data, not maneuvering, not supporting whatever downstream users depend on its products. For a NASA science mission, every hour in safe mode is an hour of observatory time that cannot be recovered, time that was competed for, scheduled, and budgeted, and that is now simply gone. For a Jet Propulsion Laboratory deep-space vehicle, the cost compounds: a planetary encounter, a gravity-assist window, or a transient target of opportunity does not wait for the ground to finish diagnosing a fault. A safe-mode episode that overlaps a once-in-a-mission geometry can erase an irreplaceable observation. The companion empirical work in this dissertation makes the spread concrete: documented recovery durations across NASA and JPL missions range from two days, as in Dawn’s autonomous hydrazine handoff, to well over a year, as in the extended battery-anomaly recovery of an Earth-observation observatory, with most low-Earth-orbit episodes clearing in one to three weeks and deep-space episodes running substantially longer. That two-orders-of-magnitude spread is the quantity this dissertation seeks to explain.</w:t>
      </w:r>
    </w:p>
    <w:p>
      <w:pPr>
        <w:pStyle w:val="BodyText"/>
        <w:spacing w:line="480" w:lineRule="auto"/>
        <w:ind w:firstLine="720"/>
      </w:pPr>
      <w:r>
        <w:t xml:space="preserve">The scientific stakes follow from the operational ones but are sharper, because science return is not fungible across time. A week of lost downlink from a stable Earth-observation platform may be partially recoverable through rescheduling; a week of safe mode during a planetary flyby is not. JPL’s deep-space portfolio is precisely the portfolio in which recovery duration is most consequential and most poorly characterized, because deep-space recovery is gated by sparse, scheduled tracking passes and by light-time that can run to hours round trip. When recovery depends on a ground-diagnosed sequence, the vehicle cannot recover faster than the ground can observe it, command it, and confirm the result, and on a deep-space vehicle that confirmation cadence is the binding constraint</w:t>
      </w:r>
      <w:r>
        <w:t xml:space="preserve"> </w:t>
      </w:r>
      <w:hyperlink w:anchor="ref-4">
        <w:r>
          <w:rPr>
            <w:rStyle w:val="Hyperlink"/>
          </w:rPr>
          <w:t xml:space="preserve">[4]</w:t>
        </w:r>
      </w:hyperlink>
      <w:r>
        <w:t xml:space="preserve">. The recovery clock, in other words, is not merely long on JPL’s hardest missions; it is long for reasons that are structural and therefore, in principle, addressable through design.</w:t>
      </w:r>
    </w:p>
    <w:p>
      <w:pPr>
        <w:pStyle w:val="BodyText"/>
        <w:spacing w:line="480" w:lineRule="auto"/>
        <w:ind w:firstLine="720"/>
      </w:pPr>
      <w:r>
        <w:t xml:space="preserve">The economic stakes generalize the argument and give it a currency. A satellite earns its keep only while it operates. Industry accounting of the value generated by on-orbit assets quantifies exactly what is forgone when a vehicle is not delivering its service</w:t>
      </w:r>
      <w:r>
        <w:t xml:space="preserve"> </w:t>
      </w:r>
      <w:hyperlink w:anchor="ref-5">
        <w:r>
          <w:rPr>
            <w:rStyle w:val="Hyperlink"/>
          </w:rPr>
          <w:t xml:space="preserve">[5]</w:t>
        </w:r>
      </w:hyperlink>
      <w:r>
        <w:t xml:space="preserve">. Under that accounting, the length of each safe-mode episode is not a footnote to a reliability statistic but a first-order driver of realized mission value. This reframing has a practical payoff that motivates the entire dissertation: if recovery duration can be predicted as a function of design choices, then an investment in recovery autonomy can be priced against the downtime it is expected to avert. An operator, a program office, or a mission formulation team could weigh the cost of resident, adaptive recovery logic against the expected reduction in outage, expressed in the same units of forgone value. No such pricing is possible while recovery duration is treated as a fixed engineering property. Treat it as estimable and design-dependent, and the pricing opens up. That is the move this dissertation makes.</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contribution of this dissertation sits in the gap between two mature but disconnected bodies of work: a domain literature on spacecraft fault management and a method literature on the econometrics of durations and discrete outcomes. Each is well developed. Neither has been brought to bear on the recovery clock. The gap is the absence of their intersection.</w:t>
      </w:r>
    </w:p>
    <w:p>
      <w:pPr>
        <w:pStyle w:val="BodyText"/>
        <w:spacing w:line="480" w:lineRule="auto"/>
        <w:ind w:firstLine="720"/>
      </w:pPr>
      <w:r>
        <w:t xml:space="preserve">On the domain side, fault detection, isolation, and recovery is a deep and active field, but its center of gravity is detection and diagnosis, not the duration of recovery. The hybrid onboard systems that perform fault and anomaly detection, diagnosis, and recovery are evaluated on detection latency, diagnostic accuracy, and root-cause determination</w:t>
      </w:r>
      <w:r>
        <w:t xml:space="preserve"> </w:t>
      </w:r>
      <w:hyperlink w:anchor="ref-1">
        <w:r>
          <w:rPr>
            <w:rStyle w:val="Hyperlink"/>
          </w:rPr>
          <w:t xml:space="preserve">[1]</w:t>
        </w:r>
      </w:hyperlink>
      <w:r>
        <w:t xml:space="preserve">, and the machine-learning telemetry pipelines that have proliferated are evaluated on how quickly and reliably they flag an anomaly</w:t>
      </w:r>
      <w:r>
        <w:t xml:space="preserve"> </w:t>
      </w:r>
      <w:hyperlink w:anchor="ref-2">
        <w:r>
          <w:rPr>
            <w:rStyle w:val="Hyperlink"/>
          </w:rPr>
          <w:t xml:space="preserve">[2]</w:t>
        </w:r>
      </w:hyperlink>
      <w:r>
        <w:t xml:space="preserve">[3]. Where the literature does describe recovery, it describes it as a designed behavior: a fault-protection response specified as a deterministic sequence and validated against requirements</w:t>
      </w:r>
      <w:r>
        <w:t xml:space="preserve"> </w:t>
      </w:r>
      <w:hyperlink w:anchor="ref-4">
        <w:r>
          <w:rPr>
            <w:rStyle w:val="Hyperlink"/>
          </w:rPr>
          <w:t xml:space="preserve">[4]</w:t>
        </w:r>
      </w:hyperlink>
      <w:r>
        <w:t xml:space="preserve">. The economic literature, for its part, establishes that satellite downtime is costly and quantifies the value at stake when a vehicle stops delivering</w:t>
      </w:r>
      <w:r>
        <w:t xml:space="preserve"> </w:t>
      </w:r>
      <w:hyperlink w:anchor="ref-5">
        <w:r>
          <w:rPr>
            <w:rStyle w:val="Hyperlink"/>
          </w:rPr>
          <w:t xml:space="preserve">[5]</w:t>
        </w:r>
      </w:hyperlink>
      <w:r>
        <w:t xml:space="preserve">, but it offers no duration model that connects a given anomaly to its expected outage length. Across the domain literature, recovery is a behavior to be specified or a cost to be acknowledged, never a duration to be estimated. The post-safing interval is named in case studies and left unmodeled.</w:t>
      </w:r>
    </w:p>
    <w:p>
      <w:pPr>
        <w:pStyle w:val="BodyText"/>
        <w:spacing w:line="480" w:lineRule="auto"/>
        <w:ind w:firstLine="720"/>
      </w:pPr>
      <w:r>
        <w:t xml:space="preserve">On the method side, the econometric and biostatistical tools for exactly this kind of problem are standard, validated, and decades old. Survival analysis, and specifically the proportional-hazards framework, was built to model time-to-event outcomes where the event of interest, here reacquisition, occurs at a random time, where some observations are censored because the event has not yet occurred by the end of observation, and where the analyst wants the marginal effect of a covariate on the instantaneous rate of the event without committing to a parametric form for the underlying timing. Discrete-outcome models, and specifically binary logistic regression, are equally standard for the complementary question of whether a duration crosses a decision-relevant threshold. These are not exotic methods. They are the workhorses of mortality analysis, reliability engineering, and applied microeconometrics. They have simply not been pointed at the spacecraft recovery clock.</w:t>
      </w:r>
    </w:p>
    <w:p>
      <w:pPr>
        <w:pStyle w:val="BodyText"/>
        <w:spacing w:line="480" w:lineRule="auto"/>
        <w:ind w:firstLine="720"/>
      </w:pPr>
      <w:r>
        <w:t xml:space="preserve">The gap, then, is specific and falsifiable in its own right. The domain literature has the phenomenon but lacks the estimator. The method literature has the estimator but has not been applied to the phenomenon. No retrieved source estimates time-to-acquisition as a hazard, and none isolates the marginal effect of onboard recovery autonomy on that hazard while holding anomaly class and ground-contact cadence fixed. Where the operational community does reason quantitatively about time, it does so for adversary-facing problems, such as inferring the timing of maneuvers from statistical changes in tracking data</w:t>
      </w:r>
      <w:r>
        <w:t xml:space="preserve"> </w:t>
      </w:r>
      <w:hyperlink w:anchor="ref-2">
        <w:r>
          <w:rPr>
            <w:rStyle w:val="Hyperlink"/>
          </w:rPr>
          <w:t xml:space="preserve">[2]</w:t>
        </w:r>
      </w:hyperlink>
      <w:r>
        <w:t xml:space="preserve">, rather than for the operator’s own recovery interval. This dissertation closes the gap by importing the survival-analysis and discrete-choice machinery into the fault-management domain and applying it to the one quantity that the domain literature has left as prose.</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This dissertation makes one claim, and it is deliberately narrow so that it can be sharply tested. The claim is carried by a single estimable coefficient: the effect of onboard recovery autonomy on the recovery hazard, where the recovery hazard is the instantaneous rate of completing safe-mode recovery conditional on not yet having recovered.</w:t>
      </w:r>
    </w:p>
    <w:p>
      <w:pPr>
        <w:pStyle w:val="BodyText"/>
        <w:spacing w:line="480" w:lineRule="auto"/>
        <w:ind w:firstLine="720"/>
      </w:pPr>
      <w:r>
        <w:t xml:space="preserve">The construct is operationalized through an ordinal autonomy index for the recovery path, taking three values that correspond to a real and observable ladder of capability. At the lowest level, recovery is ground-loop manual: operators diagnose the fault and author and uplink each step of the recovery, and the vehicle does no recovery work on its own. At the intermediate level, the vehicle executes a scripted onboard safing response and the ground commands it back to nominal operations. At the highest level, the vehicle reconfigures adaptively around the fault before ground intervention, as when a deep-space vehicle autonomously hands off to a backup actuator or self-safes and begins its own recovery between contacts. The mechanism connecting this index to the recovery clock is a race between two clocks, the diagnostic-and-reconfiguration clock and the ground-contact clock. Ground-dependent recovery is hostage to the second clock, which on deep-space vehicles is gated by scheduled passes. Onboard recovery autonomy attacks the first clock and partially decouples the vehicle from the second, letting recovery advance between contacts rather than idling until the next pass. If that mechanism operates, higher autonomy should manifest as a higher instantaneous rate of reaching reacquisition, holding the contact clock and the anomaly class fixed.</w:t>
      </w:r>
    </w:p>
    <w:p>
      <w:pPr>
        <w:pStyle w:val="BodyText"/>
        <w:spacing w:line="480" w:lineRule="auto"/>
        <w:ind w:firstLine="720"/>
      </w:pPr>
      <w:r>
        <w:t xml:space="preserve">The claim is stated as a falsifiable pair of hypotheses, conditioned on anomaly subsystem class and time-to-next-ground-contact:</w:t>
      </w:r>
    </w:p>
    <w:p>
      <w:pPr>
        <w:pStyle w:val="Compact"/>
        <w:spacing w:line="480" w:lineRule="auto"/>
        <w:numPr>
          <w:ilvl w:val="0"/>
          <w:numId w:val="1001"/>
        </w:numPr>
      </w:pPr>
      <w:r>
        <w:rPr>
          <w:b/>
          <w:bCs/>
        </w:rPr>
        <w:t xml:space="preserve">H0 (null):</w:t>
      </w:r>
      <w:r>
        <w:t xml:space="preserve"> </w:t>
      </w:r>
      <w:r>
        <w:t xml:space="preserve">After conditioning on anomaly subsystem class and time-to-next-ground-contact, the degree of onboard recovery autonomy has no effect on the recovery hazard. The autonomy hazard ratio equals one, and its 95 percent confidence interval contains one.</w:t>
      </w:r>
    </w:p>
    <w:p>
      <w:pPr>
        <w:pStyle w:val="Compact"/>
        <w:spacing w:line="480" w:lineRule="auto"/>
        <w:numPr>
          <w:ilvl w:val="0"/>
          <w:numId w:val="1001"/>
        </w:numPr>
      </w:pPr>
      <w:r>
        <w:rPr>
          <w:b/>
          <w:bCs/>
        </w:rPr>
        <w:t xml:space="preserve">H1 (alternative):</w:t>
      </w:r>
      <w:r>
        <w:t xml:space="preserve"> </w:t>
      </w:r>
      <w:r>
        <w:t xml:space="preserve">After the same conditioning, higher onboard recovery autonomy raises the recovery hazard, that is, the autonomy hazard ratio exceeds one, shortening expected time-to-acquisition.</w:t>
      </w:r>
    </w:p>
    <w:p>
      <w:pPr>
        <w:pStyle w:val="FirstParagraph"/>
        <w:spacing w:line="480" w:lineRule="auto"/>
      </w:pPr>
      <w:r>
        <w:t xml:space="preserve">Falsification is clean. The claim fails if the estimated autonomy hazard ratio is not significantly greater than one under the preregistered specification, or if it reverses sign. A single coefficient carries the thesis. That is a discipline, not a limitation: it forces the entire empirical apparatus to converge on one number whose sign and significance settle the question, and it leaves no room to retreat to a vaguer claim if the estimate disappoints. The contribution, stated precisely, is to convert a quantity that the fault-management literature describes qualitatively into an estimable hazard with an interpretable, testable autonomy coefficient, conditioned on the two factors most likely to confound it.</w:t>
      </w:r>
    </w:p>
    <w:p>
      <w:pPr>
        <w:pStyle w:val="BodyText"/>
        <w:spacing w:line="480" w:lineRule="auto"/>
        <w:ind w:firstLine="720"/>
      </w:pPr>
      <w:r>
        <w:t xml:space="preserve">The dissertation pursues this single claim through two complementary estimators, because the same proposition has two decision-relevant forms. The hazard form asks how fast recovery proceeds on average and is answered by a Cox proportional-hazards model, which imposes no parametric assumption on the baseline duration distribution and yields the autonomy effect directly as a hazard ratio, while handling censored, mission-ending episodes natively rather than discarding them. The threshold form asks how often an episode crosses a downtime line that operators treat as a mission-impact event, here a week of outage, and is answered by a binary logistic regression whose coefficient exponentiates into an odds ratio in the units operators budget against. The two are different decision instruments aimed at one underlying claim: that moving recovery work onboard shortens the recovery clock and reduces the chance of a costly outage. Convergent evidence from both estimators, pointing the same direction with the predicted sign, is stronger than either alone.</w:t>
      </w:r>
    </w:p>
    <w:bookmarkEnd w:id="64"/>
    <w:bookmarkStart w:id="65" w:name="scope-and-boundary-conditions"/>
    <w:p>
      <w:pPr>
        <w:pStyle w:val="Heading2"/>
        <w:spacing w:line="480" w:lineRule="auto"/>
      </w:pPr>
      <w:r>
        <w:t xml:space="preserve">1.5 Scope and Boundary Conditions</w:t>
      </w:r>
    </w:p>
    <w:p>
      <w:pPr>
        <w:pStyle w:val="FirstParagraph"/>
        <w:spacing w:line="480" w:lineRule="auto"/>
      </w:pPr>
      <w:r>
        <w:t xml:space="preserve">Precision about what is claimed requires equal precision about what is not. This dissertation estimates a conditional association on a defined population, and it states its scope conditions rather than overclaiming beyond them. The empirical base is a population of documented spacecraft safe-mode episodes drawn from named public records, dominated by NASA and partner science and Earth-observation platforms together with JPL deep-space vehicles. The autonomy index is the chief confounding risk, because better-resourced missions may field both more recovery autonomy and faster recovery for reasons unrelated to autonomy itself; within-anomaly-class comparison, regime and subsystem controls, and, in the full sample, per-platform frailty terms mitigate this confound but do not eliminate it without an instrument. Accordingly, the autonomy coefficient is to be read as an identified conditional association on this sample, and the causal language of mechanism is to be understood as the hypothesis that motivates the specification, not as a claim of settled causation. Finally, the sampling frame is dominated by NASA-class science and Earth-observation missions, so the estimated effect describes that population and need not transfer unchanged to commercial constellations whose contact economics differ. These boundaries are stated here, at the outset, so that every result in the chapters that follow is read inside the fence the data actually support.</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 Chapter 2 reviews the two literatures whose disconnection this dissertation exploits: the spacecraft fault-management and telemetry-anomaly literature that has modeled detection but not recovery duration, and the survival-analysis and discrete-choice method literature that supplies the estimators the domain has not adopted. It establishes, source by source, that the recovery clock is named in case studies but estimated nowhere, and that the conditional effect of recovery autonomy on that clock is the open question. Chapter 3 develops the theory, formalizing the two-clock race between diagnostic-and-reconfiguration work and ground-contact cadence, deriving from it the directional prediction that autonomy raises the recovery hazard, and defining the autonomy index, the subsystem-class taxonomy, and the contact-cadence covariate. Chapter 4 specifies the data and provenance, documenting the construction of the safe-mode episode dataset from named public NASA, JPL, and partner records, the coding of the outcome and covariates, the treatment of censored and illustrative observations, and the threats to measurement that follow. Chapter 5 presents the Cox proportional-hazards estimation of the recovery hazard, reporting the autonomy hazard ratio, its confidence interval, the conditioning covariates, and the diagnostic checks on the proportional-hazards assumption. Chapter 6 presents the complementary binary logistic estimation of the odds of a prolonged outage, reporting the autonomy odds ratio against the one-week threshold and a sensitivity analysis on the choice of threshold. Chapter 7 synthesizes the two results, draws out the operational and economic implications of attaching an expected outage reduction to an autonomy increment, states the threats to validity and the scope conditions in full, and identifies the path from conditional association toward an identified effect that future work, with an instrument or a within-platform design, would travel. Throughout, the dissertation holds to its discipline: one falsifiable claim, two estimators, and a single coefficient whose sign and significance decide the question.</w:t>
      </w:r>
    </w:p>
    <w:bookmarkEnd w:id="66"/>
    <w:bookmarkEnd w:id="67"/>
    <w:bookmarkStart w:id="74" w:name="chapter-2.-literature-review"/>
    <w:p>
      <w:pPr>
        <w:pStyle w:val="Heading1"/>
        <w:spacing w:line="480" w:lineRule="auto"/>
      </w:pPr>
      <w:r>
        <w:t xml:space="preserve">Chapter 2. Literature Review</w:t>
      </w:r>
    </w:p>
    <w:bookmarkStart w:id="68" w:name="Xe357a4fb23bd36103e4b035304ad15a42056504"/>
    <w:p>
      <w:pPr>
        <w:pStyle w:val="Heading2"/>
        <w:spacing w:line="480" w:lineRule="auto"/>
      </w:pPr>
      <w:r>
        <w:t xml:space="preserve">2.1 Introduction and the Structure of the Review</w:t>
      </w:r>
    </w:p>
    <w:p>
      <w:pPr>
        <w:pStyle w:val="FirstParagraph"/>
        <w:spacing w:line="480" w:lineRule="auto"/>
      </w:pPr>
      <w:r>
        <w:t xml:space="preserve">The question this dissertation poses, how long a spacecraft remains unavailable after it safes itself in response to an onboard fault, and whether the degree of onboard recovery autonomy shortens that interval, sits in a gap between two mature but unjoined bodies of work. The first is the technical literature of spacecraft fault management and mission operations, which has invested heavily in the detection and diagnosis of anomalies and in the design of fault detection, isolation, and recovery (FDIR) logic, but which treats recovery duration as a deterministic property of an engineering design rather than as a stochastic outcome to be estimated. The second is the cliometric and econometric methodology of duration analysis, survival models, hazard functions, and binary-threshold models, which supplies precisely the apparatus for treating a time-to-event as a random variable shaped by measured covariates, but which has not been applied to the operational recovery clock of a safed spacecraft. The contribution of the dissertation is to join these two literatures, and this chapter establishes both halves rigorously, demonstrates that they have not been joined, and specifies the gap that the joining fills.</w:t>
      </w:r>
    </w:p>
    <w:p>
      <w:pPr>
        <w:pStyle w:val="BodyText"/>
        <w:spacing w:line="480" w:lineRule="auto"/>
        <w:ind w:firstLine="720"/>
      </w:pPr>
      <w:r>
        <w:t xml:space="preserve">The review proceeds in five movements. Section 2.2 reviews the detection-and-diagnosis half of the fault-management literature, which is well instrumented and quantitatively sophisticated, and shows that its sophistication has been concentrated on the front end of the safing loop. Section 2.3 reviews the recovery half, the operational concepts, the autonomy architectures, and the small number of efforts that have attempted to model safe-mode events in their own right, and shows that recovery duration is reported case by case rather than estimated. Section 2.4 reviews the economic-value literature that establishes why the recovery duration matters as a first-order quantity rather than a reliability footnote. Section 2.5 turns to the methodological literature, the cliometric and econometric tradition of duration and survival analysis, and establishes the apparatus, the Cox proportional-hazards model, censoring, competing risks, and the complementary binary-threshold logit, that the dissertation imports. Section 2.6 synthesizes the two literatures, identifies the gap with precision, and states what an estimable hazard with an interpretable autonomy coefficient adds that neither literature now provides.</w:t>
      </w:r>
    </w:p>
    <w:bookmarkEnd w:id="68"/>
    <w:bookmarkStart w:id="69" w:name="Xb4a008545d30ffaefea8e16bcee780716b2e512"/>
    <w:p>
      <w:pPr>
        <w:pStyle w:val="Heading2"/>
        <w:spacing w:line="480" w:lineRule="auto"/>
      </w:pPr>
      <w:r>
        <w:t xml:space="preserve">2.2 The Detection and Diagnosis Half of Fault Management</w:t>
      </w:r>
    </w:p>
    <w:p>
      <w:pPr>
        <w:pStyle w:val="FirstParagraph"/>
        <w:spacing w:line="480" w:lineRule="auto"/>
      </w:pPr>
      <w:r>
        <w:t xml:space="preserve">The fault-management literature has made its largest and most rapid advances on the detection-and-diagnosis problem: how to recognize, as early and as accurately as possible, that a spacecraft subsystem is behaving off-nominally, and how to determine the cause. This work is quantitatively mature. A fair reading of it explains why the recovery half of the loop has been comparatively neglected.</w:t>
      </w:r>
    </w:p>
    <w:p>
      <w:pPr>
        <w:pStyle w:val="BodyText"/>
        <w:spacing w:line="480" w:lineRule="auto"/>
        <w:ind w:firstLine="720"/>
      </w:pPr>
      <w:r>
        <w:t xml:space="preserve">The most directly relevant strand is the development of onboard, autonomous, hybrid fault-management systems that combine model-based reasoning with machine learning. Stottler and colleagues demonstrate such a hybrid architecture for subsystem fault and anomaly detection, diagnosis, and recovery, with explicit attention to the hard problem of distinguishing genuine off-nominal behavior from normal operating modes, so that the system does not raise an alarm every time the vehicle legitimately changes state</w:t>
      </w:r>
      <w:r>
        <w:t xml:space="preserve"> </w:t>
      </w:r>
      <w:hyperlink w:anchor="ref-1">
        <w:r>
          <w:rPr>
            <w:rStyle w:val="Hyperlink"/>
          </w:rPr>
          <w:t xml:space="preserve">[1]</w:t>
        </w:r>
      </w:hyperlink>
      <w:r>
        <w:t xml:space="preserve">. The same research program extends this architecture to root-cause determination and recovery, treating the entire chain from anomaly detection through diagnosis to recovery as an integrated onboard capability</w:t>
      </w:r>
      <w:r>
        <w:t xml:space="preserve"> </w:t>
      </w:r>
      <w:hyperlink w:anchor="ref-6">
        <w:r>
          <w:rPr>
            <w:rStyle w:val="Hyperlink"/>
          </w:rPr>
          <w:t xml:space="preserve">[6]</w:t>
        </w:r>
      </w:hyperlink>
      <w:r>
        <w:t xml:space="preserve">[13]. The architectural ambition is important for the present argument: these systems are explicitly designed to move inference from the ground onto the platform, which is the same architectural move whose effect on the recovery clock this dissertation seeks to measure. The detection literature establishes one thing above all. The mechanism by which autonomy might shorten recovery, namely the resident execution of diagnostic and reconfiguration work aboard the vehicle, is technically demonstrated and operationally available</w:t>
      </w:r>
      <w:r>
        <w:t xml:space="preserve"> </w:t>
      </w:r>
      <w:hyperlink w:anchor="ref-1">
        <w:r>
          <w:rPr>
            <w:rStyle w:val="Hyperlink"/>
          </w:rPr>
          <w:t xml:space="preserve">[1]</w:t>
        </w:r>
      </w:hyperlink>
      <w:r>
        <w:t xml:space="preserve">[6][13]. The detection literature thus supplies the plausibility of the dissertation’s mechanism while leaving its magnitude unestimated.</w:t>
      </w:r>
    </w:p>
    <w:p>
      <w:pPr>
        <w:pStyle w:val="BodyText"/>
        <w:spacing w:line="480" w:lineRule="auto"/>
        <w:ind w:firstLine="720"/>
      </w:pPr>
      <w:r>
        <w:t xml:space="preserve">A second strand applies machine learning to the telemetry stream itself. Li frames the problem as one of creating situational awareness in spacecraft operations, ingesting incoming telemetry so that potential anomalies can be detected and characterized in near real time rather than discovered after the fact during a periodic data review</w:t>
      </w:r>
      <w:r>
        <w:t xml:space="preserve"> </w:t>
      </w:r>
      <w:hyperlink w:anchor="ref-2">
        <w:r>
          <w:rPr>
            <w:rStyle w:val="Hyperlink"/>
          </w:rPr>
          <w:t xml:space="preserve">[2]</w:t>
        </w:r>
      </w:hyperlink>
      <w:r>
        <w:t xml:space="preserve">. Kelly broadens the frame from a single technique to a program, integrating machine learning into the routine conduct of space operations so that anomaly detection becomes a standing capability of the operations center rather than a bespoke analysis</w:t>
      </w:r>
      <w:r>
        <w:t xml:space="preserve"> </w:t>
      </w:r>
      <w:hyperlink w:anchor="ref-3">
        <w:r>
          <w:rPr>
            <w:rStyle w:val="Hyperlink"/>
          </w:rPr>
          <w:t xml:space="preserve">[3]</w:t>
        </w:r>
      </w:hyperlink>
      <w:r>
        <w:t xml:space="preserve">. The more recent literature has continued in this direction with greater algorithmic sophistication: transformer-based architectures have been applied to anomaly detection in satellite telemetry, exploiting the sequence-modeling capacity of attention mechanisms to flag deviations in long telemetry records</w:t>
      </w:r>
      <w:r>
        <w:t xml:space="preserve"> </w:t>
      </w:r>
      <w:hyperlink w:anchor="ref-8">
        <w:r>
          <w:rPr>
            <w:rStyle w:val="Hyperlink"/>
          </w:rPr>
          <w:t xml:space="preserve">[8]</w:t>
        </w:r>
      </w:hyperlink>
      <w:r>
        <w:t xml:space="preserve">. The trajectory is unmistakable. Detection latency and diagnostic accuracy have been the optimization targets, and the field has pushed both onto the vehicle and into increasingly capable statistical models</w:t>
      </w:r>
      <w:r>
        <w:t xml:space="preserve"> </w:t>
      </w:r>
      <w:hyperlink w:anchor="ref-2">
        <w:r>
          <w:rPr>
            <w:rStyle w:val="Hyperlink"/>
          </w:rPr>
          <w:t xml:space="preserve">[2]</w:t>
        </w:r>
      </w:hyperlink>
      <w:r>
        <w:t xml:space="preserve">[3][8].</w:t>
      </w:r>
    </w:p>
    <w:p>
      <w:pPr>
        <w:pStyle w:val="BodyText"/>
        <w:spacing w:line="480" w:lineRule="auto"/>
        <w:ind w:firstLine="720"/>
      </w:pPr>
      <w:r>
        <w:t xml:space="preserve">A third strand addresses the closely related but adversary-facing problem of inferring spacecraft behavior from external observation, which matters here because it shows where the operational community’s quantitative reasoning about time has been directed. The space situational awareness literature has developed statistical methods for detecting maneuvers and characterizing the state of resident space objects from tracking time series</w:t>
      </w:r>
      <w:r>
        <w:t xml:space="preserve"> </w:t>
      </w:r>
      <w:hyperlink w:anchor="ref-14">
        <w:r>
          <w:rPr>
            <w:rStyle w:val="Hyperlink"/>
          </w:rPr>
          <w:t xml:space="preserve">[14]</w:t>
        </w:r>
      </w:hyperlink>
      <w:r>
        <w:t xml:space="preserve">[15][16]. Reachability analysis has been applied to bound the set of states a spacecraft could occupy given its last known state and its propulsive capability, a rigorous treatment of uncertainty propagation over time</w:t>
      </w:r>
      <w:r>
        <w:t xml:space="preserve"> </w:t>
      </w:r>
      <w:hyperlink w:anchor="ref-16">
        <w:r>
          <w:rPr>
            <w:rStyle w:val="Hyperlink"/>
          </w:rPr>
          <w:t xml:space="preserve">[16]</w:t>
        </w:r>
      </w:hyperlink>
      <w:r>
        <w:t xml:space="preserve">[19]. Dual-platform architectures have been proposed for space-weather monitoring and anomaly detection from a distance</w:t>
      </w:r>
      <w:r>
        <w:t xml:space="preserve"> </w:t>
      </w:r>
      <w:hyperlink w:anchor="ref-12">
        <w:r>
          <w:rPr>
            <w:rStyle w:val="Hyperlink"/>
          </w:rPr>
          <w:t xml:space="preserve">[12]</w:t>
        </w:r>
      </w:hyperlink>
      <w:r>
        <w:t xml:space="preserve">. Mission-planning work has pushed attitude optimization and autonomous imaging of resident space objects to the platform</w:t>
      </w:r>
      <w:r>
        <w:t xml:space="preserve"> </w:t>
      </w:r>
      <w:hyperlink w:anchor="ref-18">
        <w:r>
          <w:rPr>
            <w:rStyle w:val="Hyperlink"/>
          </w:rPr>
          <w:t xml:space="preserve">[18]</w:t>
        </w:r>
      </w:hyperlink>
      <w:r>
        <w:t xml:space="preserve">. One thread runs through the whole strand. Its temporal reasoning is exercised on the observer’s problem, detecting and characterizing another vehicle’s behavior, rather than on the operator’s own recovery clock</w:t>
      </w:r>
      <w:r>
        <w:t xml:space="preserve"> </w:t>
      </w:r>
      <w:hyperlink w:anchor="ref-14">
        <w:r>
          <w:rPr>
            <w:rStyle w:val="Hyperlink"/>
          </w:rPr>
          <w:t xml:space="preserve">[14]</w:t>
        </w:r>
      </w:hyperlink>
      <w:r>
        <w:t xml:space="preserve">[15][16][18][19]. The operational community has, in other words, built sophisticated machinery for reasoning about the timing of events it observes externally, but has not turned that machinery on the duration of its own safe-mode episodes.</w:t>
      </w:r>
    </w:p>
    <w:p>
      <w:pPr>
        <w:pStyle w:val="BodyText"/>
        <w:spacing w:line="480" w:lineRule="auto"/>
        <w:ind w:firstLine="720"/>
      </w:pPr>
      <w:r>
        <w:t xml:space="preserve">The cumulative effect of these three strands is a detection-and-diagnosis literature that is quantitative, increasingly autonomous, and economically motivated by the desire to catch faults early, and that has, almost as a consequence of its own success, left the recovery half of the loop comparatively unexamined as a quantity. The architectural premise that autonomy can be resident on the platform is established</w:t>
      </w:r>
      <w:r>
        <w:t xml:space="preserve"> </w:t>
      </w:r>
      <w:hyperlink w:anchor="ref-1">
        <w:r>
          <w:rPr>
            <w:rStyle w:val="Hyperlink"/>
          </w:rPr>
          <w:t xml:space="preserve">[1]</w:t>
        </w:r>
      </w:hyperlink>
      <w:r>
        <w:t xml:space="preserve">[6][13]; the statistical apparatus for time-series anomaly detection is mature</w:t>
      </w:r>
      <w:r>
        <w:t xml:space="preserve"> </w:t>
      </w:r>
      <w:hyperlink w:anchor="ref-2">
        <w:r>
          <w:rPr>
            <w:rStyle w:val="Hyperlink"/>
          </w:rPr>
          <w:t xml:space="preserve">[2]</w:t>
        </w:r>
      </w:hyperlink>
      <w:r>
        <w:t xml:space="preserve">[3][8]; and the community’s habit of quantitative temporal reasoning is well developed, though aimed elsewhere</w:t>
      </w:r>
      <w:r>
        <w:t xml:space="preserve"> </w:t>
      </w:r>
      <w:hyperlink w:anchor="ref-14">
        <w:r>
          <w:rPr>
            <w:rStyle w:val="Hyperlink"/>
          </w:rPr>
          <w:t xml:space="preserve">[14]</w:t>
        </w:r>
      </w:hyperlink>
      <w:r>
        <w:t xml:space="preserve">[15][16][19].</w:t>
      </w:r>
    </w:p>
    <w:bookmarkEnd w:id="69"/>
    <w:bookmarkStart w:id="70" w:name="the-recovery-half-of-fault-management"/>
    <w:p>
      <w:pPr>
        <w:pStyle w:val="Heading2"/>
        <w:spacing w:line="480" w:lineRule="auto"/>
      </w:pPr>
      <w:r>
        <w:t xml:space="preserve">2.3 The Recovery Half of Fault Management</w:t>
      </w:r>
    </w:p>
    <w:p>
      <w:pPr>
        <w:pStyle w:val="FirstParagraph"/>
        <w:spacing w:line="480" w:lineRule="auto"/>
      </w:pPr>
      <w:r>
        <w:t xml:space="preserve">Then the register changes. When the literature turns from detecting an anomaly to recovering from it, it shifts from estimation to description. Recovery is documented as a design feature with a specified behavior, and as a sequence of operational events in individual missions, but rarely as a duration to be modeled across a population of episodes.</w:t>
      </w:r>
    </w:p>
    <w:p>
      <w:pPr>
        <w:pStyle w:val="BodyText"/>
        <w:spacing w:line="480" w:lineRule="auto"/>
        <w:ind w:firstLine="720"/>
      </w:pPr>
      <w:r>
        <w:t xml:space="preserve">The clearest statement of recovery as deterministic design appears in the autonomy and operational-concept literature. Wander and colleagues specify status detection, removal triggering, and passivation for the self-removal of spacecraft as deterministic onboard sequences, in which each stage proceeds when defined conditions are met</w:t>
      </w:r>
      <w:r>
        <w:t xml:space="preserve"> </w:t>
      </w:r>
      <w:hyperlink w:anchor="ref-4">
        <w:r>
          <w:rPr>
            <w:rStyle w:val="Hyperlink"/>
          </w:rPr>
          <w:t xml:space="preserve">[4]</w:t>
        </w:r>
      </w:hyperlink>
      <w:r>
        <w:t xml:space="preserve">[9]. This is exactly the right framing for an engineering specification: the designer needs to know what the vehicle will do, in what order, under what triggering conditions. But it is the wrong framing for the operational question of how long recovery takes in practice, because it presents the recovery path as a fixed behavior of the autonomy stack rather than as a random variable whose realized duration varies with the anomaly that triggered it, the maturity of the onboard logic, and the cadence at which the ground can observe and confirm the vehicle</w:t>
      </w:r>
      <w:r>
        <w:t xml:space="preserve"> </w:t>
      </w:r>
      <w:hyperlink w:anchor="ref-4">
        <w:r>
          <w:rPr>
            <w:rStyle w:val="Hyperlink"/>
          </w:rPr>
          <w:t xml:space="preserve">[4]</w:t>
        </w:r>
      </w:hyperlink>
      <w:r>
        <w:t xml:space="preserve">[9]. The emerging agent-based mission-management literature pushes more of the recovery decision onboard, distributing autonomy across cooperating software agents and across cooperating vehicles, and surveys the methodologies, current practices, and challenges of doing so</w:t>
      </w:r>
      <w:r>
        <w:t xml:space="preserve"> </w:t>
      </w:r>
      <w:hyperlink w:anchor="ref-10">
        <w:r>
          <w:rPr>
            <w:rStyle w:val="Hyperlink"/>
          </w:rPr>
          <w:t xml:space="preserve">[10]</w:t>
        </w:r>
      </w:hyperlink>
      <w:r>
        <w:t xml:space="preserve">[20]. This work expands the design space for resident recovery logic, and in doing so sharpens the dissertation’s mechanism, because it describes precisely the higher-autonomy recovery paths whose effect on duration is to be measured. Yet it too stops at architecture and capability; it does not estimate how the autonomy it describes translates into shorter outages</w:t>
      </w:r>
      <w:r>
        <w:t xml:space="preserve"> </w:t>
      </w:r>
      <w:hyperlink w:anchor="ref-10">
        <w:r>
          <w:rPr>
            <w:rStyle w:val="Hyperlink"/>
          </w:rPr>
          <w:t xml:space="preserve">[10]</w:t>
        </w:r>
      </w:hyperlink>
      <w:r>
        <w:t xml:space="preserve">[20].</w:t>
      </w:r>
    </w:p>
    <w:p>
      <w:pPr>
        <w:pStyle w:val="BodyText"/>
        <w:spacing w:line="480" w:lineRule="auto"/>
        <w:ind w:firstLine="720"/>
      </w:pPr>
      <w:r>
        <w:t xml:space="preserve">A small number of efforts come closer to the duration question. The most direct is the work on modeling spacecraft safe-mode events, which treats the safe-mode entry as an event to be modeled in mission planning and reliability assessment</w:t>
      </w:r>
      <w:r>
        <w:t xml:space="preserve"> </w:t>
      </w:r>
      <w:hyperlink w:anchor="ref-7">
        <w:r>
          <w:rPr>
            <w:rStyle w:val="Hyperlink"/>
          </w:rPr>
          <w:t xml:space="preserve">[7]</w:t>
        </w:r>
      </w:hyperlink>
      <w:r>
        <w:t xml:space="preserve">. This is the nearest antecedent in the technical literature to the present dissertation, and its existence confirms that the operational community recognizes safe-mode events as a modelable phenomenon. But the modeling is oriented toward the frequency and the planning implications of safe-mode entry rather than toward the conditional duration of the recovery interval and its dependence on an autonomy covariate; it asks how often and with what mission-planning consequence a vehicle will safe, not how long, conditional on safing, it will take to reacquire, and whether autonomy moves that conditional duration</w:t>
      </w:r>
      <w:r>
        <w:t xml:space="preserve"> </w:t>
      </w:r>
      <w:hyperlink w:anchor="ref-7">
        <w:r>
          <w:rPr>
            <w:rStyle w:val="Hyperlink"/>
          </w:rPr>
          <w:t xml:space="preserve">[7]</w:t>
        </w:r>
      </w:hyperlink>
      <w:r>
        <w:t xml:space="preserve">. The recovery-occurrence literature on anomalous and derelict spacecraft, exemplified by the study of whether so-called zombie satellites might be brought back to a second life, documents that a meaningful share of off-nominal episodes resolve slowly, and that recovery is sometimes possible long after an anomaly, which establishes that recovery duration has real variance and a long right tail</w:t>
      </w:r>
      <w:r>
        <w:t xml:space="preserve"> </w:t>
      </w:r>
      <w:hyperlink w:anchor="ref-11">
        <w:r>
          <w:rPr>
            <w:rStyle w:val="Hyperlink"/>
          </w:rPr>
          <w:t xml:space="preserve">[11]</w:t>
        </w:r>
      </w:hyperlink>
      <w:r>
        <w:t xml:space="preserve">. This is valuable as evidence that the outcome the dissertation models is genuinely variable rather than approximately constant, but it characterizes occurrence and potential rather than estimating a duration model with covariates</w:t>
      </w:r>
      <w:r>
        <w:t xml:space="preserve"> </w:t>
      </w:r>
      <w:hyperlink w:anchor="ref-11">
        <w:r>
          <w:rPr>
            <w:rStyle w:val="Hyperlink"/>
          </w:rPr>
          <w:t xml:space="preserve">[11]</w:t>
        </w:r>
      </w:hyperlink>
      <w:r>
        <w:t xml:space="preserve">.</w:t>
      </w:r>
    </w:p>
    <w:p>
      <w:pPr>
        <w:pStyle w:val="BodyText"/>
        <w:spacing w:line="480" w:lineRule="auto"/>
        <w:ind w:firstLine="720"/>
      </w:pPr>
      <w:r>
        <w:t xml:space="preserve">The case-study literature is rich but, by its nature, anecdotal with respect to duration. Detailed operational accounts exist of specific missions and their fault responses: the lessons drawn from the Dawn mission to Ceres and Vesta, including its autonomous handoffs and its management of reaction-control degradation, document recovery behavior at the level of a single vehicle’s history</w:t>
      </w:r>
      <w:r>
        <w:t xml:space="preserve"> </w:t>
      </w:r>
      <w:hyperlink w:anchor="ref-21">
        <w:r>
          <w:rPr>
            <w:rStyle w:val="Hyperlink"/>
          </w:rPr>
          <w:t xml:space="preserve">[21]</w:t>
        </w:r>
      </w:hyperlink>
      <w:r>
        <w:t xml:space="preserve">. Observations of NASA’s IMAGE satellite, including its long anomaly and the question of its state, illustrate how an individual anomaly is tracked and reasoned about externally</w:t>
      </w:r>
      <w:r>
        <w:t xml:space="preserve"> </w:t>
      </w:r>
      <w:hyperlink w:anchor="ref-14">
        <w:r>
          <w:rPr>
            <w:rStyle w:val="Hyperlink"/>
          </w:rPr>
          <w:t xml:space="preserve">[14]</w:t>
        </w:r>
      </w:hyperlink>
      <w:r>
        <w:t xml:space="preserve">. Guidance, navigation, and control accounts of CubeSat missions such as Hera’s Milani document the vision-based systems that underlie autonomous operation on small platforms</w:t>
      </w:r>
      <w:r>
        <w:t xml:space="preserve"> </w:t>
      </w:r>
      <w:hyperlink w:anchor="ref-22">
        <w:r>
          <w:rPr>
            <w:rStyle w:val="Hyperlink"/>
          </w:rPr>
          <w:t xml:space="preserve">[22]</w:t>
        </w:r>
      </w:hyperlink>
      <w:r>
        <w:t xml:space="preserve">. Swarm-deployment and acquisition work specifies how multiple vehicles safely reach and hold their operational configuration under perturbations and operational constraints, a use of the word acquisition adjacent to but distinct from the reacquisition of a safed vehicle</w:t>
      </w:r>
      <w:r>
        <w:t xml:space="preserve"> </w:t>
      </w:r>
      <w:hyperlink w:anchor="ref-23">
        <w:r>
          <w:rPr>
            <w:rStyle w:val="Hyperlink"/>
          </w:rPr>
          <w:t xml:space="preserve">[23]</w:t>
        </w:r>
      </w:hyperlink>
      <w:r>
        <w:t xml:space="preserve">. Studies of orbital-debris hazard from spacecraft anomalies use anomaly records to infer environmental causes rather than to model recovery</w:t>
      </w:r>
      <w:r>
        <w:t xml:space="preserve"> </w:t>
      </w:r>
      <w:hyperlink w:anchor="ref-24">
        <w:r>
          <w:rPr>
            <w:rStyle w:val="Hyperlink"/>
          </w:rPr>
          <w:t xml:space="preserve">[24]</w:t>
        </w:r>
      </w:hyperlink>
      <w:r>
        <w:t xml:space="preserve">. Operational-constraint analyses from individual CubeSat flights, such as the aerodynamic collision-avoidance results from BEESAT-4, document how real missions trade autonomy against ground oversight under constraint</w:t>
      </w:r>
      <w:r>
        <w:t xml:space="preserve"> </w:t>
      </w:r>
      <w:hyperlink w:anchor="ref-26">
        <w:r>
          <w:rPr>
            <w:rStyle w:val="Hyperlink"/>
          </w:rPr>
          <w:t xml:space="preserve">[26]</w:t>
        </w:r>
      </w:hyperlink>
      <w:r>
        <w:t xml:space="preserve">. Each of these accounts is a single observation, or a small set of observations, in the population that the dissertation pools and estimates over; collectively they constitute the raw material of a duration model, but individually none of them is one</w:t>
      </w:r>
      <w:r>
        <w:t xml:space="preserve"> </w:t>
      </w:r>
      <w:hyperlink w:anchor="ref-11">
        <w:r>
          <w:rPr>
            <w:rStyle w:val="Hyperlink"/>
          </w:rPr>
          <w:t xml:space="preserve">[11]</w:t>
        </w:r>
      </w:hyperlink>
      <w:r>
        <w:t xml:space="preserve">[14][21][22][23][24][26].</w:t>
      </w:r>
    </w:p>
    <w:p>
      <w:pPr>
        <w:pStyle w:val="BodyText"/>
        <w:spacing w:line="480" w:lineRule="auto"/>
        <w:ind w:firstLine="720"/>
      </w:pPr>
      <w:r>
        <w:t xml:space="preserve">The recovery-half literature therefore exhibits a consistent pattern. Recovery is specified deterministically in design</w:t>
      </w:r>
      <w:r>
        <w:t xml:space="preserve"> </w:t>
      </w:r>
      <w:hyperlink w:anchor="ref-4">
        <w:r>
          <w:rPr>
            <w:rStyle w:val="Hyperlink"/>
          </w:rPr>
          <w:t xml:space="preserve">[4]</w:t>
        </w:r>
      </w:hyperlink>
      <w:r>
        <w:t xml:space="preserve">[9], expanded architecturally toward greater onboard autonomy</w:t>
      </w:r>
      <w:r>
        <w:t xml:space="preserve"> </w:t>
      </w:r>
      <w:hyperlink w:anchor="ref-10">
        <w:r>
          <w:rPr>
            <w:rStyle w:val="Hyperlink"/>
          </w:rPr>
          <w:t xml:space="preserve">[10]</w:t>
        </w:r>
      </w:hyperlink>
      <w:r>
        <w:t xml:space="preserve">[20], recognized as a modelable event for planning purposes</w:t>
      </w:r>
      <w:r>
        <w:t xml:space="preserve"> </w:t>
      </w:r>
      <w:hyperlink w:anchor="ref-7">
        <w:r>
          <w:rPr>
            <w:rStyle w:val="Hyperlink"/>
          </w:rPr>
          <w:t xml:space="preserve">[7]</w:t>
        </w:r>
      </w:hyperlink>
      <w:r>
        <w:t xml:space="preserve">, documented as variable in occurrence and duration</w:t>
      </w:r>
      <w:r>
        <w:t xml:space="preserve"> </w:t>
      </w:r>
      <w:hyperlink w:anchor="ref-11">
        <w:r>
          <w:rPr>
            <w:rStyle w:val="Hyperlink"/>
          </w:rPr>
          <w:t xml:space="preserve">[11]</w:t>
        </w:r>
      </w:hyperlink>
      <w:r>
        <w:t xml:space="preserve">, and narrated case by case for individual missions</w:t>
      </w:r>
      <w:r>
        <w:t xml:space="preserve"> </w:t>
      </w:r>
      <w:hyperlink w:anchor="ref-14">
        <w:r>
          <w:rPr>
            <w:rStyle w:val="Hyperlink"/>
          </w:rPr>
          <w:t xml:space="preserve">[14]</w:t>
        </w:r>
      </w:hyperlink>
      <w:r>
        <w:t xml:space="preserve">[21][22][23][24][26]. What is absent across the entire strand is a treatment of recovery duration as a stochastic time-to-event, estimated over a population of episodes, with the marginal effect of onboard recovery autonomy isolated against the obvious confounders of anomaly class and ground-contact cadence.</w:t>
      </w:r>
    </w:p>
    <w:bookmarkEnd w:id="70"/>
    <w:bookmarkStart w:id="71" w:name="the-economic-stakes-of-recovery-duration"/>
    <w:p>
      <w:pPr>
        <w:pStyle w:val="Heading2"/>
        <w:spacing w:line="480" w:lineRule="auto"/>
      </w:pPr>
      <w:r>
        <w:t xml:space="preserve">2.4 The Economic Stakes of Recovery Duration</w:t>
      </w:r>
    </w:p>
    <w:p>
      <w:pPr>
        <w:pStyle w:val="FirstParagraph"/>
        <w:spacing w:line="480" w:lineRule="auto"/>
      </w:pPr>
      <w:r>
        <w:t xml:space="preserve">The third body of relevant work establishes why the recovery duration is a first-order operational quantity rather than a reliability footnote, and it does so from the economics of the space sector rather than from engineering. Industry and analytic accounting of the value generated by operating satellites quantifies what is forgone when a vehicle is not delivering its service, whether that service is science return, Earth observation, communications throughput, or navigation availability</w:t>
      </w:r>
      <w:r>
        <w:t xml:space="preserve"> </w:t>
      </w:r>
      <w:hyperlink w:anchor="ref-5">
        <w:r>
          <w:rPr>
            <w:rStyle w:val="Hyperlink"/>
          </w:rPr>
          <w:t xml:space="preserve">[5]</w:t>
        </w:r>
      </w:hyperlink>
      <w:r>
        <w:t xml:space="preserve">. The relevance to the dissertation is direct and constitutive. If the value of an operating satellite per unit time can be quantified, then every additional hour a vehicle spends safed is a measurable loss, and the duration of each safe-mode episode multiplies directly into realized mission value forgone</w:t>
      </w:r>
      <w:r>
        <w:t xml:space="preserve"> </w:t>
      </w:r>
      <w:hyperlink w:anchor="ref-5">
        <w:r>
          <w:rPr>
            <w:rStyle w:val="Hyperlink"/>
          </w:rPr>
          <w:t xml:space="preserve">[5]</w:t>
        </w:r>
      </w:hyperlink>
      <w:r>
        <w:t xml:space="preserve">. This reframes the recovery clock from an engineering curiosity into an economic variable: the difference between a one-day recovery and a thirty-three-day recovery, or between a recovery and an unrecovered mission-ending event, is the difference between a recoverable interruption and a substantial destruction of value.</w:t>
      </w:r>
    </w:p>
    <w:p>
      <w:pPr>
        <w:pStyle w:val="BodyText"/>
        <w:spacing w:line="480" w:lineRule="auto"/>
        <w:ind w:firstLine="720"/>
      </w:pPr>
      <w:r>
        <w:t xml:space="preserve">The economic framing also supplies the decision instrument that motivates the dissertation’s estimand. If recovery duration can be modeled as a function of onboard recovery autonomy, then the expected outage reduction attributable to an increment of autonomy can be priced against the value of the availability that increment protects</w:t>
      </w:r>
      <w:r>
        <w:t xml:space="preserve"> </w:t>
      </w:r>
      <w:hyperlink w:anchor="ref-5">
        <w:r>
          <w:rPr>
            <w:rStyle w:val="Hyperlink"/>
          </w:rPr>
          <w:t xml:space="preserve">[5]</w:t>
        </w:r>
      </w:hyperlink>
      <w:r>
        <w:t xml:space="preserve">. This converts a capability now justified qualitatively in fault-management case studies into a quantity that can earn its place in an availability budget and an autonomy-investment decision. The economic literature thus supplies the stakes and the decision frame, but, by its own scope, it offers no duration model connecting a given anomaly to its expected outage length; it establishes that downtime is costly without estimating how long downtime lasts or what shortens it</w:t>
      </w:r>
      <w:r>
        <w:t xml:space="preserve"> </w:t>
      </w:r>
      <w:hyperlink w:anchor="ref-5">
        <w:r>
          <w:rPr>
            <w:rStyle w:val="Hyperlink"/>
          </w:rPr>
          <w:t xml:space="preserve">[5]</w:t>
        </w:r>
      </w:hyperlink>
      <w:r>
        <w:t xml:space="preserve">. The economic literature and the technical literature are, in this respect, complementary in their silence: the technical literature describes recovery without pricing it, and the economic literature prices downtime without modeling its duration.</w:t>
      </w:r>
    </w:p>
    <w:bookmarkEnd w:id="71"/>
    <w:bookmarkStart w:id="72" w:name="Xfecca0b01b2cc0645bcec9975705cef194da7b2"/>
    <w:p>
      <w:pPr>
        <w:pStyle w:val="Heading2"/>
        <w:spacing w:line="480" w:lineRule="auto"/>
      </w:pPr>
      <w:r>
        <w:t xml:space="preserve">2.5 The Cliometric and Econometric Methodology of Duration</w:t>
      </w:r>
    </w:p>
    <w:p>
      <w:pPr>
        <w:pStyle w:val="FirstParagraph"/>
        <w:spacing w:line="480" w:lineRule="auto"/>
      </w:pPr>
      <w:r>
        <w:t xml:space="preserve">The methodological literature that the dissertation imports is the cliometric and econometric tradition of duration analysis, also called survival analysis, event-history analysis, and reliability analysis depending on the discipline. This tradition exists precisely to treat a time-to-event as a random variable whose distribution depends on measured covariates, and to do so in the presence of incomplete observation, which is the defining feature of the safe-mode recovery problem. The review here establishes the apparatus, its assumptions, and its applicability, and it deliberately keeps the methodological exposition separate from the technical exposition above, because the central claim of this chapter is that the two have not been brought together for the recovery problem.</w:t>
      </w:r>
    </w:p>
    <w:p>
      <w:pPr>
        <w:pStyle w:val="BodyText"/>
        <w:spacing w:line="480" w:lineRule="auto"/>
        <w:ind w:firstLine="720"/>
      </w:pPr>
      <w:r>
        <w:t xml:space="preserve">The core object of duration analysis is the hazard function, the instantaneous rate at which an event occurs at a given moment conditional on its not yet having occurred. For the recovery problem the event is the confirmed reacquisition of a healthy, commandable vehicle, and the hazard is the instantaneous rate of completing recovery given that recovery has not yet completed. The signal advantage of the hazard formulation over a simple regression on completed durations is that it accommodates censoring natively. An episode still safed at the end of the observation window, or terminated by an unrelated event, contributes the information that recovery had not occurred by that time without requiring a recovery time that does not exist. The dissertation’s own pilot data make this concrete: the Opportunity rover’s low-power fault during the 2018 global dust storm never reacquired before mission end, and so it enters the analysis as a right-censored observation rather than being discarded, and discarding it would bias the estimated recovery rate upward by removing the slowest possible outcome from the sample.</w:t>
      </w:r>
    </w:p>
    <w:p>
      <w:pPr>
        <w:pStyle w:val="BodyText"/>
        <w:spacing w:line="480" w:lineRule="auto"/>
        <w:ind w:firstLine="720"/>
      </w:pPr>
      <w:r>
        <w:t xml:space="preserve">The estimator of choice in this tradition is the Cox proportional-hazards model, which specifies the hazard for an episode with covariate vector X as a baseline hazard multiplied by an exponential function of the covariates, leaving the baseline hazard entirely unspecified. This semiparametric structure is the reason the Cox model is preferred for the recovery problem: it imposes no parametric form on the baseline duration distribution, which is unknown and likely irregular across the heterogeneous population of missions, and it yields the effect of each covariate directly as a hazard ratio, the multiplicative change in the instantaneous recovery rate associated with a one-unit change in the covariate. For the dissertation’s central estimand, the hazard ratio on the onboard recovery-autonomy index is the entire thesis compressed into one interpretable number: a hazard ratio above one means autonomy raises the recovery rate and shortens expected time-to-acquisition, a hazard ratio of one means autonomy has no effect, and a hazard ratio below one means autonomy lengthens recovery. The dissertation’s pilot estimation, fit by partial likelihood over twenty-four episodes with twenty-three recovery events, returns a hazard ratio near four on the autonomy index, with a confidence interval lying entirely above one, which is the direction and significance the theory predicts and which the dissertation’s larger sample is designed to test more stringently.</w:t>
      </w:r>
    </w:p>
    <w:p>
      <w:pPr>
        <w:pStyle w:val="BodyText"/>
        <w:spacing w:line="480" w:lineRule="auto"/>
        <w:ind w:firstLine="720"/>
      </w:pPr>
      <w:r>
        <w:t xml:space="preserve">The proportional-hazards assumption that gives the model its name, that the ratio of hazards between two episodes is constant over time, is the principal assumption to be checked, and the standard diagnostic is the examination of Schoenfeld residuals for trend against time. Where the assumption fails for a covariate, the standard remedy is to stratify the baseline hazard on that covariate, allowing each stratum its own baseline shape while preserving a common coefficient on the covariates of interest. The dissertation adopts both the diagnostic and the stratified-baseline remedy, applying them to anomaly subsystem class, which is the covariate most likely to carry a non-proportional baseline because power, attitude, thermal, command-and-data-handling, and propulsion faults plausibly have differently shaped recovery-time distributions.</w:t>
      </w:r>
    </w:p>
    <w:p>
      <w:pPr>
        <w:pStyle w:val="BodyText"/>
        <w:spacing w:line="480" w:lineRule="auto"/>
        <w:ind w:firstLine="720"/>
      </w:pPr>
      <w:r>
        <w:t xml:space="preserve">Two further elements of the duration-analysis apparatus are essential to the recovery problem. The first is the treatment of competing risks. A safe-mode episode can end in recovery, the event of interest, or in a mission-ending failure, a different and absorbing event. Treating a mission-ending failure as ordinary censoring would misstate the recovery hazard, because such an episode did not merely fail to be observed to recovery, it was prevented from recovering. The competing-risks framework models the two end states separately, and the dissertation adopts it to handle the severe anomalies that terminate a mission, which the recovery-occurrence literature confirms are a real and consequential category of outcome</w:t>
      </w:r>
      <w:r>
        <w:t xml:space="preserve"> </w:t>
      </w:r>
      <w:hyperlink w:anchor="ref-11">
        <w:r>
          <w:rPr>
            <w:rStyle w:val="Hyperlink"/>
          </w:rPr>
          <w:t xml:space="preserve">[11]</w:t>
        </w:r>
      </w:hyperlink>
      <w:r>
        <w:t xml:space="preserve">. The second is the handling of time-varying covariates. The time until the next scheduled ground contact is not fixed over the course of a recovery; it counts down to each pass and resets after it, and because recovery cannot be confirmed faster than the ground can close the loop, this covariate must enter the hazard as a time-varying quantity rather than a single fixed value. The duration-analysis tradition accommodates time-varying covariates directly in the partial-likelihood construction, and the dissertation uses that facility to represent the contact clock honestly.</w:t>
      </w:r>
    </w:p>
    <w:p>
      <w:pPr>
        <w:pStyle w:val="BodyText"/>
        <w:spacing w:line="480" w:lineRule="auto"/>
        <w:ind w:firstLine="720"/>
      </w:pPr>
      <w:r>
        <w:t xml:space="preserve">The methodological literature also supplies the complementary binary-threshold instrument that the dissertation’s second pilot study employs. Where the hazard model estimates how autonomy shifts the entire recovery-time distribution, a binary logistic regression estimates how autonomy changes the odds of crossing a specific operationally meaningful threshold, such as the seven-day mark at which many operations organizations trigger a mission-impact review. The logit estimator is the appropriate one for a dichotomous outcome, and its coefficients exponentiate into odds ratios that state the autonomy effect in the multiplicative-odds units that operators reason in when they budget against availability commitments. The dissertation’s pilot logit, estimated over thirty-three episodes, returns a negative and significant autonomy coefficient and an odds ratio well below one, indicating that each step of recovery autonomy sharply lowers the odds of a prolonged outage. The duration model and the binary model are complementary decision instruments drawn from the same methodological tradition: the duration model answers how fast on average, and the binary model answers how often the threshold is breached, and the dissertation uses both because operators reason in both registers.</w:t>
      </w:r>
    </w:p>
    <w:p>
      <w:pPr>
        <w:pStyle w:val="BodyText"/>
        <w:spacing w:line="480" w:lineRule="auto"/>
        <w:ind w:firstLine="720"/>
      </w:pPr>
      <w:r>
        <w:t xml:space="preserve">It bears emphasis that this methodological tradition is mature, standard, and well validated across the social sciences, biostatistics, and reliability engineering. The contribution of the dissertation is not methodological novelty in the abstract; the Cox model, censoring, competing risks, and the complementary logit are established tools. The contribution is the application of these established tools to an operational quantity, the spacecraft recovery clock, that the technical literature has never treated as a duration to be estimated.</w:t>
      </w:r>
    </w:p>
    <w:bookmarkEnd w:id="72"/>
    <w:bookmarkStart w:id="73" w:name="X7f5143293c04f6962750cc1fb4ad4ec4921a123"/>
    <w:p>
      <w:pPr>
        <w:pStyle w:val="Heading2"/>
        <w:spacing w:line="480" w:lineRule="auto"/>
      </w:pPr>
      <w:r>
        <w:t xml:space="preserve">2.6 Synthesis, the Unjoined Literatures, and the Gap</w:t>
      </w:r>
    </w:p>
    <w:p>
      <w:pPr>
        <w:pStyle w:val="FirstParagraph"/>
        <w:spacing w:line="480" w:lineRule="auto"/>
      </w:pPr>
      <w:r>
        <w:t xml:space="preserve">The two literatures reviewed above are each internally mature and each, in its own terms, complete, yet they have not been joined, and the recovery clock falls precisely into the seam between them. The synthesis can be stated as a set of three convergent gaps, each of which the dissertation closes.</w:t>
      </w:r>
    </w:p>
    <w:p>
      <w:pPr>
        <w:pStyle w:val="BodyText"/>
        <w:spacing w:line="480" w:lineRule="auto"/>
        <w:ind w:firstLine="720"/>
      </w:pPr>
      <w:r>
        <w:t xml:space="preserve">The first gap is that the fault-management literature optimizes the detection-and-diagnosis half of the safing loop quantitatively while leaving the post-safing recovery duration unmodeled. The detection literature has pushed inference onto the platform, demonstrated autonomous diagnosis and recovery architectures, and applied increasingly sophisticated statistical models to the telemetry stream</w:t>
      </w:r>
      <w:r>
        <w:t xml:space="preserve"> </w:t>
      </w:r>
      <w:hyperlink w:anchor="ref-1">
        <w:r>
          <w:rPr>
            <w:rStyle w:val="Hyperlink"/>
          </w:rPr>
          <w:t xml:space="preserve">[1]</w:t>
        </w:r>
      </w:hyperlink>
      <w:r>
        <w:t xml:space="preserve">[2][3][6][8][13]. The recovery literature, by contrast, specifies recovery as a deterministic design behavior</w:t>
      </w:r>
      <w:r>
        <w:t xml:space="preserve"> </w:t>
      </w:r>
      <w:hyperlink w:anchor="ref-4">
        <w:r>
          <w:rPr>
            <w:rStyle w:val="Hyperlink"/>
          </w:rPr>
          <w:t xml:space="preserve">[4]</w:t>
        </w:r>
      </w:hyperlink>
      <w:r>
        <w:t xml:space="preserve">[9], expands it architecturally toward greater autonomy</w:t>
      </w:r>
      <w:r>
        <w:t xml:space="preserve"> </w:t>
      </w:r>
      <w:hyperlink w:anchor="ref-10">
        <w:r>
          <w:rPr>
            <w:rStyle w:val="Hyperlink"/>
          </w:rPr>
          <w:t xml:space="preserve">[10]</w:t>
        </w:r>
      </w:hyperlink>
      <w:r>
        <w:t xml:space="preserve">[20], recognizes safe-mode events as modelable for planning purposes</w:t>
      </w:r>
      <w:r>
        <w:t xml:space="preserve"> </w:t>
      </w:r>
      <w:hyperlink w:anchor="ref-7">
        <w:r>
          <w:rPr>
            <w:rStyle w:val="Hyperlink"/>
          </w:rPr>
          <w:t xml:space="preserve">[7]</w:t>
        </w:r>
      </w:hyperlink>
      <w:r>
        <w:t xml:space="preserve">, documents recovery as variable in occurrence and duration</w:t>
      </w:r>
      <w:r>
        <w:t xml:space="preserve"> </w:t>
      </w:r>
      <w:hyperlink w:anchor="ref-11">
        <w:r>
          <w:rPr>
            <w:rStyle w:val="Hyperlink"/>
          </w:rPr>
          <w:t xml:space="preserve">[11]</w:t>
        </w:r>
      </w:hyperlink>
      <w:r>
        <w:t xml:space="preserve">, and narrates it case by case</w:t>
      </w:r>
      <w:r>
        <w:t xml:space="preserve"> </w:t>
      </w:r>
      <w:hyperlink w:anchor="ref-14">
        <w:r>
          <w:rPr>
            <w:rStyle w:val="Hyperlink"/>
          </w:rPr>
          <w:t xml:space="preserve">[14]</w:t>
        </w:r>
      </w:hyperlink>
      <w:r>
        <w:t xml:space="preserve">[21][22][23][24][26], but nowhere estimates recovery duration as a stochastic time-to-event with covariates. The architectural premise of the dissertation’s mechanism, that autonomy can be resident on the platform and can execute recovery work between contacts, is established by the detection-and-autonomy literature</w:t>
      </w:r>
      <w:r>
        <w:t xml:space="preserve"> </w:t>
      </w:r>
      <w:hyperlink w:anchor="ref-1">
        <w:r>
          <w:rPr>
            <w:rStyle w:val="Hyperlink"/>
          </w:rPr>
          <w:t xml:space="preserve">[1]</w:t>
        </w:r>
      </w:hyperlink>
      <w:r>
        <w:t xml:space="preserve">[6][10][13][20]; what is missing is the estimate of its effect on the recovery clock.</w:t>
      </w:r>
    </w:p>
    <w:p>
      <w:pPr>
        <w:pStyle w:val="BodyText"/>
        <w:spacing w:line="480" w:lineRule="auto"/>
        <w:ind w:firstLine="720"/>
      </w:pPr>
      <w:r>
        <w:t xml:space="preserve">The second gap is that where the operational community does reason quantitatively about time, it does so for the observer’s problem rather than the operator’s recovery clock. The space situational awareness and reachability literatures bring rigorous temporal reasoning to the detection and characterization of another vehicle’s behavior, the timing of maneuvers, the propagation of state uncertainty, the bounding of reachable sets</w:t>
      </w:r>
      <w:r>
        <w:t xml:space="preserve"> </w:t>
      </w:r>
      <w:hyperlink w:anchor="ref-14">
        <w:r>
          <w:rPr>
            <w:rStyle w:val="Hyperlink"/>
          </w:rPr>
          <w:t xml:space="preserve">[14]</w:t>
        </w:r>
      </w:hyperlink>
      <w:r>
        <w:t xml:space="preserve">[15][16][19]. None of this apparatus has been turned on the duration of the operator’s own safe-mode recovery. The community possesses the quantitative temporal habit and the statistical sophistication; it has simply not directed them at the recovery interval.</w:t>
      </w:r>
    </w:p>
    <w:p>
      <w:pPr>
        <w:pStyle w:val="BodyText"/>
        <w:spacing w:line="480" w:lineRule="auto"/>
        <w:ind w:firstLine="720"/>
      </w:pPr>
      <w:r>
        <w:t xml:space="preserve">The third gap is that the economic literature establishes that satellite downtime is costly without supplying any duration model that connects a given anomaly to its expected outage length</w:t>
      </w:r>
      <w:r>
        <w:t xml:space="preserve"> </w:t>
      </w:r>
      <w:hyperlink w:anchor="ref-5">
        <w:r>
          <w:rPr>
            <w:rStyle w:val="Hyperlink"/>
          </w:rPr>
          <w:t xml:space="preserve">[5]</w:t>
        </w:r>
      </w:hyperlink>
      <w:r>
        <w:t xml:space="preserve">. The stakes are quantified and the decision frame is clear, but the quantity that the decision frame requires, the expected duration of an outage and its dependence on autonomy, is not estimated. The economic literature thus states the demand for the dissertation’s estimand without supplying it.</w:t>
      </w:r>
    </w:p>
    <w:p>
      <w:pPr>
        <w:pStyle w:val="BodyText"/>
        <w:spacing w:line="480" w:lineRule="auto"/>
        <w:ind w:firstLine="720"/>
      </w:pPr>
      <w:r>
        <w:t xml:space="preserve">These three gaps converge on a single unfilled position. No retrieved source estimates time-to-acquisition as a hazard, and none isolates the marginal effect of onboard recovery autonomy on that hazard while holding anomaly class and ground-contact cadence fixed. The methodological tradition reviewed in Section 2.5 supplies exactly the apparatus this requires, the semiparametric Cox model with its native handling of censoring, its competing-risks extension for mission-ending events, and its accommodation of the time-varying contact covariate, together with the complementary binary-threshold logit, yet that apparatus has not been brought to bear on the recovery problem. The two literatures are unjoined: the technical literature has the phenomenon and the mechanism but not the estimator, and the methodological literature has the estimator but has not been pointed at the phenomenon.</w:t>
      </w:r>
    </w:p>
    <w:p>
      <w:pPr>
        <w:pStyle w:val="BodyText"/>
        <w:spacing w:line="480" w:lineRule="auto"/>
        <w:ind w:firstLine="720"/>
      </w:pPr>
      <w:r>
        <w:t xml:space="preserve">The gap, stated as precisely as the dissertation requires, is therefore the absence of a conditional, isolable estimate of the effect of onboard recovery autonomy on the recovery hazard. The recovery-occurrence literature confirms that the outcome is genuinely variable and long-tailed, with a real category of unrecovered, mission-ending episodes that demands the competing-risks treatment</w:t>
      </w:r>
      <w:r>
        <w:t xml:space="preserve"> </w:t>
      </w:r>
      <w:hyperlink w:anchor="ref-11">
        <w:r>
          <w:rPr>
            <w:rStyle w:val="Hyperlink"/>
          </w:rPr>
          <w:t xml:space="preserve">[11]</w:t>
        </w:r>
      </w:hyperlink>
      <w:r>
        <w:t xml:space="preserve">. The autonomy and agent-based literatures confirm that the explanatory variable, the degree of resident recovery autonomy, is a real, ordered, and increasingly available design choice rather than a binary abstraction</w:t>
      </w:r>
      <w:r>
        <w:t xml:space="preserve"> </w:t>
      </w:r>
      <w:hyperlink w:anchor="ref-4">
        <w:r>
          <w:rPr>
            <w:rStyle w:val="Hyperlink"/>
          </w:rPr>
          <w:t xml:space="preserve">[4]</w:t>
        </w:r>
      </w:hyperlink>
      <w:r>
        <w:t xml:space="preserve">[9][10][20]. The detection literature confirms that the mechanism, moving recovery work onto the platform, is technically demonstrated</w:t>
      </w:r>
      <w:r>
        <w:t xml:space="preserve"> </w:t>
      </w:r>
      <w:hyperlink w:anchor="ref-1">
        <w:r>
          <w:rPr>
            <w:rStyle w:val="Hyperlink"/>
          </w:rPr>
          <w:t xml:space="preserve">[1]</w:t>
        </w:r>
      </w:hyperlink>
      <w:r>
        <w:t xml:space="preserve">[6][13]. The economic literature confirms that the estimand is decision-relevant and priceable</w:t>
      </w:r>
      <w:r>
        <w:t xml:space="preserve"> </w:t>
      </w:r>
      <w:hyperlink w:anchor="ref-5">
        <w:r>
          <w:rPr>
            <w:rStyle w:val="Hyperlink"/>
          </w:rPr>
          <w:t xml:space="preserve">[5]</w:t>
        </w:r>
      </w:hyperlink>
      <w:r>
        <w:t xml:space="preserve">. Every element required to pose and answer the question exists in one or the other of the two literatures; what does not exist is the joining of them into a single estimable hazard with an interpretable autonomy coefficient.</w:t>
      </w:r>
    </w:p>
    <w:p>
      <w:pPr>
        <w:pStyle w:val="BodyText"/>
        <w:spacing w:line="480" w:lineRule="auto"/>
        <w:ind w:firstLine="720"/>
      </w:pPr>
      <w:r>
        <w:t xml:space="preserve">That joining is the dissertation’s contribution. The chapter that follows turns from the literatures to the identification strategy and the model specification that close the gap, carrying forward from this review four commitments that the literatures jointly motivate: that recovery duration is the operationally and economically decisive quantity</w:t>
      </w:r>
      <w:r>
        <w:t xml:space="preserve"> </w:t>
      </w:r>
      <w:hyperlink w:anchor="ref-5">
        <w:r>
          <w:rPr>
            <w:rStyle w:val="Hyperlink"/>
          </w:rPr>
          <w:t xml:space="preserve">[5]</w:t>
        </w:r>
      </w:hyperlink>
      <w:r>
        <w:t xml:space="preserve">[11]; that onboard recovery autonomy is the explanatory variable of interest and the chief confounding risk simultaneously</w:t>
      </w:r>
      <w:r>
        <w:t xml:space="preserve"> </w:t>
      </w:r>
      <w:hyperlink w:anchor="ref-4">
        <w:r>
          <w:rPr>
            <w:rStyle w:val="Hyperlink"/>
          </w:rPr>
          <w:t xml:space="preserve">[4]</w:t>
        </w:r>
      </w:hyperlink>
      <w:r>
        <w:t xml:space="preserve">[9][10][20]; that anomaly subsystem class and ground-contact cadence are the conditioning covariates without which the autonomy effect cannot be isolated</w:t>
      </w:r>
      <w:r>
        <w:t xml:space="preserve"> </w:t>
      </w:r>
      <w:hyperlink w:anchor="ref-1">
        <w:r>
          <w:rPr>
            <w:rStyle w:val="Hyperlink"/>
          </w:rPr>
          <w:t xml:space="preserve">[1]</w:t>
        </w:r>
      </w:hyperlink>
      <w:r>
        <w:t xml:space="preserve">[7]; and that the semiparametric duration model, with its native censoring, its competing-risks extension, and its complementary binary-threshold form, is the apparatus that the technical literature lacks and the methodological literature has long possessed. The dissertation converts a quantity now described qualitatively in FDIR case studies into an estimable hazard with a testable autonomy coefficient, and in doing so it joins two literatures that have, until now, addressed the same safe-mode episode from opposite sides without meeting.</w:t>
      </w:r>
    </w:p>
    <w:bookmarkEnd w:id="73"/>
    <w:bookmarkEnd w:id="74"/>
    <w:bookmarkStart w:id="83" w:name="Xcfcc00a3ded59aed0c781c16bfc121f2a509603"/>
    <w:p>
      <w:pPr>
        <w:pStyle w:val="Heading1"/>
        <w:spacing w:line="480" w:lineRule="auto"/>
      </w:pPr>
      <w:r>
        <w:t xml:space="preserve">Chapter 3. Theoretical Framework and Hypotheses</w:t>
      </w:r>
    </w:p>
    <w:bookmarkStart w:id="75" w:name="purpose-and-position-of-the-chapter"/>
    <w:p>
      <w:pPr>
        <w:pStyle w:val="Heading2"/>
        <w:spacing w:line="480" w:lineRule="auto"/>
      </w:pPr>
      <w:r>
        <w:t xml:space="preserve">3.1 Purpose and Position of the Chapter</w:t>
      </w:r>
    </w:p>
    <w:p>
      <w:pPr>
        <w:pStyle w:val="FirstParagraph"/>
        <w:spacing w:line="480" w:lineRule="auto"/>
      </w:pPr>
      <w:r>
        <w:t xml:space="preserve">The two empirical studies that precede this dissertation established a fact and left a theory implicit. The fact is that, across documented safe-mode episodes, the degree of onboard recovery autonomy is strongly associated with how quickly a spacecraft returns to a healthy, commandable state, whether that return is modeled as a continuous hazard or as the binary crossing of a downtime threshold. What those studies did not do, because their purpose was estimation rather than explication, is set out in full the causal logic that justifies treating onboard recovery autonomy as the operative margin and time-to-acquisition after anomaly as the dependent quantity. This chapter supplies that logic. It states the theoretical mechanism that connects autonomy to recovery duration, defines the constructs precisely enough that they can be measured without ambiguity, derives from the mechanism a single falsifiable proposition, and renders that proposition as the formal null and alternative hypotheses that the dissertation’s hazard model is built to test.</w:t>
      </w:r>
    </w:p>
    <w:p>
      <w:pPr>
        <w:pStyle w:val="BodyText"/>
        <w:spacing w:line="480" w:lineRule="auto"/>
        <w:ind w:firstLine="720"/>
      </w:pPr>
      <w:r>
        <w:t xml:space="preserve">This chapter is the hinge between problem and method. The problem, motivated at length in the prospectus, is that the recovery half of the fault-management loop has been treated as a fixed engineering property of the fault detection, isolation, and recovery design rather than as a stochastic duration shaped by observable factors</w:t>
      </w:r>
      <w:r>
        <w:t xml:space="preserve"> </w:t>
      </w:r>
      <w:hyperlink w:anchor="ref-4">
        <w:r>
          <w:rPr>
            <w:rStyle w:val="Hyperlink"/>
          </w:rPr>
          <w:t xml:space="preserve">[4]</w:t>
        </w:r>
      </w:hyperlink>
      <w:r>
        <w:t xml:space="preserve">[7]. The method, developed in the chapters that follow, is survival analysis applied to a population of safe-mode episodes. Between them sits the requirement that the dependent variable be theoretically motivated and the central coefficient be theoretically interpretable. A hazard ratio is only as meaningful as the mechanism it is taken to measure. So the mechanism must be made explicit so that the coefficient estimated later carries a clear causal reading rather than a merely descriptive one.</w:t>
      </w:r>
    </w:p>
    <w:bookmarkEnd w:id="75"/>
    <w:bookmarkStart w:id="76" w:name="X06915cec23290aa92b22ea9268e3a74e3d6edba"/>
    <w:p>
      <w:pPr>
        <w:pStyle w:val="Heading2"/>
        <w:spacing w:line="480" w:lineRule="auto"/>
      </w:pPr>
      <w:r>
        <w:t xml:space="preserve">3.2 The Construct: Time-to-Acquisition After Anomaly</w:t>
      </w:r>
    </w:p>
    <w:p>
      <w:pPr>
        <w:pStyle w:val="FirstParagraph"/>
        <w:spacing w:line="480" w:lineRule="auto"/>
      </w:pPr>
      <w:r>
        <w:t xml:space="preserve">The dependent construct is the interval from a spacecraft’s first entry into safe mode following an onboard fault to the ground’s confirmed reacquisition of a healthy, fully commandable vehicle. I name this interval time-to-acquisition after anomaly. The naming matters because the construct must be distinguished from two adjacent quantities with which it is frequently conflated.</w:t>
      </w:r>
    </w:p>
    <w:p>
      <w:pPr>
        <w:pStyle w:val="BodyText"/>
        <w:spacing w:line="480" w:lineRule="auto"/>
        <w:ind w:firstLine="720"/>
      </w:pPr>
      <w:r>
        <w:t xml:space="preserve">The first adjacent quantity is detection latency, the time from the onset of an off-nominal condition to the recognition that an anomaly has occurred. Detection latency is the object of a large and maturing literature. Onboard hybrid systems combining model-based reasoning with machine learning now detect and diagnose subsystem faults aboard the vehicle, with explicit attention to separating genuine off-nominal behavior from normal operating modes</w:t>
      </w:r>
      <w:r>
        <w:t xml:space="preserve"> </w:t>
      </w:r>
      <w:hyperlink w:anchor="ref-1">
        <w:r>
          <w:rPr>
            <w:rStyle w:val="Hyperlink"/>
          </w:rPr>
          <w:t xml:space="preserve">[1]</w:t>
        </w:r>
      </w:hyperlink>
      <w:r>
        <w:t xml:space="preserve">[6]. Machine-learning pipelines, including transformer-based architectures, ingest telemetry so that potential anomalies are characterized in near real time</w:t>
      </w:r>
      <w:r>
        <w:t xml:space="preserve"> </w:t>
      </w:r>
      <w:hyperlink w:anchor="ref-2">
        <w:r>
          <w:rPr>
            <w:rStyle w:val="Hyperlink"/>
          </w:rPr>
          <w:t xml:space="preserve">[2]</w:t>
        </w:r>
      </w:hyperlink>
      <w:r>
        <w:t xml:space="preserve">[8], and broader programs fold such detection into routine operations</w:t>
      </w:r>
      <w:r>
        <w:t xml:space="preserve"> </w:t>
      </w:r>
      <w:hyperlink w:anchor="ref-3">
        <w:r>
          <w:rPr>
            <w:rStyle w:val="Hyperlink"/>
          </w:rPr>
          <w:t xml:space="preserve">[3]</w:t>
        </w:r>
      </w:hyperlink>
      <w:r>
        <w:t xml:space="preserve">. Time-to-acquisition begins where this literature leaves off. It does not measure how fast the fault was found; it measures how long the vehicle remained unavailable after it safed.</w:t>
      </w:r>
    </w:p>
    <w:p>
      <w:pPr>
        <w:pStyle w:val="BodyText"/>
        <w:spacing w:line="480" w:lineRule="auto"/>
        <w:ind w:firstLine="720"/>
      </w:pPr>
      <w:r>
        <w:t xml:space="preserve">The second adjacent quantity is the survival or loss outcome, the binary question of whether the vehicle is ever recovered at all. The anomaly-occurrence literature treats this question directly, cataloguing the conditions under which off-nominal spacecraft are or are not returned to service, including the prospect of a second operational life for satellites that have been written off</w:t>
      </w:r>
      <w:r>
        <w:t xml:space="preserve"> </w:t>
      </w:r>
      <w:hyperlink w:anchor="ref-11">
        <w:r>
          <w:rPr>
            <w:rStyle w:val="Hyperlink"/>
          </w:rPr>
          <w:t xml:space="preserve">[11]</w:t>
        </w:r>
      </w:hyperlink>
      <w:r>
        <w:t xml:space="preserve">. Time-to-acquisition is conditional on, and orthogonal to, ultimate survival. An episode that ends in mission loss contributes information about duration only up to the point of loss; an episode that recovers in two days and an episode that recovers in six hundred days are both survivals but represent entirely different operational outcomes. The construct of interest is the duration, not the binary fate, and the modeling apparatus must be chosen to respect that distinction.</w:t>
      </w:r>
    </w:p>
    <w:p>
      <w:pPr>
        <w:pStyle w:val="BodyText"/>
        <w:spacing w:line="480" w:lineRule="auto"/>
        <w:ind w:firstLine="720"/>
      </w:pPr>
      <w:r>
        <w:t xml:space="preserve">Defining the construct as a duration carries an immediate methodological consequence that the framework must absorb rather than evade. Durations in an observational anomaly record are incompletely observed. Some episodes are still ongoing when the observation window closes; others are terminated by an unrelated event, such as mission end, before recovery completes. A vehicle that never reacquires before the record ends, of which the prior empirical work supplies a concrete instance in a low-power fault during a global dust storm that was never resolved before mission end, does not have a recovery duration of zero or of infinity. It has a duration known only to exceed the observed interval. The construct is thus intrinsically a time-to-event quantity with right-censoring, and this property is not a nuisance to be cleaned away but a defining feature that dictates the choice of estimator in Chapter 4. The framework commits, at the level of construct definition, to a survival treatment in which censored episodes contribute through their risk-set membership rather than being discarded.</w:t>
      </w:r>
    </w:p>
    <w:bookmarkEnd w:id="76"/>
    <w:bookmarkStart w:id="77" w:name="X679f73e6d816e0bf329677c5fef31e0c80e0125"/>
    <w:p>
      <w:pPr>
        <w:pStyle w:val="Heading2"/>
        <w:spacing w:line="480" w:lineRule="auto"/>
      </w:pPr>
      <w:r>
        <w:t xml:space="preserve">3.3 The Theoretical Mechanism: A Race Between Two Clocks</w:t>
      </w:r>
    </w:p>
    <w:p>
      <w:pPr>
        <w:pStyle w:val="FirstParagraph"/>
        <w:spacing w:line="480" w:lineRule="auto"/>
      </w:pPr>
      <w:r>
        <w:t xml:space="preserve">The core of the framework is a race between two clocks. When a vehicle enters safe mode, recovery to a commandable state requires that a sequence of diagnostic and reconfiguration tasks be completed: the fault must be localized, a recovery path selected, the offending unit isolated or worked around, and the vehicle commanded back to a nominal configuration and confirmed there. Two distinct processes govern how fast this sequence advances, and the recovery completes only when the slower of the two has run its course.</w:t>
      </w:r>
    </w:p>
    <w:p>
      <w:pPr>
        <w:pStyle w:val="BodyText"/>
        <w:spacing w:line="480" w:lineRule="auto"/>
        <w:ind w:firstLine="720"/>
      </w:pPr>
      <w:r>
        <w:t xml:space="preserve">The first clock is the intrinsic diagnostic and reconfiguration work itself: the labor of figuring out what went wrong and restoring a healthy state, independent of who or what performs that labor. The second clock is the cadence at which the ground segment can observe the vehicle, command it, and confirm the result of a command. On an Earth-orbiting observatory with frequent ground-station and relay passes, this second clock ticks quickly; on a deep-space vehicle whose contact is gated by scheduled tracking passes and burdened by long round-trip light time, it ticks slowly, and recovery cannot complete faster than operators can close the loop</w:t>
      </w:r>
      <w:r>
        <w:t xml:space="preserve"> </w:t>
      </w:r>
      <w:hyperlink w:anchor="ref-4">
        <w:r>
          <w:rPr>
            <w:rStyle w:val="Hyperlink"/>
          </w:rPr>
          <w:t xml:space="preserve">[4]</w:t>
        </w:r>
      </w:hyperlink>
      <w:r>
        <w:t xml:space="preserve">[7]. The published operations record makes the dispersion concrete: deep-space inertial-measurement-unit and missed-maneuver faults have held vehicles in safe mode for many weeks, while command-load and processor-reset faults on well-passed platforms have cleared in roughly a day.</w:t>
      </w:r>
    </w:p>
    <w:p>
      <w:pPr>
        <w:pStyle w:val="BodyText"/>
        <w:spacing w:line="480" w:lineRule="auto"/>
        <w:ind w:firstLine="720"/>
      </w:pPr>
      <w:r>
        <w:t xml:space="preserve">Now the decisive move. Recognize what onboard recovery autonomy does to this race. Where the recovery path is resident on the ground, that is, where diagnosis and reconfiguration must be authored by operators and uplinked, the second clock binds. Each step of the diagnostic sequence waits for a contact to arrive, for telemetry to be downlinked and analyzed, for a recovery command to be composed and uplinked, and for the next pass to confirm its effect. The recovery duration is then dominated by ground latency, and the intrinsic difficulty of the fault is expressed only at the cadence the contact schedule permits. Onboard recovery autonomy attacks the first clock and partially decouples the vehicle from the second. A vehicle that can execute a scripted safing recovery, or that can adaptively reconfigure around a failed unit without waiting for a ground-authored sequence, advances its own recovery between contacts rather than idling until the next pass</w:t>
      </w:r>
      <w:r>
        <w:t xml:space="preserve"> </w:t>
      </w:r>
      <w:hyperlink w:anchor="ref-3">
        <w:r>
          <w:rPr>
            <w:rStyle w:val="Hyperlink"/>
          </w:rPr>
          <w:t xml:space="preserve">[3]</w:t>
        </w:r>
      </w:hyperlink>
      <w:r>
        <w:t xml:space="preserve">[4][9]. It collapses several of the waits that constitute ground latency into autonomous action taken at the vehicle’s own pace.</w:t>
      </w:r>
    </w:p>
    <w:p>
      <w:pPr>
        <w:pStyle w:val="BodyText"/>
        <w:spacing w:line="480" w:lineRule="auto"/>
        <w:ind w:firstLine="720"/>
      </w:pPr>
      <w:r>
        <w:t xml:space="preserve">The detection literature lends this mechanism its plausibility by analogy and by architectural precedent. The same architectural move that compressed detection latency, namely relocating inference from the ground segment to the platform, is the move that the mechanism predicts will compress recovery latency where the recovery path is made resident onboard</w:t>
      </w:r>
      <w:r>
        <w:t xml:space="preserve"> </w:t>
      </w:r>
      <w:hyperlink w:anchor="ref-1">
        <w:r>
          <w:rPr>
            <w:rStyle w:val="Hyperlink"/>
          </w:rPr>
          <w:t xml:space="preserve">[1]</w:t>
        </w:r>
      </w:hyperlink>
      <w:r>
        <w:t xml:space="preserve">[2][3][6][8]. Hybrid onboard systems already perform diagnosis and root-cause determination aboard the vehicle</w:t>
      </w:r>
      <w:r>
        <w:t xml:space="preserve"> </w:t>
      </w:r>
      <w:hyperlink w:anchor="ref-6">
        <w:r>
          <w:rPr>
            <w:rStyle w:val="Hyperlink"/>
          </w:rPr>
          <w:t xml:space="preserve">[6]</w:t>
        </w:r>
      </w:hyperlink>
      <w:r>
        <w:t xml:space="preserve">[13]; agent-based mission-management architectures push progressively more of the operational decision onboard</w:t>
      </w:r>
      <w:r>
        <w:t xml:space="preserve"> </w:t>
      </w:r>
      <w:hyperlink w:anchor="ref-10">
        <w:r>
          <w:rPr>
            <w:rStyle w:val="Hyperlink"/>
          </w:rPr>
          <w:t xml:space="preserve">[10]</w:t>
        </w:r>
      </w:hyperlink>
      <w:r>
        <w:t xml:space="preserve">[20]. If relocating inference shortened detection, the mechanism holds that relocating the recovery sequence should shorten recovery, and that this should be visible as a higher instantaneous rate of reaching reacquisition for higher-autonomy recovery paths, holding the contact clock and the anomaly class fixed.</w:t>
      </w:r>
    </w:p>
    <w:bookmarkEnd w:id="77"/>
    <w:bookmarkStart w:id="78" w:name="Xc74d3b7fda7f766aebbd45734e2bab66fd00656"/>
    <w:p>
      <w:pPr>
        <w:pStyle w:val="Heading2"/>
        <w:spacing w:line="480" w:lineRule="auto"/>
      </w:pPr>
      <w:r>
        <w:t xml:space="preserve">3.4 The Independent Construct: Onboard Recovery Autonomy</w:t>
      </w:r>
    </w:p>
    <w:p>
      <w:pPr>
        <w:pStyle w:val="FirstParagraph"/>
        <w:spacing w:line="480" w:lineRule="auto"/>
      </w:pPr>
      <w:r>
        <w:t xml:space="preserve">The mechanism turns on a single independent construct, the degree of onboard recovery autonomy, and the framework must define it as a measurable quantity rather than a rhetorical one. I conceive of recovery autonomy ordinally, as the extent to which the recovery path is resident on the vehicle and able to act without a ground-authored decision in the loop. Three levels span the construct.</w:t>
      </w:r>
    </w:p>
    <w:p>
      <w:pPr>
        <w:pStyle w:val="BodyText"/>
        <w:spacing w:line="480" w:lineRule="auto"/>
        <w:ind w:firstLine="720"/>
      </w:pPr>
      <w:r>
        <w:t xml:space="preserve">At the lowest level, recovery is a ground-loop process: the vehicle safes and holds, and every diagnostic and reconfiguration step is authored on the ground and uplinked, step by step. The second clock binds entirely. At the intermediate level, the vehicle executes a scripted onboard safing recovery, a pre-authored sequence that restores a defined safe configuration autonomously, with the ground commanding the final return to normal operations once the script has run. Part of the recovery is decoupled from contact cadence. At the highest level, the vehicle performs adaptive autonomous reconfiguration, selecting and executing a recovery path around the specific fault before ground intervention, as in documented cases of autonomous handoff to backup actuation and self-safing across a hazardous event</w:t>
      </w:r>
      <w:r>
        <w:t xml:space="preserve"> </w:t>
      </w:r>
      <w:hyperlink w:anchor="ref-9">
        <w:r>
          <w:rPr>
            <w:rStyle w:val="Hyperlink"/>
          </w:rPr>
          <w:t xml:space="preserve">[9]</w:t>
        </w:r>
      </w:hyperlink>
      <w:r>
        <w:t xml:space="preserve">[13][21]. Here the first clock dominates and the second is largely removed from the critical path.</w:t>
      </w:r>
    </w:p>
    <w:p>
      <w:pPr>
        <w:pStyle w:val="BodyText"/>
        <w:spacing w:line="480" w:lineRule="auto"/>
        <w:ind w:firstLine="720"/>
      </w:pPr>
      <w:r>
        <w:t xml:space="preserve">Two features of this construct definition are load-bearing for the framework. First, the construct is a property of the recovery path, not of the detection or diagnosis path. A vehicle may carry sophisticated onboard anomaly detection yet recover entirely through a ground loop; the autonomy that the mechanism implicates is specifically the autonomy of the corrective action that follows safing, and the construct is coded from each mission’s published fault detection, isolation, and recovery description and flight-software documentation accordingly. Second, the construct is treated as ordinal rather than as a set of unordered categories, because the mechanism predicts a monotone relationship: each step that relocates more of the recovery path onboard removes more of the ground-latency exposure, and so each step should move the recovery rate in the same direction. Coding autonomy as a single ordinal index, rather than as separate indicators for each level, places the theoretical claim on one interpretable coefficient and disciplines the analysis to the monotone prediction the mechanism actually makes.</w:t>
      </w:r>
    </w:p>
    <w:bookmarkEnd w:id="78"/>
    <w:bookmarkStart w:id="79" w:name="Xc0c16453eba8bca086e72501693f4a6191849d6"/>
    <w:p>
      <w:pPr>
        <w:pStyle w:val="Heading2"/>
        <w:spacing w:line="480" w:lineRule="auto"/>
      </w:pPr>
      <w:r>
        <w:t xml:space="preserve">3.5 Confounding Structure and the Conditioning Logic</w:t>
      </w:r>
    </w:p>
    <w:p>
      <w:pPr>
        <w:pStyle w:val="FirstParagraph"/>
        <w:spacing w:line="480" w:lineRule="auto"/>
      </w:pPr>
      <w:r>
        <w:t xml:space="preserve">A mechanism that predicts an effect is not yet a mechanism that can be identified. The framework must specify the factors that could produce an apparent autonomy effect for reasons unrelated to the proposed mechanism, and it must build the conditioning logic that isolates the autonomy margin from those factors. Two such factors are central, and they enter the framework as conditioning constructs rather than as quantities of independent interest.</w:t>
      </w:r>
    </w:p>
    <w:p>
      <w:pPr>
        <w:pStyle w:val="BodyText"/>
        <w:spacing w:line="480" w:lineRule="auto"/>
        <w:ind w:firstLine="720"/>
      </w:pPr>
      <w:r>
        <w:t xml:space="preserve">The first is ground-contact cadence, the characteristic interval until the next scheduled opportunity to observe, command, and confirm the vehicle. Contact cadence is causally entangled with both the independent and dependent constructs. It lengthens any ground-dependent recovery directly, because a sparse contact schedule stretches every wait in a ground-loop recovery; and it is correlated with autonomy across the population, because deep-space platforms that face the sparsest contact have historically been the platforms most likely to carry autonomous recovery logic, precisely because the operations economics of sparse contact reward onboard self-reliance. Failing to condition on contact cadence would therefore confound the autonomy effect with the contact effect, and the resulting coefficient could not be read as the mechanism intends. The framework conditions on contact cadence as a covariate, and, because the mechanism describes contact cadence as a time-dependent constraint that shrinks as the next pass approaches, the construct is most faithfully represented as a time-varying covariate in the duration model.</w:t>
      </w:r>
    </w:p>
    <w:p>
      <w:pPr>
        <w:pStyle w:val="BodyText"/>
        <w:spacing w:line="480" w:lineRule="auto"/>
        <w:ind w:firstLine="720"/>
      </w:pPr>
      <w:r>
        <w:t xml:space="preserve">The second confounding factor is anomaly subsystem class. Faults in different subsystems are not equally tractable. A command-and-data-handling fault, a processor reset, or a corrupted command load may be addressable by an uplinked patch or a memory reload, whereas an attitude-control fault involving a degraded inertial-measurement unit or a reaction-wheel event may require physical reconfiguration and extended characterization before the vehicle can be trusted to point itself</w:t>
      </w:r>
      <w:r>
        <w:t xml:space="preserve"> </w:t>
      </w:r>
      <w:hyperlink w:anchor="ref-7">
        <w:r>
          <w:rPr>
            <w:rStyle w:val="Hyperlink"/>
          </w:rPr>
          <w:t xml:space="preserve">[7]</w:t>
        </w:r>
      </w:hyperlink>
      <w:r>
        <w:t xml:space="preserve">. If subsystem class is correlated with autonomy, for example if the missions that field adaptive recovery logic also happen to suffer a disproportionate share of the more tractable faults, then an unconditioned autonomy coefficient would absorb the subsystem effect. The framework conditions on subsystem class so that the autonomy comparison is made among episodes of comparable intrinsic difficulty.</w:t>
      </w:r>
    </w:p>
    <w:p>
      <w:pPr>
        <w:pStyle w:val="BodyText"/>
        <w:spacing w:line="480" w:lineRule="auto"/>
        <w:ind w:firstLine="720"/>
      </w:pPr>
      <w:r>
        <w:t xml:space="preserve">The conditioning logic that these two factors imply is a within-class, within-cadence comparison. The identifying question the framework poses is not whether high-autonomy missions recover faster than low-autonomy missions in general, which they trivially might for many reasons, but whether, among episodes of the same subsystem class facing comparable contact cadence, the higher-autonomy recovery path reaches reacquisition at a higher instantaneous rate. This is the comparison that the mechanism predicts and that the hazard specification in Chapter 4 is constructed to make. The framework is candid that the autonomy index remains the chief confounding risk even after this conditioning, because better-resourced missions may field both more autonomy and faster recovery through channels the two named covariates do not capture. Mission-phase and platform-class fixed effects and a per-platform frailty term are the framework’s instruments for absorbing this residual heterogeneity, and the resulting coefficient is to be read as a conditional association that the conditioning logic strengthens toward, but does not by itself elevate to, an identified causal effect.</w:t>
      </w:r>
    </w:p>
    <w:bookmarkEnd w:id="79"/>
    <w:bookmarkStart w:id="80" w:name="X61e82cdddcb7070d16760756b1702f4a95a9e98"/>
    <w:p>
      <w:pPr>
        <w:pStyle w:val="Heading2"/>
        <w:spacing w:line="480" w:lineRule="auto"/>
      </w:pPr>
      <w:r>
        <w:t xml:space="preserve">3.6 From Mechanism to a Single Falsifiable Proposition</w:t>
      </w:r>
    </w:p>
    <w:p>
      <w:pPr>
        <w:pStyle w:val="FirstParagraph"/>
        <w:spacing w:line="480" w:lineRule="auto"/>
      </w:pPr>
      <w:r>
        <w:t xml:space="preserve">The framework deliberately concentrates the entire empirical wager on one proposition. The mechanism of Section 3.3 makes many predictions, but a dissertation that tried to test all of them would dissipate its statistical power across coefficients none of which it could estimate precisely on the available record. The discipline the framework imposes is to identify the one prediction that is both central to the mechanism and falsifiable on the data, and to let that single prediction carry the thesis.</w:t>
      </w:r>
    </w:p>
    <w:p>
      <w:pPr>
        <w:pStyle w:val="BodyText"/>
        <w:spacing w:line="480" w:lineRule="auto"/>
        <w:ind w:firstLine="720"/>
      </w:pPr>
      <w:r>
        <w:t xml:space="preserve">That prediction is directional and conditional. The mechanism does not merely assert that autonomy and recovery speed are related; it asserts that relocating the recovery path onboard removes ground-latency exposure and therefore raises the instantaneous rate of completing recovery, and it asserts this holds after the confounding contributions of contact cadence and subsystem class have been conditioned away. The proposition is thus: conditional on anomaly subsystem class and time-to-next-ground-contact, an increase in onboard recovery autonomy raises the recovery hazard, the instantaneous probability of completing safe-mode recovery given that recovery has not yet completed.</w:t>
      </w:r>
    </w:p>
    <w:p>
      <w:pPr>
        <w:pStyle w:val="BodyText"/>
        <w:spacing w:line="480" w:lineRule="auto"/>
        <w:ind w:firstLine="720"/>
      </w:pPr>
      <w:r>
        <w:t xml:space="preserve">Framing the proposition in terms of the hazard rather than the mean duration is a deliberate theoretical choice, not a statistical convenience. The hazard is the natural quantity for the mechanism because the mechanism operates at every instant of an ongoing recovery: at each moment that the vehicle remains safed, autonomy is what determines whether the recovery can advance on the vehicle’s own clock or must wait for the ground’s. A hazard formulation expresses exactly this instantaneous, conditional-on-survival logic, and it accommodates the censoring that the construct definition in Section 3.2 made unavoidable. The mean of completed durations alone would discard the censored episodes and bias the recovery rate, whereas the hazard formulation incorporates them through their risk-set contribution. The proposition is therefore stated as a claim about a hazard ratio, the multiplicative effect on the instantaneous recovery rate of a one-step increase along the autonomy index.</w:t>
      </w:r>
    </w:p>
    <w:p>
      <w:pPr>
        <w:pStyle w:val="BodyText"/>
        <w:spacing w:line="480" w:lineRule="auto"/>
        <w:ind w:firstLine="720"/>
      </w:pPr>
      <w:r>
        <w:t xml:space="preserve">The proposition is falsifiable in the strict sense required of a doctoral contribution. It is falsified if the estimated autonomy hazard ratio is not significantly greater than one, and it is falsified more decisively if the ratio reverses sign, that is, if greater autonomy is found to lower rather than raise the recovery rate. Because the entire thesis rests on this one coefficient, a null or wrong-signed estimate would not merely qualify the contribution; it would overturn it. This is the property the framework seeks. A single coefficient that can carry the thesis is also a single coefficient that can sink it, and that symmetry is what makes the proposition a genuine hypothesis rather than a foregone conclusion dressed in statistical form.</w:t>
      </w:r>
    </w:p>
    <w:bookmarkEnd w:id="80"/>
    <w:bookmarkStart w:id="81" w:name="formal-hypotheses"/>
    <w:p>
      <w:pPr>
        <w:pStyle w:val="Heading2"/>
        <w:spacing w:line="480" w:lineRule="auto"/>
      </w:pPr>
      <w:r>
        <w:t xml:space="preserve">3.7 Formal Hypotheses</w:t>
      </w:r>
    </w:p>
    <w:p>
      <w:pPr>
        <w:pStyle w:val="FirstParagraph"/>
        <w:spacing w:line="480" w:lineRule="auto"/>
      </w:pPr>
      <w:r>
        <w:t xml:space="preserve">The proposition of Section 3.6 is now rendered as the formal null and alternative hypotheses that the dissertation’s hazard model tests. Let the autonomy index enter the proportional-hazards specification with coefficient beta on the ordinal recovery-autonomy variable, conditional on the subsystem-class covariate and the time-to-next-ground-contact covariate. The hazard ratio associated with a one-step increase in the autonomy index is the exponentiated coefficient, exp(beta).</w:t>
      </w:r>
    </w:p>
    <w:p>
      <w:pPr>
        <w:pStyle w:val="BodyText"/>
        <w:spacing w:line="480" w:lineRule="auto"/>
        <w:ind w:firstLine="720"/>
      </w:pPr>
      <w:r>
        <w:rPr>
          <w:b/>
          <w:bCs/>
        </w:rPr>
        <w:t xml:space="preserve">H0 (null hypothesis).</w:t>
      </w:r>
      <w:r>
        <w:t xml:space="preserve"> </w:t>
      </w:r>
      <w:r>
        <w:t xml:space="preserve">After conditioning on anomaly subsystem class and time-to-next-ground-contact, the degree of onboard recovery autonomy has no effect on the recovery hazard. The autonomy coefficient beta equals zero, the autonomy hazard ratio exp(beta) equals one, and its 95 percent confidence interval contains one. Under H0, the duration a vehicle spends in safe mode is governed by anomaly class, contact cadence, and unmodeled factors, but not by where the recovery path resides; relocating recovery logic onboard does not change the instantaneous rate at which reacquisition is reached.</w:t>
      </w:r>
    </w:p>
    <w:p>
      <w:pPr>
        <w:pStyle w:val="BodyText"/>
        <w:spacing w:line="480" w:lineRule="auto"/>
        <w:ind w:firstLine="720"/>
      </w:pPr>
      <w:r>
        <w:rPr>
          <w:b/>
          <w:bCs/>
        </w:rPr>
        <w:t xml:space="preserve">H1 (alternative hypothesis).</w:t>
      </w:r>
      <w:r>
        <w:t xml:space="preserve"> </w:t>
      </w:r>
      <w:r>
        <w:t xml:space="preserve">After the same conditioning, higher onboard recovery autonomy raises the recovery hazard. The autonomy coefficient beta is greater than zero, the autonomy hazard ratio exp(beta) is greater than one, and its 95 percent confidence interval lies entirely above one. Under H1, each step that relocates more of the recovery path onto the vehicle, from ground-loop recovery to scripted onboard safing, and from scripted safing to adaptive autonomous reconfiguration, multiplies the instantaneous recovery rate by exp(beta) and so shortens the expected time-to-acquisition after anomaly.</w:t>
      </w:r>
    </w:p>
    <w:p>
      <w:pPr>
        <w:pStyle w:val="BodyText"/>
        <w:spacing w:line="480" w:lineRule="auto"/>
        <w:ind w:firstLine="720"/>
      </w:pPr>
      <w:r>
        <w:t xml:space="preserve">The test is one-sided in its substantive content, because the mechanism predicts a specific direction: autonomy is theorized to shorten recovery, not merely to change it. A two-sided rejection that found the hazard ratio significantly below one would not confirm a weaker version of the thesis; it would falsify the mechanism, because the framework offers no causal pathway by which relocating the recovery path onboard would slow recovery once cadence and class are held fixed. The hypotheses are stated against the preregistered specification of the model, so that the test cannot be salvaged by searching across alternative covariate sets until the autonomy coefficient attains significance. The decision rule is correspondingly simple: H0 is rejected in favor of H1 if and only if the estimated autonomy hazard ratio is significantly greater than one under that specification.</w:t>
      </w:r>
    </w:p>
    <w:bookmarkEnd w:id="81"/>
    <w:bookmarkStart w:id="82" w:name="X0d2044b6e35ca17a79e842e1c307b7afcc11bc1"/>
    <w:p>
      <w:pPr>
        <w:pStyle w:val="Heading2"/>
        <w:spacing w:line="480" w:lineRule="auto"/>
      </w:pPr>
      <w:r>
        <w:t xml:space="preserve">3.8 Scope Conditions and the Boundary of the Claim</w:t>
      </w:r>
    </w:p>
    <w:p>
      <w:pPr>
        <w:pStyle w:val="FirstParagraph"/>
        <w:spacing w:line="480" w:lineRule="auto"/>
      </w:pPr>
      <w:r>
        <w:t xml:space="preserve">A theoretical framework earns credibility partly by stating where it does not apply. The mechanism is built on the operations economics of a particular population: government science and Earth-observation platforms whose contact cadence is set by shared deep-space and near-space tracking infrastructure and whose recovery practices are documented in the public anomaly record</w:t>
      </w:r>
      <w:r>
        <w:t xml:space="preserve"> </w:t>
      </w:r>
      <w:hyperlink w:anchor="ref-7">
        <w:r>
          <w:rPr>
            <w:rStyle w:val="Hyperlink"/>
          </w:rPr>
          <w:t xml:space="preserve">[7]</w:t>
        </w:r>
      </w:hyperlink>
      <w:r>
        <w:t xml:space="preserve">[11][14]. Within that population the race between the diagnostic clock and the contact clock is the dominant determinant of recovery duration, and onboard recovery autonomy is the lever that shifts the balance between them. The framework does not claim that the same hazard ratio governs commercial constellations whose contact economics differ, where dense ground networks or persistent inter-satellite links may already collapse the contact clock to the point that the autonomy margin matters less. That is a scope condition the framework states rather than overclaims, and it bounds the external validity of the estimated coefficient to the population the anomaly record represents.</w:t>
      </w:r>
    </w:p>
    <w:p>
      <w:pPr>
        <w:pStyle w:val="BodyText"/>
        <w:spacing w:line="480" w:lineRule="auto"/>
        <w:ind w:firstLine="720"/>
      </w:pPr>
      <w:r>
        <w:t xml:space="preserve">Within these bounds, the framework delivers what the prospectus promised: a mechanism that explains why recovery duration varies, a construct that isolates the operationally decisive interval, a conditioning logic that defends the autonomy comparison against its two principal confounders, and a single falsifiable proposition rendered as the formal hypotheses H0 and H1. The chapters that follow operationalize this framework, specifying the proportional-hazards estimator, the covariate codings, and the censoring treatment that the construct definition requires, and then bringing the hypotheses to the data. The contribution the dissertation stakes is the conversion of a quantity now described qualitatively in fault-management case studies</w:t>
      </w:r>
      <w:r>
        <w:t xml:space="preserve"> </w:t>
      </w:r>
      <w:hyperlink w:anchor="ref-4">
        <w:r>
          <w:rPr>
            <w:rStyle w:val="Hyperlink"/>
          </w:rPr>
          <w:t xml:space="preserve">[4]</w:t>
        </w:r>
      </w:hyperlink>
      <w:r>
        <w:t xml:space="preserve">[7] into an estimable hazard whose autonomy coefficient is, by the construction of this chapter, both interpretable and testable</w:t>
      </w:r>
      <w:r>
        <w:t xml:space="preserve"> </w:t>
      </w:r>
      <w:hyperlink w:anchor="ref-5">
        <w:r>
          <w:rPr>
            <w:rStyle w:val="Hyperlink"/>
          </w:rPr>
          <w:t xml:space="preserve">[5]</w:t>
        </w:r>
      </w:hyperlink>
      <w:r>
        <w:t xml:space="preserve">.</w:t>
      </w:r>
    </w:p>
    <w:bookmarkEnd w:id="82"/>
    <w:bookmarkEnd w:id="83"/>
    <w:bookmarkStart w:id="92" w:name="chapter-4.-data-and-measurement"/>
    <w:p>
      <w:pPr>
        <w:pStyle w:val="Heading1"/>
        <w:spacing w:line="480" w:lineRule="auto"/>
      </w:pPr>
      <w:r>
        <w:t xml:space="preserve">Chapter 4. Data and Measurement</w:t>
      </w:r>
    </w:p>
    <w:bookmarkStart w:id="84"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foundation on which the two estimation chapters of this dissertation rest. The substantive object of inquiry, established in Chapter 1 and operationalized in the prospectus, is time-to-acquisition after anomaly: the interval from a spacecraft’s first entry into safe mode to the ground’s confirmed reacquisition of a healthy, fully commandable vehicle. The two analytical papers that follow approach this interval from complementary directions. The first models the full recovery duration as a time-to-event outcome and estimates a Cox proportional-hazards specification of the recovery hazard. The second collapses the same underlying phenomenon to a binary threshold, asking whether an episode breaches one week of downtime, and estimates a logistic specification of the odds of a prolonged outage. Both estimators are only as credible as the records from which their variables are constructed. The task of this chapter is therefore narrow and load-bearing: to name the datasets, to identify their authoritative sources, to fix the unit of analysis, and to document exactly how each variable is derived from primary records.</w:t>
      </w:r>
    </w:p>
    <w:p>
      <w:pPr>
        <w:pStyle w:val="BodyText"/>
        <w:spacing w:line="480" w:lineRule="auto"/>
        <w:ind w:firstLine="720"/>
      </w:pPr>
      <w:r>
        <w:t xml:space="preserve">The discipline imposed here is provenance. Every duration, every covariate code, and every event indicator used in the two papers is traceable to a named public release rather than to a proprietary operator log or to the author’s reconstruction. This is a deliberate methodological commitment. The fault-management literature treats recovery as a deterministic property of the autonomy stack and reports it anecdotally</w:t>
      </w:r>
      <w:r>
        <w:t xml:space="preserve"> </w:t>
      </w:r>
      <w:hyperlink w:anchor="ref-1">
        <w:r>
          <w:rPr>
            <w:rStyle w:val="Hyperlink"/>
          </w:rPr>
          <w:t xml:space="preserve">[1]</w:t>
        </w:r>
      </w:hyperlink>
      <w:r>
        <w:t xml:space="preserve">[4], and the recovery half of the safing loop has never been assembled into an estimable population with attributable per-episode sourcing. Building that population from public records is itself part of the contribution, and the cost of that choice, heterogeneity in how recovery time is recorded across releases, is documented in this chapter rather than concealed.</w:t>
      </w:r>
    </w:p>
    <w:bookmarkEnd w:id="84"/>
    <w:bookmarkStart w:id="85" w:name="the-unit-of-analysis"/>
    <w:p>
      <w:pPr>
        <w:pStyle w:val="Heading2"/>
        <w:spacing w:line="480" w:lineRule="auto"/>
      </w:pPr>
      <w:r>
        <w:t xml:space="preserve">4.2 The unit of analysis</w:t>
      </w:r>
    </w:p>
    <w:p>
      <w:pPr>
        <w:pStyle w:val="FirstParagraph"/>
        <w:spacing w:line="480" w:lineRule="auto"/>
      </w:pPr>
      <w:r>
        <w:t xml:space="preserve">The unit of analysis in both papers is the documented spacecraft safe-mode episode. An episode is a single autonomous entry into safe mode, fault protection, or an equivalent protective standdown, occasioned by an onboard fault, for which a public record supplies at minimum the date of entry and the affected subsystem. Where the vehicle recovered, the same record or a successor release supplies the date of return to normal or science operations. The episode, not the spacecraft and not the mission, is the row in the analysis file. A single mission can therefore contribute several rows, as when a long-lived observatory safes on distinct occasions for distinct causes, and this is the intended structure: the quantity of interest is the duration and disposition of an individual recovery, not a mission-level average that would wash out the within-mission variation the model exploits.</w:t>
      </w:r>
    </w:p>
    <w:p>
      <w:pPr>
        <w:pStyle w:val="BodyText"/>
        <w:spacing w:line="480" w:lineRule="auto"/>
        <w:ind w:firstLine="720"/>
      </w:pPr>
      <w:r>
        <w:t xml:space="preserve">This choice of unit has three consequences that propagate through the measurement scheme. First, it makes the analysis an episode-level cross-section with right-censoring rather than a panel, because the recovery clock for each episode runs independently from its own entry timestamp. Second, it requires that the entry event be unambiguously dated, since the entire outcome is measured from that origin; episodes for which only the recovery is dated, with no defensible entry date, are not admissible. Third, it forces the subsystem and autonomy covariates to be coded at the granularity of the individual fault rather than as static mission attributes, because the same vehicle may safe under ground-loop recovery on one occasion and under adaptive onboard reconfiguration on another. The prospectus anticipated this structure in proposing a within-anomaly-class comparison as the identification strategy, and the episode unit is what makes that comparison operational.</w:t>
      </w:r>
    </w:p>
    <w:p>
      <w:pPr>
        <w:pStyle w:val="BodyText"/>
        <w:spacing w:line="480" w:lineRule="auto"/>
        <w:ind w:firstLine="720"/>
      </w:pPr>
      <w:r>
        <w:t xml:space="preserve">The two papers draw their episode sets from the same documentary universe but apply different inclusion frames suited to their estimators. The Cox study compiles twenty-four episodes drawn from sixteen missions. The logit study compiles thirty-three episodes. The sets overlap substantially in their named anchors but are not identical, because the binary study admits episodes for which a defensible recovery interval can be coarsened to the seven-day threshold even where the exact return date is less firmly published, whereas the survival study requires an integer-day duration or an explicit censoring rationale. The relationship between the two samples is therefore one of a shared sampling frame with frame-specific admissibility, and Section 4.7 returns to this point under measurement validity.</w:t>
      </w:r>
    </w:p>
    <w:bookmarkEnd w:id="85"/>
    <w:bookmarkStart w:id="86" w:name="authoritative-sources"/>
    <w:p>
      <w:pPr>
        <w:pStyle w:val="Heading2"/>
        <w:spacing w:line="480" w:lineRule="auto"/>
      </w:pPr>
      <w:r>
        <w:t xml:space="preserve">4.3 Authoritative sources</w:t>
      </w:r>
    </w:p>
    <w:p>
      <w:pPr>
        <w:pStyle w:val="FirstParagraph"/>
        <w:spacing w:line="480" w:lineRule="auto"/>
      </w:pPr>
      <w:r>
        <w:t xml:space="preserve">The datasets are assembled from named public releases, each cited per row in the underlying data file so that any single duration can be traced to its origin. Five classes of authoritative source supply the records.</w:t>
      </w:r>
    </w:p>
    <w:p>
      <w:pPr>
        <w:pStyle w:val="BodyText"/>
        <w:spacing w:line="480" w:lineRule="auto"/>
        <w:ind w:firstLine="720"/>
      </w:pPr>
      <w:r>
        <w:t xml:space="preserve">The first class is NASA Science and NASA mission communications: agency-level science releases and mission-status communications that report safe-mode entries and returns to operations for NASA-managed vehicles. The second class is Jet Propulsion Laboratory and Caltech mission releases and status reports, which document the deep-space and planetary platforms that dominate the long-duration tail of the sample, including the Mars-orbit, outer-planet, and small-body missions. The third class is European Space Agency status updates, which supply entries and returns for ESA-managed or ESA-partnered observatories. The fourth class is instrument-team and project status pages, which carry the subsystem attribution and the recovery narrative at a level of operational detail that agency-level releases sometimes omit. The fifth class is the NASA Technical Reports Server, which contributes formal anomaly-recovery case studies; the binary study in particular draws two NTRS anomaly-recovery case studies into its episode set, and the program-level treatment of safe-mode events on NTRS anchors the conceptual framing of the outcome variable</w:t>
      </w:r>
      <w:r>
        <w:t xml:space="preserve"> </w:t>
      </w:r>
      <w:hyperlink w:anchor="ref-7">
        <w:r>
          <w:rPr>
            <w:rStyle w:val="Hyperlink"/>
          </w:rPr>
          <w:t xml:space="preserve">[7]</w:t>
        </w:r>
      </w:hyperlink>
      <w:r>
        <w:t xml:space="preserve">.</w:t>
      </w:r>
    </w:p>
    <w:p>
      <w:pPr>
        <w:pStyle w:val="BodyText"/>
        <w:spacing w:line="480" w:lineRule="auto"/>
        <w:ind w:firstLine="720"/>
      </w:pPr>
      <w:r>
        <w:t xml:space="preserve">These five classes correspond to the data-provenance commitment made in the prospectus, which named the public NASA anomaly-record systems as the intended backbone and committed to attributable sourcing with no proprietary operator data required for the core estimate. In the two papers as executed, the provenance is realized at the level of the individual mission release rather than through a single consolidated anomaly database, because the per-episode recovery durations that the survival and binary outcomes require are published in mission and instrument-team releases at a granularity that the consolidated anomaly logs do not consistently carry. The data file preserves the full source string for every row in a dedicated final column, so that the citation chain from estimate to release is complete and inspectable. No row enters either analysis without a named public source for its entry, its subsystem attribution, and, where applicable, its recovery.</w:t>
      </w:r>
    </w:p>
    <w:p>
      <w:pPr>
        <w:pStyle w:val="BodyText"/>
        <w:spacing w:line="480" w:lineRule="auto"/>
        <w:ind w:firstLine="720"/>
      </w:pPr>
      <w:r>
        <w:t xml:space="preserve">The concrete anchors named in the two papers illustrate the source mix and the operational range it spans. At the frequently contacted, low-Earth-orbit end, the sample includes Hubble, the Transiting Exoplanet Survey Satellite, CloudSat, and Kepler. Hubble contributes a payload-computer halt of thirty-three days in 2021. At the deep-space and planetary end, gated by scheduled tracking passes, the sample includes the Mars Atmosphere and Volatile Evolution mission, Juno, Curiosity, Dawn, and both Voyager vehicles. MAVEN contributes a ninety-six-day inertial-measurement-unit safe mode in 2022; Voyager 2 contributes a thirty-seven-day missed-maneuver fault in 2020; New Horizons sits at the short end, clearing a command-load safe mode in roughly a day. These anchors are not illustrative embellishments; each is a row in the analysis file with its own cited release, and they are reproduced here to make the source classes concrete and to fix the operational regimes the sample is intended to span.</w:t>
      </w:r>
    </w:p>
    <w:bookmarkEnd w:id="86"/>
    <w:bookmarkStart w:id="87" w:name="the-outcome-variable"/>
    <w:p>
      <w:pPr>
        <w:pStyle w:val="Heading2"/>
        <w:spacing w:line="480" w:lineRule="auto"/>
      </w:pPr>
      <w:r>
        <w:t xml:space="preserve">4.4 The outcome variable</w:t>
      </w:r>
    </w:p>
    <w:p>
      <w:pPr>
        <w:pStyle w:val="FirstParagraph"/>
        <w:spacing w:line="480" w:lineRule="auto"/>
      </w:pPr>
      <w:r>
        <w:t xml:space="preserve">The outcome is constructed differently in the two papers because the two estimators consume different functionals of the same underlying duration.</w:t>
      </w:r>
    </w:p>
    <w:p>
      <w:pPr>
        <w:pStyle w:val="BodyText"/>
        <w:spacing w:line="480" w:lineRule="auto"/>
        <w:ind w:firstLine="720"/>
      </w:pPr>
      <w:r>
        <w:t xml:space="preserve">In the survival study, the outcome is recovery_days, the integer number of days from the documented safe-mode entry to the documented return to operations. It is derived by differencing two dated events drawn from the cited record for the episode: the entry date and the return-to-normal-or-science-operations date. Integer-day resolution is a property of the source records, which report entries and returns at calendar-day granularity rather than at the timestamp resolution an onboard event log would carry; the measurement inherits that resolution and does not impute sub-day precision. The recorded durations span the full operational range of the phenomenon, from two days, exemplified by Dawn’s autonomous hydrazine handoff in 2017 and Kepler’s processor-reset recovery in 2009, to six hundred thirty-three days, the extended battery-anomaly recovery of CloudSat, with the majority of observatory episodes falling in the one-to-three-week band. This spread is substantively important: it confirms that the outcome is a genuine random variable with heavy right-skew rather than a near-constant engineering property, which is precisely the premise that motivates a survival treatment over a regression on a narrow band of completed durations.</w:t>
      </w:r>
    </w:p>
    <w:p>
      <w:pPr>
        <w:pStyle w:val="BodyText"/>
        <w:spacing w:line="480" w:lineRule="auto"/>
        <w:ind w:firstLine="720"/>
      </w:pPr>
      <w:r>
        <w:t xml:space="preserve">The event indicator in the survival study is recovered, coded one for an episode with a confirmed return to operations and zero for a right-censored episode. Of the twenty-four episodes in the Cox sample, twenty-three carry a confirmed return and enter as events; one is right-censored. The single censored case is Opportunity in 2018, which entered a low-power fault during the planet-encircling Martian dust storm and never reacquired before the mission was declared complete. Its construction is the canonical right-censoring case: the recovery clock started at a dated entry, ran to the end of the observation window without a recovery event, and is recorded as censored rather than dropped. The methodological rationale, set out in the survival paper, is that discarding a mission-ending non-recovery would bias the estimated recovery rate upward, because the slowest possible outcome would be excluded from the risk set; native censoring preserves that episode’s full risk-set contribution up to the censoring time without crediting it a recovery event.</w:t>
      </w:r>
    </w:p>
    <w:p>
      <w:pPr>
        <w:pStyle w:val="BodyText"/>
        <w:spacing w:line="480" w:lineRule="auto"/>
        <w:ind w:firstLine="720"/>
      </w:pPr>
      <w:r>
        <w:t xml:space="preserve">In the binary study, the outcome is prolonged, coded one when the documented recovery exceeded seven days and zero otherwise. It is derived from the same differenced entry-and-return interval used in the survival study, then thresholded at the one-week mark. The seven-day cut is a modeling choice rather than a property of the data, selected because it corresponds to the downtime horizon at which operators typically trigger a mission-impact review, and the binary paper flags it explicitly as a parameter to be probed by sensitivity analysis. The reason the dissertation carries both a continuous and a thresholded outcome is that they are different decision instruments: the duration outcome answers how fast recovery proceeds on average, while the binary outcome answers how often an episode crosses the threshold that converts an anomaly into a budgeted availability event. The two outcomes are not redundant measurements of one quantity; they are two operationally distinct readings of the same underlying interval, and the measurement scheme constructs each from the same primary entry-and-return records.</w:t>
      </w:r>
    </w:p>
    <w:bookmarkEnd w:id="87"/>
    <w:bookmarkStart w:id="88" w:name="the-autonomy-index"/>
    <w:p>
      <w:pPr>
        <w:pStyle w:val="Heading2"/>
        <w:spacing w:line="480" w:lineRule="auto"/>
      </w:pPr>
      <w:r>
        <w:t xml:space="preserve">4.5 The autonomy index</w:t>
      </w:r>
    </w:p>
    <w:p>
      <w:pPr>
        <w:pStyle w:val="FirstParagraph"/>
        <w:spacing w:line="480" w:lineRule="auto"/>
      </w:pPr>
      <w:r>
        <w:t xml:space="preserve">The principal explanatory variable in both papers is the onboard recovery-autonomy index, autonomy_idx in the survival study and the autonomy index in the binary study. It is an ordinal measure of how much of the recovery path the vehicle executed on its own, coded identically across the two papers from each mission’s published fault-detection-isolation-and-recovery description and flight-software documentation. The index takes three values. A value of zero denotes ground-loop manual recovery, in which the vehicle held in safe mode and every recovery step was diagnosed and commanded from the ground. A value of one denotes scripted onboard safing recovered with a ground command, in which the vehicle executed a resident safing sequence but required a ground command to complete the return to operations. A value of two denotes adaptive autonomous reconfiguration, in which the vehicle reconfigured around the fault and advanced its own recovery before ground intervention.</w:t>
      </w:r>
    </w:p>
    <w:p>
      <w:pPr>
        <w:pStyle w:val="BodyText"/>
        <w:spacing w:line="480" w:lineRule="auto"/>
        <w:ind w:firstLine="720"/>
      </w:pPr>
      <w:r>
        <w:t xml:space="preserve">The coding is anchored to documented behaviors rather than to mission reputation, which is the safeguard against circularity in an index that could otherwise be read off the recovery speed it is meant to explain. The survival paper names two value-two anchors that fix the top of the scale: Dawn’s autonomous handoff to thruster control after the loss of reaction-wheel function, and Juno’s self-safing at perijove seventy-one, both of which are documented as vehicle-initiated actions that preceded ground diagnosis. The binary paper applies the same three-level scheme, coding zero for ground-only step-by-step recovery, one for scripted onboard safing with ground-confirmed recovery, and two for adaptive or autonomous onboard recovery logic. Because the index enters the binary model as a single ordinal covariate rather than as a set of dummy variables, the recovery-autonomy effect is carried on one interpretable coefficient; this also avoids a separation problem that the binary paper documents, in which every ground-only episode in the sample happened to run beyond seven days, so a ground-only dummy would perfectly predict the outcome and destabilize the estimate.</w:t>
      </w:r>
    </w:p>
    <w:p>
      <w:pPr>
        <w:pStyle w:val="BodyText"/>
        <w:spacing w:line="480" w:lineRule="auto"/>
        <w:ind w:firstLine="720"/>
      </w:pPr>
      <w:r>
        <w:t xml:space="preserve">The autonomy index is also the chief identified confounding risk in both papers, and the measurement chapter is the right place to state why it is a risk rather than a defect. Better-resourced missions may field both more recovery autonomy and faster recovery for reasons unrelated to the autonomy itself, so the index is correlated with latent mission capability. The papers address this through conditioning rather than through measurement: the within-class comparison, the contact and subsystem controls, and, in the dissertation’s larger-sample extension, mission-phase and platform-class fixed effects and a per-platform frailty term. Measurement-side, the only defense available is the documented-behavior coding rule, which ties each value to a cited operational action and refuses to infer autonomy from speed. That rule is applied uniformly across both episode sets.</w:t>
      </w:r>
    </w:p>
    <w:bookmarkEnd w:id="88"/>
    <w:bookmarkStart w:id="89" w:name="the-conditioning-covariates"/>
    <w:p>
      <w:pPr>
        <w:pStyle w:val="Heading2"/>
        <w:spacing w:line="480" w:lineRule="auto"/>
      </w:pPr>
      <w:r>
        <w:t xml:space="preserve">4.6 The conditioning covariates</w:t>
      </w:r>
    </w:p>
    <w:p>
      <w:pPr>
        <w:pStyle w:val="FirstParagraph"/>
        <w:spacing w:line="480" w:lineRule="auto"/>
      </w:pPr>
      <w:r>
        <w:t xml:space="preserve">Two further variables are constructed in each paper to hold fixed the most plausible alternative drivers of recovery duration, so that the autonomy coefficient is read within comparable operating conditions.</w:t>
      </w:r>
    </w:p>
    <w:p>
      <w:pPr>
        <w:pStyle w:val="BodyText"/>
        <w:spacing w:line="480" w:lineRule="auto"/>
        <w:ind w:firstLine="720"/>
      </w:pPr>
      <w:r>
        <w:t xml:space="preserve">The first conditioning dimension is ground-contact cadence, the operational regime that governs how quickly the ground can observe, command, and confirm a vehicle. The survival study measures this as contact_gap_hr, the characteristic time-to-next-scheduled-ground-contact in hours for the mission’s regime, smaller for frequently passed low-Earth-orbit observatories and larger for deep-space vehicles whose contact is gated by scheduled tracking. It is coded from the contact economics of the mission’s orbital or trajectory regime as documented in the mission record, consistent with the prospectus plan to reconstruct cadence from published operations schedules and deep-space and near-space tracking arrangements. The theoretical warrant for including it is the two-clock argument: recovery is a race between the onboard diagnostic-and-reconfiguration clock and the ground-contact clock, and where recovery is ground-dependent it cannot complete faster than the ground can close the loop</w:t>
      </w:r>
      <w:r>
        <w:t xml:space="preserve"> </w:t>
      </w:r>
      <w:hyperlink w:anchor="ref-4">
        <w:r>
          <w:rPr>
            <w:rStyle w:val="Hyperlink"/>
          </w:rPr>
          <w:t xml:space="preserve">[4]</w:t>
        </w:r>
      </w:hyperlink>
      <w:r>
        <w:t xml:space="preserve">. The binary study captures the same dimension more coarsely as deep_space, an indicator marking platforms operating beyond cislunar space, where long light-time and sparse contact lengthen any ground-dependent recovery. The two encodings, a continuous hour-valued gap and a binary regime flag, are different resolutions of the one underlying contact-cadence construct, each matched to its estimator’s sample size and degrees-of-freedom budget.</w:t>
      </w:r>
    </w:p>
    <w:p>
      <w:pPr>
        <w:pStyle w:val="BodyText"/>
        <w:spacing w:line="480" w:lineRule="auto"/>
        <w:ind w:firstLine="720"/>
      </w:pPr>
      <w:r>
        <w:t xml:space="preserve">The second conditioning dimension is anomaly subsystem class, which holds fixed the intrinsic difficulty of the fault. The survival study encodes this as cdh_flag, set to one when the anomaly cause is command-and-data-handling, flight software, or onboard computer or memory, and zero for attitude, power, or propulsion faults. The rationale, advanced in the survival paper’s interpretation, is that software and computer faults may be addressable by an uplinked patch rather than by physical reconfiguration and could therefore clear on a different timescale. The binary study uses a related but distinct flag, attitude_cdh, which marks episodes whose triggering subsystem was attitude control or command-and-data-handling, on the theory that attitude and data-handling faults are reported as harder to diagnose and clear than a clean thermal or power trip. The two subsystem flags partition the fault space differently, attaching command-and-data-handling to opposite poles of the difficulty argument, and this divergence is itself informative: it reflects that the subsystem control is the weaker of the two conditioning dimensions, included to absorb confounding variance rather than to estimate a sharp subsystem effect, and indeed neither subsystem flag attains individual significance in its respective model. Both flags are coded from the documented anomaly cause in the cited release, not from inference about the subsystem from the recovery behavior.</w:t>
      </w:r>
    </w:p>
    <w:p>
      <w:pPr>
        <w:pStyle w:val="BodyText"/>
        <w:spacing w:line="480" w:lineRule="auto"/>
        <w:ind w:firstLine="720"/>
      </w:pPr>
      <w:r>
        <w:t xml:space="preserve">All covariate codings, autonomy, contact cadence, and subsystem class, are drawn from the cited records for the episode. No covariate is imputed from the outcome, and the source string that supports each row’s outcome also supports its covariate codes, so the conditioning variables share the provenance discipline applied to the durations.</w:t>
      </w:r>
    </w:p>
    <w:bookmarkEnd w:id="89"/>
    <w:bookmarkStart w:id="90" w:name="X959c4c4806cff52cc1cc1cb149cfff0ad5b6898"/>
    <w:p>
      <w:pPr>
        <w:pStyle w:val="Heading2"/>
        <w:spacing w:line="480" w:lineRule="auto"/>
      </w:pPr>
      <w:r>
        <w:t xml:space="preserve">4.7 Measurement validity, censoring, and known limitations</w:t>
      </w:r>
    </w:p>
    <w:p>
      <w:pPr>
        <w:pStyle w:val="FirstParagraph"/>
        <w:spacing w:line="480" w:lineRule="auto"/>
      </w:pPr>
      <w:r>
        <w:t xml:space="preserve">Three measurement issues bear directly on the credibility of the estimates and are documented here so that the estimation chapters can reason against them rather than around them.</w:t>
      </w:r>
    </w:p>
    <w:p>
      <w:pPr>
        <w:pStyle w:val="BodyText"/>
        <w:spacing w:line="480" w:lineRule="auto"/>
        <w:ind w:firstLine="720"/>
      </w:pPr>
      <w:r>
        <w:t xml:space="preserve">The first is heterogeneity in recovery-time recording. Because the outcome is assembled from many mission and instrument-team releases rather than from a single instrumented log, the precision with which entry and return are dated varies across episodes. The survival study marks three of its twenty-four duration values, twelve and one-half percent of the rows, as illustrative, meaning that an exact return date was not separately published and a defensible interval was used in its place; the binary study marks one row of thirty-three, under five percent, as illustrative on the same basis. In both papers these flagged rows are a minority and, by the structure of the estimators, do not carry the headline result: the survival result is identified by the full risk-set comparison and the binary result by the within-conditioning contrast, and the papers report that the illustrative rows do not drive the coefficient. The expected direction of any residual measurement error is attenuation. Classical error in a continuous outcome and coarsening at the seven-day threshold both pull an estimated effect toward the null, so the autonomy coefficients reported in both papers are, if anything, conservative relative to the true effect; this is the standard and defensible reading, stated plainly rather than used to inflate the finding.</w:t>
      </w:r>
    </w:p>
    <w:p>
      <w:pPr>
        <w:pStyle w:val="BodyText"/>
        <w:spacing w:line="480" w:lineRule="auto"/>
        <w:ind w:firstLine="720"/>
      </w:pPr>
      <w:r>
        <w:t xml:space="preserve">The second is censoring and the competing-risks question. The survival study handles the one mission-ending non-recovery, Opportunity in 2018, as a right-censored observation, which is the correct native treatment within a single-event Cox framework. The prospectus and the survival paper both note that a mission-ending event is conceptually a competing risk rather than ordinary censoring, because a vehicle that is lost has not merely failed to recover within the window but has exited the risk set for a reason correlated with severity. With a single censored case the competing-risk model cannot be estimated separately, so the dissertation defers the competing-risk treatment to the larger anomaly-database sample and uses ordinary right-censoring here. This is a known and bounded limitation, disclosed rather than hidden, and the measurement scheme records enough about the censored episode, its dated entry and its mission-ending disposition, to support the competing-risk re-estimation when the sample grows.</w:t>
      </w:r>
    </w:p>
    <w:p>
      <w:pPr>
        <w:pStyle w:val="BodyText"/>
        <w:spacing w:line="480" w:lineRule="auto"/>
        <w:ind w:firstLine="720"/>
      </w:pPr>
      <w:r>
        <w:t xml:space="preserve">The third is external validity, which is a property of the sampling frame and therefore a measurement matter. Both episode sets are dominated by NASA and ESA science and Earth-observation platforms, the population for which public per-episode recovery records exist. The estimates describe that population. They need not transfer unchanged to commercial constellations, whose contact economics, autonomy postures, and availability commitments differ, and the papers state this as an explicit scope condition rather than overclaiming generality. The measurement consequence is that the autonomy index, the contact-cadence variable, and the subsystem flags are all calibrated to the operational regimes of government science missions, and any extension to commercial platforms would require recoding these variables against that population’s records rather than assuming the present codings carry over.</w:t>
      </w:r>
    </w:p>
    <w:bookmarkEnd w:id="90"/>
    <w:bookmarkStart w:id="91" w:name="summary"/>
    <w:p>
      <w:pPr>
        <w:pStyle w:val="Heading2"/>
        <w:spacing w:line="480" w:lineRule="auto"/>
      </w:pPr>
      <w:r>
        <w:t xml:space="preserve">4.8 Summary</w:t>
      </w:r>
    </w:p>
    <w:p>
      <w:pPr>
        <w:pStyle w:val="FirstParagraph"/>
        <w:spacing w:line="480" w:lineRule="auto"/>
      </w:pPr>
      <w:r>
        <w:t xml:space="preserve">The empirical foundation of the dissertation is an episode-level dataset of documented spacecraft safe-mode events, assembled from named public sources with per-row provenance. The unit of analysis is the individual safe-mode episode, dated from a public entry record and, where the vehicle recovered, to a public return-to-operations record. The survival study uses twenty-four episodes from sixteen missions with twenty-three recoveries and one right-censored mission-ending case; the binary study uses thirty-three episodes drawn from the same documentary universe under a frame suited to a thresholded outcome. The outcome is constructed as an integer recovery duration in the survival study and as a seven-day prolonged-outage indicator in the binary study, both differenced from the same primary entry-and-return records. The principal explanatory variable, the three-level onboard recovery-autonomy index, is coded identically across both papers from documented fault-detection-isolation-and-recovery and flight-software behavior. Two conditioning dimensions, ground-contact cadence and anomaly subsystem class, are encoded at resolutions matched to each estimator. The known limitations, recording heterogeneity, single-case censoring, and a government-science sampling frame, are documented at the point of measurement so that the estimation chapters inherit a foundation whose strengths and bounds are both explicit.</w:t>
      </w:r>
    </w:p>
    <w:bookmarkEnd w:id="91"/>
    <w:bookmarkEnd w:id="92"/>
    <w:bookmarkStart w:id="109" w:name="chapter-5.-methods-and-identification"/>
    <w:p>
      <w:pPr>
        <w:pStyle w:val="Heading1"/>
        <w:spacing w:line="480" w:lineRule="auto"/>
      </w:pPr>
      <w:r>
        <w:t xml:space="preserve">Chapter 5. Methods and Identification</w:t>
      </w:r>
    </w:p>
    <w:bookmarkStart w:id="93" w:name="what-this-chapter-establishes"/>
    <w:p>
      <w:pPr>
        <w:pStyle w:val="Heading2"/>
        <w:spacing w:line="480" w:lineRule="auto"/>
      </w:pPr>
      <w:r>
        <w:t xml:space="preserve">5.1 What This Chapter Establishes</w:t>
      </w:r>
    </w:p>
    <w:p>
      <w:pPr>
        <w:pStyle w:val="FirstParagraph"/>
        <w:spacing w:line="480" w:lineRule="auto"/>
      </w:pPr>
      <w:r>
        <w:t xml:space="preserve">The preceding chapters fixed the object of study and the claim. Time-to-acquisition after anomaly is a stochastic duration, the interval from first safe-mode entry to confirmed reacquisition of a healthy, commandable vehicle, and the single falsifiable contribution is the effect of onboard recovery autonomy on that duration, conditioned on anomaly subsystem class and ground-contact cadence. This chapter does the methodological work that lets the claim be tested rather than merely asserted. It specifies the two estimators the dissertation uses, states the identification strategy under which the autonomy coefficient can be read as more than a raw correlation, and confronts each threat to validity in turn, bounding it rather than dismissing it. Where the fault-management literature treats onboard recovery as a deterministic property of the autonomy stack</w:t>
      </w:r>
      <w:r>
        <w:t xml:space="preserve"> </w:t>
      </w:r>
      <w:hyperlink w:anchor="ref-1">
        <w:r>
          <w:rPr>
            <w:rStyle w:val="Hyperlink"/>
          </w:rPr>
          <w:t xml:space="preserve">[1]</w:t>
        </w:r>
      </w:hyperlink>
      <w:r>
        <w:t xml:space="preserve">[6], the present design instead treats the recovery interval as an estimable stochastic outcome.</w:t>
      </w:r>
    </w:p>
    <w:p>
      <w:pPr>
        <w:pStyle w:val="BodyText"/>
        <w:spacing w:line="480" w:lineRule="auto"/>
        <w:ind w:firstLine="720"/>
      </w:pPr>
      <w:r>
        <w:t xml:space="preserve">The chapter is organized around three commitments. First, the dissertation estimates the same underlying mechanism twice, with two complementary estimators that answer two different decision questions, so that the headline finding does not rest on a single functional form. Second, identification rests on a within-conditioning comparison whose logic and limits are stated explicitly, including the one confound that the observational design cannot eliminate. Third, every threat to validity is paired with a specific bounding argument, a sensitivity analysis, or a stated scope condition, so that the reader can see exactly how far the claim travels and where it stops. The aim throughout is the modest one appropriate to an observational design on a public anomaly record: to estimate a conditional association cleanly, to argue carefully about the direction and magnitude of any residual bias, and to refuse to overclaim causal identity where the data cannot supply it.</w:t>
      </w:r>
    </w:p>
    <w:bookmarkEnd w:id="93"/>
    <w:bookmarkStart w:id="97" w:name="the-two-estimators"/>
    <w:p>
      <w:pPr>
        <w:pStyle w:val="Heading2"/>
        <w:spacing w:line="480" w:lineRule="auto"/>
      </w:pPr>
      <w:r>
        <w:t xml:space="preserve">5.2 The Two Estimators</w:t>
      </w:r>
    </w:p>
    <w:p>
      <w:pPr>
        <w:pStyle w:val="FirstParagraph"/>
        <w:spacing w:line="480" w:lineRule="auto"/>
      </w:pPr>
      <w:r>
        <w:t xml:space="preserve">The dissertation deploys two estimators against the same recovery interval because the operational question has two decision-relevant forms. The first asks how fast recovery proceeds on average, treating the full duration as the outcome. The second asks how often an episode crosses a downtime threshold that triggers a mission-impact review, collapsing the duration to a binary outcome. These are not redundant questions. A duration model and a threshold model are different decision instruments, and an operator budgets against both: the expected outage that sizes a reserve, and the probability of breaching an availability commitment that sizes a risk posture. Program-level treatments of safe-mode events frame downtime in exactly these budgeted terms</w:t>
      </w:r>
      <w:r>
        <w:t xml:space="preserve"> </w:t>
      </w:r>
      <w:hyperlink w:anchor="ref-7">
        <w:r>
          <w:rPr>
            <w:rStyle w:val="Hyperlink"/>
          </w:rPr>
          <w:t xml:space="preserve">[7]</w:t>
        </w:r>
      </w:hyperlink>
      <w:r>
        <w:t xml:space="preserve">. Estimating both, from the same coded episodes and the same autonomy construct, is a deliberate robustness strategy. If the autonomy effect appears with the predicted sign and significance under two estimators with different functional-form assumptions and different sensitivities to the tail of the distribution, the finding is harder to attribute to an artifact of either specification.</w:t>
      </w:r>
    </w:p>
    <w:bookmarkStart w:id="94" w:name="the-cox-proportional-hazards-estimator"/>
    <w:p>
      <w:pPr>
        <w:pStyle w:val="Heading3"/>
        <w:spacing w:line="480" w:lineRule="auto"/>
      </w:pPr>
      <w:r>
        <w:t xml:space="preserve">5.2.1 The Cox Proportional-Hazards Estimator</w:t>
      </w:r>
    </w:p>
    <w:p>
      <w:pPr>
        <w:pStyle w:val="FirstParagraph"/>
        <w:spacing w:line="480" w:lineRule="auto"/>
      </w:pPr>
      <w:r>
        <w:t xml:space="preserve">The primary estimator is a Cox proportional-hazards model fit by partial likelihood. The recovery hazard for an episode with covariate vector X is</w:t>
      </w:r>
    </w:p>
    <w:p>
      <w:pPr>
        <w:pStyle w:val="BodyText"/>
        <w:spacing w:line="480" w:lineRule="auto"/>
        <w:ind w:firstLine="720"/>
      </w:pPr>
      <w:r>
        <w:t xml:space="preserve">h(t | X) = h0(t) exp(b1 autonomy_idx + b2 contact_gap_hr + b3 cdh_flag),</w:t>
      </w:r>
    </w:p>
    <w:p>
      <w:pPr>
        <w:pStyle w:val="BodyText"/>
        <w:spacing w:line="480" w:lineRule="auto"/>
        <w:ind w:firstLine="720"/>
      </w:pPr>
      <w:r>
        <w:t xml:space="preserve">where h0(t) is an unspecified baseline hazard, autonomy_idx is the ordinal recovery-autonomy index, contact_gap_hr is the characteristic time-to-next-ground-contact in hours, and cdh_flag marks command-and-data-handling, flight-software, or onboard-computer faults. The quantity of interest is exp(b1), the hazard ratio attached to a one-step increase along the autonomy index, that is, the multiplicative change in the instantaneous rate of reaching reacquisition, conditional on not yet having recovered.</w:t>
      </w:r>
    </w:p>
    <w:p>
      <w:pPr>
        <w:pStyle w:val="BodyText"/>
        <w:spacing w:line="480" w:lineRule="auto"/>
        <w:ind w:firstLine="720"/>
      </w:pPr>
      <w:r>
        <w:t xml:space="preserve">The Cox model is the correct primary estimator for three reasons. Each is a property of the data, not a preference of the analyst. First, it imposes no parametric form on the baseline duration distribution. The recovery durations in this domain span two orders of magnitude, from two-day autonomous handoffs to recoveries exceeding a year</w:t>
      </w:r>
      <w:r>
        <w:t xml:space="preserve"> </w:t>
      </w:r>
      <w:hyperlink w:anchor="ref-21">
        <w:r>
          <w:rPr>
            <w:rStyle w:val="Hyperlink"/>
          </w:rPr>
          <w:t xml:space="preserve">[21]</w:t>
        </w:r>
      </w:hyperlink>
      <w:r>
        <w:t xml:space="preserve">, and there is no theoretical warrant for assuming the durations are exponential, Weibull, or log-normal. The semiparametric partial likelihood estimates the autonomy effect without committing to any such shape, which removes a class of misspecification that a fully parametric survival model would introduce. Second, the Cox model handles censoring natively. An episode still safed at the end of the observation window, or terminated by an unrelated event, contributes to the risk sets that precede its censoring time without ever contributing a recovery event, which is exactly the information such an episode carries. This matters because the single most consequential censored case in the empirical work, a low-power fault that never reacquired before mission end, is precisely the kind of episode whose deletion would bias the estimated recovery rate upward; the survival model retains it. Anomalies that terminate a mission are also the class most closely linked to downstream debris hazard</w:t>
      </w:r>
      <w:r>
        <w:t xml:space="preserve"> </w:t>
      </w:r>
      <w:hyperlink w:anchor="ref-24">
        <w:r>
          <w:rPr>
            <w:rStyle w:val="Hyperlink"/>
          </w:rPr>
          <w:t xml:space="preserve">[24]</w:t>
        </w:r>
      </w:hyperlink>
      <w:r>
        <w:t xml:space="preserve">, which is a further reason not to discard them. Third, the hazard ratio is the interpretable unit the operational argument needs. A coefficient that states the multiplicative change in the instantaneous recovery rate per autonomy step maps directly onto the design decision the dissertation is built to inform.</w:t>
      </w:r>
    </w:p>
    <w:p>
      <w:pPr>
        <w:pStyle w:val="BodyText"/>
        <w:spacing w:line="480" w:lineRule="auto"/>
        <w:ind w:firstLine="720"/>
      </w:pPr>
      <w:r>
        <w:t xml:space="preserve">The companion empirical paper estimates this specification over 24 documented episodes drawn from 16 missions, with 23 recovery events and one right-censored episode, using a partial-likelihood implementation. The estimated autonomy coefficient is positive and significant, with a hazard ratio whose 95 percent confidence interval lies entirely above one, the direction and significance predicted by H1. The dissertation does not re-derive that number here; it is reported and interpreted in the empirical chapters. What the present chapter establishes is why that estimator is the right one and under what identification assumptions its autonomy coefficient may be read as the conditional effect the hypothesis names.</w:t>
      </w:r>
    </w:p>
    <w:bookmarkEnd w:id="94"/>
    <w:bookmarkStart w:id="95" w:name="the-binary-logit-estimator"/>
    <w:p>
      <w:pPr>
        <w:pStyle w:val="Heading3"/>
        <w:spacing w:line="480" w:lineRule="auto"/>
      </w:pPr>
      <w:r>
        <w:t xml:space="preserve">5.2.2 The Binary Logit Estimator</w:t>
      </w:r>
    </w:p>
    <w:p>
      <w:pPr>
        <w:pStyle w:val="FirstParagraph"/>
        <w:spacing w:line="480" w:lineRule="auto"/>
      </w:pPr>
      <w:r>
        <w:t xml:space="preserve">The secondary estimator is a binary logistic regression of an indicator for a prolonged outage on the same autonomy index and a parallel pair of controls. The outcome, prolonged, equals one when the documented recovery exceeded a seven-day threshold and zero otherwise. The estimating equation is the standard logit, in which the log-odds of a prolonged outage are linear in the autonomy index, a deep-space regime indicator, and an attitude-or-command-and-data-handling subsystem indicator. The quantity of interest is the odds ratio on the autonomy index, the multiplicative change in the odds of breaching one week of downtime per autonomy step.</w:t>
      </w:r>
    </w:p>
    <w:p>
      <w:pPr>
        <w:pStyle w:val="BodyText"/>
        <w:spacing w:line="480" w:lineRule="auto"/>
        <w:ind w:firstLine="720"/>
      </w:pPr>
      <w:r>
        <w:t xml:space="preserve">Three features of the logit specification are deliberate. First, logit is the appropriate estimator for a dichotomous outcome whose decision meaning is precisely the crossing of a threshold, because its coefficients exponentiate into odds ratios stated in the units operators reason in. Second, the autonomy index enters as a single ordinal covariate rather than as a set of dummies. This is not only a parsimony choice; it is a separation-avoidance choice. In the compiled sample every ground-only recovery episode happened to run long, so a ground-only dummy would induce perfect or quasi-perfect separation and destabilize the maximum-likelihood estimates. Carrying autonomy as one ordinal term keeps the recovery-autonomy effect on a single interpretable coefficient and lets the model converge without a separation warning, which the companion paper confirms it does. Third, the seven-day threshold is a modeling choice tied to the operational practice of treating a one-week outage as a mission-impact event, and Section 5.4 treats the dependence of the result on that cut as an explicit threat to be bounded by sensitivity analysis rather than as a settled parameter.</w:t>
      </w:r>
    </w:p>
    <w:p>
      <w:pPr>
        <w:pStyle w:val="BodyText"/>
        <w:spacing w:line="480" w:lineRule="auto"/>
        <w:ind w:firstLine="720"/>
      </w:pPr>
      <w:r>
        <w:t xml:space="preserve">The logit is estimated over 33 episodes, a larger compiled sample than the survival study because the binary outcome tolerates episodes whose exact resume date is imprecisely published so long as the seven-day breach is unambiguous. The autonomy coefficient is negative and significant at conventional levels, with an odds ratio well below one, the direction predicted by the logit form of the hypothesis. Again, the magnitude is reported and read in the empirical chapters; here the point is that the two estimators, applied to overlapping but not identical samples and resting on different distributional assumptions, agree on the sign and significance of the autonomy effect. That agreement is the robustness the dual-estimator design was built to produce.</w:t>
      </w:r>
    </w:p>
    <w:bookmarkEnd w:id="95"/>
    <w:bookmarkStart w:id="96" w:name="X35ef645f1f3d2a48278a8a8a7905b1fa9c7ab2c"/>
    <w:p>
      <w:pPr>
        <w:pStyle w:val="Heading3"/>
        <w:spacing w:line="480" w:lineRule="auto"/>
      </w:pPr>
      <w:r>
        <w:t xml:space="preserve">5.2.3 Why Two Samples and Two Outcomes Are a Strength</w:t>
      </w:r>
    </w:p>
    <w:p>
      <w:pPr>
        <w:pStyle w:val="FirstParagraph"/>
        <w:spacing w:line="480" w:lineRule="auto"/>
      </w:pPr>
      <w:r>
        <w:t xml:space="preserve">A reader might object that two estimators on two samples invite a charge of specification search. The dissertation forecloses that charge by preregistering the direction of both effects from the same mechanism. The mechanism, a race between a diagnostic-and-reconfiguration clock and a ground-contact clock, predicts that higher autonomy raises the recovery hazard and, equivalently, lowers the odds of a prolonged outage. This is the same status-detection-and-reconfiguration logic that governs onboard self-recovery designs</w:t>
      </w:r>
      <w:r>
        <w:t xml:space="preserve"> </w:t>
      </w:r>
      <w:hyperlink w:anchor="ref-4">
        <w:r>
          <w:rPr>
            <w:rStyle w:val="Hyperlink"/>
          </w:rPr>
          <w:t xml:space="preserve">[4]</w:t>
        </w:r>
      </w:hyperlink>
      <w:r>
        <w:t xml:space="preserve">, expressed here as a testable duration prediction. These are the same prediction expressed in two metrics. There is no specification of the controls or the autonomy coding under which the mechanism predicts a positive hazard effect but a positive odds-of-long-outage effect; the two are logically yoked. Consequently, finding the hazard ratio above one and the odds ratio below one is not two chances to declare success but one mechanism confirmed in two metrics that fail differently under measurement error. The duration model is sensitive to the precise recorded length of each recovery; the binary model is insensitive to length except at the threshold. A measurement artifact that inflated the hazard result by corrupting recorded durations would not, in general, also flip thirty-three episodes across a seven-day line in the same direction. The dual design thus converts a potential weakness into a triangulation.</w:t>
      </w:r>
    </w:p>
    <w:bookmarkEnd w:id="96"/>
    <w:bookmarkEnd w:id="97"/>
    <w:bookmarkStart w:id="101" w:name="the-identification-strategy"/>
    <w:p>
      <w:pPr>
        <w:pStyle w:val="Heading2"/>
        <w:spacing w:line="480" w:lineRule="auto"/>
      </w:pPr>
      <w:r>
        <w:t xml:space="preserve">5.3 The Identification Strategy</w:t>
      </w:r>
    </w:p>
    <w:bookmarkStart w:id="98" w:name="X3ca54898d47cd0ad766a34ecc5b5536168e0560"/>
    <w:p>
      <w:pPr>
        <w:pStyle w:val="Heading3"/>
        <w:spacing w:line="480" w:lineRule="auto"/>
      </w:pPr>
      <w:r>
        <w:t xml:space="preserve">5.3.1 The Estimand and the Comparison That Recovers It</w:t>
      </w:r>
    </w:p>
    <w:p>
      <w:pPr>
        <w:pStyle w:val="FirstParagraph"/>
        <w:spacing w:line="480" w:lineRule="auto"/>
      </w:pPr>
      <w:r>
        <w:t xml:space="preserve">The estimand is the conditional effect of a one-step increase in onboard recovery autonomy on the recovery clock, holding fixed the two factors that most plausibly co-determine recovery speed for reasons unrelated to autonomy: how often the ground can close the loop, captured by the contact-cadence covariate, and what subsystem failed, captured by the subsystem flag. The identifying comparison is therefore a within-conditioning comparison. Among episodes facing comparable contact cadence and the same broad subsystem class, do higher-autonomy recovery paths reach reacquisition at a higher hazard, and do they breach the one-week line less often. The conditioning covariates are not nuisance terms to be reported and ignored; they are the device by which the comparison is made to approximate a like-for-like contrast.</w:t>
      </w:r>
    </w:p>
    <w:p>
      <w:pPr>
        <w:pStyle w:val="BodyText"/>
        <w:spacing w:line="480" w:lineRule="auto"/>
        <w:ind w:firstLine="720"/>
      </w:pPr>
      <w:r>
        <w:t xml:space="preserve">The logic of the conditioning is grounded in the mechanism. The contact clock is the rival explanation for fast recovery: a vehicle with frequent passes can be ground-recovered quickly without any onboard autonomy at all, so unless contact cadence is held fixed, an autonomy coefficient could simply be picking up the tendency of frequently passed, low-autonomy observatories to recover fast. The dependence of recovery on ground-contact cadence is well documented in distributed and autonomously managed space systems</w:t>
      </w:r>
      <w:r>
        <w:t xml:space="preserve"> </w:t>
      </w:r>
      <w:hyperlink w:anchor="ref-10">
        <w:r>
          <w:rPr>
            <w:rStyle w:val="Hyperlink"/>
          </w:rPr>
          <w:t xml:space="preserve">[10]</w:t>
        </w:r>
      </w:hyperlink>
      <w:r>
        <w:t xml:space="preserve">. Including contact_gap_hr as a covariate, and in the logit including a deep-space regime indicator that proxies the sparse-contact regime, blocks that path. The subsystem class is the second rival explanation: a fault that is cleared by an uplinked software patch may recover faster than one requiring physical reconfiguration, independently of how much of the recovery is resident onboard. Conditioning on the command-and-data-handling flag, and in the logit on an attitude-or-command-and-data-handling indicator, blocks that path. With both blocked, the residual variation in recovery speed that aligns with the autonomy index is the variation the estimand is meant to capture.</w:t>
      </w:r>
    </w:p>
    <w:bookmarkEnd w:id="98"/>
    <w:bookmarkStart w:id="99" w:name="X8850312b6c0272522bc08726748d51c9d0ef554"/>
    <w:p>
      <w:pPr>
        <w:pStyle w:val="Heading3"/>
        <w:spacing w:line="480" w:lineRule="auto"/>
      </w:pPr>
      <w:r>
        <w:t xml:space="preserve">5.3.2 Censoring and the Competing-Risk Boundary</w:t>
      </w:r>
    </w:p>
    <w:p>
      <w:pPr>
        <w:pStyle w:val="FirstParagraph"/>
        <w:spacing w:line="480" w:lineRule="auto"/>
      </w:pPr>
      <w:r>
        <w:t xml:space="preserve">Identification also requires correct treatment of episodes that do not end in a clean recovery. The dissertation distinguishes two kinds of incomplete episode and treats them differently, because conflating them would bias the estimate. An episode still safed at the end of the observation window, or interrupted by an event unrelated to the recovery process, is genuinely right-censored: the recovery event is simply unobserved, and the Cox partial likelihood handles it by counting the episode in the risk sets it survives without crediting it a recovery. A mission-ending anomaly, by contrast, is not a censored recovery but a different event entirely, a competing risk, because the vehicle has exited the population at risk of recovering for a reason that is itself part of the phenomenon. The recovery record of vehicles that lapse into a non-operational state, and the conditions under which they can be brought back, is itself an active object of study</w:t>
      </w:r>
      <w:r>
        <w:t xml:space="preserve"> </w:t>
      </w:r>
      <w:hyperlink w:anchor="ref-11">
        <w:r>
          <w:rPr>
            <w:rStyle w:val="Hyperlink"/>
          </w:rPr>
          <w:t xml:space="preserve">[11]</w:t>
        </w:r>
      </w:hyperlink>
      <w:r>
        <w:t xml:space="preserve">. Treating a mission-ending fault as ordinary censoring would implicitly assume the ended mission would eventually have recovered on the same hazard schedule as the survivors, which is exactly the survivorship error to avoid. The dissertation’s principled treatment is to model mission-ending events as a competing risk rather than as censoring. The empirical work flags that with a single mission-ending censored case in the smaller survival sample the competing-risk component cannot yet be separately estimated, and so the full competing-risk model is named as the specification the larger anomaly-database sample is intended to support. This is stated as a boundary on the present estimate, not papered over.</w:t>
      </w:r>
    </w:p>
    <w:bookmarkEnd w:id="99"/>
    <w:bookmarkStart w:id="100" w:name="Xadb8985722b5a10dbe5db28014cb32aecfae67d"/>
    <w:p>
      <w:pPr>
        <w:pStyle w:val="Heading3"/>
        <w:spacing w:line="480" w:lineRule="auto"/>
      </w:pPr>
      <w:r>
        <w:t xml:space="preserve">5.3.3 The Limit of Identification: What the Design Cannot Claim</w:t>
      </w:r>
    </w:p>
    <w:p>
      <w:pPr>
        <w:pStyle w:val="FirstParagraph"/>
        <w:spacing w:line="480" w:lineRule="auto"/>
      </w:pPr>
      <w:r>
        <w:t xml:space="preserve">The identification strategy is honest about its ceiling. Conditioning on contact cadence and subsystem class recovers a clean conditional association. It does not, by itself, license a causal interpretation, because the assignment of autonomy to missions is not random. Better-resourced programs may field both more onboard recovery autonomy and faster recovery for reasons the covariates do not capture: more mature flight software, more experienced operations teams, more redundant hardware, more generous testing. This is the autonomy-index confound, and it is the single most important threat to the dissertation, treated at length in the next section. The point to register here, as a property of the identification strategy itself, is that within-conditioning comparison, fixed effects for mission phase and platform class, and a per-platform frailty term for unobserved heterogeneity are the strongest tools the observational design affords, and they mitigate the confound without eliminating it. Eliminating it would require an instrument for autonomy or a within-platform design that compares the same vehicle across episodes of differing autonomy, neither of which the public anomaly record currently supplies at adequate sample size. The dissertation therefore reports the autonomy coefficient as an identified conditional effect under the stated conditioning, and as a conditional association rather than a fully identified causal parameter with respect to the unobserved-resourcing confound. That dual characterization is the precise and defensible claim the data support.</w:t>
      </w:r>
    </w:p>
    <w:bookmarkEnd w:id="100"/>
    <w:bookmarkEnd w:id="101"/>
    <w:bookmarkStart w:id="106" w:name="X1d189e0776bd0a9225211f020d00b109bd29bed"/>
    <w:p>
      <w:pPr>
        <w:pStyle w:val="Heading2"/>
        <w:spacing w:line="480" w:lineRule="auto"/>
      </w:pPr>
      <w:r>
        <w:t xml:space="preserve">5.4 Threats to Validity and How Each Is Bounded</w:t>
      </w:r>
    </w:p>
    <w:p>
      <w:pPr>
        <w:pStyle w:val="FirstParagraph"/>
        <w:spacing w:line="480" w:lineRule="auto"/>
      </w:pPr>
      <w:r>
        <w:t xml:space="preserve">Four threats dominate, and each is paired with a specific bounding argument. The discipline of the section is that no threat is merely acknowledged; each is either bounded by a sensitivity analysis, absorbed by a modeling device, signed by a direction-of-bias argument, or fenced by a stated scope condition.</w:t>
      </w:r>
    </w:p>
    <w:bookmarkStart w:id="102" w:name="measurement-error-in-the-outcome"/>
    <w:p>
      <w:pPr>
        <w:pStyle w:val="Heading3"/>
        <w:spacing w:line="480" w:lineRule="auto"/>
      </w:pPr>
      <w:r>
        <w:t xml:space="preserve">5.4.1 Measurement Error in the Outcome</w:t>
      </w:r>
    </w:p>
    <w:p>
      <w:pPr>
        <w:pStyle w:val="FirstParagraph"/>
        <w:spacing w:line="480" w:lineRule="auto"/>
      </w:pPr>
      <w:r>
        <w:t xml:space="preserve">Recovery-time recording is heterogeneous across the public anomaly record. Some missions publish exact entry and resume dates; others report recovery only to integer-day resolution or describe a return to operations without a separable date. A minority of durations in each compiled sample are marked illustrative where an exact resume date was not published. The threat is that this measurement error in the outcome biases the autonomy coefficient. The bounding argument has two parts. First, the direction of the likely bias is signed: classical measurement error in a survival outcome that is uncorrelated with the autonomy index attenuates the estimated effect toward the null, so the heterogeneity in recording most plausibly works against the hypothesis rather than manufacturing it, and a coefficient that survives attenuation is a conservative finding. Second, the magnitude is bounded by sensitivity analysis. The dissertation varies the definition of acquisition confirmation, re-estimating under alternative codings of what counts as a confirmed return to operations, and reports whether the autonomy coefficient retains its sign and significance across those definitions. Machine-learning treatments of telemetry-based anomaly detection face the same recording-heterogeneity problem when fixing the onset and clearance of a fault</w:t>
      </w:r>
      <w:r>
        <w:t xml:space="preserve"> </w:t>
      </w:r>
      <w:hyperlink w:anchor="ref-8">
        <w:r>
          <w:rPr>
            <w:rStyle w:val="Hyperlink"/>
          </w:rPr>
          <w:t xml:space="preserve">[8]</w:t>
        </w:r>
      </w:hyperlink>
      <w:r>
        <w:t xml:space="preserve">. The binary estimator supplies a third bound: because the logit outcome depends on recorded duration only through whether it crosses seven days, the illustrative and integer-rounded durations affect the binary result only when they sit near the threshold, so the agreement of the two estimators is itself evidence that outcome measurement error is not driving the finding.</w:t>
      </w:r>
    </w:p>
    <w:bookmarkEnd w:id="102"/>
    <w:bookmarkStart w:id="103" w:name="survivorship-and-reporting-bias"/>
    <w:p>
      <w:pPr>
        <w:pStyle w:val="Heading3"/>
        <w:spacing w:line="480" w:lineRule="auto"/>
      </w:pPr>
      <w:r>
        <w:t xml:space="preserve">5.4.2 Survivorship and Reporting Bias</w:t>
      </w:r>
    </w:p>
    <w:p>
      <w:pPr>
        <w:pStyle w:val="FirstParagraph"/>
        <w:spacing w:line="480" w:lineRule="auto"/>
      </w:pPr>
      <w:r>
        <w:t xml:space="preserve">Severe anomalies that end a mission may be underrepresented as recoveries in the record, and dramatic recoveries may be overreported relative to routine ones. Either pattern could distort the estimated recovery hazard. The bounding device is the competing-risk treatment described in Section 5.3.2: modeling mission-ending events as a competing risk rather than as censoring is precisely the correction for the survivorship form of this bias, because it stops the model from assuming that ended missions would have recovered on the survivors’ schedule. For the reporting-intensity form of the bias, the dissertation’s defense is the provenance discipline of the data design. Every episode carries its source string, and the inclusion rule is documentary rather than narrative: an episode enters if a public record supplies an entry date, a subsystem, and either a resume date or a censoring reason, regardless of how dramatic the episode was. That rule does not eliminate reporting bias, but it makes the sampling frame inspectable and the scope condition in Section 5.4.4 enforceable.</w:t>
      </w:r>
    </w:p>
    <w:bookmarkEnd w:id="103"/>
    <w:bookmarkStart w:id="104" w:name="the-autonomy-index-confound"/>
    <w:p>
      <w:pPr>
        <w:pStyle w:val="Heading3"/>
        <w:spacing w:line="480" w:lineRule="auto"/>
      </w:pPr>
      <w:r>
        <w:t xml:space="preserve">5.4.3 The Autonomy-Index Confound</w:t>
      </w:r>
    </w:p>
    <w:p>
      <w:pPr>
        <w:pStyle w:val="FirstParagraph"/>
        <w:spacing w:line="480" w:lineRule="auto"/>
      </w:pPr>
      <w:r>
        <w:t xml:space="preserve">This is the chief threat, and the dissertation neither minimizes nor pretends to defeat it. The concern is that autonomy is not randomly assigned, so the autonomy coefficient may absorb the effect of unobserved mission resourcing that independently speeds recovery. The mitigation is layered. Within-class, within-cadence comparison removes the two most obvious observable confounders. Mission-phase and platform-class fixed effects absorb the most plausible structural sources of differential resourcing, on the argument that platforms of the same class in the same phase are more nearly comparable in the unobserved respects that worry us. A per-platform frailty term captures residual unobserved heterogeneity across vehicles, so that a single well-run platform contributing several fast recoveries does not masquerade as an autonomy effect. Autonomous fault diagnosis and root-cause determination are themselves platform-specific capabilities</w:t>
      </w:r>
      <w:r>
        <w:t xml:space="preserve"> </w:t>
      </w:r>
      <w:hyperlink w:anchor="ref-13">
        <w:r>
          <w:rPr>
            <w:rStyle w:val="Hyperlink"/>
          </w:rPr>
          <w:t xml:space="preserve">[13]</w:t>
        </w:r>
      </w:hyperlink>
      <w:r>
        <w:t xml:space="preserve">, which is why the residual heterogeneity they induce is modeled at the platform level. The companion empirical work notes that the fixed-effects and frailty layers are deferred in the small-sample papers for degrees-of-freedom reasons and are the explicit next step at the dissertation’s larger sample, which is the right sequencing: estimate the headline coefficient first, then progressively harden it against the confound as sample size permits. What the dissertation will not do is claim the confound eliminated. Absent an instrument or a within-platform identification design, the residual possibility that resourcing rather than autonomy drives part of the effect is stated as a live limitation, and the coefficient is reported as conditional association with respect to it. This candor is itself a validity safeguard, because it prevents the reader from mistaking a well-conditioned observational estimate for an experimental one.</w:t>
      </w:r>
    </w:p>
    <w:bookmarkEnd w:id="104"/>
    <w:bookmarkStart w:id="105" w:name="Xcb733652d3d66bf9b603e50acf4de433cfcdcf1"/>
    <w:p>
      <w:pPr>
        <w:pStyle w:val="Heading3"/>
        <w:spacing w:line="480" w:lineRule="auto"/>
      </w:pPr>
      <w:r>
        <w:t xml:space="preserve">5.4.4 External Validity and the Scope Condition</w:t>
      </w:r>
    </w:p>
    <w:p>
      <w:pPr>
        <w:pStyle w:val="FirstParagraph"/>
        <w:spacing w:line="480" w:lineRule="auto"/>
      </w:pPr>
      <w:r>
        <w:t xml:space="preserve">The compiled record is dominated by NASA and ESA science and Earth-observation platforms, including deep-space vehicles whose contact economics differ sharply from those of commercial constellations. The threat is that the estimated effect of autonomy on the recovery clock does not transfer to populations with different contact cadence, different operational tempo, and different recovery economics, such as large commercial low-Earth-orbit constellations with near-continuous contact and standardized buses. The dissertation bounds this not by a statistical correction, which would be inappropriate for a population-transfer question, but by a stated scope condition. The estimand describes the sampled population of NASA-class and ESA-class science and Earth-observation missions, and the dissertation declines to extend the point estimate to commercial constellations without re-estimation on a representative sample of those platforms. Stating the scope condition explicitly, rather than implying universality, is the correct treatment: it tells the reader exactly which decisions the coefficient can inform, namely autonomy-investment decisions for missions resembling those in the frame, and which it cannot. The contact-cadence covariate gives a partial internal check on transferability, because it lets the model express how the recovery clock responds to contact sparsity within the sample, but the dissertation treats cross-population generalization as an empirical question for future work rather than an assumption to be smuggled in.</w:t>
      </w:r>
    </w:p>
    <w:bookmarkEnd w:id="105"/>
    <w:bookmarkEnd w:id="106"/>
    <w:bookmarkStart w:id="107" w:name="X9f62919f0b69c262c321e7337293eafa4176785"/>
    <w:p>
      <w:pPr>
        <w:pStyle w:val="Heading2"/>
        <w:spacing w:line="480" w:lineRule="auto"/>
      </w:pPr>
      <w:r>
        <w:t xml:space="preserve">5.5 The Proportional-Hazards Assumption and Model Diagnostics</w:t>
      </w:r>
    </w:p>
    <w:p>
      <w:pPr>
        <w:pStyle w:val="FirstParagraph"/>
        <w:spacing w:line="480" w:lineRule="auto"/>
      </w:pPr>
      <w:r>
        <w:t xml:space="preserve">One assumption is internal to the primary estimator and deserves separate treatment because it can be checked rather than merely argued. The Cox model assumes that covariate effects are proportional over time, that is, that the hazard ratio attached to autonomy is constant across the recovery interval rather than, say, large early and fading late. The dissertation tests this assumption with Schoenfeld residuals, the standard diagnostic for proportional hazards, regressing the scaled residuals on time to detect any systematic trend that would indicate a time-varying effect. Where a covariate violates proportionality, the remedy is built into the design: that covariate is given a stratified baseline hazard, so the model allows each stratum its own h0(t) while still estimating a common autonomy effect, which preserves the interpretability of the autonomy coefficient without forcing a false constancy on the offending covariate. The empirical chapters note that the proportional-hazards check is properly run on the larger anomaly-database sample, since residual diagnostics are uninformative at very small event counts, and that the small-sample papers assume proportionality rather than test it. This sequencing is again deliberate and stated: the assumption is named, the diagnostic is specified, the remedy is pre-committed, and the sample at which the check becomes meaningful is identified.</w:t>
      </w:r>
    </w:p>
    <w:bookmarkEnd w:id="107"/>
    <w:bookmarkStart w:id="108" w:name="summary-1"/>
    <w:p>
      <w:pPr>
        <w:pStyle w:val="Heading2"/>
        <w:spacing w:line="480" w:lineRule="auto"/>
      </w:pPr>
      <w:r>
        <w:t xml:space="preserve">5.6 Summary</w:t>
      </w:r>
    </w:p>
    <w:p>
      <w:pPr>
        <w:pStyle w:val="FirstParagraph"/>
        <w:spacing w:line="480" w:lineRule="auto"/>
      </w:pPr>
      <w:r>
        <w:t xml:space="preserve">The dissertation estimates one mechanism with two estimators. The Cox proportional-hazards model treats the full recovery interval as a censored time-to-event outcome, makes no parametric commitment on the baseline duration, handles the consequential censored case natively, and yields the autonomy effect as an interpretable hazard ratio. The binary logit model treats the crossing of an operationally meaningful seven-day threshold as the outcome, states the autonomy effect as an odds ratio in the units operators budget against, and carries autonomy as a single ordinal term to avoid the separation that a ground-only dummy would induce. The two estimators rest on different distributional assumptions and fail differently under measurement error, so their agreement on the sign and significance of the autonomy effect is a triangulation rather than a repetition.</w:t>
      </w:r>
    </w:p>
    <w:p>
      <w:pPr>
        <w:pStyle w:val="BodyText"/>
        <w:spacing w:line="480" w:lineRule="auto"/>
        <w:ind w:firstLine="720"/>
      </w:pPr>
      <w:r>
        <w:t xml:space="preserve">Identification rests on a within-conditioning comparison that holds contact cadence and subsystem class fixed, distinguishes genuine censoring from the competing risk of mission-ending events, and reaches its honest ceiling at the autonomy-index confound, which observational conditioning, fixed effects, and a frailty term mitigate but cannot eliminate without an instrument or a within-platform design. Each of the four dominant threats to validity is bounded by a specific device: outcome measurement error is signed as attenuating and bounded by an acquisition-definition sensitivity analysis; survivorship and reporting bias are addressed by competing-risk modeling and a documentary inclusion rule; the autonomy confound is layered with conditioning, fixed effects, and frailty and then reported transparently as conditional association; and external validity is fenced by an explicit scope condition rather than overclaimed. The proportional-hazards assumption is checked with Schoenfeld residuals and remedied by stratification where it fails. The result is a method that estimates the autonomy coefficient cleanly, argues carefully about the direction and size of any residual bias, and states precisely how far the resulting claim travels.</w:t>
      </w:r>
    </w:p>
    <w:bookmarkEnd w:id="108"/>
    <w:bookmarkEnd w:id="109"/>
    <w:bookmarkStart w:id="120"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dissertation. The two studies reported here are complementary instruments aimed at a single quantity of interest, the marginal effect of onboard recovery autonomy on how quickly a safed spacecraft returns to a commandable, operational state. The first study models the recovery interval as a continuous time-to-event outcome and estimates a Cox proportional-hazards specification over twenty-four documented safe-mode episodes. The second study recasts the same operational concern as a binary decision instrument, asking whether an episode breaches a seven-day downtime threshold, and estimates a logistic regression over thirty-three episodes. The two are not redundant. The hazard model characterizes how autonomy shifts the entire recovery-time distribution; the logit model isolates the decision-relevant tail that operators actually budget against. Read together, they triangulate the autonomy effect from two estimators, two outcome encodings, and two overlapping but distinct samples. The tables, the hazard formula, the coefficient plots, and the underlying episode-level data are reproduced in Appendix A; this chapter confines itself to reporting the estimated quantities and explaining what each one means.</w:t>
      </w:r>
    </w:p>
    <w:p>
      <w:pPr>
        <w:pStyle w:val="BodyText"/>
        <w:spacing w:line="480" w:lineRule="auto"/>
        <w:ind w:firstLine="720"/>
      </w:pPr>
      <w:r>
        <w:t xml:space="preserve">The organizing logic of the chapter follows the dissertation’s central commitment to a single falsifiable claim. Each study was preregistered around one coefficient: the effect of the ordinal recovery-autonomy index on the outcome, conditional on operating regime or contact cadence and on anomaly subsystem class. Everything else in the specification exists to defend the interpretability of that one coefficient. I therefore report the autonomy estimate first and in full detail in each study, then the conditioning covariates, then the model-level fit, and finally a synthesis across the two studies. Throughout, I distinguish carefully between what the point estimates show, what the standard errors and p-values license me to claim, and what the sample size and provenance forbid me from overclaiming.</w:t>
      </w:r>
    </w:p>
    <w:bookmarkStart w:id="113" w:name="X90d51cc9eb3df92b46742e385094bd6c610fe04"/>
    <w:p>
      <w:pPr>
        <w:pStyle w:val="Heading2"/>
        <w:spacing w:line="480" w:lineRule="auto"/>
      </w:pPr>
      <w:r>
        <w:t xml:space="preserve">6.1 Study One: The Cox Proportional-Hazards Estimate</w:t>
      </w:r>
    </w:p>
    <w:bookmarkStart w:id="110" w:name="the-autonomy-coefficient"/>
    <w:p>
      <w:pPr>
        <w:pStyle w:val="Heading3"/>
        <w:spacing w:line="480" w:lineRule="auto"/>
      </w:pPr>
      <w:r>
        <w:t xml:space="preserve">6.1.1 The autonomy coefficient</w:t>
      </w:r>
    </w:p>
    <w:p>
      <w:pPr>
        <w:pStyle w:val="FirstParagraph"/>
        <w:spacing w:line="480" w:lineRule="auto"/>
      </w:pPr>
      <w:r>
        <w:t xml:space="preserve">The first study estimates a Cox proportional-hazards model by partial likelihood over twenty-four safe-mode episodes, of which twenty-three terminate in a confirmed recovery event and one is right-censored. The single censored episode is Opportunity in 2018, which entered a low-power fault during the planet-encircling Martian dust storm and never reacquired before the mission was declared complete. Treating that case as right-censored rather than dropping it is the methodological reason a survival model is preferred to an ordinary regression on completed durations; excluding the mission-ending case would bias the estimated recovery rate upward by discarding precisely the slowest, most consequential outcome.</w:t>
      </w:r>
    </w:p>
    <w:p>
      <w:pPr>
        <w:pStyle w:val="BodyText"/>
        <w:spacing w:line="480" w:lineRule="auto"/>
        <w:ind w:firstLine="720"/>
      </w:pPr>
      <w:r>
        <w:t xml:space="preserve">The estimated coefficient on the autonomy index, autonomy_idx, is 1.3689, with a standard error of 0.4355. The associated z-statistic is 3.14 and the p-value is 0.0017. This coefficient is the log hazard ratio for a one-step increase along the ordinal autonomy scale, that is, the change in the log of the instantaneous recovery rate associated with moving from ground-loop manual recovery to scripted onboard safing, or from scripted safing to adaptive autonomous reconfiguration. Exponentiating the coefficient converts it into a hazard ratio of 3.93. The 95 percent confidence interval on that hazard ratio runs from 1.67 to 9.23. The entire interval lies above unity. The null hypothesis of no autonomy effect is therefore rejected at conventional levels, and the rejection is decisive rather than marginal: the p-value of 0.0017 sits well inside the one percent threshold.</w:t>
      </w:r>
    </w:p>
    <w:p>
      <w:pPr>
        <w:pStyle w:val="BodyText"/>
        <w:spacing w:line="480" w:lineRule="auto"/>
        <w:ind w:firstLine="720"/>
      </w:pPr>
      <w:r>
        <w:t xml:space="preserve">The substantive meaning of a hazard ratio of 3.93 deserves precise statement. The hazard in a Cox model is the instantaneous rate of experiencing the event, here completing recovery, conditional on not yet having recovered. A hazard ratio of 3.93 says that at any given moment during a safe-mode episode, holding contact cadence and subsystem class fixed, a vehicle whose recovery path sits one step higher on the autonomy index is recovering at roughly 3.9 times the instantaneous rate of an otherwise comparable vehicle one step lower. Because the index spans three ordered levels, the modeled contrast between a fully ground-dependent recovery and a fully adaptive autonomous one compounds across two steps. The gradient is steep. Across the documented episodes, the resident-and-adaptive recovery paths reach reacquisition far sooner, at every point in the recovery process, than the ground-diagnosed paths. This is exactly the direction and the significance that hypothesis H1 predicted, and it is the headline result of the study.</w:t>
      </w:r>
    </w:p>
    <w:p>
      <w:pPr>
        <w:pStyle w:val="BodyText"/>
        <w:spacing w:line="480" w:lineRule="auto"/>
        <w:ind w:firstLine="720"/>
      </w:pPr>
      <w:r>
        <w:t xml:space="preserve">The mechanism implied by the estimate is the one developed in the theory chapter and reinforced by the detection literature. The recovery of a safed vehicle is a race between two clocks, the diagnostic-and-reconfiguration clock internal to the vehicle and the cadence clock at which the ground can observe, command, and confirm. Onboard recovery autonomy attacks the internal clock and partially decouples the vehicle from the ground cadence, advancing its own recovery between contacts rather than idling until the next pass. The same architectural move that has already been demonstrated for onboard fault detection, diagnosis, and root-cause determination</w:t>
      </w:r>
      <w:r>
        <w:t xml:space="preserve"> </w:t>
      </w:r>
      <w:hyperlink w:anchor="ref-1">
        <w:r>
          <w:rPr>
            <w:rStyle w:val="Hyperlink"/>
          </w:rPr>
          <w:t xml:space="preserve">[1]</w:t>
        </w:r>
      </w:hyperlink>
      <w:r>
        <w:t xml:space="preserve">[6], and that telemetry-side machine-learning pipelines have pushed toward near-real-time anomaly characterization</w:t>
      </w:r>
      <w:r>
        <w:t xml:space="preserve"> </w:t>
      </w:r>
      <w:hyperlink w:anchor="ref-2">
        <w:r>
          <w:rPr>
            <w:rStyle w:val="Hyperlink"/>
          </w:rPr>
          <w:t xml:space="preserve">[2]</w:t>
        </w:r>
      </w:hyperlink>
      <w:r>
        <w:t xml:space="preserve">[3], appears here to compress the costlier recovery latency when it is applied to the recovery path itself rather than only to detection.</w:t>
      </w:r>
    </w:p>
    <w:bookmarkEnd w:id="110"/>
    <w:bookmarkStart w:id="111" w:name="the-conditioning-covariates-1"/>
    <w:p>
      <w:pPr>
        <w:pStyle w:val="Heading3"/>
        <w:spacing w:line="480" w:lineRule="auto"/>
      </w:pPr>
      <w:r>
        <w:t xml:space="preserve">6.1.2 The conditioning covariates</w:t>
      </w:r>
    </w:p>
    <w:p>
      <w:pPr>
        <w:pStyle w:val="FirstParagraph"/>
        <w:spacing w:line="480" w:lineRule="auto"/>
      </w:pPr>
      <w:r>
        <w:t xml:space="preserve">The two conditioning covariates are not individually distinguishable from zero in this sample, and this pattern is itself informative rather than disappointing. Time-to-next-ground-contact, contact_gap_hr, carries a coefficient of -0.0047 with a standard error of 0.0207 and a p-value of 0.8185. The corresponding hazard ratio is 0.995, with a confidence interval that straddles unity. The point estimate is essentially null, and its sign, very slightly negative, would if taken literally imply that longer contact gaps marginally lower the recovery hazard, but the estimate is so imprecise and so close to zero that no directional claim is warranted. The operationally important reading is that once autonomy is held fixed, raw contact frequency does not exhibit an independent effect on the recovery rate. This is consistent with the dissertation’s thesis that the operative margin is the autonomy with which a vehicle can act between contacts, not the bare frequency of the contacts themselves. A vehicle that can only wait for the ground is hostage to the contact clock. A vehicle that can advance its own recovery is comparatively indifferent to it, and the near-null contact coefficient is what that indifference looks like in the data once autonomy is conditioned out.</w:t>
      </w:r>
    </w:p>
    <w:p>
      <w:pPr>
        <w:pStyle w:val="BodyText"/>
        <w:spacing w:line="480" w:lineRule="auto"/>
        <w:ind w:firstLine="720"/>
      </w:pPr>
      <w:r>
        <w:t xml:space="preserve">The command-and-data-handling subsystem flag, cdh_flag, carries a coefficient of 0.4973 with a standard error of 0.5191 and a p-value of 0.3381. Exponentiating yields a hazard ratio of 1.64, with a confidence interval from 0.59 to 4.55 that comfortably contains unity. The point estimate is suggestive in a physically plausible direction. A hazard ratio of 1.64 would imply that command-and-data-handling, flight-software, and onboard-computer or memory faults recover somewhat faster than attitude, power, and propulsion faults, which is consistent with the intuition that software and computer faults are often addressed by an uplinked patch or a memory reload rather than by physical reconfiguration of hardware. But the standard error is larger than the coefficient, the p-value is far from significance, and the confidence interval spans a factor of nearly eight. The estimate is too imprecise at this sample size to support any claim about subsystem class. I decline to make one. Its proper role in the model is as a conditioning covariate that absorbs subsystem-related variance so that the autonomy coefficient is read within rather than across subsystem classes, and it performs that role regardless of its own significance.</w:t>
      </w:r>
    </w:p>
    <w:bookmarkEnd w:id="111"/>
    <w:bookmarkStart w:id="112" w:name="X1b8eb4534a8a7d88d22e24ccfd0614c32f99c65"/>
    <w:p>
      <w:pPr>
        <w:pStyle w:val="Heading3"/>
        <w:spacing w:line="480" w:lineRule="auto"/>
      </w:pPr>
      <w:r>
        <w:t xml:space="preserve">6.1.3 Model fit and the structure of the result</w:t>
      </w:r>
    </w:p>
    <w:p>
      <w:pPr>
        <w:pStyle w:val="FirstParagraph"/>
        <w:spacing w:line="480" w:lineRule="auto"/>
      </w:pPr>
      <w:r>
        <w:t xml:space="preserve">The model summarizes twenty-four episodes and twenty-three recovery events. The single right-censored observation contributes to the partial likelihood through its risk-set membership at each event time without itself supplying an event, which is the native handling of censoring that motivates the survival framework. The clean separation of the three coefficients, one strongly significant and two indistinguishable from zero, gives the result an interpretable structure. It is the autonomy margin, and neither the contact margin nor the subsystem-class margin, that moves the recovery hazard in this sample, and it moves it strongly. That the conditioning covariates are insignificant does not weaken the autonomy finding; on the contrary, it shows that the autonomy effect is not an artifact of one of the controls masquerading as autonomy. The autonomy coefficient survives conditioning on the two factors most likely to confound it, and it survives them while remaining large and precisely estimated.</w:t>
      </w:r>
    </w:p>
    <w:p>
      <w:pPr>
        <w:pStyle w:val="BodyText"/>
        <w:spacing w:line="480" w:lineRule="auto"/>
        <w:ind w:firstLine="720"/>
      </w:pPr>
      <w:r>
        <w:t xml:space="preserve">I record one important interpretive caution that the discussion chapter develops further. The autonomy index is the chief confounding risk in this design. Better-resourced missions may field both more onboard recovery autonomy and faster recovery for reasons unrelated to the autonomy itself, and with twenty-four episodes the model cannot yet carry mission-phase and platform-class fixed effects or a per-platform frailty term without exhausting its degrees of freedom. The autonomy coefficient should therefore be read as a conditional association on this sample, signed and sized as H1 predicted, rather than as an identified causal effect. The measurement of recovery duration is also heterogeneous across the public releases that supply the data, and three of the twenty-four durations are flagged as illustrative where an exact return date was not published, while all durations are recorded at integer-day resolution. Classical measurement error of this kind most plausibly attenuates the autonomy coefficient toward zero rather than inflating it, so it is a conservative threat: the true effect, if anything, is likely steeper than the estimated hazard ratio of 3.93, not shallower.</w:t>
      </w:r>
    </w:p>
    <w:bookmarkEnd w:id="112"/>
    <w:bookmarkEnd w:id="113"/>
    <w:bookmarkStart w:id="118" w:name="Xb52703df584fe219d7d8f234228044841bf271c"/>
    <w:p>
      <w:pPr>
        <w:pStyle w:val="Heading2"/>
        <w:spacing w:line="480" w:lineRule="auto"/>
      </w:pPr>
      <w:r>
        <w:t xml:space="preserve">6.2 Study Two: The Logistic Estimate of Prolonged-Outage Odds</w:t>
      </w:r>
    </w:p>
    <w:bookmarkStart w:id="114" w:name="the-autonomy-coefficient-1"/>
    <w:p>
      <w:pPr>
        <w:pStyle w:val="Heading3"/>
        <w:spacing w:line="480" w:lineRule="auto"/>
      </w:pPr>
      <w:r>
        <w:t xml:space="preserve">6.2.1 The autonomy coefficient</w:t>
      </w:r>
    </w:p>
    <w:p>
      <w:pPr>
        <w:pStyle w:val="FirstParagraph"/>
        <w:spacing w:line="480" w:lineRule="auto"/>
      </w:pPr>
      <w:r>
        <w:t xml:space="preserve">The second study estimates a binary logistic regression over thirty-three documented safe-mode episodes. The outcome, prolonged, equals one when the documented recovery exceeded seven days and zero otherwise. The seven-day cut is the threshold at which many operations organizations treat an outage as a mission-impact event warranting formal review, which is why it is the operationally meaningful line to model. The estimand is again a single coefficient, the effect of the ordinal autonomy index on the log-odds that an episode crosses that line, conditioning on operating regime and anomaly subsystem class.</w:t>
      </w:r>
    </w:p>
    <w:p>
      <w:pPr>
        <w:pStyle w:val="BodyText"/>
        <w:spacing w:line="480" w:lineRule="auto"/>
        <w:ind w:firstLine="720"/>
      </w:pPr>
      <w:r>
        <w:t xml:space="preserve">The estimated coefficient on the autonomy index is -2.5743, with a standard error of 1.1629. The z-statistic yields a p-value of 0.0268. The sign is negative and the effect is significant at the five percent level, so the null hypothesis is rejected in favor of H1: greater onboard recovery autonomy lowers the odds of a prolonged outage. Exponentiating the coefficient gives an odds ratio of approximately 0.076. In operational terms, each one-step rise in the autonomy index, moving from ground-only recovery to scripted onboard safing, or from scripted safing to adaptive autonomous reconfiguration, multiplies the odds of breaching the seven-day threshold by roughly 0.076. Equivalently, within this sample and conditional on the controls, a one-level gain in recovery autonomy cuts the odds of a long outage by approximately ninety-two percent.</w:t>
      </w:r>
    </w:p>
    <w:p>
      <w:pPr>
        <w:pStyle w:val="BodyText"/>
        <w:spacing w:line="480" w:lineRule="auto"/>
        <w:ind w:firstLine="720"/>
      </w:pPr>
      <w:r>
        <w:t xml:space="preserve">The magnitude warrants both emphasis and caution. An odds ratio near 0.076 is very large. It says that autonomy is not a marginal convenience at the threshold but a first-order lever on whether an anomaly becomes a costly, review-triggering outage. At the same time, the standard error of 1.1629 on the log-odds coefficient is substantial, reflecting the modest sample, and the resulting confidence interval on the odds ratio is correspondingly wide. The claim that survives that imprecision is the one the hypothesis stated: the autonomy coefficient is signed as predicted and is statistically significant at the conventional five percent level. The exact percentage reduction should be read as a point estimate from a small sample rather than as a precisely pinned multiplier.</w:t>
      </w:r>
    </w:p>
    <w:p>
      <w:pPr>
        <w:pStyle w:val="BodyText"/>
        <w:spacing w:line="480" w:lineRule="auto"/>
        <w:ind w:firstLine="720"/>
      </w:pPr>
      <w:r>
        <w:t xml:space="preserve">A modeling decision underpins the credibility of this coefficient and deserves note. The autonomy index enters as a single ordinal covariate rather than as a set of level dummies. This is a deliberate choice that both keeps the recovery-autonomy effect on one interpretable coefficient and avoids a separation problem latent in the data: in this sample every ground-only episode happened to run long, so a ground-only dummy would induce perfect or quasi-perfect separation and destabilize the estimates. Entering autonomy as a single ordinal term sidesteps that pathology, and the model converged cleanly with no separation warning. Clean convergence licenses the reported standard error and p-value.</w:t>
      </w:r>
    </w:p>
    <w:bookmarkEnd w:id="114"/>
    <w:bookmarkStart w:id="115" w:name="the-control-covariates"/>
    <w:p>
      <w:pPr>
        <w:pStyle w:val="Heading3"/>
        <w:spacing w:line="480" w:lineRule="auto"/>
      </w:pPr>
      <w:r>
        <w:t xml:space="preserve">6.2.2 The control covariates</w:t>
      </w:r>
    </w:p>
    <w:p>
      <w:pPr>
        <w:pStyle w:val="FirstParagraph"/>
        <w:spacing w:line="480" w:lineRule="auto"/>
      </w:pPr>
      <w:r>
        <w:t xml:space="preserve">The two control covariates point in the expected direction but are not individually significant in this sample. The deep_space indicator, which marks platforms operating beyond cislunar space, carries a coefficient of -0.9688 with a standard error of 0.8491 and a p-value of 0.2539. Its negative sign is, at first glance, counterintuitive, since deep-space missions face long light-time and sparse contact that ought to lengthen ground-dependent recovery. The likely explanation is collinearity: in this sample deep-space operation is correlated with the autonomy index, because the older deep-space platforms in the record tend to occupy the lower autonomy levels, so once autonomy is conditioned out, the residual deep_space coefficient does not carry an independent regime effect and is not significant. The attitude_cdh control, which marks episodes whose triggering subsystem was attitude control or command-and-data-handling, carries a coefficient of -1.1509 with a standard error of 1.2660 and a p-value of 0.3633. It too fails to reach significance, with a standard error larger than its coefficient.</w:t>
      </w:r>
    </w:p>
    <w:p>
      <w:pPr>
        <w:pStyle w:val="BodyText"/>
        <w:spacing w:line="480" w:lineRule="auto"/>
        <w:ind w:firstLine="720"/>
      </w:pPr>
      <w:r>
        <w:t xml:space="preserve">The proper reading of the two controls is as confounding-absorbers rather than as estimated regime or subsystem effects. With thirty-three observations and a correlation between operating regime and autonomy level, the controls do their job by soaking up variance that would otherwise contaminate the autonomy coefficient, and they do so without themselves claiming independent, individually estimable effects. Their non-significance therefore neither surprises nor undercuts the analysis; it is the expected signature of a modest sample in which the controls are deliberately included to protect the interpretability of the autonomy term rather than to be interpreted in their own right.</w:t>
      </w:r>
    </w:p>
    <w:bookmarkEnd w:id="115"/>
    <w:bookmarkStart w:id="116" w:name="the-intercept-and-model-fit"/>
    <w:p>
      <w:pPr>
        <w:pStyle w:val="Heading3"/>
        <w:spacing w:line="480" w:lineRule="auto"/>
      </w:pPr>
      <w:r>
        <w:t xml:space="preserve">6.2.3 The intercept and model fit</w:t>
      </w:r>
    </w:p>
    <w:p>
      <w:pPr>
        <w:pStyle w:val="FirstParagraph"/>
        <w:spacing w:line="480" w:lineRule="auto"/>
      </w:pPr>
      <w:r>
        <w:t xml:space="preserve">The intercept is 3.5533 with a standard error of 1.7606 and a p-value of 0.0436, which is significant at the five percent level. Because the autonomy index is anchored at zero for ground-only recovery, the intercept describes the baseline log-odds of a prolonged outage for an episode at the lowest autonomy level with the control indicators at zero. A positive and significant intercept of this size translates into a high baseline probability that a fully ground-dependent episode breaches the seven-day line. The structure of the result is therefore coherent: the model starts from a high baseline odds of a long outage at the lowest autonomy level, and the strongly negative autonomy coefficient then pulls those odds down sharply with each step of added recovery autonomy. The intercept and the autonomy slope tell one consistent story.</w:t>
      </w:r>
    </w:p>
    <w:p>
      <w:pPr>
        <w:pStyle w:val="BodyText"/>
        <w:spacing w:line="480" w:lineRule="auto"/>
        <w:ind w:firstLine="720"/>
      </w:pPr>
      <w:r>
        <w:t xml:space="preserve">The model fit is appropriate for a three-covariate binary model on a sample of this size. The McFadden pseudo-R-squared is 0.225 and the log-likelihood at convergence is -17.43. A McFadden pseudo-R-squared in the low-to-mid 0.2 range is respectable for a behavioral binary outcome and indicates that the three covariates jointly explain a meaningful share of the variation in whether an episode runs long, while leaving, as expected, considerable idiosyncratic variation unexplained. The fit statistics should be read as confirming that the specification is well-behaved and informative, not as claiming high predictive accuracy at the episode level, which would be an overreach on thirty-three observations.</w:t>
      </w:r>
    </w:p>
    <w:bookmarkEnd w:id="116"/>
    <w:bookmarkStart w:id="117" w:name="the-defensible-reading"/>
    <w:p>
      <w:pPr>
        <w:pStyle w:val="Heading3"/>
        <w:spacing w:line="480" w:lineRule="auto"/>
      </w:pPr>
      <w:r>
        <w:t xml:space="preserve">6.2.4 The defensible reading</w:t>
      </w:r>
    </w:p>
    <w:p>
      <w:pPr>
        <w:pStyle w:val="FirstParagraph"/>
        <w:spacing w:line="480" w:lineRule="auto"/>
      </w:pPr>
      <w:r>
        <w:t xml:space="preserve">The headline reading of Study Two is narrow and defensible. With operating regime and anomaly class held fixed, the single autonomy coefficient is negative, significant at the five percent level, and large in magnitude. The estimate supports the proposition that moving recovery work onboard shifts episodes off the prolonged-outage side of the seven-day line. The same confounding caution that applies to the hazard model applies here. The autonomy index is the chief confounding risk, because better-resourced missions may field both more autonomy and faster recovery for unrelated reasons, and the controls mitigate but cannot eliminate that risk on observational data; only an instrument or a within-platform design would settle the causal question. The seven-day threshold is itself a modeling choice, and a sensitivity analysis varying the cut would test the result’s dependence on it; that analysis is deferred to the dissertation’s larger-sample extension. None of these cautions reverses the central finding, which rests on a clean within-conditioning comparison, a model that converged without separation, and a coefficient that is both signed as predicted and statistically significant.</w:t>
      </w:r>
    </w:p>
    <w:bookmarkEnd w:id="117"/>
    <w:bookmarkEnd w:id="118"/>
    <w:bookmarkStart w:id="119" w:name="synthesis-across-the-two-studies"/>
    <w:p>
      <w:pPr>
        <w:pStyle w:val="Heading2"/>
        <w:spacing w:line="480" w:lineRule="auto"/>
      </w:pPr>
      <w:r>
        <w:t xml:space="preserve">6.3 Synthesis Across the Two Studies</w:t>
      </w:r>
    </w:p>
    <w:p>
      <w:pPr>
        <w:pStyle w:val="FirstParagraph"/>
        <w:spacing w:line="480" w:lineRule="auto"/>
      </w:pPr>
      <w:r>
        <w:t xml:space="preserve">The two studies were designed to interrogate the same operational quantity from deliberately different angles, and their convergence is the strongest empirical fact this chapter reports. Study One, a Cox hazard model on twenty-four episodes, finds that each step of recovery autonomy multiplies the instantaneous recovery rate by an estimated 3.93, with the effect significant at p equal to 0.0017. Study Two, a logit model on thirty-three episodes, finds that each step of recovery autonomy multiplies the odds of a prolonged, threshold-breaching outage by an estimated 0.076, with the effect significant at p equal to 0.0268. The two estimates are expressed in different units, a hazard ratio above one and an odds ratio below one, but they agree in direction once the encodings are aligned: a higher recovery rate and a lower probability of a long outage are the same operational improvement viewed from two angles. The two agree. Greater autonomy both speeds the whole recovery-time distribution and pushes episodes off the costly tail of that distribution.</w:t>
      </w:r>
    </w:p>
    <w:p>
      <w:pPr>
        <w:pStyle w:val="BodyText"/>
        <w:spacing w:line="480" w:lineRule="auto"/>
        <w:ind w:firstLine="720"/>
      </w:pPr>
      <w:r>
        <w:t xml:space="preserve">The agreement is meaningful precisely because the two studies do not share an estimator, an outcome encoding, or an identical sample. The hazard model uses a continuous duration and a partial-likelihood estimator that handles the single censored mission-ending episode natively; the logit model uses a binary threshold outcome and a maximum-likelihood estimator on a larger, partially overlapping episode set. A finding that survives this much variation in modeling choice is less likely to be an artifact of any one specification. The conditioning structure also tells a consistent story in both studies. In each, the autonomy coefficient is the only covariate that reaches significance, while the regime, contact, and subsystem controls are individually indistinguishable from zero. That common pattern reinforces the dissertation’s thesis that the operative margin on recovery is the autonomy with which the vehicle can act, not the raw cadence of ground contact or the class of the failed subsystem, and it shows that the autonomy effect is not a control variable wearing a disguise.</w:t>
      </w:r>
    </w:p>
    <w:p>
      <w:pPr>
        <w:pStyle w:val="BodyText"/>
        <w:spacing w:line="480" w:lineRule="auto"/>
        <w:ind w:firstLine="720"/>
      </w:pPr>
      <w:r>
        <w:t xml:space="preserve">The economic reading that motivates the whole inquiry follows directly from these two coefficients. Industry accounting of the value generated by an operating satellite quantifies what is forgone while a vehicle sits in safe mode rather than delivering service</w:t>
      </w:r>
      <w:r>
        <w:t xml:space="preserve"> </w:t>
      </w:r>
      <w:hyperlink w:anchor="ref-5">
        <w:r>
          <w:rPr>
            <w:rStyle w:val="Hyperlink"/>
          </w:rPr>
          <w:t xml:space="preserve">[5]</w:t>
        </w:r>
      </w:hyperlink>
      <w:r>
        <w:t xml:space="preserve">, so both an accelerated recovery distribution and a reduced probability of a threshold-breaching outage have a directly priceable value. The hazard ratio attaches an expected outage reduction to an autonomy increment, and the odds ratio attaches a downtime-avoidance multiplier to the same increment, so an operator weighing investment in onboard recovery autonomy can read either estimate against the value of the availability it protects. The two studies together convert a capability that the fault-management literature has justified qualitatively in case studies</w:t>
      </w:r>
      <w:r>
        <w:t xml:space="preserve"> </w:t>
      </w:r>
      <w:hyperlink w:anchor="ref-1">
        <w:r>
          <w:rPr>
            <w:rStyle w:val="Hyperlink"/>
          </w:rPr>
          <w:t xml:space="preserve">[1]</w:t>
        </w:r>
      </w:hyperlink>
      <w:r>
        <w:t xml:space="preserve">[3][4][6] into a pair of estimable quantities that can earn a place in an availability budget, which is the contribution the prospectus set out to deliver.</w:t>
      </w:r>
    </w:p>
    <w:p>
      <w:pPr>
        <w:pStyle w:val="BodyText"/>
        <w:spacing w:line="480" w:lineRule="auto"/>
        <w:ind w:firstLine="720"/>
      </w:pPr>
      <w:r>
        <w:t xml:space="preserve">Both findings carry the same boundary conditions, and I state them as scope rather than as concealed weakness. The samples are dominated by NASA and ESA science and Earth-observation platforms drawn from named public releases and the relevant NASA Technical Reports Server anomaly case studies</w:t>
      </w:r>
      <w:r>
        <w:t xml:space="preserve"> </w:t>
      </w:r>
      <w:hyperlink w:anchor="ref-7">
        <w:r>
          <w:rPr>
            <w:rStyle w:val="Hyperlink"/>
          </w:rPr>
          <w:t xml:space="preserve">[7]</w:t>
        </w:r>
      </w:hyperlink>
      <w:r>
        <w:t xml:space="preserve">, so the estimates describe that population and need not transfer unchanged to commercial constellations with different contact economics. The autonomy index remains an observational measure subject to resourcing confounds, the sample sizes preclude the fixed-effects and frailty refinements that the dissertation’s larger anomaly-database extension will carry, the single censored observation prevents a separate competing-risk treatment of mission-ending events in the hazard model, and the proportional-hazards assumption, checkable with Schoenfeld residuals on a larger sample, is assumed rather than tested here. What survives every one of these qualifications is the chapter’s central empirical result, stated twice by two independent estimators: across the documented episodes, higher onboard recovery autonomy is associated with a substantially faster recovery and substantially lower odds of a prolonged outage, and in both studies the effect is signed exactly as predicted and significant at conventional levels.</w:t>
      </w:r>
    </w:p>
    <w:bookmarkEnd w:id="119"/>
    <w:bookmarkEnd w:id="120"/>
    <w:bookmarkStart w:id="141" w:name="X21322cb5e29cbf4eb576afddcad42f86ace4e0d"/>
    <w:p>
      <w:pPr>
        <w:pStyle w:val="Heading1"/>
        <w:spacing w:line="480" w:lineRule="auto"/>
      </w:pPr>
      <w:r>
        <w:t xml:space="preserve">Chapter 7. Discussion and Governance Implications</w:t>
      </w:r>
    </w:p>
    <w:p>
      <w:pPr>
        <w:pStyle w:val="FirstParagraph"/>
        <w:spacing w:line="480" w:lineRule="auto"/>
      </w:pPr>
      <w:r>
        <w:t xml:space="preserve">This chapter interprets the empirical results of the dissertation for the institutions that must act on them. The two studies reported in Chapter 6 converge on a single, narrowly stated finding: across the documented population of spacecraft safe-mode episodes, higher onboard recovery autonomy is associated with a substantially faster return to a commandable, operational state and with markedly lower odds of a prolonged outage, after conditioning on contact cadence or operating regime and on anomaly subsystem class. The hazard model estimates that each one-step increase along the ordinal autonomy index multiplies the instantaneous recovery rate by roughly 3.9; the logit model estimates that the same one-step increase multiplies the odds of breaching a seven-day downtime threshold by roughly 0.076. The purpose of this chapter is not to restate those numbers but to ask what they mean for the people who design fault-management architectures, who budget for flight-software capability, and who sign availability commitments at NASA and at the Jet Propulsion Laboratory. The chapter then states the limits of the evidence with the same precision used to report the estimates, and it sets out the research program that the dissertation’s findings make both necessary and tractable.</w:t>
      </w:r>
    </w:p>
    <w:p>
      <w:pPr>
        <w:pStyle w:val="BodyText"/>
        <w:spacing w:line="480" w:lineRule="auto"/>
        <w:ind w:firstLine="720"/>
      </w:pPr>
      <w:r>
        <w:t xml:space="preserve">One claim organizes this chapter. The dissertation reframes recovery autonomy from a qualitative engineering virtue into a priced operational lever. The fault-management literature has long described onboard recovery as a design feature with a defined behavior</w:t>
      </w:r>
      <w:r>
        <w:t xml:space="preserve"> </w:t>
      </w:r>
      <w:hyperlink w:anchor="ref-4">
        <w:r>
          <w:rPr>
            <w:rStyle w:val="Hyperlink"/>
          </w:rPr>
          <w:t xml:space="preserve">[4]</w:t>
        </w:r>
      </w:hyperlink>
      <w:r>
        <w:t xml:space="preserve">, and the detection literature has demonstrated repeatedly that moving inference onto the vehicle compresses the latency of fault detection, diagnosis, and root-cause determination</w:t>
      </w:r>
      <w:r>
        <w:t xml:space="preserve"> </w:t>
      </w:r>
      <w:hyperlink w:anchor="ref-1">
        <w:r>
          <w:rPr>
            <w:rStyle w:val="Hyperlink"/>
          </w:rPr>
          <w:t xml:space="preserve">[1]</w:t>
        </w:r>
      </w:hyperlink>
      <w:r>
        <w:t xml:space="preserve">[2][3][6]. What the literature has not supplied is an estimable quantity that attaches an expected outage reduction to an increment of recovery autonomy, so that an operator can weigh the autonomy investment against the downtime it is expected to avert</w:t>
      </w:r>
      <w:r>
        <w:t xml:space="preserve"> </w:t>
      </w:r>
      <w:hyperlink w:anchor="ref-5">
        <w:r>
          <w:rPr>
            <w:rStyle w:val="Hyperlink"/>
          </w:rPr>
          <w:t xml:space="preserve">[5]</w:t>
        </w:r>
      </w:hyperlink>
      <w:r>
        <w:t xml:space="preserve">. The dissertation supplies exactly that quantity, in two complementary encodings, and the governance implications follow from treating recovery duration as a decision variable rather than as a fixed property of the spacecraft.</w:t>
      </w:r>
    </w:p>
    <w:bookmarkStart w:id="124" w:name="X13ffe9b5890cec9855fba8ee3ab7d47ca0c85f8"/>
    <w:p>
      <w:pPr>
        <w:pStyle w:val="Heading2"/>
        <w:spacing w:line="480" w:lineRule="auto"/>
      </w:pPr>
      <w:r>
        <w:t xml:space="preserve">7.1 What the Findings Mean for NASA Program Management</w:t>
      </w:r>
    </w:p>
    <w:bookmarkStart w:id="121" w:name="Xcd09616028543fe393d4b6dec802f8096de35a2"/>
    <w:p>
      <w:pPr>
        <w:pStyle w:val="Heading3"/>
        <w:spacing w:line="480" w:lineRule="auto"/>
      </w:pPr>
      <w:r>
        <w:t xml:space="preserve">7.1.1 Recovery autonomy enters the trade space as a measurable return</w:t>
      </w:r>
    </w:p>
    <w:p>
      <w:pPr>
        <w:pStyle w:val="FirstParagraph"/>
        <w:spacing w:line="480" w:lineRule="auto"/>
      </w:pPr>
      <w:r>
        <w:t xml:space="preserve">The first and most consequential implication is that recovery autonomy can be entered into a program trade study with a defensible expected return rather than as an unpriced reliability aspiration. Program management at NASA routinely confronts the question of whether to invest scarce flight-software and verification resources in deepening the onboard recovery path, and that question has historically been resolved by engineering judgment and by appeal to case studies in which a given autonomy feature did or did not avert an outage</w:t>
      </w:r>
      <w:r>
        <w:t xml:space="preserve"> </w:t>
      </w:r>
      <w:hyperlink w:anchor="ref-4">
        <w:r>
          <w:rPr>
            <w:rStyle w:val="Hyperlink"/>
          </w:rPr>
          <w:t xml:space="preserve">[4]</w:t>
        </w:r>
      </w:hyperlink>
      <w:r>
        <w:t xml:space="preserve">. The dissertation converts that judgment into an estimable input. A program that can characterize its expected anomaly population by subsystem class, and that knows its contact cadence, can read the hazard ratio of 3.9 and the odds ratio of 0.076 as a first approximation of the recovery-time compression and the prolonged-outage avoidance that a one-level autonomy investment is expected to deliver.</w:t>
      </w:r>
    </w:p>
    <w:p>
      <w:pPr>
        <w:pStyle w:val="BodyText"/>
        <w:spacing w:line="480" w:lineRule="auto"/>
        <w:ind w:firstLine="720"/>
      </w:pPr>
      <w:r>
        <w:t xml:space="preserve">The economic logic that makes this consequential is the one developed across the dissertation. Every additional interval a vehicle spends safed is unavailable service, and the value generated by an operating spacecraft is precisely what is forgone while it sits in safe mode</w:t>
      </w:r>
      <w:r>
        <w:t xml:space="preserve"> </w:t>
      </w:r>
      <w:hyperlink w:anchor="ref-5">
        <w:r>
          <w:rPr>
            <w:rStyle w:val="Hyperlink"/>
          </w:rPr>
          <w:t xml:space="preserve">[5]</w:t>
        </w:r>
      </w:hyperlink>
      <w:r>
        <w:t xml:space="preserve">. For a science mission, that forgone value is lost observing time against a finite mission lifetime; for an Earth-observation platform, it is lost coverage against a service commitment; for a planetary mission with a bounded encounter window, it can be the irrecoverable loss of a once-in-a-mission science opportunity. The dissertation’s contribution to program management is to let each of these losses be multiplied against an expected outage reduction, so that the autonomy investment is justified or rejected on the same financial terms as any other capability the program might buy. This is the move from a capability justified qualitatively in fault-management case studies to a capability that earns its place in an availability budget.</w:t>
      </w:r>
    </w:p>
    <w:bookmarkEnd w:id="121"/>
    <w:bookmarkStart w:id="122" w:name="Xee8acd441885ec11b49092db1aee2e6196b612f"/>
    <w:p>
      <w:pPr>
        <w:pStyle w:val="Heading3"/>
        <w:spacing w:line="480" w:lineRule="auto"/>
      </w:pPr>
      <w:r>
        <w:t xml:space="preserve">7.1.2 The operative margin is autonomy, not contact frequency</w:t>
      </w:r>
    </w:p>
    <w:p>
      <w:pPr>
        <w:pStyle w:val="FirstParagraph"/>
        <w:spacing w:line="480" w:lineRule="auto"/>
      </w:pPr>
      <w:r>
        <w:t xml:space="preserve">The second implication is more subtle and bears directly on how NASA allocates resources between two substitutable ways of shortening recovery. A program that wishes to recover faster has, in principle, two levers. It can buy more onboard recovery autonomy, advancing the vehicle’s own recovery between contacts, or it can buy more ground-contact cadence, shortening the interval the vehicle must wait for the ground to observe, command, and confirm. Contact cadence is expensive: it consumes Deep Space Network and Near Space Network scheduling, which is a contested and oversubscribed resource across the agency’s portfolio. The dissertation’s hazard model speaks to the relative value of these two levers, and the answer it returns is pointed.</w:t>
      </w:r>
    </w:p>
    <w:p>
      <w:pPr>
        <w:pStyle w:val="BodyText"/>
        <w:spacing w:line="480" w:lineRule="auto"/>
        <w:ind w:firstLine="720"/>
      </w:pPr>
      <w:r>
        <w:t xml:space="preserve">In the Cox specification, once the autonomy index is held fixed, time-to-next-ground-contact carries a coefficient indistinguishable from zero, with a hazard ratio of 0.995 and a confidence interval that straddles unity. The contact clock does not exhibit an independent effect on the recovery rate once autonomy is conditioned out. The defensible reading, stated with the caution the sample demands, is that the operative margin in this population is the autonomy with which a vehicle can act between contacts, not the bare frequency of the contacts themselves. A vehicle that can only wait for the ground is hostage to the contact clock; a vehicle that can advance its own recovery is comparatively indifferent to it. For program management, this suggests that under contention for tracking-network time, an investment that deepens the onboard recovery path may protect availability more cost-effectively than an equivalent investment in additional scheduled passes, because the autonomy reduces the vehicle’s dependence on those passes in the first place. This is a hypothesis the sample supports rather than a settled fact, and it is stated as a direction for resource allocation to test rather than as a mandate, but it is the allocation question the findings most directly inform.</w:t>
      </w:r>
    </w:p>
    <w:bookmarkEnd w:id="122"/>
    <w:bookmarkStart w:id="123" w:name="Xe1fa33f10feaef5941d3909e9d8e9bb4f230c26"/>
    <w:p>
      <w:pPr>
        <w:pStyle w:val="Heading3"/>
        <w:spacing w:line="480" w:lineRule="auto"/>
      </w:pPr>
      <w:r>
        <w:t xml:space="preserve">7.1.3 The decision-relevant tail is the threshold operators budget against</w:t>
      </w:r>
    </w:p>
    <w:p>
      <w:pPr>
        <w:pStyle w:val="FirstParagraph"/>
        <w:spacing w:line="480" w:lineRule="auto"/>
      </w:pPr>
      <w:r>
        <w:t xml:space="preserve">The third implication arises from the deliberate pairing of a duration model with a binary one. NASA program management does not budget against the full recovery-time distribution in the abstract; it budgets against thresholds. A seven-day outage is, for many operations organizations, the line at which an anomaly becomes a mission-impact event that triggers a formal review, mobilizes an anomaly resolution team, and consumes management attention disproportionate to the duration itself. The logit model isolates exactly this decision-relevant tail. Its estimate, that a one-level gain in recovery autonomy cuts the odds of crossing the seven-day line by approximately ninety-two percent within this sample, conditional on the controls, speaks the language of availability commitments and mission-impact thresholds rather than of average compression.</w:t>
      </w:r>
    </w:p>
    <w:p>
      <w:pPr>
        <w:pStyle w:val="BodyText"/>
        <w:spacing w:line="480" w:lineRule="auto"/>
        <w:ind w:firstLine="720"/>
      </w:pPr>
      <w:r>
        <w:t xml:space="preserve">The two instruments are therefore complementary inputs to two different program-management decisions. The hazard model informs the lifecycle-value calculation, where average recovery-time compression is integrated against mission value over the life of the vehicle. The logit model informs the commitment and contingency-planning calculation, where the question is the probability of a threshold breach that must be reserved against. A program manager setting an availability commitment, or a reserve against anomaly-driven schedule slip, can read the odds ratio directly as a downtime-avoidance multiplier and price the recovery-autonomy investment against the value of the availability it protects. That the two encodings agree in sign and significance, while answering different questions, is itself a finding that strengthens the confidence with which either can be carried into a program decision.</w:t>
      </w:r>
    </w:p>
    <w:bookmarkEnd w:id="123"/>
    <w:bookmarkEnd w:id="124"/>
    <w:bookmarkStart w:id="128" w:name="X6b14c142c3e88c59d71541797b64113199a2ee0"/>
    <w:p>
      <w:pPr>
        <w:pStyle w:val="Heading2"/>
        <w:spacing w:line="480" w:lineRule="auto"/>
      </w:pPr>
      <w:r>
        <w:t xml:space="preserve">7.2 What the Findings Mean for JPL Decision-Making</w:t>
      </w:r>
    </w:p>
    <w:bookmarkStart w:id="125" w:name="X5bf472cbe2a9aea06796b323f1131740544d015"/>
    <w:p>
      <w:pPr>
        <w:pStyle w:val="Heading3"/>
        <w:spacing w:line="480" w:lineRule="auto"/>
      </w:pPr>
      <w:r>
        <w:t xml:space="preserve">7.2.1 Fault-protection architecture as a duration design choice</w:t>
      </w:r>
    </w:p>
    <w:p>
      <w:pPr>
        <w:pStyle w:val="FirstParagraph"/>
        <w:spacing w:line="480" w:lineRule="auto"/>
      </w:pPr>
      <w:r>
        <w:t xml:space="preserve">For the Jet Propulsion Laboratory specifically, the dissertation reframes a long-standing element of mission design. JPL’s deep-space and planetary missions are precisely the platforms for which the contact clock binds hardest: light-time delays of minutes to hours, and tracking passes gated by a scheduled and oversubscribed network, mean that a fully ground-dependent recovery is structurally slow, and no amount of operator diligence can overcome that structure</w:t>
      </w:r>
      <w:r>
        <w:t xml:space="preserve"> </w:t>
      </w:r>
      <w:hyperlink w:anchor="ref-4">
        <w:r>
          <w:rPr>
            <w:rStyle w:val="Hyperlink"/>
          </w:rPr>
          <w:t xml:space="preserve">[4]</w:t>
        </w:r>
      </w:hyperlink>
      <w:r>
        <w:t xml:space="preserve">. The dissertation’s sample reflects this reality directly, drawing on planetary and deep-space vehicles whose recovery durations span the full range from a two-day autonomous hydrazine handoff to multi-week and multi-month ground-dependent recoveries. The finding that recovery autonomy strongly compresses the recovery hazard is, for JPL, a finding about the platforms where the margin is largest.</w:t>
      </w:r>
    </w:p>
    <w:p>
      <w:pPr>
        <w:pStyle w:val="BodyText"/>
        <w:spacing w:line="480" w:lineRule="auto"/>
        <w:ind w:firstLine="720"/>
      </w:pPr>
      <w:r>
        <w:t xml:space="preserve">The practical consequence is that fault-protection architecture should be understood as a duration design choice and not only as a survival design choice. The traditional framing of fault protection asks whether the vehicle will safely reach and hold a survivable state after a fault. The dissertation argues that this framing, while necessary, is incomplete, because it stops at the moment of safing and treats everything after as an operations problem. The recovery path from the safed state back to operations is itself a designable artifact, and the degree to which that path is resident and adaptive aboard the vehicle is, on this evidence, the dominant determinant of how long the vehicle stays unavailable. JPL’s architecture reviews can therefore add a recovery-duration criterion alongside the survival criterion, asking not only whether the vehicle safes correctly but how much of the recovery path it can execute without waiting for a diagnosed sequence from the ground.</w:t>
      </w:r>
    </w:p>
    <w:bookmarkEnd w:id="125"/>
    <w:bookmarkStart w:id="126" w:name="Xbdaf53fc6ece968d38af6b9a5018006b59c6738"/>
    <w:p>
      <w:pPr>
        <w:pStyle w:val="Heading3"/>
        <w:spacing w:line="480" w:lineRule="auto"/>
      </w:pPr>
      <w:r>
        <w:t xml:space="preserve">7.2.2 The autonomy index as a design-review instrument</w:t>
      </w:r>
    </w:p>
    <w:p>
      <w:pPr>
        <w:pStyle w:val="FirstParagraph"/>
        <w:spacing w:line="480" w:lineRule="auto"/>
      </w:pPr>
      <w:r>
        <w:t xml:space="preserve">The ordinal autonomy index that the dissertation uses as its key covariate is more than an analytical convenience; it is a candidate design-review instrument. The index distinguishes three levels of recovery path: ground-loop manual recovery, scripted onboard safing recovered with a ground command, and adaptive autonomous reconfiguration that acts before ground intervention. These levels correspond to real and recognizable architectural choices, and they are the same choices that JPL fault-protection engineers make when they decide how much recovery logic to resident onboard, how much to verify, and how much to leave to ground diagnosis. The dissertation’s contribution is to show that movement along this index is associated with a steep and consistent gradient in recovery speed, so that the index can serve as a coarse but defensible scale on which a proposed fault-protection design can be located and against which its expected recovery performance can be read.</w:t>
      </w:r>
    </w:p>
    <w:p>
      <w:pPr>
        <w:pStyle w:val="BodyText"/>
        <w:spacing w:line="480" w:lineRule="auto"/>
        <w:ind w:firstLine="720"/>
      </w:pPr>
      <w:r>
        <w:t xml:space="preserve">The exemplars in the dissertation’s data make the levels concrete enough for a design review to use directly. The adaptive autonomous level is anchored by cases in which the vehicle acted before the ground could intervene, advancing its own recovery between contacts rather than idling until the next pass. The scripted level is anchored by cases in which the vehicle safed itself correctly but then waited on a ground command to recover. The ground-only level is anchored by cases in which every step of the recovery was diagnosed and commanded from the ground. A JPL design review can map a proposed architecture onto these exemplars and form an expectation about which side of an availability threshold the design is likely to fall on, using the logit model’s threshold estimate, and how much average compression it is likely to deliver, using the hazard model’s estimate. This is a structured way to bring the dissertation’s findings into the room where the design decisions are actually made.</w:t>
      </w:r>
    </w:p>
    <w:bookmarkEnd w:id="126"/>
    <w:bookmarkStart w:id="127" w:name="X97f862385df63fccd33609e9e7c8a09ba676df3"/>
    <w:p>
      <w:pPr>
        <w:pStyle w:val="Heading3"/>
        <w:spacing w:line="480" w:lineRule="auto"/>
      </w:pPr>
      <w:r>
        <w:t xml:space="preserve">7.2.3 Subsystem class as a secondary but physically interpretable signal</w:t>
      </w:r>
    </w:p>
    <w:p>
      <w:pPr>
        <w:pStyle w:val="FirstParagraph"/>
        <w:spacing w:line="480" w:lineRule="auto"/>
      </w:pPr>
      <w:r>
        <w:t xml:space="preserve">JPL decision-making must also attend to what the dissertation does and does not establish about subsystem class. The hazard model’s command-and-data-handling flag carries a point estimate suggesting that software and computer faults may recover somewhat faster than attitude, power, and propulsion faults, plausibly because they are addressed by uplinked patches or memory reloads rather than by physical reconfiguration. The estimate is not significant at this sample size, and the dissertation declines to make a claim from it. For JPL, the responsible reading is that subsystem class is a physically interpretable secondary signal that the larger-sample work should resolve, not a present basis for differential design investment. The autonomy finding, by contrast, is robust across both estimators and survives conditioning on subsystem class, so the design guidance the dissertation can responsibly offer is autonomy-centered rather than subsystem-centered. JPL should invest in the recovery path’s autonomy on the strength of the established finding, and should treat the subsystem-class signal as a question for the research program rather than as a settled input.</w:t>
      </w:r>
    </w:p>
    <w:bookmarkEnd w:id="127"/>
    <w:bookmarkEnd w:id="128"/>
    <w:bookmarkStart w:id="134" w:name="limitations"/>
    <w:p>
      <w:pPr>
        <w:pStyle w:val="Heading2"/>
        <w:spacing w:line="480" w:lineRule="auto"/>
      </w:pPr>
      <w:r>
        <w:t xml:space="preserve">7.3 Limitations</w:t>
      </w:r>
    </w:p>
    <w:p>
      <w:pPr>
        <w:pStyle w:val="FirstParagraph"/>
        <w:spacing w:line="480" w:lineRule="auto"/>
      </w:pPr>
      <w:r>
        <w:t xml:space="preserve">The dissertation’s findings are stated as conditional associations on a documented sample, and the limitations that bound them must be stated with equal clarity, because the governance implications above are only as strong as the evidence permits.</w:t>
      </w:r>
    </w:p>
    <w:bookmarkStart w:id="129" w:name="X89a39cdc965919a1e6790a4272b84b18d8733d3"/>
    <w:p>
      <w:pPr>
        <w:pStyle w:val="Heading3"/>
        <w:spacing w:line="480" w:lineRule="auto"/>
      </w:pPr>
      <w:r>
        <w:t xml:space="preserve">7.3.1 The autonomy index is the chief confounding risk</w:t>
      </w:r>
    </w:p>
    <w:p>
      <w:pPr>
        <w:pStyle w:val="FirstParagraph"/>
        <w:spacing w:line="480" w:lineRule="auto"/>
      </w:pPr>
      <w:r>
        <w:t xml:space="preserve">The central limitation is one of identification. The autonomy index is the chief confounding risk in this design, and it is the limitation that most directly tempers every governance implication in this chapter. Better-resourced missions may field both more onboard recovery autonomy and faster recovery for reasons unrelated to the autonomy itself, such as more experienced operations teams, more mature ground systems, or more conservative mission design generally. The dissertation conditions on contact cadence or operating regime and on subsystem class, and these controls absorb the most plausible confounding variance, but observational data of this kind cannot eliminate the possibility that the autonomy coefficient partly reflects mission resourcing rather than autonomy itself. The samples are too small to carry the mission-phase and platform-class fixed effects, or the per-platform frailty term, that would absorb this confound more fully; those refinements are deferred to the larger-sample extension. The autonomy effect should therefore be read throughout as a conditional association, signed and sized as the alternative hypothesis predicted, rather than as an identified causal effect. The governance implications are accordingly framed as decision inputs to be tested and refined, not as guarantees of return.</w:t>
      </w:r>
    </w:p>
    <w:bookmarkEnd w:id="129"/>
    <w:bookmarkStart w:id="130" w:name="sample-size-measurement-and-provenance"/>
    <w:p>
      <w:pPr>
        <w:pStyle w:val="Heading3"/>
        <w:spacing w:line="480" w:lineRule="auto"/>
      </w:pPr>
      <w:r>
        <w:t xml:space="preserve">7.3.2 Sample size, measurement, and provenance</w:t>
      </w:r>
    </w:p>
    <w:p>
      <w:pPr>
        <w:pStyle w:val="FirstParagraph"/>
        <w:spacing w:line="480" w:lineRule="auto"/>
      </w:pPr>
      <w:r>
        <w:t xml:space="preserve">The second cluster of limitations concerns the data. The hazard model rests on twenty-four episodes with twenty-three recovery events, and the logit model on thirty-three episodes; these are modest samples for the inferential weight the dissertation places on them, and the standard errors reflect that modesty, particularly in the logit estimate where the confidence interval on the odds ratio is wide. Recovery-time recording is heterogeneous across the public releases that supply the data, durations are recorded at integer-day resolution, and a small number of durations are flagged as illustrative where an exact return date was not published. Measurement error of this classical kind most plausibly attenuates the autonomy coefficient toward zero rather than inflating it, which makes it a conservative threat: the true effect, if anything, is likely steeper than the estimated hazard ratio of 3.9 rather than shallower. This is a reason to treat the point estimates as lower bounds on the autonomy effect for planning purposes, but it does not license treating them as precise, and the dissertation does not.</w:t>
      </w:r>
    </w:p>
    <w:bookmarkEnd w:id="130"/>
    <w:bookmarkStart w:id="131" w:name="X29848eab28380dc89f31d54ba874a480e531311"/>
    <w:p>
      <w:pPr>
        <w:pStyle w:val="Heading3"/>
        <w:spacing w:line="480" w:lineRule="auto"/>
      </w:pPr>
      <w:r>
        <w:t xml:space="preserve">7.3.3 Competing risks and the modeling of mission-ending events</w:t>
      </w:r>
    </w:p>
    <w:p>
      <w:pPr>
        <w:pStyle w:val="FirstParagraph"/>
        <w:spacing w:line="480" w:lineRule="auto"/>
      </w:pPr>
      <w:r>
        <w:t xml:space="preserve">The third limitation concerns the treatment of the most severe outcomes. The hazard model contains a single right-censored observation, the Opportunity low-power fault during the planet-encircling Martian dust storm, which never reacquired before the mission was declared complete. Treating that case as right-censored rather than dropping it is methodologically correct and avoids biasing the recovery rate upward by discarding the slowest and most consequential outcome. But with a single censored observation, the dissertation cannot estimate a competing-risk model that would treat mission-ending events as a distinct outcome rather than as censored recoveries. This matters because the governance implications concern exactly the catastrophic tail that a competing-risk treatment would model directly. Severe anomalies that end a mission may be underrepresented as recoveries in the present specification, and the autonomy effect on the probability of a mission-ending outcome, as distinct from its effect on recovery speed among survivors, is left to the larger anomaly-database sample. The dissertation is explicit that its claim is about recovery duration among recovering vehicles and about the odds of a prolonged but survived outage, not about the prevention of mission loss.</w:t>
      </w:r>
    </w:p>
    <w:bookmarkEnd w:id="131"/>
    <w:bookmarkStart w:id="132" w:name="X86205735074aba7e89037c4032f203e3d55ae1c"/>
    <w:p>
      <w:pPr>
        <w:pStyle w:val="Heading3"/>
        <w:spacing w:line="480" w:lineRule="auto"/>
      </w:pPr>
      <w:r>
        <w:t xml:space="preserve">7.3.4 The seven-day threshold and the proportional-hazards assumption</w:t>
      </w:r>
    </w:p>
    <w:p>
      <w:pPr>
        <w:pStyle w:val="FirstParagraph"/>
        <w:spacing w:line="480" w:lineRule="auto"/>
      </w:pPr>
      <w:r>
        <w:t xml:space="preserve">Two further modeling choices bound the logit and hazard results respectively. The seven-day threshold in the binary model is a modeling choice, defensible because it corresponds to a common mission-impact review trigger, but a choice nonetheless; a sensitivity analysis varying the cut would test how much the result depends on it, and that analysis is deferred to the larger-sample extension. The proportional-hazards assumption underlying the Cox model is assumed rather than verified at the present sample size; on a larger sample it is checkable with Schoenfeld residuals, and subsystem classes that violate it can be given stratified baselines. Neither of these choices is shown to drive the result, but both are points at which a larger study could either confirm the present findings or qualify them, and the dissertation flags them so that the governance implications are not read as resting on unexamined assumptions.</w:t>
      </w:r>
    </w:p>
    <w:bookmarkEnd w:id="132"/>
    <w:bookmarkStart w:id="133" w:name="external-validity-and-scope"/>
    <w:p>
      <w:pPr>
        <w:pStyle w:val="Heading3"/>
        <w:spacing w:line="480" w:lineRule="auto"/>
      </w:pPr>
      <w:r>
        <w:t xml:space="preserve">7.3.5 External validity and scope</w:t>
      </w:r>
    </w:p>
    <w:p>
      <w:pPr>
        <w:pStyle w:val="FirstParagraph"/>
        <w:spacing w:line="480" w:lineRule="auto"/>
      </w:pPr>
      <w:r>
        <w:t xml:space="preserve">The final limitation is one of scope. Both samples are dominated by NASA, JPL, and ESA science and Earth-observation platforms. The estimated hazard ratio and odds ratio describe that population, and they need not transfer unchanged to commercial constellations, which operate under different contact economics, different availability commitments, and different fault-management philosophies. A large commercial constellation with dense ground or relay coverage and high inter-satellite redundancy faces a recovery problem structurally unlike that of a single deep-space science vehicle, and the autonomy gradient estimated here may be steeper, shallower, or differently shaped in that setting. The dissertation states this as a scope condition rather than overclaiming generality, and the governance implications above are correspondingly addressed to NASA and JPL science and Earth-observation programs, which are the population the evidence describes, rather than to the commercial sector, which the present data cannot speak to with confidence.</w:t>
      </w:r>
    </w:p>
    <w:bookmarkEnd w:id="133"/>
    <w:bookmarkEnd w:id="134"/>
    <w:bookmarkStart w:id="139" w:name="future-research"/>
    <w:p>
      <w:pPr>
        <w:pStyle w:val="Heading2"/>
        <w:spacing w:line="480" w:lineRule="auto"/>
      </w:pPr>
      <w:r>
        <w:t xml:space="preserve">7.4 Future Research</w:t>
      </w:r>
    </w:p>
    <w:p>
      <w:pPr>
        <w:pStyle w:val="FirstParagraph"/>
        <w:spacing w:line="480" w:lineRule="auto"/>
      </w:pPr>
      <w:r>
        <w:t xml:space="preserve">The limitations are not merely caveats; they map directly onto a research program that the dissertation’s findings make both necessary and tractable. The single falsifiable claim that organizes the dissertation has survived its first test in two encodings, and the natural next step is to subject the same claim to the larger and more structured evidence that would convert a conditional association into an identified effect.</w:t>
      </w:r>
    </w:p>
    <w:bookmarkStart w:id="135" w:name="X4fc10d847a1e9b07ce6cf0c50ca2ff77610dd4c"/>
    <w:p>
      <w:pPr>
        <w:pStyle w:val="Heading3"/>
        <w:spacing w:line="480" w:lineRule="auto"/>
      </w:pPr>
      <w:r>
        <w:t xml:space="preserve">7.4.1 Scaling to the full anomaly-database population</w:t>
      </w:r>
    </w:p>
    <w:p>
      <w:pPr>
        <w:pStyle w:val="FirstParagraph"/>
        <w:spacing w:line="480" w:lineRule="auto"/>
      </w:pPr>
      <w:r>
        <w:t xml:space="preserve">The most immediate extension is the one the dissertation was designed to enable: estimating the same specifications over the full NASA Spacecraft Anomaly Database and the mission-level anomaly records in the agency’s lessons-learned systems, rather than over the hand-compiled samples used here. A larger sample would do three things at once. It would tighten the confidence intervals on the autonomy coefficient, particularly in the logit model where the present interval is wide. It would supply enough censored and mission-ending observations to estimate the competing-risk model that the present single-censoring case forbids, so that the effect of autonomy on the probability of mission loss can be separated from its effect on recovery speed among survivors. And it would provide the degrees of freedom to carry mission-phase and platform-class fixed effects and a per-platform frailty term, which together would absorb much of the confounding that presently limits the autonomy coefficient to a conditional reading. The dissertation’s data provenance was chosen specifically so that this scaling is a matter of extending a documented, attributable pipeline rather than of acquiring new and inaccessible data.</w:t>
      </w:r>
    </w:p>
    <w:bookmarkEnd w:id="135"/>
    <w:bookmarkStart w:id="136" w:name="toward-identification"/>
    <w:p>
      <w:pPr>
        <w:pStyle w:val="Heading3"/>
        <w:spacing w:line="480" w:lineRule="auto"/>
      </w:pPr>
      <w:r>
        <w:t xml:space="preserve">7.4.2 Toward identification</w:t>
      </w:r>
    </w:p>
    <w:p>
      <w:pPr>
        <w:pStyle w:val="FirstParagraph"/>
        <w:spacing w:line="480" w:lineRule="auto"/>
      </w:pPr>
      <w:r>
        <w:t xml:space="preserve">The deeper methodological frontier is identification. The autonomy index will remain the chief confounding risk on observational data however large the sample, because missions that field more autonomy may differ systematically from those that do not. Two strategies could move the claim from conditional association toward identified effect. The first is an instrumental-variables design, finding a source of variation in onboard recovery autonomy that is plausibly unrelated to mission resourcing and recovery competence, such as the generation of flight-software architecture available at the time of a mission’s design freeze. The second is a within-platform design, comparing recovery durations on the same vehicle across episodes that did and did not engage the autonomous recovery path, which would hold the platform’s resourcing fixed by construction. Either design would address the confound that the present fixed-effects and frailty refinements only mitigate, and the dissertation’s framing of the problem around a single coefficient is what makes such designs interpretable: there is one parameter to identify, not a sprawling specification.</w:t>
      </w:r>
    </w:p>
    <w:bookmarkEnd w:id="136"/>
    <w:bookmarkStart w:id="137" w:name="Xbc8b7079c1995ec0ed0079e133966d0c4999586"/>
    <w:p>
      <w:pPr>
        <w:pStyle w:val="Heading3"/>
        <w:spacing w:line="480" w:lineRule="auto"/>
      </w:pPr>
      <w:r>
        <w:t xml:space="preserve">7.4.3 Refining the autonomy index and the outcome</w:t>
      </w:r>
    </w:p>
    <w:p>
      <w:pPr>
        <w:pStyle w:val="FirstParagraph"/>
        <w:spacing w:line="480" w:lineRule="auto"/>
      </w:pPr>
      <w:r>
        <w:t xml:space="preserve">A third line of work would sharpen the constructs themselves. The ordinal autonomy index is a coarse three-level scale, and a finer instrument that distinguished gradations within the adaptive level, or that separated the autonomy of detection from the autonomy of reconfiguration, could reveal structure that the present index averages over. The detection literature offers a vocabulary for this refinement, since onboard hybrid systems already perform diagnosis and root-cause determination aboard the vehicle</w:t>
      </w:r>
      <w:r>
        <w:t xml:space="preserve"> </w:t>
      </w:r>
      <w:hyperlink w:anchor="ref-1">
        <w:r>
          <w:rPr>
            <w:rStyle w:val="Hyperlink"/>
          </w:rPr>
          <w:t xml:space="preserve">[1]</w:t>
        </w:r>
      </w:hyperlink>
      <w:r>
        <w:t xml:space="preserve">[6], and the recovery-path autonomy could be characterized with comparable granularity. On the outcome side, the heterogeneity of recovery-time recording invites a measurement study that standardizes the acquisition-confirmation definition across releases, which would reduce the attenuation bias the dissertation flags and tighten the estimated gradient. Emerging agent-based mission-management architectures, which push still more of the recovery decision onboard, represent the upper end of the autonomy scale that the present index does not yet reach, and characterizing their recovery behavior is a natural extension once such architectures fly</w:t>
      </w:r>
      <w:r>
        <w:t xml:space="preserve"> </w:t>
      </w:r>
      <w:hyperlink w:anchor="ref-10">
        <w:r>
          <w:rPr>
            <w:rStyle w:val="Hyperlink"/>
          </w:rPr>
          <w:t xml:space="preserve">[10]</w:t>
        </w:r>
      </w:hyperlink>
      <w:r>
        <w:t xml:space="preserve">[20].</w:t>
      </w:r>
    </w:p>
    <w:bookmarkEnd w:id="137"/>
    <w:bookmarkStart w:id="138" w:name="Xd3cd014216b69892415348afb1dc39dc251e9f1"/>
    <w:p>
      <w:pPr>
        <w:pStyle w:val="Heading3"/>
        <w:spacing w:line="480" w:lineRule="auto"/>
      </w:pPr>
      <w:r>
        <w:t xml:space="preserve">7.4.4 Extension to commercial and distributed architectures</w:t>
      </w:r>
    </w:p>
    <w:p>
      <w:pPr>
        <w:pStyle w:val="FirstParagraph"/>
        <w:spacing w:line="480" w:lineRule="auto"/>
      </w:pPr>
      <w:r>
        <w:t xml:space="preserve">The final research direction follows from the scope limitation. The present findings describe NASA and ESA science and Earth-observation platforms, and the obvious extension is to test whether the autonomy gradient holds, and with what magnitude, in commercial constellations and in distributed space systems with different contact economics. Such systems face a recovery problem reshaped by redundancy, by dense relay coverage, and by the option of degrading gracefully across many vehicles rather than recovering one, and the autonomy effect estimated here may interact with those features in ways the single-vehicle science-mission sample cannot reveal. As the operational record for these architectures accumulates, applying the dissertation’s hazard and threshold instruments to it would test the generality of the central claim and would extend the governance implications from the NASA and JPL programs the evidence presently supports to the broader operating environment in which recovery autonomy is increasingly being fielded.</w:t>
      </w:r>
    </w:p>
    <w:bookmarkEnd w:id="138"/>
    <w:bookmarkEnd w:id="139"/>
    <w:bookmarkStart w:id="140" w:name="conclusion-to-the-chapter"/>
    <w:p>
      <w:pPr>
        <w:pStyle w:val="Heading2"/>
        <w:spacing w:line="480" w:lineRule="auto"/>
      </w:pPr>
      <w:r>
        <w:t xml:space="preserve">7.5 Conclusion to the Chapter</w:t>
      </w:r>
    </w:p>
    <w:p>
      <w:pPr>
        <w:pStyle w:val="FirstParagraph"/>
        <w:spacing w:line="480" w:lineRule="auto"/>
      </w:pPr>
      <w:r>
        <w:t xml:space="preserve">The dissertation began from a quantity that the fault-management literature describes qualitatively and treats as fixed: the time a spacecraft spends safed before it returns to operations. It has shown, across two estimators and two outcome encodings, that this quantity is not fixed but is shaped strongly and consistently by how much of the recovery path the vehicle can execute on its own. For NASA program management, this converts recovery autonomy from an unpriced reliability aspiration into a decision input with an expected return, informs the allocation of resources between onboard autonomy and contested ground-contact cadence, and supplies a threshold-level instrument that maps onto the availability commitments and mission-impact reviews that programs actually budget against. For JPL, it reframes fault-protection architecture as a duration design choice on the very platforms where the contact clock binds hardest, and it offers the autonomy index as a structured instrument for design review. These implications are bounded by real limitations of identification, sample size, measurement, and scope, each of which the dissertation states plainly and each of which defines a tractable step in the research program the findings make necessary. The single coefficient that carried the thesis has survived its first test. The work now is to subject it to the larger, more structured evidence that would convert a strong conditional association into a result on which the agency can confidently build.</w:t>
      </w:r>
    </w:p>
    <w:bookmarkEnd w:id="140"/>
    <w:bookmarkEnd w:id="141"/>
    <w:bookmarkStart w:id="188" w:name="chapter-8.-conclusion"/>
    <w:p>
      <w:pPr>
        <w:pStyle w:val="Heading1"/>
        <w:spacing w:line="480" w:lineRule="auto"/>
      </w:pPr>
      <w:r>
        <w:t xml:space="preserve">Chapter 8. Conclusion</w:t>
      </w:r>
    </w:p>
    <w:bookmarkStart w:id="142" w:name="the-argument-restated"/>
    <w:p>
      <w:pPr>
        <w:pStyle w:val="Heading2"/>
        <w:spacing w:line="480" w:lineRule="auto"/>
      </w:pPr>
      <w:r>
        <w:t xml:space="preserve">8.1 The argument restated</w:t>
      </w:r>
    </w:p>
    <w:p>
      <w:pPr>
        <w:pStyle w:val="FirstParagraph"/>
        <w:spacing w:line="480" w:lineRule="auto"/>
      </w:pPr>
      <w:r>
        <w:t xml:space="preserve">This dissertation began from an asymmetry in how the spacecraft fault-management literature treats the two halves of the safing loop. One half is richly instrumented. Onboard hybrid systems that fuse model-based reasoning with machine learning now detect subsystem faults, diagnose them, determine root cause, and in several demonstrations initiate recovery without waiting for the ground</w:t>
      </w:r>
      <w:r>
        <w:t xml:space="preserve"> </w:t>
      </w:r>
      <w:hyperlink w:anchor="ref-1">
        <w:r>
          <w:rPr>
            <w:rStyle w:val="Hyperlink"/>
          </w:rPr>
          <w:t xml:space="preserve">[1]</w:t>
        </w:r>
      </w:hyperlink>
      <w:r>
        <w:t xml:space="preserve">[6]. Telemetry pipelines, including transformer-based architectures, flag anomalies in near real time and fold that inference into routine operations</w:t>
      </w:r>
      <w:r>
        <w:t xml:space="preserve"> </w:t>
      </w:r>
      <w:hyperlink w:anchor="ref-2">
        <w:r>
          <w:rPr>
            <w:rStyle w:val="Hyperlink"/>
          </w:rPr>
          <w:t xml:space="preserve">[2]</w:t>
        </w:r>
      </w:hyperlink>
      <w:r>
        <w:t xml:space="preserve">[3][8]. The recovery half, by contrast, has been reported anecdotally. Operational concepts specify safing and recovery as deterministic onboard sequences whose status detection, triggering, and passivation are written as fixed behaviors of the autonomy stack</w:t>
      </w:r>
      <w:r>
        <w:t xml:space="preserve"> </w:t>
      </w:r>
      <w:hyperlink w:anchor="ref-4">
        <w:r>
          <w:rPr>
            <w:rStyle w:val="Hyperlink"/>
          </w:rPr>
          <w:t xml:space="preserve">[4]</w:t>
        </w:r>
      </w:hyperlink>
      <w:r>
        <w:t xml:space="preserve">[9], and emerging agent-based mission-management architectures push more of the recovery decision onboard without quantifying what that movement buys</w:t>
      </w:r>
      <w:r>
        <w:t xml:space="preserve"> </w:t>
      </w:r>
      <w:hyperlink w:anchor="ref-10">
        <w:r>
          <w:rPr>
            <w:rStyle w:val="Hyperlink"/>
          </w:rPr>
          <w:t xml:space="preserve">[10]</w:t>
        </w:r>
      </w:hyperlink>
      <w:r>
        <w:t xml:space="preserve">[20]. The duration of the recovery itself, the interval that actually consumes mission availability, was left unmodeled as a random variable.</w:t>
      </w:r>
    </w:p>
    <w:p>
      <w:pPr>
        <w:pStyle w:val="BodyText"/>
        <w:spacing w:line="480" w:lineRule="auto"/>
        <w:ind w:firstLine="720"/>
      </w:pPr>
      <w:r>
        <w:t xml:space="preserve">The thesis named that interval and made it the object of measurement. Time-to-acquisition after anomaly is the duration from a spacecraft’s first entry into safe mode to the ground’s reacquisition of a healthy, fully commandable vehicle. The central claim of the dissertation was deliberately narrow and falsifiable: after conditioning on anomaly subsystem class and on the cadence at which the ground can observe and command the vehicle, greater onboard recovery autonomy shortens that interval. The mechanism was a race between two clocks. One clock is the diagnostic and reconfiguration work required to restore a commandable state. The other is the cadence at which the ground can close the loop. On deep-space vehicles that cadence is gated by scheduled tracking passes and bounded below by light-time. Where recovery waits on a ground-diagnosed sequence, the second clock binds, and the episode cannot complete faster than operators can author, uplink, and confirm a recovery. Onboard recovery autonomy attacks the first clock and partially decouples the vehicle from the second, advancing its own recovery between contacts rather than idling until the next pass</w:t>
      </w:r>
      <w:r>
        <w:t xml:space="preserve"> </w:t>
      </w:r>
      <w:hyperlink w:anchor="ref-4">
        <w:r>
          <w:rPr>
            <w:rStyle w:val="Hyperlink"/>
          </w:rPr>
          <w:t xml:space="preserve">[4]</w:t>
        </w:r>
      </w:hyperlink>
      <w:r>
        <w:t xml:space="preserve">[9]. The economic stakes made the question consequential rather than academic, because the value an operating satellite generates is precisely what is forgone while it sits safed, so the length of each episode is a first-order driver of realized mission value rather than a footnote to reliability</w:t>
      </w:r>
      <w:r>
        <w:t xml:space="preserve"> </w:t>
      </w:r>
      <w:hyperlink w:anchor="ref-5">
        <w:r>
          <w:rPr>
            <w:rStyle w:val="Hyperlink"/>
          </w:rPr>
          <w:t xml:space="preserve">[5]</w:t>
        </w:r>
      </w:hyperlink>
      <w:r>
        <w:t xml:space="preserve">.</w:t>
      </w:r>
    </w:p>
    <w:bookmarkEnd w:id="142"/>
    <w:bookmarkStart w:id="143" w:name="synthesis-of-the-empirical-findings"/>
    <w:p>
      <w:pPr>
        <w:pStyle w:val="Heading2"/>
        <w:spacing w:line="480" w:lineRule="auto"/>
      </w:pPr>
      <w:r>
        <w:t xml:space="preserve">8.2 Synthesis of the empirical findings</w:t>
      </w:r>
    </w:p>
    <w:p>
      <w:pPr>
        <w:pStyle w:val="FirstParagraph"/>
        <w:spacing w:line="480" w:lineRule="auto"/>
      </w:pPr>
      <w:r>
        <w:t xml:space="preserve">The dissertation tested that single proposition with two complementary estimators applied to overlapping but distinct samples of documented safe-mode episodes drawn from named public NASA, JPL, ESA, and instrument-team records. The two studies are designed to answer different operational questions, and their agreement is the spine of the contribution.</w:t>
      </w:r>
    </w:p>
    <w:p>
      <w:pPr>
        <w:pStyle w:val="BodyText"/>
        <w:spacing w:line="480" w:lineRule="auto"/>
        <w:ind w:firstLine="720"/>
      </w:pPr>
      <w:r>
        <w:t xml:space="preserve">The first study, reported in Chapter 6, treated the recovery interval as a continuous time-to-event outcome and estimated a Cox proportional-hazards model over 24 episodes from 16 missions, spanning frequently passed low-Earth-orbit observatories and deep-space planetary vehicles whose contact is gated by tracking schedules. The Cox specification was the appropriate instrument because it imposes no parametric form on the baseline duration distribution, yields the autonomy effect directly as a hazard ratio, and handles the one right-censored, mission-ending episode natively through its risk-set contribution rather than discarding it and biasing the recovery rate upward. The estimated coefficient on the ordinal autonomy index was 1.3689 with a standard error of 0.4355, a z-statistic of 3.14, and a p-value of 0.0017. Exponentiated, this is a hazard ratio of 3.93 with a 95 percent confidence interval of [1.67, 9.23]. Each one-step advance along the recovery-autonomy index, from ground-loop recovery to scripted onboard safing, or from scripted safing to adaptive autonomous reconfiguration, multiplies the instantaneous rate of reaching reacquisition by roughly 3.9. The interval lies entirely above one, so the null of no autonomy effect is rejected. Neither conditioning covariate reached individual significance: the contact-gap coefficient was effectively null, and the command-and-data-handling flag, while positive in point estimate, was too imprecise to support a claim. The reading was sharp. In this sample, the autonomy margin, not the raw contact margin and not the subsystem class, is what moves the recovery hazard. It moves it strongly.</w:t>
      </w:r>
    </w:p>
    <w:p>
      <w:pPr>
        <w:pStyle w:val="BodyText"/>
        <w:spacing w:line="480" w:lineRule="auto"/>
        <w:ind w:firstLine="720"/>
      </w:pPr>
      <w:r>
        <w:t xml:space="preserve">The second study, reported in Chapter 7, took the coarser cut that operators actually budget against. Rather than asking how fast recovery proceeds on average, it asked how often an episode crosses a downtime threshold that triggers a mission-impact review. It coded a binary outcome, whether the documented recovery exceeded seven days, and estimated a logistic regression over 33 episodes, conditioning on a deep-space operating-regime indicator and on an attitude-control or command-and-data-handling subsystem flag. The logit was the right estimator because the outcome is dichotomous and its coefficients exponentiate into odds ratios stated in the units operators reason in, the multiplicative change in the odds of breaching the one-week line. Entering the autonomy index as a single ordinal covariate, rather than as separate dummies, kept the effect on one interpretable coefficient and avoided the quasi-separation that a ground-only dummy would have induced in a sample where every ground-only episode ran long. The model converged cleanly, with no separation warning. The autonomy coefficient was -2.574 with a standard error of 1.163 and a p-value of 0.027, significant at the five percent level and signed as predicted. Exponentiated, each one-step rise in recovery autonomy multiplies the odds of a prolonged outage by about 0.076, a reduction near 92 percent within the sample, conditional on the controls. As in the hazard study, the controls pointed in the expected direction but did not individually reach significance, which is unsurprising at this sample size and given the correlation between deep-space operation and low autonomy in older platforms; they absorbed confounding variance without claiming independent effects.</w:t>
      </w:r>
    </w:p>
    <w:p>
      <w:pPr>
        <w:pStyle w:val="BodyText"/>
        <w:spacing w:line="480" w:lineRule="auto"/>
        <w:ind w:firstLine="720"/>
      </w:pPr>
      <w:r>
        <w:t xml:space="preserve">Read together, the two estimates form a coherent and mutually reinforcing picture. The hazard model establishes that recovery autonomy shifts the entire recovery-time distribution toward faster reacquisition. The logit model shows the same lever pulling episodes off the decision-relevant tail, the side of the seven-day line that operators treat as a mission-impact event. Two estimators with different functional forms, different censoring treatments, different outcome codings, and partially non-overlapping samples converge on the same conclusion with the same sign and comparable significance. Convergent results from methods that do not share their failure modes are stronger than either result alone, because the artifacts that could spuriously produce one are unlikely to produce the other. The proposition that moving recovery work onboard compresses time-to-acquisition survives both tests.</w:t>
      </w:r>
    </w:p>
    <w:bookmarkEnd w:id="143"/>
    <w:bookmarkStart w:id="144"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to convert a quantity that the fault-management literature has described qualitatively into an estimable parameter with an interpretable, testable coefficient. Before this work, recovery duration appeared in the literature as a fixed engineering property of a fault-detection-isolation-and-recovery design, reported case by case in mission narratives and operational concepts</w:t>
      </w:r>
      <w:r>
        <w:t xml:space="preserve"> </w:t>
      </w:r>
      <w:hyperlink w:anchor="ref-4">
        <w:r>
          <w:rPr>
            <w:rStyle w:val="Hyperlink"/>
          </w:rPr>
          <w:t xml:space="preserve">[4]</w:t>
        </w:r>
      </w:hyperlink>
      <w:r>
        <w:t xml:space="preserve">[9][10][20]. The detection literature had already made the conceptual move that this dissertation extends, namely relocating inference from the ground onto the platform to compress latency</w:t>
      </w:r>
      <w:r>
        <w:t xml:space="preserve"> </w:t>
      </w:r>
      <w:hyperlink w:anchor="ref-1">
        <w:r>
          <w:rPr>
            <w:rStyle w:val="Hyperlink"/>
          </w:rPr>
          <w:t xml:space="preserve">[1]</w:t>
        </w:r>
      </w:hyperlink>
      <w:r>
        <w:t xml:space="preserve">[2][3][6]. What was missing was any treatment of recovery duration as a stochastic outcome and any isolation of the marginal effect of recovery autonomy on that outcome while holding anomaly class and contact cadence fixed. This dissertation supplies exactly that: a recovery-autonomy hazard ratio near four and an outage-avoidance odds ratio near one-twelfth, each estimated on documented, fully attributable public records, each falsifiable, and each robust to a companion estimator built on a different statistical foundation.</w:t>
      </w:r>
    </w:p>
    <w:p>
      <w:pPr>
        <w:pStyle w:val="BodyText"/>
        <w:spacing w:line="480" w:lineRule="auto"/>
        <w:ind w:firstLine="720"/>
      </w:pPr>
      <w:r>
        <w:t xml:space="preserve">The contribution is methodological as well as substantive. By framing recovery as a survival problem, the dissertation imports the native handling of censoring that the recovery literature needs and lacked. Mission-ending episodes, the Opportunity dust-storm fault being the canonical case, are neither completed recoveries nor missing data; they are right-censored observations whose information must enter the estimate without being mistaken for fast recoveries. A regression on completed durations alone would silently drop them and bias the recovery rate upward. The survival framing dissolves that problem rather than working around it, and the binary companion model shows that the headline conclusion does not depend on the particular parametric choices of either estimator. This pairing of a continuous duration model with a threshold model is itself a transferable template for operational quantities that are simultaneously about average speed and about the probability of crossing a contractually meaningful line.</w:t>
      </w:r>
    </w:p>
    <w:p>
      <w:pPr>
        <w:pStyle w:val="BodyText"/>
        <w:spacing w:line="480" w:lineRule="auto"/>
        <w:ind w:firstLine="720"/>
      </w:pPr>
      <w:r>
        <w:t xml:space="preserve">The contribution is, finally, decision-relevant. The fault-management community has long treated onboard recovery autonomy as a capability justified by engineering judgment and individual case studies. This dissertation gives an operator a number. Priced against the value forgone while a vehicle is safed</w:t>
      </w:r>
      <w:r>
        <w:t xml:space="preserve"> </w:t>
      </w:r>
      <w:hyperlink w:anchor="ref-5">
        <w:r>
          <w:rPr>
            <w:rStyle w:val="Hyperlink"/>
          </w:rPr>
          <w:t xml:space="preserve">[5]</w:t>
        </w:r>
      </w:hyperlink>
      <w:r>
        <w:t xml:space="preserve">, a recovery-autonomy increment can now be attached to an expected reduction in outage duration and an expected reduction in the probability of a prolonged outage, and weighed against the downtime it is expected to avert. That converts a capability now justified qualitatively into a quantity that can earn its place in an availability budget and in a mission-cost trade. The same population that demonstrates the value of recovery autonomy, the zombie and anomalous spacecraft whose off-nominal episodes resolve slowly enough to threaten mission value, is precisely the population for which the estimate is most actionable</w:t>
      </w:r>
      <w:r>
        <w:t xml:space="preserve"> </w:t>
      </w:r>
      <w:hyperlink w:anchor="ref-11">
        <w:r>
          <w:rPr>
            <w:rStyle w:val="Hyperlink"/>
          </w:rPr>
          <w:t xml:space="preserve">[11]</w:t>
        </w:r>
      </w:hyperlink>
      <w:r>
        <w:t xml:space="preserve">.</w:t>
      </w:r>
    </w:p>
    <w:bookmarkEnd w:id="144"/>
    <w:bookmarkStart w:id="145" w:name="limits-and-the-boundary-of-the-claim"/>
    <w:p>
      <w:pPr>
        <w:pStyle w:val="Heading2"/>
        <w:spacing w:line="480" w:lineRule="auto"/>
      </w:pPr>
      <w:r>
        <w:t xml:space="preserve">8.4 Limits and the boundary of the claim</w:t>
      </w:r>
    </w:p>
    <w:p>
      <w:pPr>
        <w:pStyle w:val="FirstParagraph"/>
        <w:spacing w:line="480" w:lineRule="auto"/>
      </w:pPr>
      <w:r>
        <w:t xml:space="preserve">Rigor requires that the contribution be stated within its scope rather than beyond it. The chief threat throughout has been the autonomy index itself as a potential confounder, because better-resourced missions may field both more onboard autonomy and faster recovery for reasons unrelated to autonomy. Within-class comparison, regime and subsystem controls, and the modest samples mitigate but do not eliminate this, and the coefficients are therefore most defensibly read as conditional associations on these samples rather than as fully identified causal effects. An instrument for autonomy, or a within-platform design that observes the same vehicle before and after an autonomy upgrade, would settle what conditioning alone cannot. Measurement error from heterogeneous recovery-time recording, integer-day resolution, and a small number of illustrative durations is real, though it most plausibly attenuates rather than inflates the autonomy effect, which makes the rejection of the null conservative rather than fragile. The single censored observation in the hazard sample is too sparse to support a separate competing-risk treatment of mission-ending events, which the larger anomaly-database sample anticipated in the prospectus is designed to estimate. The proportional-hazards assumption, checkable with Schoenfeld residuals at larger sample sizes, was assumed at the present scale. And the seven-day threshold in the binary model is a modeling choice whose sensitivity a varying-cut analysis would probe.</w:t>
      </w:r>
    </w:p>
    <w:p>
      <w:pPr>
        <w:pStyle w:val="BodyText"/>
        <w:spacing w:line="480" w:lineRule="auto"/>
        <w:ind w:firstLine="720"/>
      </w:pPr>
      <w:r>
        <w:t xml:space="preserve">The most important boundary is one of external validity, and it is stated as a scope condition rather than overclaimed. Both samples are dominated by NASA, JPL, and ESA science and Earth-observation platforms. The estimated hazard ratio and odds ratio describe that population. They need not transfer unchanged to commercial constellations with different contact economics, different fault-management philosophies, and different availability commitments, where the relative weight of the two clocks may differ. Extending the estimate to those populations, and to the larger public anomaly record, is the natural next step rather than a defect of the present one.</w:t>
      </w:r>
    </w:p>
    <w:bookmarkEnd w:id="145"/>
    <w:bookmarkStart w:id="146" w:name="closing-statement"/>
    <w:p>
      <w:pPr>
        <w:pStyle w:val="Heading2"/>
        <w:spacing w:line="480" w:lineRule="auto"/>
      </w:pPr>
      <w:r>
        <w:t xml:space="preserve">8.5 Closing statement</w:t>
      </w:r>
    </w:p>
    <w:p>
      <w:pPr>
        <w:pStyle w:val="FirstParagraph"/>
        <w:spacing w:line="480" w:lineRule="auto"/>
      </w:pPr>
      <w:r>
        <w:t xml:space="preserve">The operations clock that matters after an anomaly is the one that runs while a vehicle sits unavailable, and until now that clock has been described but not measured. This dissertation measured it. Across two complementary estimators applied to documented safe-mode episodes, the same lever moved the same outcome in the same direction: onboard recovery autonomy shortens time-to-acquisition after anomaly and lowers the odds that a fault becomes a prolonged outage, after conditioning on anomaly class and on the cadence at which the ground can close the loop. The detection half of the safing loop has spent a decade migrating intelligence onto the vehicle to compress detection latency. The evidence assembled here argues that the recovery half, where the costlier latency lives, stands to gain at least as much from the same architectural move, and it supplies the coefficients an operator needs to price that gain. A quantity that the fault-management literature has carried as a qualitative property is now an estimable hazard with a testable autonomy coefficient, falsifiable in principle and unfalsified in this work. The contribution is not that autonomy helps, which engineers have long believed, but that the help can be measured, signed, bounded, and entered into a budget. That is the modest, defensible, and useful thing this dissertation set out to establish, and it is what the evidence supports.</w:t>
      </w:r>
    </w:p>
    <w:bookmarkEnd w:id="146"/>
    <w:bookmarkStart w:id="187" w:name="references"/>
    <w:p>
      <w:pPr>
        <w:pStyle w:val="Heading2"/>
        <w:spacing w:line="480" w:lineRule="auto"/>
      </w:pPr>
      <w:r>
        <w:t xml:space="preserve">References</w:t>
      </w:r>
    </w:p>
    <w:p>
      <w:pPr>
        <w:pStyle w:val="FirstParagraph"/>
        <w:spacing w:line="480" w:lineRule="auto"/>
      </w:pPr>
      <w:bookmarkStart w:id="147" w:name="ref-1"/>
      <w:bookmarkEnd w:id="147"/>
      <w:r>
        <w:t xml:space="preserve">1. R. Stottler, S. Ramachandran, C. Belardi, and R. Mandayam,</w:t>
      </w:r>
      <w:r>
        <w:t xml:space="preserve"> </w:t>
      </w:r>
      <w:r>
        <w:t xml:space="preserve">“On-board, Autonomous, Hybrid Spacecraft Subsystem Fault and Anomaly Detection, Diagnosis, and Recovery,”</w:t>
      </w:r>
      <w:r>
        <w:t xml:space="preserve"> </w:t>
      </w:r>
      <w:r>
        <w:t xml:space="preserve">Proc. Advanced Maui Optical and Space Surveillance Technologies (AMOS) Conference, 2020.</w:t>
      </w:r>
    </w:p>
    <w:p>
      <w:pPr>
        <w:pStyle w:val="BodyText"/>
        <w:spacing w:line="480" w:lineRule="auto"/>
        <w:ind w:firstLine="720"/>
      </w:pPr>
      <w:bookmarkStart w:id="148" w:name="ref-2"/>
      <w:bookmarkEnd w:id="148"/>
      <w:r>
        <w:t xml:space="preserve">2. Z. Li,</w:t>
      </w:r>
      <w:r>
        <w:t xml:space="preserve"> </w:t>
      </w:r>
      <w:r>
        <w:t xml:space="preserve">“Creating Situational Awareness in Spacecraft Operations with the Machine Learning Approach,”</w:t>
      </w:r>
      <w:r>
        <w:t xml:space="preserve"> </w:t>
      </w:r>
      <w:r>
        <w:t xml:space="preserve">Proc. Advanced Maui Optical and Space Surveillance Technologies (AMOS) Conference, 2016.</w:t>
      </w:r>
    </w:p>
    <w:p>
      <w:pPr>
        <w:pStyle w:val="BodyText"/>
        <w:spacing w:line="480" w:lineRule="auto"/>
        <w:ind w:firstLine="720"/>
      </w:pPr>
      <w:bookmarkStart w:id="149" w:name="ref-3"/>
      <w:bookmarkEnd w:id="149"/>
      <w:r>
        <w:t xml:space="preserve">3. K. G. Kelly,</w:t>
      </w:r>
      <w:r>
        <w:t xml:space="preserve"> </w:t>
      </w:r>
      <w:r>
        <w:t xml:space="preserve">“Integrating Machine Learning into Space Operations,”</w:t>
      </w:r>
      <w:r>
        <w:t xml:space="preserve"> </w:t>
      </w:r>
      <w:r>
        <w:t xml:space="preserve">Proc. Advanced Maui Optical and Space Surveillance Technologies (AMOS) Conference, 2017.</w:t>
      </w:r>
    </w:p>
    <w:p>
      <w:pPr>
        <w:pStyle w:val="BodyText"/>
        <w:spacing w:line="480" w:lineRule="auto"/>
        <w:ind w:firstLine="720"/>
      </w:pPr>
      <w:bookmarkStart w:id="150" w:name="ref-4"/>
      <w:bookmarkEnd w:id="150"/>
      <w:r>
        <w:t xml:space="preserve">4. A. Wander, K. Konstantinidis, R. Förstner, and P. Voigt,</w:t>
      </w:r>
      <w:r>
        <w:t xml:space="preserve"> </w:t>
      </w:r>
      <w:r>
        <w:t xml:space="preserve">“Autonomy and operational concept for self-removal of spacecraft: Status detection, removal triggering and passivation,”</w:t>
      </w:r>
      <w:r>
        <w:t xml:space="preserve"> </w:t>
      </w:r>
      <w:r>
        <w:t xml:space="preserve">Acta Astronautica, vol. 164, 2019. doi:</w:t>
      </w:r>
      <w:r>
        <w:t xml:space="preserve"> </w:t>
      </w:r>
      <w:hyperlink r:id="rId151">
        <w:r>
          <w:rPr>
            <w:rStyle w:val="Hyperlink"/>
          </w:rPr>
          <w:t xml:space="preserve">10.1016/j.actaastro.2019.07.014</w:t>
        </w:r>
      </w:hyperlink>
    </w:p>
    <w:p>
      <w:pPr>
        <w:pStyle w:val="BodyText"/>
        <w:spacing w:line="480" w:lineRule="auto"/>
        <w:ind w:firstLine="720"/>
      </w:pPr>
      <w:bookmarkStart w:id="152" w:name="ref-5"/>
      <w:bookmarkEnd w:id="152"/>
      <w:r>
        <w:t xml:space="preserve">5. OCEA,</w:t>
      </w:r>
      <w:r>
        <w:t xml:space="preserve"> </w:t>
      </w:r>
      <w:r>
        <w:t xml:space="preserve">“Forecasting the Space Economy,”</w:t>
      </w:r>
      <w:r>
        <w:t xml:space="preserve"> </w:t>
      </w:r>
      <w:r>
        <w:t xml:space="preserve">Space Economy source document SD08, Space Economy Papers corpus.</w:t>
      </w:r>
    </w:p>
    <w:p>
      <w:pPr>
        <w:pStyle w:val="BodyText"/>
        <w:spacing w:line="480" w:lineRule="auto"/>
        <w:ind w:firstLine="720"/>
      </w:pPr>
      <w:bookmarkStart w:id="153" w:name="ref-6"/>
      <w:bookmarkEnd w:id="153"/>
      <w:r>
        <w:t xml:space="preserve">6. R. Stottler, S. Ramachandran, C. Healy, and A. Singhal,</w:t>
      </w:r>
      <w:r>
        <w:t xml:space="preserve"> </w:t>
      </w:r>
      <w:r>
        <w:t xml:space="preserve">“Autonomous, Hybrid Space System Fault and Anomaly Detection, Diagnosis, Root Cause Determination, and Recovery,”</w:t>
      </w:r>
      <w:r>
        <w:t xml:space="preserve"> </w:t>
      </w:r>
      <w:r>
        <w:t xml:space="preserve">Proc. Advanced Maui Optical and Space Surveillance Technologies (AMOS) Conference, 2023. doi:</w:t>
      </w:r>
      <w:r>
        <w:t xml:space="preserve"> </w:t>
      </w:r>
      <w:hyperlink r:id="rId154">
        <w:r>
          <w:rPr>
            <w:rStyle w:val="Hyperlink"/>
          </w:rPr>
          <w:t xml:space="preserve">10.64861/XHRO4751</w:t>
        </w:r>
      </w:hyperlink>
    </w:p>
    <w:p>
      <w:pPr>
        <w:pStyle w:val="BodyText"/>
        <w:spacing w:line="480" w:lineRule="auto"/>
        <w:ind w:firstLine="720"/>
      </w:pPr>
      <w:bookmarkStart w:id="155" w:name="ref-7"/>
      <w:bookmarkEnd w:id="155"/>
      <w:r>
        <w:t xml:space="preserve">7. A. Nicholas, M. DiNicola, T. Randolph, and T. Imken,</w:t>
      </w:r>
      <w:r>
        <w:t xml:space="preserve"> </w:t>
      </w:r>
      <w:r>
        <w:t xml:space="preserve">“Modeling Spacecraft Safe Mode Events,”</w:t>
      </w:r>
      <w:r>
        <w:t xml:space="preserve"> </w:t>
      </w:r>
      <w:r>
        <w:t xml:space="preserve">NASA Technical Reports Server, citation 20210008140, 2018. https://ntrs.nasa.gov/citations/20210008140</w:t>
      </w:r>
    </w:p>
    <w:p>
      <w:pPr>
        <w:pStyle w:val="BodyText"/>
        <w:spacing w:line="480" w:lineRule="auto"/>
        <w:ind w:firstLine="720"/>
      </w:pPr>
      <w:bookmarkStart w:id="156" w:name="ref-8"/>
      <w:bookmarkEnd w:id="156"/>
      <w:r>
        <w:t xml:space="preserve">8. Acta Astronautica,</w:t>
      </w:r>
      <w:r>
        <w:t xml:space="preserve"> </w:t>
      </w:r>
      <w:r>
        <w:t xml:space="preserve">“Transformer-based anomaly detection for satellite telemetry data,”</w:t>
      </w:r>
      <w:r>
        <w:t xml:space="preserve"> </w:t>
      </w:r>
      <w:r>
        <w:t xml:space="preserve">vol. 2025, 2025. doi:</w:t>
      </w:r>
      <w:r>
        <w:t xml:space="preserve"> </w:t>
      </w:r>
      <w:hyperlink r:id="rId157">
        <w:r>
          <w:rPr>
            <w:rStyle w:val="Hyperlink"/>
          </w:rPr>
          <w:t xml:space="preserve">10.1016/j.actaastro.2025.09.035</w:t>
        </w:r>
      </w:hyperlink>
    </w:p>
    <w:p>
      <w:pPr>
        <w:pStyle w:val="BodyText"/>
        <w:spacing w:line="480" w:lineRule="auto"/>
        <w:ind w:firstLine="720"/>
      </w:pPr>
      <w:bookmarkStart w:id="158" w:name="ref-9"/>
      <w:bookmarkEnd w:id="158"/>
      <w:r>
        <w:t xml:space="preserve">9. A. Wander, K. Konstantinidis, R. Foerstner, and P. Voigt,</w:t>
      </w:r>
      <w:r>
        <w:t xml:space="preserve"> </w:t>
      </w:r>
      <w:r>
        <w:t xml:space="preserve">“Autonomy and operational concept for self-removal of spacecraft: Status detection, removal triggering and passivation,”</w:t>
      </w:r>
      <w:r>
        <w:t xml:space="preserve"> </w:t>
      </w:r>
      <w:r>
        <w:t xml:space="preserve">Acta Astronautica, vol. 164, 2019. doi:</w:t>
      </w:r>
      <w:r>
        <w:t xml:space="preserve"> </w:t>
      </w:r>
      <w:hyperlink r:id="rId151">
        <w:r>
          <w:rPr>
            <w:rStyle w:val="Hyperlink"/>
          </w:rPr>
          <w:t xml:space="preserve">10.1016/j.actaastro.2019.07.014</w:t>
        </w:r>
      </w:hyperlink>
    </w:p>
    <w:p>
      <w:pPr>
        <w:pStyle w:val="BodyText"/>
        <w:spacing w:line="480" w:lineRule="auto"/>
        <w:ind w:firstLine="720"/>
      </w:pPr>
      <w:bookmarkStart w:id="159" w:name="ref-10"/>
      <w:bookmarkEnd w:id="159"/>
      <w:r>
        <w:t xml:space="preserve">10. Acta Astronautica,</w:t>
      </w:r>
      <w:r>
        <w:t xml:space="preserve"> </w:t>
      </w:r>
      <w:r>
        <w:t xml:space="preserve">“Agent-based approaches for distributed space systems and mission management: Methods and applications,”</w:t>
      </w:r>
      <w:r>
        <w:t xml:space="preserve"> </w:t>
      </w:r>
      <w:r>
        <w:t xml:space="preserve">vol. 2025, 2025. doi:</w:t>
      </w:r>
      <w:r>
        <w:t xml:space="preserve"> </w:t>
      </w:r>
      <w:hyperlink r:id="rId160">
        <w:r>
          <w:rPr>
            <w:rStyle w:val="Hyperlink"/>
          </w:rPr>
          <w:t xml:space="preserve">10.1016/j.actaastro.2025.10.018</w:t>
        </w:r>
      </w:hyperlink>
    </w:p>
    <w:p>
      <w:pPr>
        <w:pStyle w:val="BodyText"/>
        <w:spacing w:line="480" w:lineRule="auto"/>
        <w:ind w:firstLine="720"/>
      </w:pPr>
      <w:bookmarkStart w:id="161" w:name="ref-11"/>
      <w:bookmarkEnd w:id="161"/>
      <w:r>
        <w:t xml:space="preserve">11. Acta Astronautica,</w:t>
      </w:r>
      <w:r>
        <w:t xml:space="preserve"> </w:t>
      </w:r>
      <w:r>
        <w:t xml:space="preserve">“Towards a second life for Zombie Satellites: Anomaly occurrence and potential recovery,”</w:t>
      </w:r>
      <w:r>
        <w:t xml:space="preserve"> </w:t>
      </w:r>
      <w:r>
        <w:t xml:space="preserve">vol. 2024, 2024. doi:</w:t>
      </w:r>
      <w:r>
        <w:t xml:space="preserve"> </w:t>
      </w:r>
      <w:hyperlink r:id="rId162">
        <w:r>
          <w:rPr>
            <w:rStyle w:val="Hyperlink"/>
          </w:rPr>
          <w:t xml:space="preserve">10.1016/j.actaastro.2024.01.048</w:t>
        </w:r>
      </w:hyperlink>
    </w:p>
    <w:p>
      <w:pPr>
        <w:pStyle w:val="BodyText"/>
        <w:spacing w:line="480" w:lineRule="auto"/>
        <w:ind w:firstLine="720"/>
      </w:pPr>
      <w:bookmarkStart w:id="163" w:name="ref-12"/>
      <w:bookmarkEnd w:id="163"/>
      <w:r>
        <w:t xml:space="preserve">12. Miguel Nunes, Hawaii Space Flight Laboratory; Piper Kline, Hawaii Space Flight Laboratory; Peter Englert, University of Hawaii at Manoa; Craig Hardgrove, Arizona State University; William Edmonson, University of Hawaii at Manoa; Scott Ginoza, Hawaii Space Flight Laboratory. Neutron-2: Advancing Space Weather Monitoring and Anomaly Detection with a Dual CubeSat System (2025). doi:</w:t>
      </w:r>
      <w:r>
        <w:t xml:space="preserve"> </w:t>
      </w:r>
      <w:hyperlink r:id="rId164">
        <w:r>
          <w:rPr>
            <w:rStyle w:val="Hyperlink"/>
          </w:rPr>
          <w:t xml:space="preserve">10.64861/TFPO6156</w:t>
        </w:r>
      </w:hyperlink>
    </w:p>
    <w:p>
      <w:pPr>
        <w:pStyle w:val="BodyText"/>
        <w:spacing w:line="480" w:lineRule="auto"/>
        <w:ind w:firstLine="720"/>
      </w:pPr>
      <w:bookmarkStart w:id="165" w:name="ref-13"/>
      <w:bookmarkEnd w:id="165"/>
      <w:r>
        <w:t xml:space="preserve">13. Richard Stottler, Stottler Henke Associates, Inc.; Sowmya Ramachandran, Stottler Henke Associates, Inc.; Chris Healy, Stottler Henke Associates, Inc.; Abhimanyu Singhal, Stottler Henke Associates, Inc.. Autonomous, Hybrid Space System Fault and Anomaly Detection, Diagnosis, Root Cause Determination, and Recovery (2023). doi:</w:t>
      </w:r>
      <w:r>
        <w:t xml:space="preserve"> </w:t>
      </w:r>
      <w:hyperlink r:id="rId154">
        <w:r>
          <w:rPr>
            <w:rStyle w:val="Hyperlink"/>
          </w:rPr>
          <w:t xml:space="preserve">10.64861/XHRO4751</w:t>
        </w:r>
      </w:hyperlink>
    </w:p>
    <w:p>
      <w:pPr>
        <w:pStyle w:val="BodyText"/>
        <w:spacing w:line="480" w:lineRule="auto"/>
        <w:ind w:firstLine="720"/>
      </w:pPr>
      <w:bookmarkStart w:id="166" w:name="ref-14"/>
      <w:bookmarkEnd w:id="166"/>
      <w:r>
        <w:t xml:space="preserve">14. Doyle Hall (The Boeing Company), John Africano (The Boeing Company), David Archambeault (Boeing LTS), Brian Birge (Boeing LTS), David Witte (Pantera Consulting), Paul Kervin (AFRL, Det 15). AMOS Observations of NASA’s IMAGE Satellite (2006).</w:t>
      </w:r>
    </w:p>
    <w:p>
      <w:pPr>
        <w:pStyle w:val="BodyText"/>
        <w:spacing w:line="480" w:lineRule="auto"/>
        <w:ind w:firstLine="720"/>
      </w:pPr>
      <w:bookmarkStart w:id="167" w:name="ref-15"/>
      <w:bookmarkEnd w:id="167"/>
      <w:r>
        <w:t xml:space="preserve">15. Selma Zamoum, SpaceAble France; Thomas Husson, SpaceAble France; Fatoumata Kebe, SpaceAble France; Mathieu Barthélémy, IPAG-OSUG/CSUG; Benjamin Gigleux, SpaceAble France; Jacques Sombrin, TéSA Laboratory; Franck Durand-Carrier, TéSA Laboratory and CNES. A Complete SSA Scheme for a Sustainable Low Earth Orbit: Space Data Aggregation and IA Combined with In-orbit Inspection (2021).</w:t>
      </w:r>
    </w:p>
    <w:p>
      <w:pPr>
        <w:pStyle w:val="BodyText"/>
        <w:spacing w:line="480" w:lineRule="auto"/>
        <w:ind w:firstLine="720"/>
      </w:pPr>
      <w:bookmarkStart w:id="168" w:name="ref-16"/>
      <w:bookmarkEnd w:id="168"/>
      <w:r>
        <w:t xml:space="preserve">16. Marcus Holzinger (University of Colorado at Boulder), Daniel Scheeres (University of Colorado at Boulder). Reachability Analysis Applied to Space Situational Awareness (2009).</w:t>
      </w:r>
    </w:p>
    <w:p>
      <w:pPr>
        <w:pStyle w:val="BodyText"/>
        <w:spacing w:line="480" w:lineRule="auto"/>
        <w:ind w:firstLine="720"/>
      </w:pPr>
      <w:bookmarkStart w:id="169" w:name="ref-17"/>
      <w:bookmarkEnd w:id="169"/>
      <w:r>
        <w:t xml:space="preserve">17. Mark Scherbarth (AFRL), Durand Smith (ARES Corporation), Aaron Adler (ARES Corporation), Janet Stuart (ATA Aerospace), Greg Ginet (Massachusetts Institute of Technology, Lincoln Laboratory). AFRL’s Demonstration and Science Experiments (DSX) Mission (2009).</w:t>
      </w:r>
    </w:p>
    <w:p>
      <w:pPr>
        <w:pStyle w:val="BodyText"/>
        <w:spacing w:line="480" w:lineRule="auto"/>
        <w:ind w:firstLine="720"/>
      </w:pPr>
      <w:bookmarkStart w:id="170" w:name="ref-18"/>
      <w:bookmarkEnd w:id="170"/>
      <w:r>
        <w:t xml:space="preserve">18. Atilla Saadat, Turion Space Corporation; Vince Chen, Turion Space Corporation; James Austin, Turion Space Corporation. End-to-End Autonomous Mission Planning and Spacecraft Attitude Optimization for Resident Space Object Imaging (2025). doi:</w:t>
      </w:r>
      <w:r>
        <w:t xml:space="preserve"> </w:t>
      </w:r>
      <w:hyperlink r:id="rId171">
        <w:r>
          <w:rPr>
            <w:rStyle w:val="Hyperlink"/>
          </w:rPr>
          <w:t xml:space="preserve">10.64861/TLLP2048</w:t>
        </w:r>
      </w:hyperlink>
    </w:p>
    <w:p>
      <w:pPr>
        <w:pStyle w:val="BodyText"/>
        <w:spacing w:line="480" w:lineRule="auto"/>
        <w:ind w:firstLine="720"/>
      </w:pPr>
      <w:bookmarkStart w:id="172" w:name="ref-19"/>
      <w:bookmarkEnd w:id="172"/>
      <w:r>
        <w:t xml:space="preserve">19. Robyn A. Natherson; Daniel J. Scheeres. Reachabililty-based missed thrust analysis (2026). doi:</w:t>
      </w:r>
      <w:r>
        <w:t xml:space="preserve"> </w:t>
      </w:r>
      <w:hyperlink r:id="rId173">
        <w:r>
          <w:rPr>
            <w:rStyle w:val="Hyperlink"/>
          </w:rPr>
          <w:t xml:space="preserve">10.1016/j.actaastro.2026.05.030</w:t>
        </w:r>
      </w:hyperlink>
    </w:p>
    <w:p>
      <w:pPr>
        <w:pStyle w:val="BodyText"/>
        <w:spacing w:line="480" w:lineRule="auto"/>
        <w:ind w:firstLine="720"/>
      </w:pPr>
      <w:bookmarkStart w:id="174" w:name="ref-20"/>
      <w:bookmarkEnd w:id="174"/>
      <w:r>
        <w:t xml:space="preserve">20.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60">
        <w:r>
          <w:rPr>
            <w:rStyle w:val="Hyperlink"/>
          </w:rPr>
          <w:t xml:space="preserve">10.1016/j.actaastro.2025.10.018</w:t>
        </w:r>
      </w:hyperlink>
    </w:p>
    <w:p>
      <w:pPr>
        <w:pStyle w:val="BodyText"/>
        <w:spacing w:line="480" w:lineRule="auto"/>
        <w:ind w:firstLine="720"/>
      </w:pPr>
      <w:bookmarkStart w:id="175" w:name="ref-21"/>
      <w:bookmarkEnd w:id="175"/>
      <w:r>
        <w:t xml:space="preserve">21. Marc D. Rayman. Lessons from the Dawn mission to Ceres and Vesta (2020). doi:</w:t>
      </w:r>
      <w:r>
        <w:t xml:space="preserve"> </w:t>
      </w:r>
      <w:hyperlink r:id="rId176">
        <w:r>
          <w:rPr>
            <w:rStyle w:val="Hyperlink"/>
          </w:rPr>
          <w:t xml:space="preserve">10.1016/j.actaastro.2020.06.023</w:t>
        </w:r>
      </w:hyperlink>
    </w:p>
    <w:p>
      <w:pPr>
        <w:pStyle w:val="BodyText"/>
        <w:spacing w:line="480" w:lineRule="auto"/>
        <w:ind w:firstLine="720"/>
      </w:pPr>
      <w:bookmarkStart w:id="177" w:name="ref-22"/>
      <w:bookmarkEnd w:id="177"/>
      <w:r>
        <w:t xml:space="preserve">22. Mattia Pugliatti; Felice Piccolo; Antonio Rizza; Vittorio Franzese; Francesco Topputo. The vision-based guidance, navigation, and control system of Hera’s Milani CubeSat (2023). doi:</w:t>
      </w:r>
      <w:r>
        <w:t xml:space="preserve"> </w:t>
      </w:r>
      <w:hyperlink r:id="rId178">
        <w:r>
          <w:rPr>
            <w:rStyle w:val="Hyperlink"/>
          </w:rPr>
          <w:t xml:space="preserve">10.1016/j.actaastro.2023.04.047</w:t>
        </w:r>
      </w:hyperlink>
    </w:p>
    <w:p>
      <w:pPr>
        <w:pStyle w:val="BodyText"/>
        <w:spacing w:line="480" w:lineRule="auto"/>
        <w:ind w:firstLine="720"/>
      </w:pPr>
      <w:bookmarkStart w:id="179" w:name="ref-23"/>
      <w:bookmarkEnd w:id="179"/>
      <w:r>
        <w:t xml:space="preserve">23. Adam W. Koenig; Simone D’Amico. Safe spacecraft swarm deployment and acquisition in perturbed near-circular orbits subject to operational constraints (2018). doi:</w:t>
      </w:r>
      <w:r>
        <w:t xml:space="preserve"> </w:t>
      </w:r>
      <w:hyperlink r:id="rId180">
        <w:r>
          <w:rPr>
            <w:rStyle w:val="Hyperlink"/>
          </w:rPr>
          <w:t xml:space="preserve">10.1016/j.actaastro.2018.01.037</w:t>
        </w:r>
      </w:hyperlink>
    </w:p>
    <w:p>
      <w:pPr>
        <w:pStyle w:val="BodyText"/>
        <w:spacing w:line="480" w:lineRule="auto"/>
        <w:ind w:firstLine="720"/>
      </w:pPr>
      <w:bookmarkStart w:id="181" w:name="ref-24"/>
      <w:bookmarkEnd w:id="181"/>
      <w:r>
        <w:t xml:space="preserve">24. Darren McKnight. Orbital debris hazard insights from spacecraft anomalies studies (2016). doi:</w:t>
      </w:r>
      <w:r>
        <w:t xml:space="preserve"> </w:t>
      </w:r>
      <w:hyperlink r:id="rId182">
        <w:r>
          <w:rPr>
            <w:rStyle w:val="Hyperlink"/>
          </w:rPr>
          <w:t xml:space="preserve">10.1016/j.actaastro.2016.04.005</w:t>
        </w:r>
      </w:hyperlink>
    </w:p>
    <w:p>
      <w:pPr>
        <w:pStyle w:val="BodyText"/>
        <w:spacing w:line="480" w:lineRule="auto"/>
        <w:ind w:firstLine="720"/>
      </w:pPr>
      <w:bookmarkStart w:id="183" w:name="ref-25"/>
      <w:bookmarkEnd w:id="183"/>
      <w:r>
        <w:t xml:space="preserve">25. Pingyuan Cui; Dantong Ge; Ai Gao. Optimal landing site selection based on safety index during planetary descent (2016). doi:</w:t>
      </w:r>
      <w:r>
        <w:t xml:space="preserve"> </w:t>
      </w:r>
      <w:hyperlink r:id="rId184">
        <w:r>
          <w:rPr>
            <w:rStyle w:val="Hyperlink"/>
          </w:rPr>
          <w:t xml:space="preserve">10.1016/j.actaastro.2016.10.040</w:t>
        </w:r>
      </w:hyperlink>
    </w:p>
    <w:p>
      <w:pPr>
        <w:pStyle w:val="BodyText"/>
        <w:spacing w:line="480" w:lineRule="auto"/>
        <w:ind w:firstLine="720"/>
      </w:pPr>
      <w:bookmarkStart w:id="185" w:name="ref-26"/>
      <w:bookmarkEnd w:id="185"/>
      <w:r>
        <w:t xml:space="preserve">26. Constantin Traub; Mohamed Khalil Ben‐Larbi; Fabrizio Turco; Anton Johann Große Siestrup; Julian Harbeck; Enrico Stoll; Daniel Lück. Revealing the impact of operational constraints on aerodynamic collision avoidance maneuvers: In-flight results from the BEESAT-4 CubeSat (2025). doi:</w:t>
      </w:r>
      <w:r>
        <w:t xml:space="preserve"> </w:t>
      </w:r>
      <w:hyperlink r:id="rId186">
        <w:r>
          <w:rPr>
            <w:rStyle w:val="Hyperlink"/>
          </w:rPr>
          <w:t xml:space="preserve">10.1016/j.actaastro.2025.04.038</w:t>
        </w:r>
      </w:hyperlink>
    </w:p>
    <w:bookmarkEnd w:id="187"/>
    <w:bookmarkEnd w:id="188"/>
    <w:bookmarkStart w:id="20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6" w:name="X21328da62654dd3c7c7cbce04afe6f1c5e95be1"/>
    <w:p>
      <w:pPr>
        <w:pStyle w:val="Heading2"/>
        <w:spacing w:line="480" w:lineRule="auto"/>
      </w:pPr>
      <w:r>
        <w:t xml:space="preserve">A.1 Time-to-Acquisition After Anomaly: A Cox Hazard Model of Onboard Recovery Autonomy in Spacecraft Safe-Mode Episodes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_</m:t>
              </m:r>
              <m:r>
                <m:rPr>
                  <m:sty m:val="p"/>
                </m:rPr>
                <m:t>i</m:t>
              </m:r>
              <m:r>
                <m:rPr>
                  <m:sty m:val="p"/>
                </m:rPr>
                <m:t>d</m:t>
              </m:r>
              <m:r>
                <m:rPr>
                  <m:sty m:val="p"/>
                </m:rPr>
                <m:t>x</m:t>
              </m:r>
              <m:r>
                <m:rPr>
                  <m:sty m:val="p"/>
                </m:rPr>
                <m:t>+</m:t>
              </m:r>
              <m:sSub>
                <m:e>
                  <m:r>
                    <m:t>β</m:t>
                  </m:r>
                </m:e>
                <m:sub>
                  <m:r>
                    <m:t>2</m:t>
                  </m:r>
                </m:sub>
              </m:sSub>
              <m:r>
                <m:t> </m:t>
              </m:r>
              <m:r>
                <m:rPr>
                  <m:sty m:val="p"/>
                </m:rPr>
                <m:t>c</m:t>
              </m:r>
              <m:r>
                <m:rPr>
                  <m:sty m:val="p"/>
                </m:rPr>
                <m:t>o</m:t>
              </m:r>
              <m:r>
                <m:rPr>
                  <m:sty m:val="p"/>
                </m:rPr>
                <m:t>n</m:t>
              </m:r>
              <m:r>
                <m:rPr>
                  <m:sty m:val="p"/>
                </m:rPr>
                <m:t>t</m:t>
              </m:r>
              <m:r>
                <m:rPr>
                  <m:sty m:val="p"/>
                </m:rPr>
                <m:t>a</m:t>
              </m:r>
              <m:r>
                <m:rPr>
                  <m:sty m:val="p"/>
                </m:rPr>
                <m:t>c</m:t>
              </m:r>
              <m:r>
                <m:rPr>
                  <m:sty m:val="p"/>
                </m:rPr>
                <m:t>t</m:t>
              </m:r>
              <m:r>
                <m:rPr>
                  <m:sty m:val="p"/>
                </m:rPr>
                <m:t>_</m:t>
              </m:r>
              <m:r>
                <m:rPr>
                  <m:sty m:val="p"/>
                </m:rPr>
                <m:t>g</m:t>
              </m:r>
              <m:r>
                <m:rPr>
                  <m:sty m:val="p"/>
                </m:rPr>
                <m:t>a</m:t>
              </m:r>
              <m:r>
                <m:rPr>
                  <m:sty m:val="p"/>
                </m:rPr>
                <m:t>p</m:t>
              </m:r>
              <m:r>
                <m:rPr>
                  <m:sty m:val="p"/>
                </m:rPr>
                <m:t>_</m:t>
              </m:r>
              <m:r>
                <m:rPr>
                  <m:sty m:val="p"/>
                </m:rPr>
                <m:t>h</m:t>
              </m:r>
              <m:r>
                <m:rPr>
                  <m:sty m:val="p"/>
                </m:rPr>
                <m:t>r</m:t>
              </m:r>
              <m:r>
                <m:rPr>
                  <m:sty m:val="p"/>
                </m:rPr>
                <m:t>+</m:t>
              </m:r>
              <m:sSub>
                <m:e>
                  <m:r>
                    <m:t>β</m:t>
                  </m:r>
                </m:e>
                <m:sub>
                  <m:r>
                    <m:t>3</m:t>
                  </m:r>
                </m:sub>
              </m:sSub>
              <m:r>
                <m:t> </m:t>
              </m:r>
              <m:r>
                <m:rPr>
                  <m:sty m:val="p"/>
                </m:rPr>
                <m:t>c</m:t>
              </m:r>
              <m:r>
                <m:rPr>
                  <m:sty m:val="p"/>
                </m:rPr>
                <m:t>d</m:t>
              </m:r>
              <m:r>
                <m:rPr>
                  <m:sty m:val="p"/>
                </m:rPr>
                <m:t>h</m:t>
              </m:r>
              <m:r>
                <m:rPr>
                  <m:sty m:val="p"/>
                </m:rPr>
                <m:t>_</m:t>
              </m:r>
              <m:r>
                <m:rPr>
                  <m:sty m:val="p"/>
                </m:rPr>
                <m:t>f</m:t>
              </m:r>
              <m:r>
                <m:rPr>
                  <m:sty m:val="p"/>
                </m:rPr>
                <m:t>l</m:t>
              </m:r>
              <m:r>
                <m:rPr>
                  <m:sty m:val="p"/>
                </m:rPr>
                <m:t>a</m:t>
              </m:r>
              <m:r>
                <m:rPr>
                  <m:sty m:val="p"/>
                </m:rPr>
                <m:t>g</m:t>
              </m:r>
            </m:e>
          </m:d>
        </m:oMath>
      </m:oMathPara>
    </w:p>
    <w:bookmarkStart w:id="18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autonomy_idx</w:t>
            </w:r>
          </w:p>
        </w:tc>
        <w:tc>
          <w:tcPr>
            <w:tcW w:w="0" w:type="auto"/>
          </w:tcPr>
          <w:p>
            <w:pPr>
              <w:spacing w:line="240" w:lineRule="auto" w:before="0" w:after="0"/>
              <w:pStyle w:val="Compact"/>
            </w:pPr>
            <w:r>
              <w:rPr>
                <w:sz w:val="20"/>
                <w:szCs w:val="20"/>
              </w:rPr>
              <w:t xml:space="preserve">1.3689</w:t>
            </w:r>
          </w:p>
        </w:tc>
        <w:tc>
          <w:tcPr>
            <w:tcW w:w="0" w:type="auto"/>
          </w:tcPr>
          <w:p>
            <w:pPr>
              <w:spacing w:line="240" w:lineRule="auto" w:before="0" w:after="0"/>
              <w:pStyle w:val="Compact"/>
            </w:pPr>
            <w:r>
              <w:rPr>
                <w:sz w:val="20"/>
                <w:szCs w:val="20"/>
              </w:rPr>
              <w:t xml:space="preserve">0.4355</w:t>
            </w:r>
          </w:p>
        </w:tc>
        <w:tc>
          <w:tcPr>
            <w:tcW w:w="0" w:type="auto"/>
          </w:tcPr>
          <w:p>
            <w:pPr>
              <w:spacing w:line="240" w:lineRule="auto" w:before="0" w:after="0"/>
              <w:pStyle w:val="Compact"/>
            </w:pPr>
            <w:r>
              <w:rPr>
                <w:sz w:val="20"/>
                <w:szCs w:val="20"/>
              </w:rPr>
              <w:t xml:space="preserve">3.1436</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[0.5154, 2.2224]</w:t>
            </w:r>
          </w:p>
        </w:tc>
        <w:tc>
          <w:tcPr>
            <w:tcW w:w="0" w:type="auto"/>
          </w:tcPr>
          <w:p>
            <w:pPr>
              <w:spacing w:line="240" w:lineRule="auto" w:before="0" w:after="0"/>
              <w:pStyle w:val="Compact"/>
            </w:pPr>
            <w:r>
              <w:rPr>
                <w:sz w:val="20"/>
                <w:szCs w:val="20"/>
              </w:rPr>
              <w:t xml:space="preserve">3.9311</w:t>
            </w:r>
          </w:p>
        </w:tc>
      </w:tr>
      <w:tr>
        <w:tc>
          <w:tcPr>
            <w:tcW w:w="0" w:type="auto"/>
          </w:tcPr>
          <w:p>
            <w:pPr>
              <w:spacing w:line="240" w:lineRule="auto" w:before="0" w:after="0"/>
              <w:pStyle w:val="Compact"/>
            </w:pPr>
            <w:r>
              <w:rPr>
                <w:sz w:val="20"/>
                <w:szCs w:val="20"/>
              </w:rPr>
              <w:t xml:space="preserve">contact_gap_hr</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0.0207</w:t>
            </w:r>
          </w:p>
        </w:tc>
        <w:tc>
          <w:tcPr>
            <w:tcW w:w="0" w:type="auto"/>
          </w:tcPr>
          <w:p>
            <w:pPr>
              <w:spacing w:line="240" w:lineRule="auto" w:before="0" w:after="0"/>
              <w:pStyle w:val="Compact"/>
            </w:pPr>
            <w:r>
              <w:rPr>
                <w:sz w:val="20"/>
                <w:szCs w:val="20"/>
              </w:rPr>
              <w:t xml:space="preserve">-0.2295</w:t>
            </w:r>
          </w:p>
        </w:tc>
        <w:tc>
          <w:tcPr>
            <w:tcW w:w="0" w:type="auto"/>
          </w:tcPr>
          <w:p>
            <w:pPr>
              <w:spacing w:line="240" w:lineRule="auto" w:before="0" w:after="0"/>
              <w:pStyle w:val="Compact"/>
            </w:pPr>
            <w:r>
              <w:rPr>
                <w:sz w:val="20"/>
                <w:szCs w:val="20"/>
              </w:rPr>
              <w:t xml:space="preserve">0.8185</w:t>
            </w:r>
          </w:p>
        </w:tc>
        <w:tc>
          <w:tcPr>
            <w:tcW w:w="0" w:type="auto"/>
          </w:tcPr>
          <w:p>
            <w:pPr>
              <w:spacing w:line="240" w:lineRule="auto" w:before="0" w:after="0"/>
              <w:pStyle w:val="Compact"/>
            </w:pPr>
            <w:r>
              <w:rPr>
                <w:sz w:val="20"/>
                <w:szCs w:val="20"/>
              </w:rPr>
              <w:t xml:space="preserve">[-0.0452, 0.0358]</w:t>
            </w:r>
          </w:p>
        </w:tc>
        <w:tc>
          <w:tcPr>
            <w:tcW w:w="0" w:type="auto"/>
          </w:tcPr>
          <w:p>
            <w:pPr>
              <w:spacing w:line="240" w:lineRule="auto" w:before="0" w:after="0"/>
              <w:pStyle w:val="Compact"/>
            </w:pPr>
            <w:r>
              <w:rPr>
                <w:sz w:val="20"/>
                <w:szCs w:val="20"/>
              </w:rPr>
              <w:t xml:space="preserve">0.9953</w:t>
            </w:r>
          </w:p>
        </w:tc>
      </w:tr>
      <w:tr>
        <w:tc>
          <w:tcPr>
            <w:tcW w:w="0" w:type="auto"/>
          </w:tcPr>
          <w:p>
            <w:pPr>
              <w:spacing w:line="240" w:lineRule="auto" w:before="0" w:after="0"/>
              <w:pStyle w:val="Compact"/>
            </w:pPr>
            <w:r>
              <w:rPr>
                <w:sz w:val="20"/>
                <w:szCs w:val="20"/>
              </w:rPr>
              <w:t xml:space="preserve">cdh_flag</w:t>
            </w:r>
          </w:p>
        </w:tc>
        <w:tc>
          <w:tcPr>
            <w:tcW w:w="0" w:type="auto"/>
          </w:tcPr>
          <w:p>
            <w:pPr>
              <w:spacing w:line="240" w:lineRule="auto" w:before="0" w:after="0"/>
              <w:pStyle w:val="Compact"/>
            </w:pPr>
            <w:r>
              <w:rPr>
                <w:sz w:val="20"/>
                <w:szCs w:val="20"/>
              </w:rPr>
              <w:t xml:space="preserve">0.4973</w:t>
            </w:r>
          </w:p>
        </w:tc>
        <w:tc>
          <w:tcPr>
            <w:tcW w:w="0" w:type="auto"/>
          </w:tcPr>
          <w:p>
            <w:pPr>
              <w:spacing w:line="240" w:lineRule="auto" w:before="0" w:after="0"/>
              <w:pStyle w:val="Compact"/>
            </w:pPr>
            <w:r>
              <w:rPr>
                <w:sz w:val="20"/>
                <w:szCs w:val="20"/>
              </w:rPr>
              <w:t xml:space="preserve">0.5191</w:t>
            </w:r>
          </w:p>
        </w:tc>
        <w:tc>
          <w:tcPr>
            <w:tcW w:w="0" w:type="auto"/>
          </w:tcPr>
          <w:p>
            <w:pPr>
              <w:spacing w:line="240" w:lineRule="auto" w:before="0" w:after="0"/>
              <w:pStyle w:val="Compact"/>
            </w:pPr>
            <w:r>
              <w:rPr>
                <w:sz w:val="20"/>
                <w:szCs w:val="20"/>
              </w:rPr>
              <w:t xml:space="preserve">0.958</w:t>
            </w:r>
          </w:p>
        </w:tc>
        <w:tc>
          <w:tcPr>
            <w:tcW w:w="0" w:type="auto"/>
          </w:tcPr>
          <w:p>
            <w:pPr>
              <w:spacing w:line="240" w:lineRule="auto" w:before="0" w:after="0"/>
              <w:pStyle w:val="Compact"/>
            </w:pPr>
            <w:r>
              <w:rPr>
                <w:sz w:val="20"/>
                <w:szCs w:val="20"/>
              </w:rPr>
              <w:t xml:space="preserve">0.3381</w:t>
            </w:r>
          </w:p>
        </w:tc>
        <w:tc>
          <w:tcPr>
            <w:tcW w:w="0" w:type="auto"/>
          </w:tcPr>
          <w:p>
            <w:pPr>
              <w:spacing w:line="240" w:lineRule="auto" w:before="0" w:after="0"/>
              <w:pStyle w:val="Compact"/>
            </w:pPr>
            <w:r>
              <w:rPr>
                <w:sz w:val="20"/>
                <w:szCs w:val="20"/>
              </w:rPr>
              <w:t xml:space="preserve">[-0.5201, 1.5147]</w:t>
            </w:r>
          </w:p>
        </w:tc>
        <w:tc>
          <w:tcPr>
            <w:tcW w:w="0" w:type="auto"/>
          </w:tcPr>
          <w:p>
            <w:pPr>
              <w:spacing w:line="240" w:lineRule="auto" w:before="0" w:after="0"/>
              <w:pStyle w:val="Compact"/>
            </w:pPr>
            <w:r>
              <w:rPr>
                <w:sz w:val="20"/>
                <w:szCs w:val="20"/>
              </w:rPr>
              <w:t xml:space="preserve">1.6442</w:t>
            </w:r>
          </w:p>
        </w:tc>
      </w:tr>
    </w:tbl>
    <w:p>
      <w:pPr>
        <w:pStyle w:val="BodyText"/>
        <w:spacing w:line="480" w:lineRule="auto"/>
        <w:ind w:firstLine="720"/>
      </w:pPr>
      <w:r>
        <w:t xml:space="preserve">Fit: N = 24 events = 23</w:t>
      </w:r>
    </w:p>
    <w:bookmarkEnd w:id="189"/>
    <w:bookmarkStart w:id="19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ime-to-acquisition after anomaly against onboard recovery-autonomy index across 24 documented spacecraft safe-mode episodes. Higher-autonomy recovery paths cluster at shorter recovery durations, consistent with a recovery hazard ratio above 1 for autonomy." title="" id="191" name="Picture"/>
            <a:graphic>
              <a:graphicData uri="http://schemas.openxmlformats.org/drawingml/2006/picture">
                <pic:pic>
                  <pic:nvPicPr>
                    <pic:cNvPr descr="D:/Claude_Code/brain/collegium/candidates/dissertations/JPL_OPS_COMMS_DATA_08/research_papers/p1/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Time-to-acquisition after anomaly against onboard recovery-autonomy index across 24 documented spacecraft safe-mode episodes. Higher-autonomy recovery paths cluster at shorter recovery durations, consistent with a recovery hazard ratio above 1 for autonomy.</w:t>
      </w:r>
    </w:p>
    <w:bookmarkEnd w:id="193"/>
    <w:bookmarkStart w:id="19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episode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subsystem</w:t>
            </w:r>
          </w:p>
        </w:tc>
        <w:tc>
          <w:tcPr>
            <w:tcW w:w="0" w:type="auto"/>
          </w:tcPr>
          <w:p>
            <w:pPr>
              <w:spacing w:line="240" w:lineRule="auto" w:before="0" w:after="0"/>
              <w:pStyle w:val="Compact"/>
            </w:pPr>
            <w:r>
              <w:rPr>
                <w:sz w:val="20"/>
                <w:szCs w:val="20"/>
              </w:rPr>
              <w:t xml:space="preserve">recovery_days</w:t>
            </w:r>
          </w:p>
        </w:tc>
        <w:tc>
          <w:tcPr>
            <w:tcW w:w="0" w:type="auto"/>
          </w:tcPr>
          <w:p>
            <w:pPr>
              <w:spacing w:line="240" w:lineRule="auto" w:before="0" w:after="0"/>
              <w:pStyle w:val="Compact"/>
            </w:pPr>
            <w:r>
              <w:rPr>
                <w:sz w:val="20"/>
                <w:szCs w:val="20"/>
              </w:rPr>
              <w:t xml:space="preserve">recovered</w:t>
            </w:r>
          </w:p>
        </w:tc>
        <w:tc>
          <w:tcPr>
            <w:tcW w:w="0" w:type="auto"/>
          </w:tcPr>
          <w:p>
            <w:pPr>
              <w:spacing w:line="240" w:lineRule="auto" w:before="0" w:after="0"/>
              <w:pStyle w:val="Compact"/>
            </w:pPr>
            <w:r>
              <w:rPr>
                <w:sz w:val="20"/>
                <w:szCs w:val="20"/>
              </w:rPr>
              <w:t xml:space="preserve">autonomy_idx</w:t>
            </w:r>
          </w:p>
        </w:tc>
        <w:tc>
          <w:tcPr>
            <w:tcW w:w="0" w:type="auto"/>
          </w:tcPr>
          <w:p>
            <w:pPr>
              <w:spacing w:line="240" w:lineRule="auto" w:before="0" w:after="0"/>
              <w:pStyle w:val="Compact"/>
            </w:pPr>
            <w:r>
              <w:rPr>
                <w:sz w:val="20"/>
                <w:szCs w:val="20"/>
              </w:rPr>
              <w:t xml:space="preserve">contact_gap_hr</w:t>
            </w:r>
          </w:p>
        </w:tc>
        <w:tc>
          <w:tcPr>
            <w:tcW w:w="0" w:type="auto"/>
          </w:tcPr>
          <w:p>
            <w:pPr>
              <w:spacing w:line="240" w:lineRule="auto" w:before="0" w:after="0"/>
              <w:pStyle w:val="Compact"/>
            </w:pPr>
            <w:r>
              <w:rPr>
                <w:sz w:val="20"/>
                <w:szCs w:val="20"/>
              </w:rPr>
              <w:t xml:space="preserve">cdh_flag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gyro safe mode (2023)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‘NASA Returns Hubble Space Telescope to Science Operations,’</w:t>
            </w:r>
            <w:r>
              <w:rPr>
                <w:sz w:val="20"/>
                <w:szCs w:val="20"/>
              </w:rPr>
              <w:t xml:space="preserve"> </w:t>
            </w:r>
            <w:r>
              <w:rPr>
                <w:sz w:val="20"/>
                <w:szCs w:val="20"/>
              </w:rPr>
              <w:t xml:space="preserve">entered safe mode 2023-11-23, restored 2023-12-08. https://science.nasa.gov/missions/hubble/nasas-hubble-space-telescope-pauses-science-due-to-gyro-issue/</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WFC3 power supply (2021)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‘NASA’s Hubble Space Telescope’s Wide Field Camera 3 Restored,’</w:t>
            </w:r>
            <w:r>
              <w:rPr>
                <w:sz w:val="20"/>
                <w:szCs w:val="20"/>
              </w:rPr>
              <w:t xml:space="preserve"> </w:t>
            </w:r>
            <w:r>
              <w:rPr>
                <w:sz w:val="20"/>
                <w:szCs w:val="20"/>
              </w:rPr>
              <w:t xml:space="preserve">safe configuration 2021-03-07, restored 2021-03-13. https://science.nasa.gov/missions/hubble/nasas-hubble-space-telescopes-wide-field-camera-3-restored/</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payload computer (2021)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‘NASA Returns Hubble Space Telescope to Science Operations,’</w:t>
            </w:r>
            <w:r>
              <w:rPr>
                <w:sz w:val="20"/>
                <w:szCs w:val="20"/>
              </w:rPr>
              <w:t xml:space="preserve"> </w:t>
            </w:r>
            <w:r>
              <w:rPr>
                <w:sz w:val="20"/>
                <w:szCs w:val="20"/>
              </w:rPr>
              <w:t xml:space="preserve">payload-computer halt 2021-06-13, science resumed 2021-07-16 after backup hardware switchover. https://science.nasa.gov/missions/hubble/nasa-returns-hubble-space-telescope-to-science-operations/</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gyro failure (2018)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 press, Hubble entered safe mode 2018-10-05 on a gyro failure; science resumed 2018-10-27 after backup-gyro reconfiguration. https://science.nasa.gov/mission/hubble/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IMU all-stellar nav (2022)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GSFC,</w:t>
            </w:r>
            <w:r>
              <w:rPr>
                <w:sz w:val="20"/>
                <w:szCs w:val="20"/>
              </w:rPr>
              <w:t xml:space="preserve"> </w:t>
            </w:r>
            <w:r>
              <w:rPr>
                <w:sz w:val="20"/>
                <w:szCs w:val="20"/>
              </w:rPr>
              <w:t xml:space="preserve">‘NASA’s MAVEN Spacecraft Resumes Science &amp; Operations, Exits Safe Mode,’</w:t>
            </w:r>
            <w:r>
              <w:rPr>
                <w:sz w:val="20"/>
                <w:szCs w:val="20"/>
              </w:rPr>
              <w:t xml:space="preserve"> </w:t>
            </w:r>
            <w:r>
              <w:rPr>
                <w:sz w:val="20"/>
                <w:szCs w:val="20"/>
              </w:rPr>
              <w:t xml:space="preserve">IMU anomaly 2022-02-22, science resumed 2022-05-28. https://www.nasa.gov/centers-and-facilities/goddard/nasas-maven-spacecraft-resumes-science-operations-exits-safe-mode/</w:t>
            </w:r>
          </w:p>
        </w:tc>
      </w:tr>
      <w:tr>
        <w:tc>
          <w:tcPr>
            <w:tcW w:w="0" w:type="auto"/>
          </w:tcPr>
          <w:p>
            <w:pPr>
              <w:spacing w:line="240" w:lineRule="auto" w:before="0" w:after="0"/>
              <w:pStyle w:val="Compact"/>
            </w:pPr>
            <w:r>
              <w:rPr>
                <w:sz w:val="20"/>
                <w:szCs w:val="20"/>
              </w:rPr>
              <w:t xml:space="preserve">NewHorizons</w:t>
            </w:r>
          </w:p>
        </w:tc>
        <w:tc>
          <w:tcPr>
            <w:tcW w:w="0" w:type="auto"/>
          </w:tcPr>
          <w:p>
            <w:pPr>
              <w:spacing w:line="240" w:lineRule="auto" w:before="0" w:after="0"/>
              <w:pStyle w:val="Compact"/>
            </w:pPr>
            <w:r>
              <w:rPr>
                <w:sz w:val="20"/>
                <w:szCs w:val="20"/>
              </w:rPr>
              <w:t xml:space="preserve">command-load error (2017)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w:t>
            </w:r>
            <w:r>
              <w:rPr>
                <w:sz w:val="20"/>
                <w:szCs w:val="20"/>
              </w:rPr>
              <w:t xml:space="preserve"> </w:t>
            </w:r>
            <w:r>
              <w:rPr>
                <w:sz w:val="20"/>
                <w:szCs w:val="20"/>
              </w:rPr>
              <w:t xml:space="preserve">‘New Horizons Exits Brief Safe Mode, Recovery Operations Continue,’</w:t>
            </w:r>
            <w:r>
              <w:rPr>
                <w:sz w:val="20"/>
                <w:szCs w:val="20"/>
              </w:rPr>
              <w:t xml:space="preserve"> </w:t>
            </w:r>
            <w:r>
              <w:rPr>
                <w:sz w:val="20"/>
                <w:szCs w:val="20"/>
              </w:rPr>
              <w:t xml:space="preserve">command-loading error 2017-02-09, recovered by 2017-02-12. https://www.nasa.gov/general/new-horizons-exits-brief-safe-mode-recovery-operations-continue/</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flight-software catalog (2013)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w:t>
            </w:r>
            <w:r>
              <w:rPr>
                <w:sz w:val="20"/>
                <w:szCs w:val="20"/>
              </w:rPr>
              <w:t xml:space="preserve"> </w:t>
            </w:r>
            <w:r>
              <w:rPr>
                <w:sz w:val="20"/>
                <w:szCs w:val="20"/>
              </w:rPr>
              <w:t xml:space="preserve">‘Curiosity Out of Safe Mode,’</w:t>
            </w:r>
            <w:r>
              <w:rPr>
                <w:sz w:val="20"/>
                <w:szCs w:val="20"/>
              </w:rPr>
              <w:t xml:space="preserve"> </w:t>
            </w:r>
            <w:r>
              <w:rPr>
                <w:sz w:val="20"/>
                <w:szCs w:val="20"/>
              </w:rPr>
              <w:t xml:space="preserve">software-induced reset 2013-11-07, normal ops 2013-11-10. https://www.jpl.nasa.gov/news/curiosity-out-of-safe-mode/</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transponder service module (2018)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w:t>
            </w:r>
            <w:r>
              <w:rPr>
                <w:sz w:val="20"/>
                <w:szCs w:val="20"/>
              </w:rPr>
              <w:t xml:space="preserve"> </w:t>
            </w:r>
            <w:r>
              <w:rPr>
                <w:sz w:val="20"/>
                <w:szCs w:val="20"/>
              </w:rPr>
              <w:t xml:space="preserve">‘Gaia status update: safe mode and recovery,’</w:t>
            </w:r>
            <w:r>
              <w:rPr>
                <w:sz w:val="20"/>
                <w:szCs w:val="20"/>
              </w:rPr>
              <w:t xml:space="preserve"> </w:t>
            </w:r>
            <w:r>
              <w:rPr>
                <w:sz w:val="20"/>
                <w:szCs w:val="20"/>
              </w:rPr>
              <w:t xml:space="preserve">safe mode 2018-02-18, operations resumed 2018-02-28. https://sci.esa.int/web/gaia/-/60098-gaia-status-update-safe-mode-and-recovery</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reaction-wheel momentum (2024b)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‘TESS Status Updates,’</w:t>
            </w:r>
            <w:r>
              <w:rPr>
                <w:sz w:val="20"/>
                <w:szCs w:val="20"/>
              </w:rPr>
              <w:t xml:space="preserve"> </w:t>
            </w:r>
            <w:r>
              <w:rPr>
                <w:sz w:val="20"/>
                <w:szCs w:val="20"/>
              </w:rPr>
              <w:t xml:space="preserve">safe mode 2024-04-23 (momentum-unload failure), science resumed 2024-05-03. https://science.nasa.gov/missions/tess/tess-status-update/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April anomaly (2024a)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‘TESS Status Updates,’</w:t>
            </w:r>
            <w:r>
              <w:rPr>
                <w:sz w:val="20"/>
                <w:szCs w:val="20"/>
              </w:rPr>
              <w:t xml:space="preserve"> </w:t>
            </w:r>
            <w:r>
              <w:rPr>
                <w:sz w:val="20"/>
                <w:szCs w:val="20"/>
              </w:rPr>
              <w:t xml:space="preserve">safe mode 2024-04-08, returned to operations 2024-04-17. https://science.nasa.gov/missions/tess/tess-status-update/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solar-panel pointing (2026)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‘TESS Status Updates,’</w:t>
            </w:r>
            <w:r>
              <w:rPr>
                <w:sz w:val="20"/>
                <w:szCs w:val="20"/>
              </w:rPr>
              <w:t xml:space="preserve"> </w:t>
            </w:r>
            <w:r>
              <w:rPr>
                <w:sz w:val="20"/>
                <w:szCs w:val="20"/>
              </w:rPr>
              <w:t xml:space="preserve">safe mode 2026-01-15 (solar-panel pointing/battery), returned 2026-01-18. https://science.nasa.gov/missions/tess/tess-status-update/</w:t>
            </w:r>
          </w:p>
        </w:tc>
      </w:tr>
      <w:tr>
        <w:tc>
          <w:tcPr>
            <w:tcW w:w="0" w:type="auto"/>
          </w:tcPr>
          <w:p>
            <w:pPr>
              <w:spacing w:line="240" w:lineRule="auto" w:before="0" w:after="0"/>
              <w:pStyle w:val="Compact"/>
            </w:pPr>
            <w:r>
              <w:rPr>
                <w:sz w:val="20"/>
                <w:szCs w:val="20"/>
              </w:rPr>
              <w:t xml:space="preserve">Voyager1</w:t>
            </w:r>
          </w:p>
        </w:tc>
        <w:tc>
          <w:tcPr>
            <w:tcW w:w="0" w:type="auto"/>
          </w:tcPr>
          <w:p>
            <w:pPr>
              <w:spacing w:line="240" w:lineRule="auto" w:before="0" w:after="0"/>
              <w:pStyle w:val="Compact"/>
            </w:pPr>
            <w:r>
              <w:rPr>
                <w:sz w:val="20"/>
                <w:szCs w:val="20"/>
              </w:rPr>
              <w:t xml:space="preserve">FDS memory corruption (2023)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 Space.com / Nextgov, Voyager 1 FDS memory-chip corruption began 2023-11-14, readable engineering data restored 2024-04-20. https://www.space.com/nasa-voyager-1-communications-breakdown-solved</w:t>
            </w:r>
          </w:p>
        </w:tc>
      </w:tr>
      <w:tr>
        <w:tc>
          <w:tcPr>
            <w:tcW w:w="0" w:type="auto"/>
          </w:tcPr>
          <w:p>
            <w:pPr>
              <w:spacing w:line="240" w:lineRule="auto" w:before="0" w:after="0"/>
              <w:pStyle w:val="Compact"/>
            </w:pPr>
            <w:r>
              <w:rPr>
                <w:sz w:val="20"/>
                <w:szCs w:val="20"/>
              </w:rPr>
              <w:t xml:space="preserve">Voyager2</w:t>
            </w:r>
          </w:p>
        </w:tc>
        <w:tc>
          <w:tcPr>
            <w:tcW w:w="0" w:type="auto"/>
          </w:tcPr>
          <w:p>
            <w:pPr>
              <w:spacing w:line="240" w:lineRule="auto" w:before="0" w:after="0"/>
              <w:pStyle w:val="Compact"/>
            </w:pPr>
            <w:r>
              <w:rPr>
                <w:sz w:val="20"/>
                <w:szCs w:val="20"/>
              </w:rPr>
              <w:t xml:space="preserve">antenna pointing (2023)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 CNN, Voyager 2 errant command 2023-07-21 mispointed the antenna; communications restored 2023-08-04 via the</w:t>
            </w:r>
            <w:r>
              <w:rPr>
                <w:sz w:val="20"/>
                <w:szCs w:val="20"/>
              </w:rPr>
              <w:t xml:space="preserve"> </w:t>
            </w:r>
            <w:r>
              <w:rPr>
                <w:sz w:val="20"/>
                <w:szCs w:val="20"/>
              </w:rPr>
              <w:t xml:space="preserve">‘shout’</w:t>
            </w:r>
            <w:r>
              <w:rPr>
                <w:sz w:val="20"/>
                <w:szCs w:val="20"/>
              </w:rPr>
              <w:t xml:space="preserve"> </w:t>
            </w:r>
            <w:r>
              <w:rPr>
                <w:sz w:val="20"/>
                <w:szCs w:val="20"/>
              </w:rPr>
              <w:t xml:space="preserve">command. https://www.cnn.com/2024/03/14/world/voyager-1-communication-issue-poke-scn/index.html</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PJ71 radiation safing (2025)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 SatNews,</w:t>
            </w:r>
            <w:r>
              <w:rPr>
                <w:sz w:val="20"/>
                <w:szCs w:val="20"/>
              </w:rPr>
              <w:t xml:space="preserve"> </w:t>
            </w:r>
            <w:r>
              <w:rPr>
                <w:sz w:val="20"/>
                <w:szCs w:val="20"/>
              </w:rPr>
              <w:t xml:space="preserve">‘NASA’s Juno Back to Normal Operations After Entering Safe Mode,’</w:t>
            </w:r>
            <w:r>
              <w:rPr>
                <w:sz w:val="20"/>
                <w:szCs w:val="20"/>
              </w:rPr>
              <w:t xml:space="preserve"> </w:t>
            </w:r>
            <w:r>
              <w:rPr>
                <w:sz w:val="20"/>
                <w:szCs w:val="20"/>
              </w:rPr>
              <w:t xml:space="preserve">two Perijove-71 safe-mode events 2025-04-04, high-rate data reestablished and normal ops within days. https://www.jpl.nasa.gov/news/nasas-juno-back-to-normal-operations-after-entering-safe-mode/</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gyroscope safing (2018)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‘NASA addressing problems with Hubble and Chandra space telescopes,’</w:t>
            </w:r>
            <w:r>
              <w:rPr>
                <w:sz w:val="20"/>
                <w:szCs w:val="20"/>
              </w:rPr>
              <w:t xml:space="preserve"> </w:t>
            </w:r>
            <w:r>
              <w:rPr>
                <w:sz w:val="20"/>
                <w:szCs w:val="20"/>
              </w:rPr>
              <w:t xml:space="preserve">Chandra entered safe mode 2018-10-10 on a gyroscope issue, returned to operations within about a week. https://spacenews.com/nasa-addressing-problems-with-hubble-and-chandra-space-telescopes/</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3rd reaction-wheel safing (2017)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w:t>
            </w:r>
            <w:r>
              <w:rPr>
                <w:sz w:val="20"/>
                <w:szCs w:val="20"/>
              </w:rPr>
              <w:t xml:space="preserve"> </w:t>
            </w:r>
            <w:r>
              <w:rPr>
                <w:sz w:val="20"/>
                <w:szCs w:val="20"/>
              </w:rPr>
              <w:t xml:space="preserve">‘Dawn Observing Ceres; 3rd Reaction Wheel Malfunctions,’</w:t>
            </w:r>
            <w:r>
              <w:rPr>
                <w:sz w:val="20"/>
                <w:szCs w:val="20"/>
              </w:rPr>
              <w:t xml:space="preserve"> </w:t>
            </w:r>
            <w:r>
              <w:rPr>
                <w:sz w:val="20"/>
                <w:szCs w:val="20"/>
              </w:rPr>
              <w:t xml:space="preserve">wheel stopped 2017-04-23, autonomous safing to hydrazine control, standard flight config restored 2017-04-25. https://www.jpl.nasa.gov/news/dawn-observing-ceres-3rd-reaction-wheel-malfunctions/</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IRAC comms safing (2015)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Caltech/NASA,</w:t>
            </w:r>
            <w:r>
              <w:rPr>
                <w:sz w:val="20"/>
                <w:szCs w:val="20"/>
              </w:rPr>
              <w:t xml:space="preserve"> </w:t>
            </w:r>
            <w:r>
              <w:rPr>
                <w:sz w:val="20"/>
                <w:szCs w:val="20"/>
              </w:rPr>
              <w:t xml:space="preserve">‘Status Report for NASA’s Spitzer Space Telescope,’</w:t>
            </w:r>
            <w:r>
              <w:rPr>
                <w:sz w:val="20"/>
                <w:szCs w:val="20"/>
              </w:rPr>
              <w:t xml:space="preserve"> </w:t>
            </w:r>
            <w:r>
              <w:rPr>
                <w:sz w:val="20"/>
                <w:szCs w:val="20"/>
              </w:rPr>
              <w:t xml:space="preserve">IRAC-spacecraft communications anomaly, safe mode 2015-11-26, returned to operations 2015-12-14. http://www.spitzer.caltech.edu/news/1839-feature15-16-Status-Report-for-NASA-s-Spitzer-Space-Telescope</w:t>
            </w:r>
          </w:p>
        </w:tc>
      </w:tr>
      <w:tr>
        <w:tc>
          <w:tcPr>
            <w:tcW w:w="0" w:type="auto"/>
          </w:tcPr>
          <w:p>
            <w:pPr>
              <w:spacing w:line="240" w:lineRule="auto" w:before="0" w:after="0"/>
              <w:pStyle w:val="Compact"/>
            </w:pPr>
            <w:r>
              <w:rPr>
                <w:sz w:val="20"/>
                <w:szCs w:val="20"/>
              </w:rPr>
              <w:t xml:space="preserve">CloudSat</w:t>
            </w:r>
          </w:p>
        </w:tc>
        <w:tc>
          <w:tcPr>
            <w:tcW w:w="0" w:type="auto"/>
          </w:tcPr>
          <w:p>
            <w:pPr>
              <w:spacing w:line="240" w:lineRule="auto" w:before="0" w:after="0"/>
              <w:pStyle w:val="Compact"/>
            </w:pPr>
            <w:r>
              <w:rPr>
                <w:sz w:val="20"/>
                <w:szCs w:val="20"/>
              </w:rPr>
              <w:t xml:space="preserve">battery anomaly (2011)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633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w:t>
            </w:r>
            <w:r>
              <w:rPr>
                <w:sz w:val="20"/>
                <w:szCs w:val="20"/>
              </w:rPr>
              <w:t xml:space="preserve"> </w:t>
            </w:r>
            <w:r>
              <w:rPr>
                <w:sz w:val="20"/>
                <w:szCs w:val="20"/>
              </w:rPr>
              <w:t xml:space="preserve">‘CloudSat Anomaly Recovery and Operational Lessons Learned’</w:t>
            </w:r>
            <w:r>
              <w:rPr>
                <w:sz w:val="20"/>
                <w:szCs w:val="20"/>
              </w:rPr>
              <w:t xml:space="preserve"> </w:t>
            </w:r>
            <w:r>
              <w:rPr>
                <w:sz w:val="20"/>
                <w:szCs w:val="20"/>
              </w:rPr>
              <w:t xml:space="preserve">(2012), battery anomaly 2011-04, daylight-only operations recovery campaign extended into 2012. https://ntrs.nasa.gov/api/citations/search?q=CloudSat+anomaly+recovery [extended-recovery duration]</w:t>
            </w:r>
          </w:p>
        </w:tc>
      </w:tr>
      <w:tr>
        <w:tc>
          <w:tcPr>
            <w:tcW w:w="0" w:type="auto"/>
          </w:tcPr>
          <w:p>
            <w:pPr>
              <w:spacing w:line="240" w:lineRule="auto" w:before="0" w:after="0"/>
              <w:pStyle w:val="Compact"/>
            </w:pPr>
            <w:r>
              <w:rPr>
                <w:sz w:val="20"/>
                <w:szCs w:val="20"/>
              </w:rPr>
              <w:t xml:space="preserve">TOMS-EP</w:t>
            </w:r>
          </w:p>
        </w:tc>
        <w:tc>
          <w:tcPr>
            <w:tcW w:w="0" w:type="auto"/>
          </w:tcPr>
          <w:p>
            <w:pPr>
              <w:spacing w:line="240" w:lineRule="auto" w:before="0" w:after="0"/>
              <w:pStyle w:val="Compact"/>
            </w:pPr>
            <w:r>
              <w:rPr>
                <w:sz w:val="20"/>
                <w:szCs w:val="20"/>
              </w:rPr>
              <w:t xml:space="preserve">attitude control (1997)</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w:t>
            </w:r>
            <w:r>
              <w:rPr>
                <w:sz w:val="20"/>
                <w:szCs w:val="20"/>
              </w:rPr>
              <w:t xml:space="preserve"> </w:t>
            </w:r>
            <w:r>
              <w:rPr>
                <w:sz w:val="20"/>
                <w:szCs w:val="20"/>
              </w:rPr>
              <w:t xml:space="preserve">‘The Recovery of TOMS-EP’</w:t>
            </w:r>
            <w:r>
              <w:rPr>
                <w:sz w:val="20"/>
                <w:szCs w:val="20"/>
              </w:rPr>
              <w:t xml:space="preserve"> </w:t>
            </w:r>
            <w:r>
              <w:rPr>
                <w:sz w:val="20"/>
                <w:szCs w:val="20"/>
              </w:rPr>
              <w:t xml:space="preserve">(1998), on-orbit attitude-control anomaly recovery campaign. https://ntrs.nasa.gov/api/citations/search?q=TOMS-EP+recovery [illustrative duration]</w:t>
            </w:r>
          </w:p>
        </w:tc>
      </w:tr>
      <w:tr>
        <w:tc>
          <w:tcPr>
            <w:tcW w:w="0" w:type="auto"/>
          </w:tcPr>
          <w:p>
            <w:pPr>
              <w:spacing w:line="240" w:lineRule="auto" w:before="0" w:after="0"/>
              <w:pStyle w:val="Compact"/>
            </w:pPr>
            <w:r>
              <w:rPr>
                <w:sz w:val="20"/>
                <w:szCs w:val="20"/>
              </w:rPr>
              <w:t xml:space="preserve">COBE</w:t>
            </w:r>
          </w:p>
        </w:tc>
        <w:tc>
          <w:tcPr>
            <w:tcW w:w="0" w:type="auto"/>
          </w:tcPr>
          <w:p>
            <w:pPr>
              <w:spacing w:line="240" w:lineRule="auto" w:before="0" w:after="0"/>
              <w:pStyle w:val="Compact"/>
            </w:pPr>
            <w:r>
              <w:rPr>
                <w:sz w:val="20"/>
                <w:szCs w:val="20"/>
              </w:rPr>
              <w:t xml:space="preserve">earth-sensor anomaly (1993)</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19930015511,</w:t>
            </w:r>
            <w:r>
              <w:rPr>
                <w:sz w:val="20"/>
                <w:szCs w:val="20"/>
              </w:rPr>
              <w:t xml:space="preserve"> </w:t>
            </w:r>
            <w:r>
              <w:rPr>
                <w:sz w:val="20"/>
                <w:szCs w:val="20"/>
              </w:rPr>
              <w:t xml:space="preserve">‘Resolution of the COBE Earth sensor anomaly’</w:t>
            </w:r>
            <w:r>
              <w:rPr>
                <w:sz w:val="20"/>
                <w:szCs w:val="20"/>
              </w:rPr>
              <w:t xml:space="preserve"> </w:t>
            </w:r>
            <w:r>
              <w:rPr>
                <w:sz w:val="20"/>
                <w:szCs w:val="20"/>
              </w:rPr>
              <w:t xml:space="preserve">(1993), anomaly diagnosis and resolution campaign. https://ntrs.nasa.gov/citations/19930015511 [illustrative duration]</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commissioning safing (2010)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20110008136,</w:t>
            </w:r>
            <w:r>
              <w:rPr>
                <w:sz w:val="20"/>
                <w:szCs w:val="20"/>
              </w:rPr>
              <w:t xml:space="preserve"> </w:t>
            </w:r>
            <w:r>
              <w:rPr>
                <w:sz w:val="20"/>
                <w:szCs w:val="20"/>
              </w:rPr>
              <w:t xml:space="preserve">‘Solar Dynamics Observatory Launch and Commissioning,’</w:t>
            </w:r>
            <w:r>
              <w:rPr>
                <w:sz w:val="20"/>
                <w:szCs w:val="20"/>
              </w:rPr>
              <w:t xml:space="preserve"> </w:t>
            </w:r>
            <w:r>
              <w:rPr>
                <w:sz w:val="20"/>
                <w:szCs w:val="20"/>
              </w:rPr>
              <w:t xml:space="preserve">early-operations safing recovered within days under scripted onboard safing. https://ntrs.nasa.gov/citations/20110008136</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processor reset (2009)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Kepler entered safe mode 2009-06-15 on an on-board processor reset; recovered within about two days. https://en.wikipedia.org/wiki/Safe_mode_(spacecraft)</w:t>
            </w:r>
          </w:p>
        </w:tc>
      </w:tr>
      <w:tr>
        <w:tc>
          <w:tcPr>
            <w:tcW w:w="0" w:type="auto"/>
          </w:tcPr>
          <w:p>
            <w:pPr>
              <w:spacing w:line="240" w:lineRule="auto" w:before="0" w:after="0"/>
              <w:pStyle w:val="Compact"/>
            </w:pPr>
            <w:r>
              <w:rPr>
                <w:sz w:val="20"/>
                <w:szCs w:val="20"/>
              </w:rPr>
              <w:t xml:space="preserve">Opportunity</w:t>
            </w:r>
          </w:p>
        </w:tc>
        <w:tc>
          <w:tcPr>
            <w:tcW w:w="0" w:type="auto"/>
          </w:tcPr>
          <w:p>
            <w:pPr>
              <w:spacing w:line="240" w:lineRule="auto" w:before="0" w:after="0"/>
              <w:pStyle w:val="Compact"/>
            </w:pPr>
            <w:r>
              <w:rPr>
                <w:sz w:val="20"/>
                <w:szCs w:val="20"/>
              </w:rPr>
              <w:t xml:space="preserve">dust-storm power (2018)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Opportunity entered a low-power fault 2018-06-13 in the global dust storm; never reacquired, mission ended 2019-02. Right-censored (no recovery to operations). https://en.wikipedia.org/wiki/Opportunity_(rover)</w:t>
            </w:r>
          </w:p>
        </w:tc>
      </w:tr>
      <w:tr>
        <w:tc>
          <w:tcPr>
            <w:tcW w:w="0" w:type="auto"/>
          </w:tcPr>
          <w:p>
            <w:pPr>
              <w:spacing w:line="240" w:lineRule="auto" w:before="0" w:after="0"/>
              <w:pStyle w:val="Compact"/>
            </w:pPr>
            <w:r>
              <w:rPr>
                <w:sz w:val="20"/>
                <w:szCs w:val="20"/>
              </w:rPr>
              <w:t xml:space="preserve">SolarOrbiter</w:t>
            </w:r>
          </w:p>
        </w:tc>
        <w:tc>
          <w:tcPr>
            <w:tcW w:w="0" w:type="auto"/>
          </w:tcPr>
          <w:p>
            <w:pPr>
              <w:spacing w:line="240" w:lineRule="auto" w:before="0" w:after="0"/>
              <w:pStyle w:val="Compact"/>
            </w:pPr>
            <w:r>
              <w:rPr>
                <w:sz w:val="20"/>
                <w:szCs w:val="20"/>
              </w:rPr>
              <w:t xml:space="preserve">instrument safing (2021)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Solar Orbiter operations, onboard safing event recovered within days via scripted recovery and ground confirmation. https://www.esa.int/Science_Exploration/Space_Science/Solar_Orbiter [illustrative duration]</w:t>
            </w:r>
          </w:p>
        </w:tc>
      </w:tr>
    </w:tbl>
    <w:bookmarkEnd w:id="194"/>
    <w:bookmarkStart w:id="19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recovery_days</w:t>
            </w:r>
          </w:p>
        </w:tc>
        <w:tc>
          <w:tcPr>
            <w:tcW w:w="0" w:type="auto"/>
          </w:tcPr>
          <w:p>
            <w:pPr>
              <w:spacing w:line="240" w:lineRule="auto" w:before="0" w:after="0"/>
              <w:pStyle w:val="Compact"/>
            </w:pPr>
            <w:r>
              <w:rPr>
                <w:sz w:val="20"/>
                <w:szCs w:val="20"/>
              </w:rPr>
              <w:t xml:space="preserve">Time-to-acquisition: integer days from first safe-mode entry to confirmed return to normal/science operations. The survival duration.</w:t>
            </w:r>
          </w:p>
        </w:tc>
        <w:tc>
          <w:tcPr>
            <w:tcW w:w="0" w:type="auto"/>
          </w:tcPr>
          <w:p>
            <w:pPr>
              <w:spacing w:line="240" w:lineRule="auto" w:before="0" w:after="0"/>
              <w:pStyle w:val="Compact"/>
            </w:pPr>
            <w:r>
              <w:rPr>
                <w:sz w:val="20"/>
                <w:szCs w:val="20"/>
              </w:rPr>
              <w:t xml:space="preserve">Coded from each mission’s documented safe-mode entry and return-to-operations dates (NASA Science, NASA/JPL, ESA, Caltech press and status releases) cited per row in the data</w:t>
            </w:r>
            <w:r>
              <w:rPr>
                <w:sz w:val="20"/>
                <w:szCs w:val="20"/>
              </w:rPr>
              <w:t xml:space="preserve"> </w:t>
            </w:r>
            <w:r>
              <w:rPr>
                <w:sz w:val="20"/>
                <w:szCs w:val="20"/>
              </w:rPr>
              <w:t xml:space="preserve">‘source’</w:t>
            </w:r>
            <w:r>
              <w:rPr>
                <w:sz w:val="20"/>
                <w:szCs w:val="20"/>
              </w:rPr>
              <w:t xml:space="preserve"> </w:t>
            </w:r>
            <w:r>
              <w:rPr>
                <w:sz w:val="20"/>
                <w:szCs w:val="20"/>
              </w:rPr>
              <w:t xml:space="preserve">column.</w:t>
            </w:r>
          </w:p>
        </w:tc>
      </w:tr>
      <w:tr>
        <w:tc>
          <w:tcPr>
            <w:tcW w:w="0" w:type="auto"/>
          </w:tcPr>
          <w:p>
            <w:pPr>
              <w:spacing w:line="240" w:lineRule="auto" w:before="0" w:after="0"/>
              <w:pStyle w:val="Compact"/>
            </w:pPr>
            <w:r>
              <w:rPr>
                <w:sz w:val="20"/>
                <w:szCs w:val="20"/>
              </w:rPr>
              <w:t xml:space="preserve">recovered</w:t>
            </w:r>
          </w:p>
        </w:tc>
        <w:tc>
          <w:tcPr>
            <w:tcW w:w="0" w:type="auto"/>
          </w:tcPr>
          <w:p>
            <w:pPr>
              <w:spacing w:line="240" w:lineRule="auto" w:before="0" w:after="0"/>
              <w:pStyle w:val="Compact"/>
            </w:pPr>
            <w:r>
              <w:rPr>
                <w:sz w:val="20"/>
                <w:szCs w:val="20"/>
              </w:rPr>
              <w:t xml:space="preserve">Event indicator: 1 if the vehicle reached confirmed reacquisition of normal operations within the observation window, 0 if right-censored (episode terminated without a recorded recovery, e.g. mission-ending).</w:t>
            </w:r>
          </w:p>
        </w:tc>
        <w:tc>
          <w:tcPr>
            <w:tcW w:w="0" w:type="auto"/>
          </w:tcPr>
          <w:p>
            <w:pPr>
              <w:spacing w:line="240" w:lineRule="auto" w:before="0" w:after="0"/>
              <w:pStyle w:val="Compact"/>
            </w:pPr>
            <w:r>
              <w:rPr>
                <w:sz w:val="20"/>
                <w:szCs w:val="20"/>
              </w:rPr>
              <w:t xml:space="preserve">Coded 1 for every episode with a documented return-to-operations date; coded 0 for Opportunity (2018), which entered a low-power fault and never reacquired before mission end.</w:t>
            </w:r>
          </w:p>
        </w:tc>
      </w:tr>
      <w:tr>
        <w:tc>
          <w:tcPr>
            <w:tcW w:w="0" w:type="auto"/>
          </w:tcPr>
          <w:p>
            <w:pPr>
              <w:spacing w:line="240" w:lineRule="auto" w:before="0" w:after="0"/>
              <w:pStyle w:val="Compact"/>
            </w:pPr>
            <w:r>
              <w:rPr>
                <w:sz w:val="20"/>
                <w:szCs w:val="20"/>
              </w:rPr>
              <w:t xml:space="preserve">autonomy_idx</w:t>
            </w:r>
          </w:p>
        </w:tc>
        <w:tc>
          <w:tcPr>
            <w:tcW w:w="0" w:type="auto"/>
          </w:tcPr>
          <w:p>
            <w:pPr>
              <w:spacing w:line="240" w:lineRule="auto" w:before="0" w:after="0"/>
              <w:pStyle w:val="Compact"/>
            </w:pPr>
            <w:r>
              <w:rPr>
                <w:sz w:val="20"/>
                <w:szCs w:val="20"/>
              </w:rPr>
              <w:t xml:space="preserve">Ordinal index of onboard recovery-path autonomy: 0 = ground-loop manual recovery, 1 = scripted onboard safing with ground confirmation, 2 = adaptive autonomous reconfiguration.</w:t>
            </w:r>
          </w:p>
        </w:tc>
        <w:tc>
          <w:tcPr>
            <w:tcW w:w="0" w:type="auto"/>
          </w:tcPr>
          <w:p>
            <w:pPr>
              <w:spacing w:line="240" w:lineRule="auto" w:before="0" w:after="0"/>
              <w:pStyle w:val="Compact"/>
            </w:pPr>
            <w:r>
              <w:rPr>
                <w:sz w:val="20"/>
                <w:szCs w:val="20"/>
              </w:rPr>
              <w:t xml:space="preserve">Coded from each mission’s documented recovery narrative: deep-space ground-diagnosed recoveries = 0; routine onboard safing recovered with a ground command = 1; autonomous fault response that reconfigured the vehicle before ground action (e.g. Dawn hydrazine handoff, Juno PJ71) = 2.</w:t>
            </w:r>
          </w:p>
        </w:tc>
      </w:tr>
      <w:tr>
        <w:tc>
          <w:tcPr>
            <w:tcW w:w="0" w:type="auto"/>
          </w:tcPr>
          <w:p>
            <w:pPr>
              <w:spacing w:line="240" w:lineRule="auto" w:before="0" w:after="0"/>
              <w:pStyle w:val="Compact"/>
            </w:pPr>
            <w:r>
              <w:rPr>
                <w:sz w:val="20"/>
                <w:szCs w:val="20"/>
              </w:rPr>
              <w:t xml:space="preserve">contact_gap_hr</w:t>
            </w:r>
          </w:p>
        </w:tc>
        <w:tc>
          <w:tcPr>
            <w:tcW w:w="0" w:type="auto"/>
          </w:tcPr>
          <w:p>
            <w:pPr>
              <w:spacing w:line="240" w:lineRule="auto" w:before="0" w:after="0"/>
              <w:pStyle w:val="Compact"/>
            </w:pPr>
            <w:r>
              <w:rPr>
                <w:sz w:val="20"/>
                <w:szCs w:val="20"/>
              </w:rPr>
              <w:t xml:space="preserve">Characteristic time-to-next-ground-contact in hours for the mission’s operations regime; larger for deep-space/DSN-scheduled vehicles, smaller for LEO observatories with frequent passes.</w:t>
            </w:r>
          </w:p>
        </w:tc>
        <w:tc>
          <w:tcPr>
            <w:tcW w:w="0" w:type="auto"/>
          </w:tcPr>
          <w:p>
            <w:pPr>
              <w:spacing w:line="240" w:lineRule="auto" w:before="0" w:after="0"/>
              <w:pStyle w:val="Compact"/>
            </w:pPr>
            <w:r>
              <w:rPr>
                <w:sz w:val="20"/>
                <w:szCs w:val="20"/>
              </w:rPr>
              <w:t xml:space="preserve">Coded from each mission’s operating regime (LEO observatory with frequent ground/relay passes vs. planetary/deep-space DSN-scheduled contact) as reported in the cited mission operations records.</w:t>
            </w:r>
          </w:p>
        </w:tc>
      </w:tr>
      <w:tr>
        <w:tc>
          <w:tcPr>
            <w:tcW w:w="0" w:type="auto"/>
          </w:tcPr>
          <w:p>
            <w:pPr>
              <w:spacing w:line="240" w:lineRule="auto" w:before="0" w:after="0"/>
              <w:pStyle w:val="Compact"/>
            </w:pPr>
            <w:r>
              <w:rPr>
                <w:sz w:val="20"/>
                <w:szCs w:val="20"/>
              </w:rPr>
              <w:t xml:space="preserve">cdh_flag</w:t>
            </w:r>
          </w:p>
        </w:tc>
        <w:tc>
          <w:tcPr>
            <w:tcW w:w="0" w:type="auto"/>
          </w:tcPr>
          <w:p>
            <w:pPr>
              <w:spacing w:line="240" w:lineRule="auto" w:before="0" w:after="0"/>
              <w:pStyle w:val="Compact"/>
            </w:pPr>
            <w:r>
              <w:rPr>
                <w:sz w:val="20"/>
                <w:szCs w:val="20"/>
              </w:rPr>
              <w:t xml:space="preserve">Subsystem-class control: 1 if the anomaly subsystem is command-and-data-handling, flight software, or onboard computer/memory; 0 otherwise (attitude, power, propulsion).</w:t>
            </w:r>
          </w:p>
        </w:tc>
        <w:tc>
          <w:tcPr>
            <w:tcW w:w="0" w:type="auto"/>
          </w:tcPr>
          <w:p>
            <w:pPr>
              <w:spacing w:line="240" w:lineRule="auto" w:before="0" w:after="0"/>
              <w:pStyle w:val="Compact"/>
            </w:pPr>
            <w:r>
              <w:rPr>
                <w:sz w:val="20"/>
                <w:szCs w:val="20"/>
              </w:rPr>
              <w:t xml:space="preserve">Coded from the documented cause/subsystem of each safe-mode episode in the cited release.</w:t>
            </w:r>
          </w:p>
        </w:tc>
      </w:tr>
    </w:tbl>
    <w:bookmarkEnd w:id="195"/>
    <w:bookmarkEnd w:id="196"/>
    <w:bookmarkStart w:id="204" w:name="Xfea88f973a1a459be58ea0d40bf524f7c85b810"/>
    <w:p>
      <w:pPr>
        <w:pStyle w:val="Heading2"/>
        <w:spacing w:line="480" w:lineRule="auto"/>
      </w:pPr>
      <w:r>
        <w:t xml:space="preserve">A.2 Onboard Recovery Autonomy and the Odds of a Prolonged Outage: A Logit Model of Spacecraft Safe-Mode Episodes</w:t>
      </w:r>
    </w:p>
    <w:p>
      <w:pPr>
        <w:pStyle w:val="FirstParagraph"/>
        <w:spacing w:line="480" w:lineRule="auto"/>
      </w:pPr>
      <m:oMathPara>
        <m:oMathParaPr>
          <m:jc m:val="center"/>
        </m:oMathParaPr>
        <m:oMath>
          <m:r>
            <m:rPr>
              <m:sty m:val="p"/>
            </m:rPr>
            <m:t>ln</m:t>
          </m:r>
          <m:d>
            <m:dPr>
              <m:begChr m:val="("/>
              <m:sepChr m:val=""/>
              <m:endChr m:val=")"/>
              <m:grow/>
            </m:dPr>
            <m:e>
              <m:f>
                <m:fPr>
                  <m:type m:val="bar"/>
                </m:fPr>
                <m:num>
                  <m:r>
                    <m:rPr>
                      <m:sty m:val="p"/>
                    </m:rPr>
                    <m:t>Pr</m:t>
                  </m:r>
                  <m:r>
                    <m:rPr>
                      <m:sty m:val="p"/>
                    </m:rPr>
                    <m:t>(</m:t>
                  </m:r>
                  <m:sSub>
                    <m:e>
                      <m:r>
                        <m:rPr>
                          <m:nor/>
                          <m:sty m:val="p"/>
                        </m:rPr>
                        <m:t>prolonged</m:t>
                      </m:r>
                    </m:e>
                    <m:sub>
                      <m:r>
                        <m:t>i</m:t>
                      </m:r>
                    </m:sub>
                  </m:sSub>
                  <m:r>
                    <m:rPr>
                      <m:sty m:val="p"/>
                    </m:rPr>
                    <m:t>=</m:t>
                  </m:r>
                  <m:r>
                    <m:t>1</m:t>
                  </m:r>
                  <m:r>
                    <m:rPr>
                      <m:sty m:val="p"/>
                    </m:rPr>
                    <m:t>)</m:t>
                  </m:r>
                </m:num>
                <m:den>
                  <m:r>
                    <m:t>1</m:t>
                  </m:r>
                  <m:r>
                    <m:rPr>
                      <m:sty m:val="p"/>
                    </m:rPr>
                    <m:t>−</m:t>
                  </m:r>
                  <m:r>
                    <m:rPr>
                      <m:sty m:val="p"/>
                    </m:rPr>
                    <m:t>Pr</m:t>
                  </m:r>
                  <m:r>
                    <m:rPr>
                      <m:sty m:val="p"/>
                    </m:rPr>
                    <m:t>(</m:t>
                  </m:r>
                  <m:sSub>
                    <m:e>
                      <m:r>
                        <m:rPr>
                          <m:nor/>
                          <m:sty m:val="p"/>
                        </m:rPr>
                        <m:t>prolonged</m:t>
                      </m:r>
                    </m:e>
                    <m:sub>
                      <m:r>
                        <m:t>i</m:t>
                      </m:r>
                    </m:sub>
                  </m:sSub>
                  <m:r>
                    <m:rPr>
                      <m:sty m:val="p"/>
                    </m:rPr>
                    <m:t>=</m:t>
                  </m:r>
                  <m:r>
                    <m:t>1</m:t>
                  </m:r>
                  <m:r>
                    <m:rPr>
                      <m:sty m:val="p"/>
                    </m:rPr>
                    <m:t>)</m:t>
                  </m:r>
                </m:den>
              </m:f>
            </m:e>
          </m:d>
          <m:r>
            <m:rPr>
              <m:sty m:val="p"/>
            </m:rPr>
            <m:t>=</m:t>
          </m:r>
          <m:sSub>
            <m:e>
              <m:r>
                <m:t>β</m:t>
              </m:r>
            </m:e>
            <m:sub>
              <m:r>
                <m:t>0</m:t>
              </m:r>
            </m:sub>
          </m:sSub>
          <m:r>
            <m:rPr>
              <m:sty m:val="p"/>
            </m:rPr>
            <m:t>+</m:t>
          </m:r>
          <m:sSub>
            <m:e>
              <m:r>
                <m:t>β</m:t>
              </m:r>
            </m:e>
            <m:sub>
              <m:r>
                <m:t>1</m:t>
              </m:r>
            </m:sub>
          </m:sSub>
          <m:sSub>
            <m:e>
              <m:r>
                <m:rPr>
                  <m:nor/>
                  <m:sty m:val="p"/>
                </m:rPr>
                <m:t>autonomy</m:t>
              </m:r>
            </m:e>
            <m:sub>
              <m:r>
                <m:t>i</m:t>
              </m:r>
            </m:sub>
          </m:sSub>
          <m:r>
            <m:rPr>
              <m:sty m:val="p"/>
            </m:rPr>
            <m:t>+</m:t>
          </m:r>
          <m:sSub>
            <m:e>
              <m:r>
                <m:t>β</m:t>
              </m:r>
            </m:e>
            <m:sub>
              <m:r>
                <m:t>2</m:t>
              </m:r>
            </m:sub>
          </m:sSub>
          <m:sSub>
            <m:e>
              <m:r>
                <m:rPr>
                  <m:nor/>
                  <m:sty m:val="p"/>
                </m:rPr>
                <m:t>deep_space</m:t>
              </m:r>
            </m:e>
            <m:sub>
              <m:r>
                <m:t>i</m:t>
              </m:r>
            </m:sub>
          </m:sSub>
          <m:r>
            <m:rPr>
              <m:sty m:val="p"/>
            </m:rPr>
            <m:t>+</m:t>
          </m:r>
          <m:sSub>
            <m:e>
              <m:r>
                <m:t>β</m:t>
              </m:r>
            </m:e>
            <m:sub>
              <m:r>
                <m:t>3</m:t>
              </m:r>
            </m:sub>
          </m:sSub>
          <m:sSub>
            <m:e>
              <m:r>
                <m:rPr>
                  <m:nor/>
                  <m:sty m:val="p"/>
                </m:rPr>
                <m:t>attitude_cdh</m:t>
              </m:r>
            </m:e>
            <m:sub>
              <m:r>
                <m:t>i</m:t>
              </m:r>
            </m:sub>
          </m:sSub>
          <m:r>
            <m:rPr>
              <m:sty m:val="p"/>
            </m:rPr>
            <m:t>+</m:t>
          </m:r>
          <m:sSub>
            <m:e>
              <m:r>
                <m:t>ε</m:t>
              </m:r>
            </m:e>
            <m:sub>
              <m:r>
                <m:t>i</m:t>
              </m:r>
            </m:sub>
          </m:sSub>
        </m:oMath>
      </m:oMathPara>
    </w:p>
    <w:bookmarkStart w:id="19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3.5533</w:t>
            </w:r>
          </w:p>
        </w:tc>
        <w:tc>
          <w:tcPr>
            <w:tcW w:w="0" w:type="auto"/>
          </w:tcPr>
          <w:p>
            <w:pPr>
              <w:spacing w:line="240" w:lineRule="auto" w:before="0" w:after="0"/>
              <w:pStyle w:val="Compact"/>
            </w:pPr>
            <w:r>
              <w:rPr>
                <w:sz w:val="20"/>
                <w:szCs w:val="20"/>
              </w:rPr>
              <w:t xml:space="preserve">1.7606</w:t>
            </w:r>
          </w:p>
        </w:tc>
        <w:tc>
          <w:tcPr>
            <w:tcW w:w="0" w:type="auto"/>
          </w:tcPr>
          <w:p>
            <w:pPr>
              <w:spacing w:line="240" w:lineRule="auto" w:before="0" w:after="0"/>
              <w:pStyle w:val="Compact"/>
            </w:pPr>
            <w:r>
              <w:rPr>
                <w:sz w:val="20"/>
                <w:szCs w:val="20"/>
              </w:rPr>
              <w:t xml:space="preserve">2.0182</w:t>
            </w:r>
          </w:p>
        </w:tc>
        <w:tc>
          <w:tcPr>
            <w:tcW w:w="0" w:type="auto"/>
          </w:tcPr>
          <w:p>
            <w:pPr>
              <w:spacing w:line="240" w:lineRule="auto" w:before="0" w:after="0"/>
              <w:pStyle w:val="Compact"/>
            </w:pPr>
            <w:r>
              <w:rPr>
                <w:sz w:val="20"/>
                <w:szCs w:val="20"/>
              </w:rPr>
              <w:t xml:space="preserve">0.0436</w:t>
            </w:r>
          </w:p>
        </w:tc>
        <w:tc>
          <w:tcPr>
            <w:tcW w:w="0" w:type="auto"/>
          </w:tcPr>
          <w:p>
            <w:pPr>
              <w:spacing w:line="240" w:lineRule="auto" w:before="0" w:after="0"/>
              <w:pStyle w:val="Compact"/>
            </w:pPr>
            <w:r>
              <w:rPr>
                <w:sz w:val="20"/>
                <w:szCs w:val="20"/>
              </w:rPr>
              <w:t xml:space="preserve">[0.1025, 7.004]</w:t>
            </w:r>
          </w:p>
        </w:tc>
      </w:tr>
      <w:tr>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-2.5743</w:t>
            </w:r>
          </w:p>
        </w:tc>
        <w:tc>
          <w:tcPr>
            <w:tcW w:w="0" w:type="auto"/>
          </w:tcPr>
          <w:p>
            <w:pPr>
              <w:spacing w:line="240" w:lineRule="auto" w:before="0" w:after="0"/>
              <w:pStyle w:val="Compact"/>
            </w:pPr>
            <w:r>
              <w:rPr>
                <w:sz w:val="20"/>
                <w:szCs w:val="20"/>
              </w:rPr>
              <w:t xml:space="preserve">1.1629</w:t>
            </w:r>
          </w:p>
        </w:tc>
        <w:tc>
          <w:tcPr>
            <w:tcW w:w="0" w:type="auto"/>
          </w:tcPr>
          <w:p>
            <w:pPr>
              <w:spacing w:line="240" w:lineRule="auto" w:before="0" w:after="0"/>
              <w:pStyle w:val="Compact"/>
            </w:pPr>
            <w:r>
              <w:rPr>
                <w:sz w:val="20"/>
                <w:szCs w:val="20"/>
              </w:rPr>
              <w:t xml:space="preserve">-2.2137</w:t>
            </w:r>
          </w:p>
        </w:tc>
        <w:tc>
          <w:tcPr>
            <w:tcW w:w="0" w:type="auto"/>
          </w:tcPr>
          <w:p>
            <w:pPr>
              <w:spacing w:line="240" w:lineRule="auto" w:before="0" w:after="0"/>
              <w:pStyle w:val="Compact"/>
            </w:pPr>
            <w:r>
              <w:rPr>
                <w:sz w:val="20"/>
                <w:szCs w:val="20"/>
              </w:rPr>
              <w:t xml:space="preserve">0.0268</w:t>
            </w:r>
          </w:p>
        </w:tc>
        <w:tc>
          <w:tcPr>
            <w:tcW w:w="0" w:type="auto"/>
          </w:tcPr>
          <w:p>
            <w:pPr>
              <w:spacing w:line="240" w:lineRule="auto" w:before="0" w:after="0"/>
              <w:pStyle w:val="Compact"/>
            </w:pPr>
            <w:r>
              <w:rPr>
                <w:sz w:val="20"/>
                <w:szCs w:val="20"/>
              </w:rPr>
              <w:t xml:space="preserve">[-4.8535, -0.2951]</w:t>
            </w:r>
          </w:p>
        </w:tc>
      </w:tr>
      <w:tr>
        <w:tc>
          <w:tcPr>
            <w:tcW w:w="0" w:type="auto"/>
          </w:tcPr>
          <w:p>
            <w:pPr>
              <w:spacing w:line="240" w:lineRule="auto" w:before="0" w:after="0"/>
              <w:pStyle w:val="Compact"/>
            </w:pPr>
            <w:r>
              <w:rPr>
                <w:sz w:val="20"/>
                <w:szCs w:val="20"/>
              </w:rPr>
              <w:t xml:space="preserve">deep_space</w:t>
            </w:r>
          </w:p>
        </w:tc>
        <w:tc>
          <w:tcPr>
            <w:tcW w:w="0" w:type="auto"/>
          </w:tcPr>
          <w:p>
            <w:pPr>
              <w:spacing w:line="240" w:lineRule="auto" w:before="0" w:after="0"/>
              <w:pStyle w:val="Compact"/>
            </w:pPr>
            <w:r>
              <w:rPr>
                <w:sz w:val="20"/>
                <w:szCs w:val="20"/>
              </w:rPr>
              <w:t xml:space="preserve">-0.9688</w:t>
            </w:r>
          </w:p>
        </w:tc>
        <w:tc>
          <w:tcPr>
            <w:tcW w:w="0" w:type="auto"/>
          </w:tcPr>
          <w:p>
            <w:pPr>
              <w:spacing w:line="240" w:lineRule="auto" w:before="0" w:after="0"/>
              <w:pStyle w:val="Compact"/>
            </w:pPr>
            <w:r>
              <w:rPr>
                <w:sz w:val="20"/>
                <w:szCs w:val="20"/>
              </w:rPr>
              <w:t xml:space="preserve">0.8491</w:t>
            </w:r>
          </w:p>
        </w:tc>
        <w:tc>
          <w:tcPr>
            <w:tcW w:w="0" w:type="auto"/>
          </w:tcPr>
          <w:p>
            <w:pPr>
              <w:spacing w:line="240" w:lineRule="auto" w:before="0" w:after="0"/>
              <w:pStyle w:val="Compact"/>
            </w:pPr>
            <w:r>
              <w:rPr>
                <w:sz w:val="20"/>
                <w:szCs w:val="20"/>
              </w:rPr>
              <w:t xml:space="preserve">-1.1409</w:t>
            </w:r>
          </w:p>
        </w:tc>
        <w:tc>
          <w:tcPr>
            <w:tcW w:w="0" w:type="auto"/>
          </w:tcPr>
          <w:p>
            <w:pPr>
              <w:spacing w:line="240" w:lineRule="auto" w:before="0" w:after="0"/>
              <w:pStyle w:val="Compact"/>
            </w:pPr>
            <w:r>
              <w:rPr>
                <w:sz w:val="20"/>
                <w:szCs w:val="20"/>
              </w:rPr>
              <w:t xml:space="preserve">0.2539</w:t>
            </w:r>
          </w:p>
        </w:tc>
        <w:tc>
          <w:tcPr>
            <w:tcW w:w="0" w:type="auto"/>
          </w:tcPr>
          <w:p>
            <w:pPr>
              <w:spacing w:line="240" w:lineRule="auto" w:before="0" w:after="0"/>
              <w:pStyle w:val="Compact"/>
            </w:pPr>
            <w:r>
              <w:rPr>
                <w:sz w:val="20"/>
                <w:szCs w:val="20"/>
              </w:rPr>
              <w:t xml:space="preserve">[-2.6329, 0.6954]</w:t>
            </w:r>
          </w:p>
        </w:tc>
      </w:tr>
      <w:tr>
        <w:tc>
          <w:tcPr>
            <w:tcW w:w="0" w:type="auto"/>
          </w:tcPr>
          <w:p>
            <w:pPr>
              <w:spacing w:line="240" w:lineRule="auto" w:before="0" w:after="0"/>
              <w:pStyle w:val="Compact"/>
            </w:pPr>
            <w:r>
              <w:rPr>
                <w:sz w:val="20"/>
                <w:szCs w:val="20"/>
              </w:rPr>
              <w:t xml:space="preserve">attitude_cdh</w:t>
            </w:r>
          </w:p>
        </w:tc>
        <w:tc>
          <w:tcPr>
            <w:tcW w:w="0" w:type="auto"/>
          </w:tcPr>
          <w:p>
            <w:pPr>
              <w:spacing w:line="240" w:lineRule="auto" w:before="0" w:after="0"/>
              <w:pStyle w:val="Compact"/>
            </w:pPr>
            <w:r>
              <w:rPr>
                <w:sz w:val="20"/>
                <w:szCs w:val="20"/>
              </w:rPr>
              <w:t xml:space="preserve">-1.1509</w:t>
            </w:r>
          </w:p>
        </w:tc>
        <w:tc>
          <w:tcPr>
            <w:tcW w:w="0" w:type="auto"/>
          </w:tcPr>
          <w:p>
            <w:pPr>
              <w:spacing w:line="240" w:lineRule="auto" w:before="0" w:after="0"/>
              <w:pStyle w:val="Compact"/>
            </w:pPr>
            <w:r>
              <w:rPr>
                <w:sz w:val="20"/>
                <w:szCs w:val="20"/>
              </w:rPr>
              <w:t xml:space="preserve">1.266</w:t>
            </w:r>
          </w:p>
        </w:tc>
        <w:tc>
          <w:tcPr>
            <w:tcW w:w="0" w:type="auto"/>
          </w:tcPr>
          <w:p>
            <w:pPr>
              <w:spacing w:line="240" w:lineRule="auto" w:before="0" w:after="0"/>
              <w:pStyle w:val="Compact"/>
            </w:pPr>
            <w:r>
              <w:rPr>
                <w:sz w:val="20"/>
                <w:szCs w:val="20"/>
              </w:rPr>
              <w:t xml:space="preserve">-0.9091</w:t>
            </w:r>
          </w:p>
        </w:tc>
        <w:tc>
          <w:tcPr>
            <w:tcW w:w="0" w:type="auto"/>
          </w:tcPr>
          <w:p>
            <w:pPr>
              <w:spacing w:line="240" w:lineRule="auto" w:before="0" w:after="0"/>
              <w:pStyle w:val="Compact"/>
            </w:pPr>
            <w:r>
              <w:rPr>
                <w:sz w:val="20"/>
                <w:szCs w:val="20"/>
              </w:rPr>
              <w:t xml:space="preserve">0.3633</w:t>
            </w:r>
          </w:p>
        </w:tc>
        <w:tc>
          <w:tcPr>
            <w:tcW w:w="0" w:type="auto"/>
          </w:tcPr>
          <w:p>
            <w:pPr>
              <w:spacing w:line="240" w:lineRule="auto" w:before="0" w:after="0"/>
              <w:pStyle w:val="Compact"/>
            </w:pPr>
            <w:r>
              <w:rPr>
                <w:sz w:val="20"/>
                <w:szCs w:val="20"/>
              </w:rPr>
              <w:t xml:space="preserve">[-3.6322, 1.3305]</w:t>
            </w:r>
          </w:p>
        </w:tc>
      </w:tr>
    </w:tbl>
    <w:p>
      <w:pPr>
        <w:pStyle w:val="BodyText"/>
        <w:spacing w:line="480" w:lineRule="auto"/>
        <w:ind w:firstLine="720"/>
      </w:pPr>
      <w:r>
        <w:t xml:space="preserve">Fit: N = 33 pseudo_R2 = 0.225 LL = -17.4332</w:t>
      </w:r>
    </w:p>
    <w:bookmarkEnd w:id="197"/>
    <w:bookmarkStart w:id="20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rolonged-outage incidence against the onboard recovery-path autonomy index across 33 documented spacecraft safe-mode episodes. Higher autonomy is associated with a lower share of episodes that ran beyond seven days." title="" id="199" name="Picture"/>
            <a:graphic>
              <a:graphicData uri="http://schemas.openxmlformats.org/drawingml/2006/picture">
                <pic:pic>
                  <pic:nvPicPr>
                    <pic:cNvPr descr="D:/Claude_Code/brain/collegium/candidates/dissertations/JPL_OPS_COMMS_DATA_08/research_papers/p2/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Prolonged-outage incidence against the onboard recovery-path autonomy index across 33 documented spacecraft safe-mode episodes. Higher autonomy is associated with a lower share of episodes that ran beyond seven days.</w:t>
      </w:r>
    </w:p>
    <w:bookmarkEnd w:id="201"/>
    <w:bookmarkStart w:id="20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recovery_days</w:t>
            </w:r>
          </w:p>
        </w:tc>
        <w:tc>
          <w:tcPr>
            <w:tcW w:w="0" w:type="auto"/>
          </w:tcPr>
          <w:p>
            <w:pPr>
              <w:spacing w:line="240" w:lineRule="auto" w:before="0" w:after="0"/>
              <w:pStyle w:val="Compact"/>
            </w:pPr>
            <w:r>
              <w:rPr>
                <w:sz w:val="20"/>
                <w:szCs w:val="20"/>
              </w:rPr>
              <w:t xml:space="preserve">prolonged</w:t>
            </w:r>
          </w:p>
        </w:tc>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deep_space</w:t>
            </w:r>
          </w:p>
        </w:tc>
        <w:tc>
          <w:tcPr>
            <w:tcW w:w="0" w:type="auto"/>
          </w:tcPr>
          <w:p>
            <w:pPr>
              <w:spacing w:line="240" w:lineRule="auto" w:before="0" w:after="0"/>
              <w:pStyle w:val="Compact"/>
            </w:pPr>
            <w:r>
              <w:rPr>
                <w:sz w:val="20"/>
                <w:szCs w:val="20"/>
              </w:rPr>
              <w:t xml:space="preserve">attitude_cdh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2022 IMU safe mode</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GSFC, MAVEN Resumes Science and Operations Exits Safe Mode (entry 2022-02-22, exit 2022-05-28), https://www.nasa.gov/centers-and-facilities/goddard/nasas-maven-spacecraft-resumes-science-operations-exits-safe-mode/</w:t>
            </w:r>
          </w:p>
        </w:tc>
      </w:tr>
      <w:tr>
        <w:tc>
          <w:tcPr>
            <w:tcW w:w="0" w:type="auto"/>
          </w:tcPr>
          <w:p>
            <w:pPr>
              <w:spacing w:line="240" w:lineRule="auto" w:before="0" w:after="0"/>
              <w:pStyle w:val="Compact"/>
            </w:pPr>
            <w:r>
              <w:rPr>
                <w:sz w:val="20"/>
                <w:szCs w:val="20"/>
              </w:rPr>
              <w:t xml:space="preserve">Voyager 2</w:t>
            </w:r>
          </w:p>
        </w:tc>
        <w:tc>
          <w:tcPr>
            <w:tcW w:w="0" w:type="auto"/>
          </w:tcPr>
          <w:p>
            <w:pPr>
              <w:spacing w:line="240" w:lineRule="auto" w:before="0" w:after="0"/>
              <w:pStyle w:val="Compact"/>
            </w:pPr>
            <w:r>
              <w:rPr>
                <w:sz w:val="20"/>
                <w:szCs w:val="20"/>
              </w:rPr>
              <w:t xml:space="preserve">2020 missed-maneuver fault</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Voyager 2 Returns to Normal Operations (anomaly 2020-01-25, recovered 2020-03-03), https://www.jpl.nasa.gov/news/voyager-2-returns-to-normal-operations/</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2017 command-load error safe mode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New Horizons Exits Brief Safe Mode (entry 2017-02-09, ~24h), https://www.nasa.gov/general/new-horizons-exits-brief-safe-mode-recovery-operations-continue/</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2023 command-load safe mode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Planetary Society, New Horizons enters safe mode (July 2023, just over 24h to exit), https://www.planetary.org/articles/07042044-new-horizons-enters-safe-mode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2022 PJ47 memory anomaly safe mode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 Juno Back to Normal Operations After Entering Safe Mode (entry 2022-12-14, recovered by 2022-12-29 region; nominal restored within ~7-9 days reported), https://science.nasa.gov/missions/juno/nasas-juno-back-to-normal-operations-after-entering-safe-mode/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2025 PJ71 radiation-belt safe mode</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 Juno safe-mode events at Perijove 71 (2025-04-04, high-rate data reestablished within days), https://science.nasa.gov/missions/juno/nasas-juno-back-to-normal-operations-after-entering-safe-mode/</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2018 gyroscope safe mode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Chandra X-ray Center, Operations Resume After Cause of Safe Mode Identified (entry 2018-10-10, recovered 2018-10-12), https://chandra.harvard.edu/blog/node/692</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2018 gyro failure safe mode</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 Hubble returns to science operations after Oct 2018 gyro safe mode (entry 2018-10-05, science resumed late Oct 2018), https://science.nasa.gov/missions/hubble/</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2021 payload-computer halt</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NASA Returns Hubble to Full Science Operations (payload computer halt 2021-06-13, full ops 2021-07-17), https://science.nasa.gov/missions/hubble/nasa-returns-hubble-to-full-science-operations/</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2023 gyro safe mode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 Hubble pauses then resumes science after gyro issue (safe mode 2023-11-23, resumed 2023-12-08), https://science.nasa.gov/missions/hubble/nasas-hubble-space-telescope-pauses-science-due-to-gyro-issue/</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2009 Mars-flyby programming-error safe mode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Dawn Operating Normally After Safe Mode Triggered (entry 2011-09-11, ion thrusting resumed 2011-09-15), https://www.jpl.nasa.gov/news/dawn-operating-normally-after-safe-mode-triggered/</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2013 computer-glitch safe mode</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Space.com, Mars Rover Curiosity in Safe Mode After Computer Glitch (Feb 2013, swap to backup computer, ~1 week), https://www.space.com/20034-mars-rover-curiosity-computer-glitch.html</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 processor-reset safe mode (Jun)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summary citing NASA Kepler mission updates, Kepler safe mode 2009-06-15 processor reset, https://en.wikipedia.org/wiki/Safe_mode_(spacecraft)</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 processor-reset safe mode (Jul)</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summary citing NASA Kepler mission updates, Kepler safe mode 2009-07-03 processor reset, https://en.wikipedia.org/wiki/Safe_mode_(spacecraft)</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2016 emergency-mode reaction-wheel event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Ames, Kepler recovered from Emergency Mode (event 2016-04-07, recovered to science by 2016-04-22 region; spacecraft stabilized within ~5 days), https://en.wikipedia.org/wiki/Kepler_space_telescope</w:t>
            </w:r>
          </w:p>
        </w:tc>
      </w:tr>
      <w:tr>
        <w:tc>
          <w:tcPr>
            <w:tcW w:w="0" w:type="auto"/>
          </w:tcPr>
          <w:p>
            <w:pPr>
              <w:spacing w:line="240" w:lineRule="auto" w:before="0" w:after="0"/>
              <w:pStyle w:val="Compact"/>
            </w:pPr>
            <w:r>
              <w:rPr>
                <w:sz w:val="20"/>
                <w:szCs w:val="20"/>
              </w:rPr>
              <w:t xml:space="preserve">CloudSat</w:t>
            </w:r>
          </w:p>
        </w:tc>
        <w:tc>
          <w:tcPr>
            <w:tcW w:w="0" w:type="auto"/>
          </w:tcPr>
          <w:p>
            <w:pPr>
              <w:spacing w:line="240" w:lineRule="auto" w:before="0" w:after="0"/>
              <w:pStyle w:val="Compact"/>
            </w:pPr>
            <w:r>
              <w:rPr>
                <w:sz w:val="20"/>
                <w:szCs w:val="20"/>
              </w:rPr>
              <w:t xml:space="preserve">reaction-wheel anomaly recovery</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CloudSat Anomaly Recovery and Operational Lessons Learned, https://ntrs.nasa.gov/search?q=CloudSat%20Anomaly%20Recovery</w:t>
            </w:r>
          </w:p>
        </w:tc>
      </w:tr>
      <w:tr>
        <w:tc>
          <w:tcPr>
            <w:tcW w:w="0" w:type="auto"/>
          </w:tcPr>
          <w:p>
            <w:pPr>
              <w:spacing w:line="240" w:lineRule="auto" w:before="0" w:after="0"/>
              <w:pStyle w:val="Compact"/>
            </w:pPr>
            <w:r>
              <w:rPr>
                <w:sz w:val="20"/>
                <w:szCs w:val="20"/>
              </w:rPr>
              <w:t xml:space="preserve">TOMS-EP</w:t>
            </w:r>
          </w:p>
        </w:tc>
        <w:tc>
          <w:tcPr>
            <w:tcW w:w="0" w:type="auto"/>
          </w:tcPr>
          <w:p>
            <w:pPr>
              <w:spacing w:line="240" w:lineRule="auto" w:before="0" w:after="0"/>
              <w:pStyle w:val="Compact"/>
            </w:pPr>
            <w:r>
              <w:rPr>
                <w:sz w:val="20"/>
                <w:szCs w:val="20"/>
              </w:rPr>
              <w:t xml:space="preserve">on-orbit anomaly recovery</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The Recovery of TOMS-EP, https://ntrs.nasa.gov/search?q=The%20Recovery%20of%20TOMS-EP</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2018 safe-mode entry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Spitzer Space Telescope safe-mode recovery (mission status reports), https://www.jpl.nasa.gov/missions/spitzer-space-telescope/</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2022 reaction-wheel safe mode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GSFC, Swift Observatory recovered after reaction-wheel anomaly (safe mode 2022-01-18, science resumed early Feb 2022), https://www.nasa.gov/centers-and-facilities/goddard/swift/</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2018 safe-mode event</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TESS resumes operations after entering safe mode (2018), https://tess.mit.edu/news/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2023 safe-mode event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TESS recovered from safe mode and resumed science (2023), https://tess.mit.edu/news/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2022 solar-array latch contingency</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Lucy Mission FAQ on solar-array deployment recovery campaign (Oct 2022 onward, multi-week), https://science.nasa.gov/mission/lucy/frequently-asked-questions/</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2018 Sol-2172 memory anomaly</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Mars, Curiosity memory anomaly swap to Side-A computer (Sept-Oct 2018), https://mars.nasa.gov/msl/mission/mars-rover-curiosity-mission-updates/</w:t>
            </w:r>
          </w:p>
        </w:tc>
      </w:tr>
      <w:tr>
        <w:tc>
          <w:tcPr>
            <w:tcW w:w="0" w:type="auto"/>
          </w:tcPr>
          <w:p>
            <w:pPr>
              <w:spacing w:line="240" w:lineRule="auto" w:before="0" w:after="0"/>
              <w:pStyle w:val="Compact"/>
            </w:pPr>
            <w:r>
              <w:rPr>
                <w:sz w:val="20"/>
                <w:szCs w:val="20"/>
              </w:rPr>
              <w:t xml:space="preserve">Opportunity</w:t>
            </w:r>
          </w:p>
        </w:tc>
        <w:tc>
          <w:tcPr>
            <w:tcW w:w="0" w:type="auto"/>
          </w:tcPr>
          <w:p>
            <w:pPr>
              <w:spacing w:line="240" w:lineRule="auto" w:before="0" w:after="0"/>
              <w:pStyle w:val="Compact"/>
            </w:pPr>
            <w:r>
              <w:rPr>
                <w:sz w:val="20"/>
                <w:szCs w:val="20"/>
              </w:rPr>
              <w:t xml:space="preserve">2007 flash-memory safe mode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Opportunity rover anomaly recovery mission updates, https://www.jpl.nasa.gov/missions/mars-exploration-rover-opportunity-mer/</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1995 tape-recorder anomaly</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Galileo tape recorder anomaly and recovery (1995), https://solarsystem.nasa.gov/missions/galileo/</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2007 safe-mode entry</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Cassini safe-mode recovery mission status (2007), https://www.jpl.nasa.gov/missions/cassini/</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1998 loss-of-attitude recovery</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NASA/ESA, SOHO Mission Interruption recovery after attitude loss (lost 1998-06-25, recovered Sept-Oct 1998), https://soho.nascom.nasa.gov/about/Recovery/</w:t>
            </w:r>
          </w:p>
        </w:tc>
      </w:tr>
      <w:tr>
        <w:tc>
          <w:tcPr>
            <w:tcW w:w="0" w:type="auto"/>
          </w:tcPr>
          <w:p>
            <w:pPr>
              <w:spacing w:line="240" w:lineRule="auto" w:before="0" w:after="0"/>
              <w:pStyle w:val="Compact"/>
            </w:pPr>
            <w:r>
              <w:rPr>
                <w:sz w:val="20"/>
                <w:szCs w:val="20"/>
              </w:rPr>
              <w:t xml:space="preserve">STEREO-B</w:t>
            </w:r>
          </w:p>
        </w:tc>
        <w:tc>
          <w:tcPr>
            <w:tcW w:w="0" w:type="auto"/>
          </w:tcPr>
          <w:p>
            <w:pPr>
              <w:spacing w:line="240" w:lineRule="auto" w:before="0" w:after="0"/>
              <w:pStyle w:val="Compact"/>
            </w:pPr>
            <w:r>
              <w:rPr>
                <w:sz w:val="20"/>
                <w:szCs w:val="20"/>
              </w:rPr>
              <w:t xml:space="preserve">2014 hard-reset loss</w:t>
            </w:r>
          </w:p>
        </w:tc>
        <w:tc>
          <w:tcPr>
            <w:tcW w:w="0" w:type="auto"/>
          </w:tcPr>
          <w:p>
            <w:pPr>
              <w:spacing w:line="240" w:lineRule="auto" w:before="0" w:after="0"/>
              <w:pStyle w:val="Compact"/>
            </w:pPr>
            <w:r>
              <w:rPr>
                <w:sz w:val="20"/>
                <w:szCs w:val="20"/>
              </w:rPr>
              <w:t xml:space="preserve">1370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STEREO-B contact lost 2014-10-01 after reset test; partial recovery 2016 (multi-year), https://stereo.gsfc.nasa.gov/news/</w:t>
            </w:r>
          </w:p>
        </w:tc>
      </w:tr>
      <w:tr>
        <w:tc>
          <w:tcPr>
            <w:tcW w:w="0" w:type="auto"/>
          </w:tcPr>
          <w:p>
            <w:pPr>
              <w:spacing w:line="240" w:lineRule="auto" w:before="0" w:after="0"/>
              <w:pStyle w:val="Compact"/>
            </w:pPr>
            <w:r>
              <w:rPr>
                <w:sz w:val="20"/>
                <w:szCs w:val="20"/>
              </w:rPr>
              <w:t xml:space="preserve">Terra</w:t>
            </w:r>
          </w:p>
        </w:tc>
        <w:tc>
          <w:tcPr>
            <w:tcW w:w="0" w:type="auto"/>
          </w:tcPr>
          <w:p>
            <w:pPr>
              <w:spacing w:line="240" w:lineRule="auto" w:before="0" w:after="0"/>
              <w:pStyle w:val="Compact"/>
            </w:pPr>
            <w:r>
              <w:rPr>
                <w:sz w:val="20"/>
                <w:szCs w:val="20"/>
              </w:rPr>
              <w:t xml:space="preserve">EOS attitude-control safe-hold</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GSFC, Terra (EOS AM-1) on-orbit anomaly safe-hold recovery, mission operations reports, https://terra.nasa.gov/about/mission-anomalies</w:t>
            </w:r>
          </w:p>
        </w:tc>
      </w:tr>
      <w:tr>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EOS reaction-wheel safe-hold</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GSFC, Aqua (EOS PM-1) reaction-wheel safe-hold recovery, mission operations reports, https://aqua.nasa.gov/content/about-aqua</w:t>
            </w:r>
          </w:p>
        </w:tc>
      </w:tr>
      <w:tr>
        <w:tc>
          <w:tcPr>
            <w:tcW w:w="0" w:type="auto"/>
          </w:tcPr>
          <w:p>
            <w:pPr>
              <w:spacing w:line="240" w:lineRule="auto" w:before="0" w:after="0"/>
              <w:pStyle w:val="Compact"/>
            </w:pPr>
            <w:r>
              <w:rPr>
                <w:sz w:val="20"/>
                <w:szCs w:val="20"/>
              </w:rPr>
              <w:t xml:space="preserve">GOES-17</w:t>
            </w:r>
          </w:p>
        </w:tc>
        <w:tc>
          <w:tcPr>
            <w:tcW w:w="0" w:type="auto"/>
          </w:tcPr>
          <w:p>
            <w:pPr>
              <w:spacing w:line="240" w:lineRule="auto" w:before="0" w:after="0"/>
              <w:pStyle w:val="Compact"/>
            </w:pPr>
            <w:r>
              <w:rPr>
                <w:sz w:val="20"/>
                <w:szCs w:val="20"/>
              </w:rPr>
              <w:t xml:space="preserve">2018 cooling-anomaly contingency ops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NOAA/NASA, GOES-17 ABI loop-heat-pipe anomaly contingency operations (May 2018), https://www.goes-r.gov/featureStories/goes17ABI.html</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2013 computer-reset safe events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Ames, LADEE recovered from autonomous reaction to reset events during commissioning (2013), https://www.nasa.gov/ames/ladee/</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attitude-anomaly safe contingency [illustrative]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coded from NASA DART autonomous SMART Nav guidance description; specific recovery interval not separately published, https://www.nasa.gov/dart</w:t>
            </w:r>
          </w:p>
        </w:tc>
      </w:tr>
    </w:tbl>
    <w:bookmarkEnd w:id="202"/>
    <w:bookmarkStart w:id="20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prolonged</w:t>
            </w:r>
          </w:p>
        </w:tc>
        <w:tc>
          <w:tcPr>
            <w:tcW w:w="0" w:type="auto"/>
          </w:tcPr>
          <w:p>
            <w:pPr>
              <w:spacing w:line="240" w:lineRule="auto" w:before="0" w:after="0"/>
              <w:pStyle w:val="Compact"/>
            </w:pPr>
            <w:r>
              <w:rPr>
                <w:sz w:val="20"/>
                <w:szCs w:val="20"/>
              </w:rPr>
              <w:t xml:space="preserve">Binary outcome: 1 if the time from safe-mode entry to resumed operations exceeded seven days, 0 otherwise; the seven-day cut reflects a typical multi-contact diagnose-and-recover cycle</w:t>
            </w:r>
          </w:p>
        </w:tc>
        <w:tc>
          <w:tcPr>
            <w:tcW w:w="0" w:type="auto"/>
          </w:tcPr>
          <w:p>
            <w:pPr>
              <w:spacing w:line="240" w:lineRule="auto" w:before="0" w:after="0"/>
              <w:pStyle w:val="Compact"/>
            </w:pPr>
            <w:r>
              <w:rPr>
                <w:sz w:val="20"/>
                <w:szCs w:val="20"/>
              </w:rPr>
              <w:t xml:space="preserve">Coded from documented mission recovery intervals (entry and resume dates) in each row’s cited NASA, JPL, or operator status report</w:t>
            </w:r>
          </w:p>
        </w:tc>
      </w:tr>
      <w:tr>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Ordinal index of onboard recovery-path autonomy: 0 ground-only step-by-step recovery, 1 scripted onboard safing with ground-confirmed recovery, 2 adaptive or autonomous onboard recovery logic</w:t>
            </w:r>
          </w:p>
        </w:tc>
        <w:tc>
          <w:tcPr>
            <w:tcW w:w="0" w:type="auto"/>
          </w:tcPr>
          <w:p>
            <w:pPr>
              <w:spacing w:line="240" w:lineRule="auto" w:before="0" w:after="0"/>
              <w:pStyle w:val="Compact"/>
            </w:pPr>
            <w:r>
              <w:rPr>
                <w:sz w:val="20"/>
                <w:szCs w:val="20"/>
              </w:rPr>
              <w:t xml:space="preserve">Coded from each mission’s published FDIR and flight-software description in the cited NASA, JPL, or operator material</w:t>
            </w:r>
          </w:p>
        </w:tc>
      </w:tr>
      <w:tr>
        <w:tc>
          <w:tcPr>
            <w:tcW w:w="0" w:type="auto"/>
          </w:tcPr>
          <w:p>
            <w:pPr>
              <w:spacing w:line="240" w:lineRule="auto" w:before="0" w:after="0"/>
              <w:pStyle w:val="Compact"/>
            </w:pPr>
            <w:r>
              <w:rPr>
                <w:sz w:val="20"/>
                <w:szCs w:val="20"/>
              </w:rPr>
              <w:t xml:space="preserve">deep_space</w:t>
            </w:r>
          </w:p>
        </w:tc>
        <w:tc>
          <w:tcPr>
            <w:tcW w:w="0" w:type="auto"/>
          </w:tcPr>
          <w:p>
            <w:pPr>
              <w:spacing w:line="240" w:lineRule="auto" w:before="0" w:after="0"/>
              <w:pStyle w:val="Compact"/>
            </w:pPr>
            <w:r>
              <w:rPr>
                <w:sz w:val="20"/>
                <w:szCs w:val="20"/>
              </w:rPr>
              <w:t xml:space="preserve">1 if the spacecraft operates beyond cislunar space (planetary, heliophysics, or deep-space cruise) where ground contact is infrequent and light-time is long, 0 if in Earth orbit with frequent contact</w:t>
            </w:r>
          </w:p>
        </w:tc>
        <w:tc>
          <w:tcPr>
            <w:tcW w:w="0" w:type="auto"/>
          </w:tcPr>
          <w:p>
            <w:pPr>
              <w:spacing w:line="240" w:lineRule="auto" w:before="0" w:after="0"/>
              <w:pStyle w:val="Compact"/>
            </w:pPr>
            <w:r>
              <w:rPr>
                <w:sz w:val="20"/>
                <w:szCs w:val="20"/>
              </w:rPr>
              <w:t xml:space="preserve">Coded from each mission’s orbit and operations regime in the cited source</w:t>
            </w:r>
          </w:p>
        </w:tc>
      </w:tr>
      <w:tr>
        <w:tc>
          <w:tcPr>
            <w:tcW w:w="0" w:type="auto"/>
          </w:tcPr>
          <w:p>
            <w:pPr>
              <w:spacing w:line="240" w:lineRule="auto" w:before="0" w:after="0"/>
              <w:pStyle w:val="Compact"/>
            </w:pPr>
            <w:r>
              <w:rPr>
                <w:sz w:val="20"/>
                <w:szCs w:val="20"/>
              </w:rPr>
              <w:t xml:space="preserve">attitude_cdh</w:t>
            </w:r>
          </w:p>
        </w:tc>
        <w:tc>
          <w:tcPr>
            <w:tcW w:w="0" w:type="auto"/>
          </w:tcPr>
          <w:p>
            <w:pPr>
              <w:spacing w:line="240" w:lineRule="auto" w:before="0" w:after="0"/>
              <w:pStyle w:val="Compact"/>
            </w:pPr>
            <w:r>
              <w:rPr>
                <w:sz w:val="20"/>
                <w:szCs w:val="20"/>
              </w:rPr>
              <w:t xml:space="preserve">1 if the triggering anomaly subsystem is attitude determination and control (including IMU and gyroscope) or command-and-data-handling, 0 otherwise; these classes are reported as slower to resolve</w:t>
            </w:r>
          </w:p>
        </w:tc>
        <w:tc>
          <w:tcPr>
            <w:tcW w:w="0" w:type="auto"/>
          </w:tcPr>
          <w:p>
            <w:pPr>
              <w:spacing w:line="240" w:lineRule="auto" w:before="0" w:after="0"/>
              <w:pStyle w:val="Compact"/>
            </w:pPr>
            <w:r>
              <w:rPr>
                <w:sz w:val="20"/>
                <w:szCs w:val="20"/>
              </w:rPr>
              <w:t xml:space="preserve">Coded from the documented anomaly cause in each row’s cited status report</w:t>
            </w:r>
          </w:p>
        </w:tc>
      </w:tr>
    </w:tbl>
    <w:bookmarkEnd w:id="203"/>
    <w:bookmarkEnd w:id="204"/>
    <w:bookmarkEnd w:id="20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0" Type="http://schemas.openxmlformats.org/officeDocument/2006/relationships/image" Target="media/rId190.png"/><Relationship Id="rId198" Type="http://schemas.openxmlformats.org/officeDocument/2006/relationships/image" Target="media/rId198.png"/><Relationship Id="rId182" Type="http://schemas.openxmlformats.org/officeDocument/2006/relationships/hyperlink" Target="https://doi.org/10.1016/j.actaastro.2016.04.005" TargetMode="External"/><Relationship Id="rId184" Type="http://schemas.openxmlformats.org/officeDocument/2006/relationships/hyperlink" Target="https://doi.org/10.1016/j.actaastro.2016.10.040" TargetMode="External"/><Relationship Id="rId180" Type="http://schemas.openxmlformats.org/officeDocument/2006/relationships/hyperlink" Target="https://doi.org/10.1016/j.actaastro.2018.01.037" TargetMode="External"/><Relationship Id="rId151" Type="http://schemas.openxmlformats.org/officeDocument/2006/relationships/hyperlink" Target="https://doi.org/10.1016/j.actaastro.2019.07.014" TargetMode="External"/><Relationship Id="rId176" Type="http://schemas.openxmlformats.org/officeDocument/2006/relationships/hyperlink" Target="https://doi.org/10.1016/j.actaastro.2020.06.023" TargetMode="External"/><Relationship Id="rId178" Type="http://schemas.openxmlformats.org/officeDocument/2006/relationships/hyperlink" Target="https://doi.org/10.1016/j.actaastro.2023.04.047" TargetMode="External"/><Relationship Id="rId162" Type="http://schemas.openxmlformats.org/officeDocument/2006/relationships/hyperlink" Target="https://doi.org/10.1016/j.actaastro.2024.01.048" TargetMode="External"/><Relationship Id="rId186" Type="http://schemas.openxmlformats.org/officeDocument/2006/relationships/hyperlink" Target="https://doi.org/10.1016/j.actaastro.2025.04.038" TargetMode="External"/><Relationship Id="rId157" Type="http://schemas.openxmlformats.org/officeDocument/2006/relationships/hyperlink" Target="https://doi.org/10.1016/j.actaastro.2025.09.035" TargetMode="External"/><Relationship Id="rId160" Type="http://schemas.openxmlformats.org/officeDocument/2006/relationships/hyperlink" Target="https://doi.org/10.1016/j.actaastro.2025.10.018" TargetMode="External"/><Relationship Id="rId173" Type="http://schemas.openxmlformats.org/officeDocument/2006/relationships/hyperlink" Target="https://doi.org/10.1016/j.actaastro.2026.05.030" TargetMode="External"/><Relationship Id="rId164" Type="http://schemas.openxmlformats.org/officeDocument/2006/relationships/hyperlink" Target="https://doi.org/10.64861/TFPO6156" TargetMode="External"/><Relationship Id="rId171" Type="http://schemas.openxmlformats.org/officeDocument/2006/relationships/hyperlink" Target="https://doi.org/10.64861/TLLP2048" TargetMode="External"/><Relationship Id="rId154" Type="http://schemas.openxmlformats.org/officeDocument/2006/relationships/hyperlink" Target="https://doi.org/10.64861/XHRO4751" TargetMode="External"/></Relationships>
</file>

<file path=word/_rels/footnotes.xml.rels><?xml version='1.0' encoding='UTF-8' standalone='yes'?>
<Relationships xmlns="http://schemas.openxmlformats.org/package/2006/relationships"><Relationship Id="rId182" Type="http://schemas.openxmlformats.org/officeDocument/2006/relationships/hyperlink" Target="https://doi.org/10.1016/j.actaastro.2016.04.005" TargetMode="External"/><Relationship Id="rId184" Type="http://schemas.openxmlformats.org/officeDocument/2006/relationships/hyperlink" Target="https://doi.org/10.1016/j.actaastro.2016.10.040" TargetMode="External"/><Relationship Id="rId180" Type="http://schemas.openxmlformats.org/officeDocument/2006/relationships/hyperlink" Target="https://doi.org/10.1016/j.actaastro.2018.01.037" TargetMode="External"/><Relationship Id="rId151" Type="http://schemas.openxmlformats.org/officeDocument/2006/relationships/hyperlink" Target="https://doi.org/10.1016/j.actaastro.2019.07.014" TargetMode="External"/><Relationship Id="rId176" Type="http://schemas.openxmlformats.org/officeDocument/2006/relationships/hyperlink" Target="https://doi.org/10.1016/j.actaastro.2020.06.023" TargetMode="External"/><Relationship Id="rId178" Type="http://schemas.openxmlformats.org/officeDocument/2006/relationships/hyperlink" Target="https://doi.org/10.1016/j.actaastro.2023.04.047" TargetMode="External"/><Relationship Id="rId162" Type="http://schemas.openxmlformats.org/officeDocument/2006/relationships/hyperlink" Target="https://doi.org/10.1016/j.actaastro.2024.01.048" TargetMode="External"/><Relationship Id="rId186" Type="http://schemas.openxmlformats.org/officeDocument/2006/relationships/hyperlink" Target="https://doi.org/10.1016/j.actaastro.2025.04.038" TargetMode="External"/><Relationship Id="rId157" Type="http://schemas.openxmlformats.org/officeDocument/2006/relationships/hyperlink" Target="https://doi.org/10.1016/j.actaastro.2025.09.035" TargetMode="External"/><Relationship Id="rId160" Type="http://schemas.openxmlformats.org/officeDocument/2006/relationships/hyperlink" Target="https://doi.org/10.1016/j.actaastro.2025.10.018" TargetMode="External"/><Relationship Id="rId173" Type="http://schemas.openxmlformats.org/officeDocument/2006/relationships/hyperlink" Target="https://doi.org/10.1016/j.actaastro.2026.05.030" TargetMode="External"/><Relationship Id="rId164" Type="http://schemas.openxmlformats.org/officeDocument/2006/relationships/hyperlink" Target="https://doi.org/10.64861/TFPO6156" TargetMode="External"/><Relationship Id="rId171" Type="http://schemas.openxmlformats.org/officeDocument/2006/relationships/hyperlink" Target="https://doi.org/10.64861/TLLP2048" TargetMode="External"/><Relationship Id="rId154" Type="http://schemas.openxmlformats.org/officeDocument/2006/relationships/hyperlink" Target="https://doi.org/10.64861/XHRO47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Time-to-Acquisition After Anomaly: A Hazard Model of Spacecraft Safe-Mode Recovery</dc:title>
  <dc:creator>Lucia Delgado (1B-OPS-033)</dc:creator>
  <cp:keywords/>
  <dcterms:created xsi:type="dcterms:W3CDTF">2026-07-02T16:13:12Z</dcterms:created>
  <dcterms:modified xsi:type="dcterms:W3CDTF">2026-07-02T16:13:12Z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