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7ae20276ef4f2311f7f44b4bcddcc1a7798bb77"/>
    <w:p>
      <w:pPr>
        <w:pStyle w:val="Heading1"/>
      </w:pPr>
      <w:r>
        <w:t xml:space="preserve">The Diseconomies of Diameter: A Log-Log Estimate of the Aperture Cost-Scaling Elasticity for Large Ground Antennas and the Case for Cadence</w:t>
      </w:r>
    </w:p>
    <w:bookmarkStart w:id="61" w:name="introduction"/>
    <w:p>
      <w:pPr>
        <w:pStyle w:val="Heading2"/>
      </w:pPr>
      <w:r>
        <w:t xml:space="preserve">1. Introduction</w:t>
      </w:r>
    </w:p>
    <w:p>
      <w:pPr>
        <w:pStyle w:val="FirstParagraph"/>
      </w:pPr>
      <w:r>
        <w:t xml:space="preserve">The Deep Space Network carries a fixed annual budget against a demand curve that rises every time a new spacecraft enters cruise. Program planners who must expand downlink capacity face a recurring choice: pour capital into a small number of very large apertures, or field a larger number of smaller apertures and combine their signals. The companion paper to this study estimated the capacity payoff of aperture, showing that achievable downlink rate climbs with ground-antenna diameter once distance, transmit power, and frequency band are held fixed. Capacity, however, is only one blade of the scissors. The other blade is cost, and the central question for a capacity-expansion strategy is not whether a larger dish returns more bits, but how steeply the price of a dish rises as it grows.</w:t>
      </w:r>
    </w:p>
    <w:p>
      <w:pPr>
        <w:pStyle w:val="BodyText"/>
      </w:pPr>
      <w:r>
        <w:t xml:space="preserve">This paper estimates that price curve. Using a hand-compiled panel of fifteen documented large ground antennas and radio telescopes spanning six decades and twelve countries, it fits a log-log relationship between construction cost and aperture diameter. The slope of that line is an elasticity: the percentage increase in capital cost associated with a one-percent increase in aperture diameter. The radio-astronomy engineering literature has long held that the mechanical cost of a single steerable structure scales roughly as the 2.4 to 2.7 power of diameter</w:t>
      </w:r>
      <w:r>
        <w:t xml:space="preserve"> </w:t>
      </w:r>
      <w:hyperlink w:anchor="ref-1">
        <m:oMathPara>
          <m:oMathParaPr>
            <m:jc m:val="center"/>
          </m:oMathParaPr>
          <m:oMath>
            <m:r>
              <m:t>1</m:t>
            </m:r>
          </m:oMath>
        </m:oMathPara>
      </w:hyperlink>
      <w:r>
        <w:t xml:space="preserve">, a near-cubic law that makes monolithic giants progressively unaffordable. If that law governs the realized population of antennas, the elasticity should land near 2.5 and the case for building ever-larger single dishes weakens sharply with every additional meter.</w:t>
      </w:r>
    </w:p>
    <w:p>
      <w:pPr>
        <w:pStyle w:val="FirstParagraph"/>
      </w:pPr>
      <w:r>
        <w:t xml:space="preserve">The estimate reported here tells a different and more useful story. Across the realized population, which includes both monolithic dishes and the per-element cost of homogeneous arrays, the cost-aperture elasticity is statistically indistinguishable from one, not from 2.5. That finding is not a refutation of the structural cost law. It is the empirical signature of the engineering response to it. The population of antennas actually built already embeds the arraying decision, and arraying is precisely the technique that converts a near-cubic single-dish cost law into a roughly linear cost-per-aperture-meter frontier. The result therefore speaks directly to the aperture-cadence tradeoff at the heart of this dissertation: the cheapest path along the cost-effectiveness frontier is not the largest reachable dish but the disciplined replication of modest apertures at cadence.</w:t>
      </w:r>
    </w:p>
    <w:bookmarkEnd w:id="61"/>
    <w:bookmarkStart w:id="62" w:name="theory-and-hypotheses"/>
    <w:p>
      <w:pPr>
        <w:pStyle w:val="Heading2"/>
      </w:pPr>
      <w:r>
        <w:t xml:space="preserve">2. Theory and Hypotheses</w:t>
      </w:r>
    </w:p>
    <w:p>
      <w:pPr>
        <w:pStyle w:val="FirstParagraph"/>
      </w:pPr>
      <w:r>
        <w:t xml:space="preserve">The engineering case for a steep aperture cost law rests on structural mechanics. A steerable reflector must hold its surface to a fraction of a wavelength against gravity and wind across its full range of motion. As diameter grows, the mass of the backup structure required to maintain that tolerance grows faster than the collecting area, and the mechanical cost of the supporting structure is empirically known to scale roughly as diameter to the 2.7 power</w:t>
      </w:r>
      <w:r>
        <w:t xml:space="preserve"> </w:t>
      </w:r>
      <w:hyperlink w:anchor="ref-1">
        <m:oMathPara>
          <m:oMathParaPr>
            <m:jc m:val="center"/>
          </m:oMathParaPr>
          <m:oMath>
            <m:r>
              <m:t>1</m:t>
            </m:r>
          </m:oMath>
        </m:oMathPara>
      </w:hyperlink>
      <w:r>
        <w:t xml:space="preserve">. This is why single-dish construction becomes prohibitively expensive beyond a point, and why the largest fixed apertures, such as the five-hundred-meter spherical reflector, abandon full steerability altogether to escape the structural penalty.</w:t>
      </w:r>
    </w:p>
    <w:p>
      <w:pPr>
        <w:pStyle w:val="FirstParagraph"/>
      </w:pPr>
      <w:r>
        <w:t xml:space="preserve">The standard alternative is to synthesize a large effective aperture from many small antennas. NASA and JPL studied this architecture for the Deep Space Network in depth, beginning with cost and reliability analyses of large arrays of small reflector antennas</w:t>
      </w:r>
      <w:r>
        <w:t xml:space="preserve"> </w:t>
      </w:r>
      <w:hyperlink w:anchor="ref-2">
        <m:oMathPara>
          <m:oMathParaPr>
            <m:jc m:val="center"/>
          </m:oMathParaPr>
          <m:oMath>
            <m:r>
              <m:t>2</m:t>
            </m:r>
          </m:oMath>
        </m:oMathPara>
      </w:hyperlink>
      <w:r>
        <w:t xml:space="preserve"> </w:t>
      </w:r>
      <w:r>
        <w:t xml:space="preserve">and continuing through array-based receive and uplink concepts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 The recurring conclusion of that body of work is that an array of small, mass-produced dishes can deliver the sensitivity of a single giant while breaking the structural cost law, because each element stays in the size range where cost scales gently and replication yields manufacturing economies</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 The synthesis of a large communications aperture from small antennas was demonstrated as a practical technique rather than a thought experiment</w:t>
      </w:r>
      <w:r>
        <w:t xml:space="preserve"> </w:t>
      </w:r>
      <w:hyperlink w:anchor="ref-7">
        <m:oMathPara>
          <m:oMathParaPr>
            <m:jc m:val="center"/>
          </m:oMathParaPr>
          <m:oMath>
            <m:r>
              <m:t>7</m:t>
            </m:r>
          </m:oMath>
        </m:oMathPara>
      </w:hyperlink>
      <w:r>
        <w:t xml:space="preserve">, and lower-cost architectures for large arrays of small antennas became an explicit design goal for future DSN capacity</w:t>
      </w:r>
      <w:r>
        <w:t xml:space="preserve"> </w:t>
      </w:r>
      <w:hyperlink w:anchor="ref-5">
        <m:oMathPara>
          <m:oMathParaPr>
            <m:jc m:val="center"/>
          </m:oMathParaPr>
          <m:oMath>
            <m:r>
              <m:t>5</m:t>
            </m:r>
          </m:oMath>
        </m:oMathPara>
      </w:hyperlink>
      <w:r>
        <w:t xml:space="preserve">.</w:t>
      </w:r>
    </w:p>
    <w:p>
      <w:pPr>
        <w:pStyle w:val="FirstParagraph"/>
      </w:pPr>
      <w:r>
        <w:t xml:space="preserve">Two observations follow for the cost-aperture elasticity that one would actually estimate from the realized population of antennas. First, if the sample were restricted to monolithic single dishes, the estimated elasticity should approach the structural value near 2.5, because nothing in that subpopulation relaxes the mechanical penalty. Second, once the realized population includes the per-element cost of arrays, the small-aperture end of the distribution fills with cheap, replicated dishes whose cost per unit of diameter is far below what the single-dish law would predict at that size. The pooled slope must then fall below the structural value, and it falls toward one when the array elements are numerous and inexpensive enough to anchor the low-aperture end of the cost curve.</w:t>
      </w:r>
    </w:p>
    <w:p>
      <w:pPr>
        <w:pStyle w:val="BodyText"/>
      </w:pPr>
      <w:r>
        <w:t xml:space="preserve">This yields the paper’s testable hypothesis. If the diseconomy of diameter dominated the realized cost record, the estimated elasticity would exceed one decisively, with a confidence interval bracketing the literature value near 2.5. The competing proposition, motivated by the DSN arraying literature, is that the realized population already reflects the arraying response and therefore exhibits an elasticity near one. The two propositions are separated cleanly by where the confidence interval falls relative to the structural benchmark.</w:t>
      </w:r>
    </w:p>
    <w:bookmarkEnd w:id="62"/>
    <w:bookmarkStart w:id="63" w:name="data"/>
    <w:p>
      <w:pPr>
        <w:pStyle w:val="Heading2"/>
      </w:pPr>
      <w:r>
        <w:t xml:space="preserve">3. Data</w:t>
      </w:r>
    </w:p>
    <w:p>
      <w:pPr>
        <w:pStyle w:val="FirstParagraph"/>
      </w:pPr>
      <w:r>
        <w:t xml:space="preserve">The dataset is a hand-compiled cross-section of fifteen large ground antennas and radio telescopes for which both primary aperture diameter and construction cost are documented in public sources. Each row carries its own citation in the data file. The facilities span 1957 to 2018 and range from the 6.1-meter dishes of the Allen Telescope Array to the 500-meter spherical reflector of FAST, with deep-space tracking antennas (the ESA Cebreros 35-meter station), classic single dishes (the 76-meter Lovell telescope, the 100-meter Green Bank and Effelsberg telescopes, the 305-meter Arecibo reflector), and per-element costs from four homogeneous arrays (the Very Large Array, Westerbork, MeerKAT, and ALMA).</w:t>
      </w:r>
    </w:p>
    <w:p>
      <w:pPr>
        <w:pStyle w:val="BodyText"/>
      </w:pPr>
      <w:r>
        <w:t xml:space="preserve">Two construction choices protect the integrity of the cost variable. First, every then-year native cost is converted to millions of constant 2020 US dollars using the documented historical exchange rate and the US Bureau of Labor Statistics consumer price index, so that a 1957 pound and a 2018 rand are placed on a common scale. The native figure and the conversion path are recorded in each row’s source field for audit. Second, for the four homogeneous arrays the per-element cost is the documented total program or contract cost divided by the documented antenna count, never an analogy or guess. Only one row, the Effelsberg conversion from a commonly cited but loosely documented Deutsche Mark figure, is flagged as an illustrative conversion; its diameter and construction dates are fully documented, and it represents under seven percent of the sample.</w:t>
      </w:r>
    </w:p>
    <w:p>
      <w:pPr>
        <w:pStyle w:val="BodyText"/>
      </w:pPr>
      <w:r>
        <w:t xml:space="preserve">The cross-section mixes vintages and program types deliberately. The object of interest is the realized cost-aperture frontier that a capacity planner actually confronts, which is precisely the heterogeneous menu of single dishes and array elements that the procurement record offers. A sample purged of arrays would estimate the structural law in isolation and would misrepresent the choices available to a real program.</w:t>
      </w:r>
    </w:p>
    <w:bookmarkEnd w:id="63"/>
    <w:bookmarkStart w:id="64" w:name="method"/>
    <w:p>
      <w:pPr>
        <w:pStyle w:val="Heading2"/>
      </w:pPr>
      <w:r>
        <w:t xml:space="preserve">4. Method</w:t>
      </w:r>
    </w:p>
    <w:p>
      <w:pPr>
        <w:pStyle w:val="FirstParagraph"/>
      </w:pPr>
      <w:r>
        <w:t xml:space="preserve">The estimator is a log-log ordinary least squares regression of construction cost on aperture diameter, the canonical functional form for a constant-elasticity cost law. The specification regresses the natural logarithm of cost in constant 2020 dollars on the natural logarithm of aperture diameter in meters, with heteroskedasticity-consistent (HC1) robust standard errors to guard against the unequal variance expected across six orders of magnitude in cost. The slope coefficient is the cost-aperture elasticity, and two raised to that slope is the multiplicative cost factor per doubling of diameter, the quantity a planner uses directly when comparing one large dish to two of half the diameter.</w:t>
      </w:r>
    </w:p>
    <w:p>
      <w:pPr>
        <w:pStyle w:val="BodyText"/>
      </w:pPr>
      <w:r>
        <w:t xml:space="preserve">The log-log form is appropriate here for the same reason it serves the classical learning curve: it imposes a constant proportional relationship and lets the data reveal the exponent rather than assuming it. The functional form does not presuppose either the structural value near 2.5 or the arraying-adjusted value near one; both are admissible slopes, and the estimate adjudicates between them.</w:t>
      </w:r>
    </w:p>
    <w:bookmarkEnd w:id="64"/>
    <w:bookmarkStart w:id="65" w:name="findings"/>
    <w:p>
      <w:pPr>
        <w:pStyle w:val="Heading2"/>
      </w:pPr>
      <w:r>
        <w:t xml:space="preserve">5. Findings</w:t>
      </w:r>
    </w:p>
    <w:p>
      <w:pPr>
        <w:pStyle w:val="FirstParagraph"/>
      </w:pPr>
      <w:r>
        <w:t xml:space="preserve">The fitted elasticity of construction cost with respect to aperture diameter is 0.999, with a robust standard error of 0.188 and a p-value below 0.001. The coefficient is estimated with precision and is highly significant, but the value itself is the surprise: the realized cost-aperture elasticity is essentially exactly one, not the 2.4 to 2.7 the single-dish structural law predicts. The ninety-five percent confidence interval runs from 0.631 to 1.368. That interval comfortably includes unity and decisively excludes the structural benchmark near 2.5; the literature value lies well outside the upper bound of 1.368. The intercept is -0.410 with a p-value of 0.604, statistically indistinguishable from zero and of no substantive interest on its own. The regression explains 63 percent of the variance in log cost across the fifteen facilities, a respectable fit for a cross-section that mixes six decades and four currencies.</w:t>
      </w:r>
    </w:p>
    <w:p>
      <w:pPr>
        <w:pStyle w:val="BodyText"/>
      </w:pPr>
      <w:r>
        <w:t xml:space="preserve">The implied progress factor is the cleanest way to read the result. Two raised to the estimated slope is 1.999, which means that across the realized population a doubling of aperture diameter is associated with almost exactly a doubling of cost, not the four-to-six-fold increase the near-cubic structural law would impose. Cost rises in lockstep with diameter rather than with diameter cubed.</w:t>
      </w:r>
    </w:p>
    <w:p>
      <w:pPr>
        <w:pStyle w:val="BodyText"/>
      </w:pPr>
      <w:r>
        <w:t xml:space="preserve">This result does not support the paper’s stated hypothesis that the elasticity exceeds one decisively. The hypothesis is rejected, and the rejection is informative rather than disappointing. The structural cost law is real and is not contradicted by these data at the level of an individual steerable dish. What the pooled elasticity of one reveals is that the population of antennas humanity has actually chosen to build is not a population of pure monolithic giants. It is a population in which the small-aperture end is densely occupied by cheap, replicated array elements, exactly the architecture the DSN arraying studies advocated</w:t>
      </w:r>
      <w:r>
        <w:t xml:space="preserve"> </w:t>
      </w:r>
      <w:hyperlink w:anchor="ref-2">
        <m:oMathPara>
          <m:oMathParaPr>
            <m:jc m:val="center"/>
          </m:oMathParaPr>
          <m:oMath>
            <m:r>
              <m:t>2</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 Those elements anchor the low-diameter corner of the cost curve at prices far below the single-dish law, flattening the realized slope from near-cubic toward linear. The elasticity of one is the fingerprint of arraying already at work in the historical record.</w:t>
      </w:r>
    </w:p>
    <w:bookmarkEnd w:id="65"/>
    <w:bookmarkStart w:id="66" w:name="discussion"/>
    <w:p>
      <w:pPr>
        <w:pStyle w:val="Heading2"/>
      </w:pPr>
      <w:r>
        <w:t xml:space="preserve">6. Discussion</w:t>
      </w:r>
    </w:p>
    <w:p>
      <w:pPr>
        <w:pStyle w:val="FirstParagraph"/>
      </w:pPr>
      <w:r>
        <w:t xml:space="preserve">For a Deep Space Network capacity strategy, the practical reading is direct. If the marginal aperture-meter cost rose with the square or cube of diameter, the cost-effectiveness frontier would reward concentration: build the largest single dish the structural law still permits and accept its price. The realized elasticity of one says the opposite. When cost rises only linearly with diameter across the achievable menu, there is no capital penalty for spreading a fixed budget across many smaller apertures, and there are substantial offsetting advantages: graceful degradation when one element fails, incremental capacity growth that matches the cadence of new missions rather than arriving in one expensive step, and the manufacturing learning that replication makes possible</w:t>
      </w:r>
      <w:r>
        <w:t xml:space="preserve"> </w:t>
      </w:r>
      <w:hyperlink w:anchor="ref-2">
        <m:oMathPara>
          <m:oMathParaPr>
            <m:jc m:val="center"/>
          </m:oMathParaPr>
          <m:oMath>
            <m:r>
              <m:t>2</m:t>
            </m:r>
          </m:oMath>
        </m:oMathPara>
      </w:hyperlink>
      <w:r>
        <w:t xml:space="preserve">,</w:t>
      </w:r>
      <w:r>
        <w:t xml:space="preserve"> </w:t>
      </w:r>
      <w:hyperlink w:anchor="ref-6">
        <m:oMathPara>
          <m:oMathParaPr>
            <m:jc m:val="center"/>
          </m:oMathParaPr>
          <m:oMath>
            <m:r>
              <m:t>6</m:t>
            </m:r>
          </m:oMath>
        </m:oMathPara>
      </w:hyperlink>
      <w:r>
        <w:t xml:space="preserve">. The cost side of the aperture-cadence tradeoff, in other words, does not argue against cadence. It is neutral to cadence at worst and favorable to it once reliability and schedule are priced in.</w:t>
      </w:r>
    </w:p>
    <w:p>
      <w:pPr>
        <w:pStyle w:val="FirstParagraph"/>
      </w:pPr>
      <w:r>
        <w:t xml:space="preserve">Three limitations bound the claim. First, the sample is small and heterogeneous; fifteen facilities across six decades is enough to separate an elasticity of one from an elasticity of 2.5 with confidence, but not enough to resolve finer structure such as a vintage trend or a band-dependent premium. Second, the per-element array costs are documented divisions of program totals and therefore fold in shared infrastructure that a strict marginal-cost accounting would strip out; the true marginal cost of an additional array element is likely below the figures used here, which would push the realized elasticity even lower and strengthen the conclusion. Third, the cost variable captures capital outlay only and is silent on the operations and correlation costs that arrays incur to combine many signals, a real expense that the single-dish architecture avoids and that a full cost-effectiveness model must carry. The companion capacity paper and this cost paper together sketch both blades of the frontier; closing the scissors into a single cost-per-bit objective, with operations costs included, is the natural next step and the subject of the dissertation’s integrating chapter.</w:t>
      </w:r>
    </w:p>
    <w:p>
      <w:pPr>
        <w:pStyle w:val="BodyText"/>
      </w:pPr>
      <w:r>
        <w:t xml:space="preserve">The headline stands on the estimated numbers. The realized cost-aperture elasticity is 0.999 with a confidence interval of 0.631 to 1.368, a near-perfect doubling of cost per doubling of diameter, and a flat rejection of the near-cubic diseconomy at the population level. The diseconomy of diameter is real for a single dish and already defeated in the record by the decision to array. For a network that must expand capacity under a fixed budget, that is permission, on cost grounds, to choose cadence.</w:t>
      </w:r>
    </w:p>
    <w:bookmarkEnd w:id="66"/>
    <w:bookmarkStart w:id="74" w:name="references"/>
    <w:p>
      <w:pPr>
        <w:pStyle w:val="Heading2"/>
      </w:pPr>
      <w:r>
        <w:t xml:space="preserve">References</w:t>
      </w:r>
    </w:p>
    <w:p>
      <w:pPr>
        <w:pStyle w:val="FirstParagraph"/>
      </w:pPr>
      <w:bookmarkStart w:id="67" w:name="ref-1"/>
      <w:bookmarkEnd w:id="67"/>
      <w:r>
        <w:t xml:space="preserve">1. Wikipedia contributors,</w:t>
      </w:r>
      <w:r>
        <w:t xml:space="preserve"> </w:t>
      </w:r>
      <w:r>
        <w:t xml:space="preserve">“Radio telescope,”</w:t>
      </w:r>
      <w:r>
        <w:t xml:space="preserve"> </w:t>
      </w:r>
      <w:r>
        <w:t xml:space="preserve">Wikipedia, The Free Encyclopedia, summarizing the empirical mechanical-cost scaling of large steerable structures as approximately diameter to the 2.7 power. https://en.wikipedia.org/wiki/Radio_telescope</w:t>
      </w:r>
    </w:p>
    <w:p>
      <w:pPr>
        <w:pStyle w:val="BodyText"/>
      </w:pPr>
      <w:bookmarkStart w:id="68" w:name="ref-2"/>
      <w:bookmarkEnd w:id="68"/>
      <w:r>
        <w:t xml:space="preserve">2. J. W. Layland and L. L. Rauch,</w:t>
      </w:r>
      <w:r>
        <w:t xml:space="preserve"> </w:t>
      </w:r>
      <w:r>
        <w:t xml:space="preserve">“Cost and reliability study for a large array of small reflector antennas for JPL/NASA,”</w:t>
      </w:r>
      <w:r>
        <w:t xml:space="preserve"> </w:t>
      </w:r>
      <w:r>
        <w:t xml:space="preserve">NASA Technical Reports Server, 1993. NTRS 19930069641. https://ntrs.nasa.gov/citations/19930069641</w:t>
      </w:r>
    </w:p>
    <w:p>
      <w:pPr>
        <w:pStyle w:val="BodyText"/>
      </w:pPr>
      <w:bookmarkStart w:id="69" w:name="ref-3"/>
      <w:bookmarkEnd w:id="69"/>
      <w:r>
        <w:t xml:space="preserve">3. D. S. Bagri, J. I. Statman, and M. S. Gatti,</w:t>
      </w:r>
      <w:r>
        <w:t xml:space="preserve"> </w:t>
      </w:r>
      <w:r>
        <w:t xml:space="preserve">“Antennas for the array-based Deep Space Network: current status and future designs,”</w:t>
      </w:r>
      <w:r>
        <w:t xml:space="preserve"> </w:t>
      </w:r>
      <w:r>
        <w:t xml:space="preserve">NASA Technical Reports Server, 2005. NTRS 20060043666. https://ntrs.nasa.gov/citations/20060043666</w:t>
      </w:r>
    </w:p>
    <w:p>
      <w:pPr>
        <w:pStyle w:val="BodyText"/>
      </w:pPr>
      <w:bookmarkStart w:id="70" w:name="ref-4"/>
      <w:bookmarkEnd w:id="70"/>
      <w:r>
        <w:t xml:space="preserve">4. V. Vilnrotter and D. Lee,</w:t>
      </w:r>
      <w:r>
        <w:t xml:space="preserve"> </w:t>
      </w:r>
      <w:r>
        <w:t xml:space="preserve">“Uplink array system of large or small aperture antennas for the Deep Space Network,”</w:t>
      </w:r>
      <w:r>
        <w:t xml:space="preserve"> </w:t>
      </w:r>
      <w:r>
        <w:t xml:space="preserve">NASA Technical Reports Server, 2004. NTRS 20060029384. https://ntrs.nasa.gov/citations/20060029384</w:t>
      </w:r>
    </w:p>
    <w:p>
      <w:pPr>
        <w:pStyle w:val="BodyText"/>
      </w:pPr>
      <w:bookmarkStart w:id="71" w:name="ref-5"/>
      <w:bookmarkEnd w:id="71"/>
      <w:r>
        <w:t xml:space="preserve">5. J. Statman and C. Stelzried,</w:t>
      </w:r>
      <w:r>
        <w:t xml:space="preserve"> </w:t>
      </w:r>
      <w:r>
        <w:t xml:space="preserve">“Lower-cost architectures for large arrays of small antennas,”</w:t>
      </w:r>
      <w:r>
        <w:t xml:space="preserve"> </w:t>
      </w:r>
      <w:r>
        <w:t xml:space="preserve">NASA Technical Reports Server, 2006. NTRS 20060044237. https://ntrs.nasa.gov/citations/20060044237</w:t>
      </w:r>
    </w:p>
    <w:p>
      <w:pPr>
        <w:pStyle w:val="BodyText"/>
      </w:pPr>
      <w:bookmarkStart w:id="72" w:name="ref-6"/>
      <w:bookmarkEnd w:id="72"/>
      <w:r>
        <w:t xml:space="preserve">6. L. R. D’Addario,</w:t>
      </w:r>
      <w:r>
        <w:t xml:space="preserve"> </w:t>
      </w:r>
      <w:r>
        <w:t xml:space="preserve">“System concepts for transmit arrays of parabolic antennas for deep space uplinks,”</w:t>
      </w:r>
      <w:r>
        <w:t xml:space="preserve"> </w:t>
      </w:r>
      <w:r>
        <w:t xml:space="preserve">NASA Technical Reports Server, 2005. NTRS 20060043861. https://ntrs.nasa.gov/citations/20060043861</w:t>
      </w:r>
    </w:p>
    <w:p>
      <w:pPr>
        <w:pStyle w:val="BodyText"/>
      </w:pPr>
      <w:bookmarkStart w:id="73" w:name="ref-7"/>
      <w:bookmarkEnd w:id="73"/>
      <w:r>
        <w:t xml:space="preserve">7. M. H. Brockman and others,</w:t>
      </w:r>
      <w:r>
        <w:t xml:space="preserve"> </w:t>
      </w:r>
      <w:r>
        <w:t xml:space="preserve">“Synthesis of a large communications aperture using small antennas,”</w:t>
      </w:r>
      <w:r>
        <w:t xml:space="preserve"> </w:t>
      </w:r>
      <w:r>
        <w:t xml:space="preserve">NASA Technical Reports Server, 1994. NTRS 19950016435. https://ntrs.nasa.gov/citations/19950016435</w:t>
      </w:r>
    </w:p>
    <w:bookmarkEnd w:id="74"/>
    <w:bookmarkStart w:id="75" w:name="specification"/>
    <w:p>
      <w:pPr>
        <w:pStyle w:val="Heading2"/>
      </w:pPr>
      <w:r>
        <w:t xml:space="preserve">Specification</w:t>
      </w:r>
    </w:p>
    <w:p>
      <w:pPr>
        <w:pStyle w:val="FirstParagraph"/>
      </w:pPr>
      <m:oMathPara>
        <m:oMathParaPr>
          <m:jc m:val="center"/>
        </m:oMathParaPr>
        <m:oMath>
          <m:r>
            <m:rPr>
              <m:sty m:val="p"/>
            </m:rPr>
            <m:t>ln</m:t>
          </m:r>
          <m:r>
            <m:rPr>
              <m:sty m:val="p"/>
            </m:rPr>
            <m:t>(</m:t>
          </m:r>
          <m:sSub>
            <m:e>
              <m:r>
                <m:t>C</m:t>
              </m:r>
            </m:e>
            <m:sub>
              <m:r>
                <m:t>i</m:t>
              </m:r>
            </m:sub>
          </m:sSub>
          <m:r>
            <m:rPr>
              <m:sty m:val="p"/>
            </m:rPr>
            <m:t>)</m:t>
          </m:r>
          <m:r>
            <m:rPr>
              <m:sty m:val="p"/>
            </m:rPr>
            <m:t>=</m:t>
          </m:r>
          <m:r>
            <m:t>α</m:t>
          </m:r>
          <m:r>
            <m:rPr>
              <m:sty m:val="p"/>
            </m:rPr>
            <m:t>+</m:t>
          </m:r>
          <m:r>
            <m:t>β</m:t>
          </m:r>
          <m:r>
            <m:t> </m:t>
          </m:r>
          <m:r>
            <m:rPr>
              <m:sty m:val="p"/>
            </m:rPr>
            <m:t>ln</m:t>
          </m:r>
          <m:r>
            <m:rPr>
              <m:sty m:val="p"/>
            </m:rPr>
            <m:t>(</m:t>
          </m:r>
          <m:sSub>
            <m:e>
              <m:r>
                <m:t>A</m:t>
              </m:r>
            </m:e>
            <m:sub>
              <m:r>
                <m:t>i</m:t>
              </m:r>
            </m:sub>
          </m:sSub>
          <m:r>
            <m:rPr>
              <m:sty m:val="p"/>
            </m:rPr>
            <m:t>)</m:t>
          </m:r>
          <m:r>
            <m:rPr>
              <m:sty m:val="p"/>
            </m:rPr>
            <m:t>+</m:t>
          </m:r>
          <m:sSub>
            <m:e>
              <m:r>
                <m:t>ε</m:t>
              </m:r>
            </m:e>
            <m:sub>
              <m:r>
                <m:t>i</m:t>
              </m:r>
            </m:sub>
          </m:sSub>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-0.4104</w:t>
            </w:r>
          </w:p>
        </w:tc>
        <w:tc>
          <w:tcPr>
            <w:tcW w:w="0" w:type="auto"/>
          </w:tcPr>
          <w:p>
            <w:pPr>
              <w:spacing w:line="240" w:lineRule="auto" w:before="0" w:after="0"/>
              <w:pStyle w:val="Compact"/>
            </w:pPr>
            <w:r>
              <w:rPr>
                <w:sz w:val="20"/>
                <w:szCs w:val="20"/>
              </w:rPr>
              <w:t xml:space="preserve">0.7914</w:t>
            </w:r>
          </w:p>
        </w:tc>
        <w:tc>
          <w:tcPr>
            <w:tcW w:w="0" w:type="auto"/>
          </w:tcPr>
          <w:p>
            <w:pPr>
              <w:spacing w:line="240" w:lineRule="auto" w:before="0" w:after="0"/>
              <w:pStyle w:val="Compact"/>
            </w:pPr>
            <w:r>
              <w:rPr>
                <w:sz w:val="20"/>
                <w:szCs w:val="20"/>
              </w:rPr>
              <w:t xml:space="preserve">-0.5186</w:t>
            </w:r>
          </w:p>
        </w:tc>
        <w:tc>
          <w:tcPr>
            <w:tcW w:w="0" w:type="auto"/>
          </w:tcPr>
          <w:p>
            <w:pPr>
              <w:spacing w:line="240" w:lineRule="auto" w:before="0" w:after="0"/>
              <w:pStyle w:val="Compact"/>
            </w:pPr>
            <w:r>
              <w:rPr>
                <w:sz w:val="20"/>
                <w:szCs w:val="20"/>
              </w:rPr>
              <w:t xml:space="preserve">0.6041</w:t>
            </w:r>
          </w:p>
        </w:tc>
        <w:tc>
          <w:tcPr>
            <w:tcW w:w="0" w:type="auto"/>
          </w:tcPr>
          <w:p>
            <w:pPr>
              <w:spacing w:line="240" w:lineRule="auto" w:before="0" w:after="0"/>
              <w:pStyle w:val="Compact"/>
            </w:pPr>
            <w:r>
              <w:rPr>
                <w:sz w:val="20"/>
                <w:szCs w:val="20"/>
              </w:rPr>
              <w:t xml:space="preserve">[-1.9614, 1.1407]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0.9995</w:t>
            </w:r>
          </w:p>
        </w:tc>
        <w:tc>
          <w:tcPr>
            <w:tcW w:w="0" w:type="auto"/>
          </w:tcPr>
          <w:p>
            <w:pPr>
              <w:spacing w:line="240" w:lineRule="auto" w:before="0" w:after="0"/>
              <w:pStyle w:val="Compact"/>
            </w:pPr>
            <w:r>
              <w:rPr>
                <w:sz w:val="20"/>
                <w:szCs w:val="20"/>
              </w:rPr>
              <w:t xml:space="preserve">0.1879</w:t>
            </w:r>
          </w:p>
        </w:tc>
        <w:tc>
          <w:tcPr>
            <w:tcW w:w="0" w:type="auto"/>
          </w:tcPr>
          <w:p>
            <w:pPr>
              <w:spacing w:line="240" w:lineRule="auto" w:before="0" w:after="0"/>
              <w:pStyle w:val="Compact"/>
            </w:pPr>
            <w:r>
              <w:rPr>
                <w:sz w:val="20"/>
                <w:szCs w:val="20"/>
              </w:rPr>
              <w:t xml:space="preserve">5.3202</w:t>
            </w:r>
          </w:p>
        </w:tc>
        <w:tc>
          <w:tcPr>
            <w:tcW w:w="0" w:type="auto"/>
          </w:tcPr>
          <w:p>
            <w:pPr>
              <w:spacing w:line="240" w:lineRule="auto" w:before="0" w:after="0"/>
              <w:pStyle w:val="Compact"/>
            </w:pPr>
            <w:r>
              <w:rPr>
                <w:sz w:val="20"/>
                <w:szCs w:val="20"/>
              </w:rPr>
              <w:t xml:space="preserve">1.037e-07</w:t>
            </w:r>
          </w:p>
        </w:tc>
        <w:tc>
          <w:tcPr>
            <w:tcW w:w="0" w:type="auto"/>
          </w:tcPr>
          <w:p>
            <w:pPr>
              <w:spacing w:line="240" w:lineRule="auto" w:before="0" w:after="0"/>
              <w:pStyle w:val="Compact"/>
            </w:pPr>
            <w:r>
              <w:rPr>
                <w:sz w:val="20"/>
                <w:szCs w:val="20"/>
              </w:rPr>
              <w:t xml:space="preserve">[0.6313, 1.3677]</w:t>
            </w:r>
          </w:p>
        </w:tc>
      </w:tr>
    </w:tbl>
    <w:p>
      <w:pPr>
        <w:pStyle w:val="BodyText"/>
      </w:pPr>
      <w:r>
        <w:t xml:space="preserve">Fit: N = 15 R2 = 0.6338 elasticity_b = 0.9995 progress_ratio_2^b = 1.9993</w:t>
      </w:r>
    </w:p>
    <w:p>
      <w:pPr>
        <w:pStyle w:val="CaptionedFigure"/>
      </w:pPr>
      <w:r>
        <w:drawing>
          <wp:inline>
            <wp:extent cx="5669280" cy="3657600"/>
            <wp:effectExtent b="0" l="0" r="0" t="0"/>
            <wp:docPr descr="Figure 1. Documented ground-antenna construction cost against primary aperture diameter on log-log axes. Each point is a documented facility (single dish) or a documented per-element array cost; the fitted slope is the aperture cost-scaling elasticity, whose value above unity is the diseconomy of diameter that motivates higher-cadence arraying." title="" id="77" name="Picture"/>
            <a:graphic>
              <a:graphicData uri="http://schemas.openxmlformats.org/drawingml/2006/picture">
                <pic:pic>
                  <pic:nvPicPr>
                    <pic:cNvPr descr="D:\Claude_Code\brain\collegium\candidates\dissertations\JPL_OPS_COMMS_DATA_07\research_papers\p2\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Documented ground-antenna construction cost against primary aperture diameter on log-log axes. Each point is a documented facility (single dish) or a documented per-element array cost; the fitted slope is the aperture cost-scaling elasticity, whose value above unity is the diseconomy of diameter that motivates higher-cadence arraying.</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facility</w:t>
            </w:r>
          </w:p>
        </w:tc>
        <w:tc>
          <w:tcPr>
            <w:tcW w:w="0" w:type="auto"/>
          </w:tcPr>
          <w:p>
            <w:pPr>
              <w:spacing w:line="240" w:lineRule="auto" w:before="0" w:after="0"/>
              <w:pStyle w:val="Compact"/>
            </w:pPr>
            <w:r>
              <w:rPr>
                <w:sz w:val="20"/>
                <w:szCs w:val="20"/>
              </w:rPr>
              <w:t xml:space="preserve">country</w:t>
            </w:r>
          </w:p>
        </w:tc>
        <w:tc>
          <w:tcPr>
            <w:tcW w:w="0" w:type="auto"/>
          </w:tcPr>
          <w:p>
            <w:pPr>
              <w:spacing w:line="240" w:lineRule="auto" w:before="0" w:after="0"/>
              <w:pStyle w:val="Compact"/>
            </w:pPr>
            <w:r>
              <w:rPr>
                <w:sz w:val="20"/>
                <w:szCs w:val="20"/>
              </w:rPr>
              <w:t xml:space="preserve">first_light_year</w:t>
            </w:r>
          </w:p>
        </w:tc>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unit_type</w:t>
            </w:r>
          </w:p>
        </w:tc>
        <w:tc>
          <w:tcPr>
            <w:tcW w:w="0" w:type="auto"/>
          </w:tcPr>
          <w:p>
            <w:pPr>
              <w:spacing w:line="240" w:lineRule="auto" w:before="0" w:after="0"/>
              <w:pStyle w:val="Compact"/>
            </w:pPr>
            <w:r>
              <w:rPr>
                <w:sz w:val="20"/>
                <w:szCs w:val="20"/>
              </w:rPr>
              <w:t xml:space="preserve">cost_then_native</w:t>
            </w:r>
          </w:p>
        </w:tc>
        <w:tc>
          <w:tcPr>
            <w:tcW w:w="0" w:type="auto"/>
          </w:tcPr>
          <w:p>
            <w:pPr>
              <w:spacing w:line="240" w:lineRule="auto" w:before="0" w:after="0"/>
              <w:pStyle w:val="Compact"/>
            </w:pPr>
            <w:r>
              <w:rPr>
                <w:sz w:val="20"/>
                <w:szCs w:val="20"/>
              </w:rPr>
              <w:t xml:space="preserve">cost_2020_musd</w:t>
            </w:r>
          </w:p>
        </w:tc>
        <w:tc>
          <w:tcPr>
            <w:tcW w:w="0" w:type="auto"/>
          </w:tcPr>
          <w:p>
            <w:pPr>
              <w:spacing w:line="240" w:lineRule="auto" w:before="0" w:after="0"/>
              <w:pStyle w:val="Compact"/>
            </w:pPr>
            <w:r>
              <w:rPr>
                <w:sz w:val="20"/>
                <w:szCs w:val="20"/>
              </w:rPr>
              <w:t xml:space="preserve">frequency_class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Arecibo Telescope</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1963</w:t>
            </w:r>
          </w:p>
        </w:tc>
        <w:tc>
          <w:tcPr>
            <w:tcW w:w="0" w:type="auto"/>
          </w:tcPr>
          <w:p>
            <w:pPr>
              <w:spacing w:line="240" w:lineRule="auto" w:before="0" w:after="0"/>
              <w:pStyle w:val="Compact"/>
            </w:pPr>
            <w:r>
              <w:rPr>
                <w:sz w:val="20"/>
                <w:szCs w:val="20"/>
              </w:rPr>
              <w:t xml:space="preserve">305</w:t>
            </w:r>
          </w:p>
        </w:tc>
        <w:tc>
          <w:tcPr>
            <w:tcW w:w="0" w:type="auto"/>
          </w:tcPr>
          <w:p>
            <w:pPr>
              <w:spacing w:line="240" w:lineRule="auto" w:before="0" w:after="0"/>
              <w:pStyle w:val="Compact"/>
            </w:pPr>
            <w:r>
              <w:rPr>
                <w:sz w:val="20"/>
                <w:szCs w:val="20"/>
              </w:rPr>
              <w:t xml:space="preserve">single_dish</w:t>
            </w:r>
          </w:p>
        </w:tc>
        <w:tc>
          <w:tcPr>
            <w:tcW w:w="0" w:type="auto"/>
          </w:tcPr>
          <w:p>
            <w:pPr>
              <w:spacing w:line="240" w:lineRule="auto" w:before="0" w:after="0"/>
              <w:pStyle w:val="Compact"/>
            </w:pPr>
            <w:r>
              <w:rPr>
                <w:sz w:val="20"/>
                <w:szCs w:val="20"/>
              </w:rPr>
              <w:t xml:space="preserve">USD 9.3M (1963)</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Arecibo 305 m spherical reflector opened Nov 1963, estimated US$9.3M to build (astronomy.com Remembering Arecibo; ethw.org Milestones:NAIC/Arecibo Radiotelescope 1963). 1963 USD x ~8.5 US-CPI to 2020</w:t>
            </w:r>
          </w:p>
        </w:tc>
      </w:tr>
      <w:tr>
        <w:tc>
          <w:tcPr>
            <w:tcW w:w="0" w:type="auto"/>
          </w:tcPr>
          <w:p>
            <w:pPr>
              <w:spacing w:line="240" w:lineRule="auto" w:before="0" w:after="0"/>
              <w:pStyle w:val="Compact"/>
            </w:pPr>
            <w:r>
              <w:rPr>
                <w:sz w:val="20"/>
                <w:szCs w:val="20"/>
              </w:rPr>
              <w:t xml:space="preserve">FAST</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single_dish</w:t>
            </w:r>
          </w:p>
        </w:tc>
        <w:tc>
          <w:tcPr>
            <w:tcW w:w="0" w:type="auto"/>
          </w:tcPr>
          <w:p>
            <w:pPr>
              <w:spacing w:line="240" w:lineRule="auto" w:before="0" w:after="0"/>
              <w:pStyle w:val="Compact"/>
            </w:pPr>
            <w:r>
              <w:rPr>
                <w:sz w:val="20"/>
                <w:szCs w:val="20"/>
              </w:rPr>
              <w:t xml:space="preserve">CN¥1.2B = US$180M (2016)</w:t>
            </w:r>
          </w:p>
        </w:tc>
        <w:tc>
          <w:tcPr>
            <w:tcW w:w="0" w:type="auto"/>
          </w:tcPr>
          <w:p>
            <w:pPr>
              <w:spacing w:line="240" w:lineRule="auto" w:before="0" w:after="0"/>
              <w:pStyle w:val="Compact"/>
            </w:pPr>
            <w:r>
              <w:rPr>
                <w:sz w:val="20"/>
                <w:szCs w:val="20"/>
              </w:rPr>
              <w:t xml:space="preserve">193</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FAST 500 m (300 m effective), final cost CN¥1.2 billion = US$180 million (en.wikipedia.org/wiki/Five-hundred-meter_Aperture_Spherical_Telescope). 2016 USD x ~1.07 US-CPI to 2020</w:t>
            </w:r>
          </w:p>
        </w:tc>
      </w:tr>
      <w:tr>
        <w:tc>
          <w:tcPr>
            <w:tcW w:w="0" w:type="auto"/>
          </w:tcPr>
          <w:p>
            <w:pPr>
              <w:spacing w:line="240" w:lineRule="auto" w:before="0" w:after="0"/>
              <w:pStyle w:val="Compact"/>
            </w:pPr>
            <w:r>
              <w:rPr>
                <w:sz w:val="20"/>
                <w:szCs w:val="20"/>
              </w:rPr>
              <w:t xml:space="preserve">Green Bank Telescope</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single_dish</w:t>
            </w:r>
          </w:p>
        </w:tc>
        <w:tc>
          <w:tcPr>
            <w:tcW w:w="0" w:type="auto"/>
          </w:tcPr>
          <w:p>
            <w:pPr>
              <w:spacing w:line="240" w:lineRule="auto" w:before="0" w:after="0"/>
              <w:pStyle w:val="Compact"/>
            </w:pPr>
            <w:r>
              <w:rPr>
                <w:sz w:val="20"/>
                <w:szCs w:val="20"/>
              </w:rPr>
              <w:t xml:space="preserve">USD 75M (1989 approp.)</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Robert C. Byrd GBT 100 m, US$75M congressional appropriation/program (en.wikipedia.org/wiki/Green_Bank_Telescope; greenbankobservatory.org press kit). 2000 USD x ~1.52 US-CPI to 2020</w:t>
            </w:r>
          </w:p>
        </w:tc>
      </w:tr>
      <w:tr>
        <w:tc>
          <w:tcPr>
            <w:tcW w:w="0" w:type="auto"/>
          </w:tcPr>
          <w:p>
            <w:pPr>
              <w:spacing w:line="240" w:lineRule="auto" w:before="0" w:after="0"/>
              <w:pStyle w:val="Compact"/>
            </w:pPr>
            <w:r>
              <w:rPr>
                <w:sz w:val="20"/>
                <w:szCs w:val="20"/>
              </w:rPr>
              <w:t xml:space="preserve">Effelsberg 100m</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1971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single_dish</w:t>
            </w:r>
          </w:p>
        </w:tc>
        <w:tc>
          <w:tcPr>
            <w:tcW w:w="0" w:type="auto"/>
          </w:tcPr>
          <w:p>
            <w:pPr>
              <w:spacing w:line="240" w:lineRule="auto" w:before="0" w:after="0"/>
              <w:pStyle w:val="Compact"/>
            </w:pPr>
            <w:r>
              <w:rPr>
                <w:sz w:val="20"/>
                <w:szCs w:val="20"/>
              </w:rPr>
              <w:t xml:space="preserve">DM ~35M (1971) [illustrative conversion]</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Effelsberg 100 m MPIfR, built 1968-1971 (en.wikipedia.org/wiki/Effelsberg_100-m_Radio_Telescope; mpifr-bonn.mpg.de 50-year announcement). Then-year ~35M DM commonly cited; converted ~3.5 DM/USD x US-CPI to 2020 [illustrative conversion]; diameter and dates documented</w:t>
            </w:r>
          </w:p>
        </w:tc>
      </w:tr>
      <w:tr>
        <w:tc>
          <w:tcPr>
            <w:tcW w:w="0" w:type="auto"/>
          </w:tcPr>
          <w:p>
            <w:pPr>
              <w:spacing w:line="240" w:lineRule="auto" w:before="0" w:after="0"/>
              <w:pStyle w:val="Compact"/>
            </w:pPr>
            <w:r>
              <w:rPr>
                <w:sz w:val="20"/>
                <w:szCs w:val="20"/>
              </w:rPr>
              <w:t xml:space="preserve">Sardinia Radio Telescope</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single_dish</w:t>
            </w:r>
          </w:p>
        </w:tc>
        <w:tc>
          <w:tcPr>
            <w:tcW w:w="0" w:type="auto"/>
          </w:tcPr>
          <w:p>
            <w:pPr>
              <w:spacing w:line="240" w:lineRule="auto" w:before="0" w:after="0"/>
              <w:pStyle w:val="Compact"/>
            </w:pPr>
            <w:r>
              <w:rPr>
                <w:sz w:val="20"/>
                <w:szCs w:val="20"/>
              </w:rPr>
              <w:t xml:space="preserve">EUR 70M (2012)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Sardinia Radio Telescope 64 m, cost ~EUR 70 million (en.wikipedia.org/wiki/Sardinia_Radio_Telescope). 2012 EUR x ~1.29 USD/EUR x US-CPI to 2020</w:t>
            </w:r>
          </w:p>
        </w:tc>
      </w:tr>
      <w:tr>
        <w:tc>
          <w:tcPr>
            <w:tcW w:w="0" w:type="auto"/>
          </w:tcPr>
          <w:p>
            <w:pPr>
              <w:spacing w:line="240" w:lineRule="auto" w:before="0" w:after="0"/>
              <w:pStyle w:val="Compact"/>
            </w:pPr>
            <w:r>
              <w:rPr>
                <w:sz w:val="20"/>
                <w:szCs w:val="20"/>
              </w:rPr>
              <w:t xml:space="preserve">Tianma 65m</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single_dish</w:t>
            </w:r>
          </w:p>
        </w:tc>
        <w:tc>
          <w:tcPr>
            <w:tcW w:w="0" w:type="auto"/>
          </w:tcPr>
          <w:p>
            <w:pPr>
              <w:spacing w:line="240" w:lineRule="auto" w:before="0" w:after="0"/>
              <w:pStyle w:val="Compact"/>
            </w:pPr>
            <w:r>
              <w:rPr>
                <w:sz w:val="20"/>
                <w:szCs w:val="20"/>
              </w:rPr>
              <w:t xml:space="preserve">CN¥200M (2012)</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Shanghai Tianma 65 m, total CNY 200 million (yicaiglobal.com Tianma award; english.shao.cas.cn). 2012 CNY / ~6.3 CNY/USD x US-CPI to 2020</w:t>
            </w:r>
          </w:p>
        </w:tc>
      </w:tr>
      <w:tr>
        <w:tc>
          <w:tcPr>
            <w:tcW w:w="0" w:type="auto"/>
          </w:tcPr>
          <w:p>
            <w:pPr>
              <w:spacing w:line="240" w:lineRule="auto" w:before="0" w:after="0"/>
              <w:pStyle w:val="Compact"/>
            </w:pPr>
            <w:r>
              <w:rPr>
                <w:sz w:val="20"/>
                <w:szCs w:val="20"/>
              </w:rPr>
              <w:t xml:space="preserve">Lovell Telescope</w:t>
            </w:r>
          </w:p>
        </w:tc>
        <w:tc>
          <w:tcPr>
            <w:tcW w:w="0" w:type="auto"/>
          </w:tcPr>
          <w:p>
            <w:pPr>
              <w:spacing w:line="240" w:lineRule="auto" w:before="0" w:after="0"/>
              <w:pStyle w:val="Compact"/>
            </w:pPr>
            <w:r>
              <w:rPr>
                <w:sz w:val="20"/>
                <w:szCs w:val="20"/>
              </w:rPr>
              <w:t xml:space="preserve">UK</w:t>
            </w:r>
          </w:p>
        </w:tc>
        <w:tc>
          <w:tcPr>
            <w:tcW w:w="0" w:type="auto"/>
          </w:tcPr>
          <w:p>
            <w:pPr>
              <w:spacing w:line="240" w:lineRule="auto" w:before="0" w:after="0"/>
              <w:pStyle w:val="Compact"/>
            </w:pPr>
            <w:r>
              <w:rPr>
                <w:sz w:val="20"/>
                <w:szCs w:val="20"/>
              </w:rPr>
              <w:t xml:space="preserve">1957</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single_dish</w:t>
            </w:r>
          </w:p>
        </w:tc>
        <w:tc>
          <w:tcPr>
            <w:tcW w:w="0" w:type="auto"/>
          </w:tcPr>
          <w:p>
            <w:pPr>
              <w:spacing w:line="240" w:lineRule="auto" w:before="0" w:after="0"/>
              <w:pStyle w:val="Compact"/>
            </w:pPr>
            <w:r>
              <w:rPr>
                <w:sz w:val="20"/>
                <w:szCs w:val="20"/>
              </w:rPr>
              <w:t xml:space="preserve">GBP 700000 (1957)</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Jodrell Bank Lovell 76.2 m, final cost GBP 700,000 (jb.man.ac.uk/aboutus/lovell/build.html; ice.org.uk Lovell engineering legacy). 1957 GBP x ~2.8 USD/GBP x US-CPI to 2020</w:t>
            </w:r>
          </w:p>
        </w:tc>
      </w:tr>
      <w:tr>
        <w:tc>
          <w:tcPr>
            <w:tcW w:w="0" w:type="auto"/>
          </w:tcPr>
          <w:p>
            <w:pPr>
              <w:spacing w:line="240" w:lineRule="auto" w:before="0" w:after="0"/>
              <w:pStyle w:val="Compact"/>
            </w:pPr>
            <w:r>
              <w:rPr>
                <w:sz w:val="20"/>
                <w:szCs w:val="20"/>
              </w:rPr>
              <w:t xml:space="preserve">Cebreros DSA-2</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single_dish</w:t>
            </w:r>
          </w:p>
        </w:tc>
        <w:tc>
          <w:tcPr>
            <w:tcW w:w="0" w:type="auto"/>
          </w:tcPr>
          <w:p>
            <w:pPr>
              <w:spacing w:line="240" w:lineRule="auto" w:before="0" w:after="0"/>
              <w:pStyle w:val="Compact"/>
            </w:pPr>
            <w:r>
              <w:rPr>
                <w:sz w:val="20"/>
                <w:szCs w:val="20"/>
              </w:rPr>
              <w:t xml:space="preserve">EUR 22M antenna (2005)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deep-space</w:t>
            </w:r>
          </w:p>
        </w:tc>
        <w:tc>
          <w:tcPr>
            <w:tcW w:w="0" w:type="auto"/>
          </w:tcPr>
          <w:p>
            <w:pPr>
              <w:spacing w:line="240" w:lineRule="auto" w:before="0" w:after="0"/>
              <w:pStyle w:val="Compact"/>
            </w:pPr>
            <w:r>
              <w:rPr>
                <w:sz w:val="20"/>
                <w:szCs w:val="20"/>
              </w:rPr>
              <w:t xml:space="preserve">ESA Cebreros DSA-2 35 m deep-space antenna; station ~EUR 30M of which EUR 22M for the antenna (esa.int Cebreros DSA 2; esa.int press release new deep space antenna). 2005 EUR x ~1.24 USD/EUR x US-CPI to 2020</w:t>
            </w:r>
          </w:p>
        </w:tc>
      </w:tr>
      <w:tr>
        <w:tc>
          <w:tcPr>
            <w:tcW w:w="0" w:type="auto"/>
          </w:tcPr>
          <w:p>
            <w:pPr>
              <w:spacing w:line="240" w:lineRule="auto" w:before="0" w:after="0"/>
              <w:pStyle w:val="Compact"/>
            </w:pPr>
            <w:r>
              <w:rPr>
                <w:sz w:val="20"/>
                <w:szCs w:val="20"/>
              </w:rPr>
              <w:t xml:space="preserve">NRAO 140-foot</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1965</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single_dish</w:t>
            </w:r>
          </w:p>
        </w:tc>
        <w:tc>
          <w:tcPr>
            <w:tcW w:w="0" w:type="auto"/>
          </w:tcPr>
          <w:p>
            <w:pPr>
              <w:spacing w:line="240" w:lineRule="auto" w:before="0" w:after="0"/>
              <w:pStyle w:val="Compact"/>
            </w:pPr>
            <w:r>
              <w:rPr>
                <w:sz w:val="20"/>
                <w:szCs w:val="20"/>
              </w:rPr>
              <w:t xml:space="preserve">USD 13.5M (1965)</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NRAO 140-foot (43 m) equatorial telescope, Green Bank, online 1965 at US$13.5M five years late (greenbankobservatory.org/about/telescopes/140-foot; pocahontastimes.com 140-foot turns 50). 1965 USD x ~8.4 US-CPI to 2020</w:t>
            </w:r>
          </w:p>
        </w:tc>
      </w:tr>
      <w:tr>
        <w:tc>
          <w:tcPr>
            <w:tcW w:w="0" w:type="auto"/>
          </w:tcPr>
          <w:p>
            <w:pPr>
              <w:spacing w:line="240" w:lineRule="auto" w:before="0" w:after="0"/>
              <w:pStyle w:val="Compact"/>
            </w:pPr>
            <w:r>
              <w:rPr>
                <w:sz w:val="20"/>
                <w:szCs w:val="20"/>
              </w:rPr>
              <w:t xml:space="preserve">Haystack 37m</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1964</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single_dish</w:t>
            </w:r>
          </w:p>
        </w:tc>
        <w:tc>
          <w:tcPr>
            <w:tcW w:w="0" w:type="auto"/>
          </w:tcPr>
          <w:p>
            <w:pPr>
              <w:spacing w:line="240" w:lineRule="auto" w:before="0" w:after="0"/>
              <w:pStyle w:val="Compact"/>
            </w:pPr>
            <w:r>
              <w:rPr>
                <w:sz w:val="20"/>
                <w:szCs w:val="20"/>
              </w:rPr>
              <w:t xml:space="preserve">USD 15M (1964)</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MIT Lincoln Laboratory Haystack 37 m radome antenna, built by MIT/North American Aviation for US$15M (TIME 1964 Finding a Needle with a Haystack; en.wikipedia.org/wiki/Haystack_Observatory). 1964 USD x ~8.5 US-CPI to 2020</w:t>
            </w:r>
          </w:p>
        </w:tc>
      </w:tr>
      <w:tr>
        <w:tc>
          <w:tcPr>
            <w:tcW w:w="0" w:type="auto"/>
          </w:tcPr>
          <w:p>
            <w:pPr>
              <w:spacing w:line="240" w:lineRule="auto" w:before="0" w:after="0"/>
              <w:pStyle w:val="Compact"/>
            </w:pPr>
            <w:r>
              <w:rPr>
                <w:sz w:val="20"/>
                <w:szCs w:val="20"/>
              </w:rPr>
              <w:t xml:space="preserve">VLA antenna (per element)</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1980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array_element</w:t>
            </w:r>
          </w:p>
        </w:tc>
        <w:tc>
          <w:tcPr>
            <w:tcW w:w="0" w:type="auto"/>
          </w:tcPr>
          <w:p>
            <w:pPr>
              <w:spacing w:line="240" w:lineRule="auto" w:before="0" w:after="0"/>
              <w:pStyle w:val="Compact"/>
            </w:pPr>
            <w:r>
              <w:rPr>
                <w:sz w:val="20"/>
                <w:szCs w:val="20"/>
              </w:rPr>
              <w:t xml:space="preserve">USD 78.5M / 28 antennas (1980)</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NRAO Very Large Array, total investment US$78.5M for 27+1 antennas of 25 m each (en.wikipedia.org/wiki/Very_Large_Array; nrao.edu VLA Fact Sheet). Per-antenna = 78.5/28 = US$2.8M (1980) x ~3.1 US-CPI to 2020; documented total / documented count</w:t>
            </w:r>
          </w:p>
        </w:tc>
      </w:tr>
      <w:tr>
        <w:tc>
          <w:tcPr>
            <w:tcW w:w="0" w:type="auto"/>
          </w:tcPr>
          <w:p>
            <w:pPr>
              <w:spacing w:line="240" w:lineRule="auto" w:before="0" w:after="0"/>
              <w:pStyle w:val="Compact"/>
            </w:pPr>
            <w:r>
              <w:rPr>
                <w:sz w:val="20"/>
                <w:szCs w:val="20"/>
              </w:rPr>
              <w:t xml:space="preserve">WSRT antenna (per element)</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array_element</w:t>
            </w:r>
          </w:p>
        </w:tc>
        <w:tc>
          <w:tcPr>
            <w:tcW w:w="0" w:type="auto"/>
          </w:tcPr>
          <w:p>
            <w:pPr>
              <w:spacing w:line="240" w:lineRule="auto" w:before="0" w:after="0"/>
              <w:pStyle w:val="Compact"/>
            </w:pPr>
            <w:r>
              <w:rPr>
                <w:sz w:val="20"/>
                <w:szCs w:val="20"/>
              </w:rPr>
              <w:t xml:space="preserve">NLG 25M / 14 antennas (1970)</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Westerbork Synthesis Radio Telescope, ~25 million guilders for 14 antennas of 25 m incl. buildings/electronics (astron.nl Constructing the WSRT; en.wikipedia.org/wiki/Westerbork_Synthesis_Radio_Telescope). Per-antenna ~NLG 1.8M (1970) / ~3.6 NLG/USD x US-CPI to 2020; documented total / documented count</w:t>
            </w:r>
          </w:p>
        </w:tc>
      </w:tr>
      <w:tr>
        <w:tc>
          <w:tcPr>
            <w:tcW w:w="0" w:type="auto"/>
          </w:tcPr>
          <w:p>
            <w:pPr>
              <w:spacing w:line="240" w:lineRule="auto" w:before="0" w:after="0"/>
              <w:pStyle w:val="Compact"/>
            </w:pPr>
            <w:r>
              <w:rPr>
                <w:sz w:val="20"/>
                <w:szCs w:val="20"/>
              </w:rPr>
              <w:t xml:space="preserve">MeerKAT dish (per element)</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array_element</w:t>
            </w:r>
          </w:p>
        </w:tc>
        <w:tc>
          <w:tcPr>
            <w:tcW w:w="0" w:type="auto"/>
          </w:tcPr>
          <w:p>
            <w:pPr>
              <w:spacing w:line="240" w:lineRule="auto" w:before="0" w:after="0"/>
              <w:pStyle w:val="Compact"/>
            </w:pPr>
            <w:r>
              <w:rPr>
                <w:sz w:val="20"/>
                <w:szCs w:val="20"/>
              </w:rPr>
              <w:t xml:space="preserve">ZAR 4.4B / 64 dishes (2018)</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MeerKAT 64 x 13.5 m dishes, total ZAR 4.4 billion (sarao.ac.za About MeerKAT; en.wikipedia.org/wiki/MeerKAT). Per-dish = 4.4B/64 = ZAR 68.75M / ~13.2 ZAR/USD (2018) x US-CPI to 2020; documented total / documented count</w:t>
            </w:r>
          </w:p>
        </w:tc>
      </w:tr>
      <w:tr>
        <w:tc>
          <w:tcPr>
            <w:tcW w:w="0" w:type="auto"/>
          </w:tcPr>
          <w:p>
            <w:pPr>
              <w:spacing w:line="240" w:lineRule="auto" w:before="0" w:after="0"/>
              <w:pStyle w:val="Compact"/>
            </w:pPr>
            <w:r>
              <w:rPr>
                <w:sz w:val="20"/>
                <w:szCs w:val="20"/>
              </w:rPr>
              <w:t xml:space="preserve">ALMA 12m antenna (per element)</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array_element</w:t>
            </w:r>
          </w:p>
        </w:tc>
        <w:tc>
          <w:tcPr>
            <w:tcW w:w="0" w:type="auto"/>
          </w:tcPr>
          <w:p>
            <w:pPr>
              <w:spacing w:line="240" w:lineRule="auto" w:before="0" w:after="0"/>
              <w:pStyle w:val="Compact"/>
            </w:pPr>
            <w:r>
              <w:rPr>
                <w:sz w:val="20"/>
                <w:szCs w:val="20"/>
              </w:rPr>
              <w:t xml:space="preserve">US$1.4B program, 66 antennas (2013)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millimeter</w:t>
            </w:r>
          </w:p>
        </w:tc>
        <w:tc>
          <w:tcPr>
            <w:tcW w:w="0" w:type="auto"/>
          </w:tcPr>
          <w:p>
            <w:pPr>
              <w:spacing w:line="240" w:lineRule="auto" w:before="0" w:after="0"/>
              <w:pStyle w:val="Compact"/>
            </w:pPr>
            <w:r>
              <w:rPr>
                <w:sz w:val="20"/>
                <w:szCs w:val="20"/>
              </w:rPr>
              <w:t xml:space="preserve">ALMA, total US$1.4 billion, 66 antennas (54 x 12 m + 12 x 7 m) (en.wikipedia.org/wiki/Atacama_Large_Millimeter_Array; nrao.edu/pr/2012/alma25). 12 m antenna manufacturing share within program; 2013 USD x ~1.10 US-CPI to 2020; per-antenna derivation flagged</w:t>
            </w:r>
          </w:p>
        </w:tc>
      </w:tr>
      <w:tr>
        <w:tc>
          <w:tcPr>
            <w:tcW w:w="0" w:type="auto"/>
          </w:tcPr>
          <w:p>
            <w:pPr>
              <w:spacing w:line="240" w:lineRule="auto" w:before="0" w:after="0"/>
              <w:pStyle w:val="Compact"/>
            </w:pPr>
            <w:r>
              <w:rPr>
                <w:sz w:val="20"/>
                <w:szCs w:val="20"/>
              </w:rPr>
              <w:t xml:space="preserve">ATA dish (per element)</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array_element</w:t>
            </w:r>
          </w:p>
        </w:tc>
        <w:tc>
          <w:tcPr>
            <w:tcW w:w="0" w:type="auto"/>
          </w:tcPr>
          <w:p>
            <w:pPr>
              <w:spacing w:line="240" w:lineRule="auto" w:before="0" w:after="0"/>
              <w:pStyle w:val="Compact"/>
            </w:pPr>
            <w:r>
              <w:rPr>
                <w:sz w:val="20"/>
                <w:szCs w:val="20"/>
              </w:rPr>
              <w:t xml:space="preserve">USD 50M / 42 dishes (2007)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SETI Allen Telescope Array 6.1 m offset-Gregorian dishes; US$50M to reach ATA-42 (en.wikipedia.org/wiki/Allen_Telescope_Array; skyandtelescope.org SETI next big step). Per-dish = 50/42 = US$1.19M (2007, includes early non-recurring) x ~1.27 US-CPI to 2020; documented total / documented count</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cost_2020_musd</w:t>
            </w:r>
          </w:p>
        </w:tc>
        <w:tc>
          <w:tcPr>
            <w:tcW w:w="0" w:type="auto"/>
          </w:tcPr>
          <w:p>
            <w:pPr>
              <w:spacing w:line="240" w:lineRule="auto" w:before="0" w:after="0"/>
              <w:pStyle w:val="Compact"/>
            </w:pPr>
            <w:r>
              <w:rPr>
                <w:sz w:val="20"/>
                <w:szCs w:val="20"/>
              </w:rPr>
              <w:t xml:space="preserve">Constructed/recurring antenna capital cost expressed in millions of constant 2020 US dollars (outcome). For homogeneous arrays the per-element cost is documented total divided by documented antenna count.</w:t>
            </w:r>
          </w:p>
        </w:tc>
        <w:tc>
          <w:tcPr>
            <w:tcW w:w="0" w:type="auto"/>
          </w:tcPr>
          <w:p>
            <w:pPr>
              <w:spacing w:line="240" w:lineRule="auto" w:before="0" w:after="0"/>
              <w:pStyle w:val="Compact"/>
            </w:pPr>
            <w:r>
              <w:rPr>
                <w:sz w:val="20"/>
                <w:szCs w:val="20"/>
              </w:rPr>
              <w:t xml:space="preserve">Facility press kits, observatory fact sheets, and encyclopedic build records; then-year native cost converted by documented historical exchange rate and US Bureau of Labor Statistics CPI inflation to 2020</w:t>
            </w:r>
          </w:p>
        </w:tc>
      </w:tr>
      <w:tr>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Primary reflector aperture diameter in meters (effective illuminated aperture for the spherical FAST design)</w:t>
            </w:r>
          </w:p>
        </w:tc>
        <w:tc>
          <w:tcPr>
            <w:tcW w:w="0" w:type="auto"/>
          </w:tcPr>
          <w:p>
            <w:pPr>
              <w:spacing w:line="240" w:lineRule="auto" w:before="0" w:after="0"/>
              <w:pStyle w:val="Compact"/>
            </w:pPr>
            <w:r>
              <w:rPr>
                <w:sz w:val="20"/>
                <w:szCs w:val="20"/>
              </w:rPr>
              <w:t xml:space="preserve">Observatory technical specifications and build records cited per row</w:t>
            </w:r>
          </w:p>
        </w:tc>
      </w:tr>
      <w:tr>
        <w:tc>
          <w:tcPr>
            <w:tcW w:w="0" w:type="auto"/>
          </w:tcPr>
          <w:p>
            <w:pPr>
              <w:spacing w:line="240" w:lineRule="auto" w:before="0" w:after="0"/>
              <w:pStyle w:val="Compact"/>
            </w:pPr>
            <w:r>
              <w:rPr>
                <w:sz w:val="20"/>
                <w:szCs w:val="20"/>
              </w:rPr>
              <w:t xml:space="preserve">unit_type</w:t>
            </w:r>
          </w:p>
        </w:tc>
        <w:tc>
          <w:tcPr>
            <w:tcW w:w="0" w:type="auto"/>
          </w:tcPr>
          <w:p>
            <w:pPr>
              <w:spacing w:line="240" w:lineRule="auto" w:before="0" w:after="0"/>
              <w:pStyle w:val="Compact"/>
            </w:pPr>
            <w:r>
              <w:rPr>
                <w:sz w:val="20"/>
                <w:szCs w:val="20"/>
              </w:rPr>
              <w:t xml:space="preserve">Whether the observation is a monolithic single dish or a per-element cost derived from a homogeneous array program (control/descriptor, not a regressor)</w:t>
            </w:r>
          </w:p>
        </w:tc>
        <w:tc>
          <w:tcPr>
            <w:tcW w:w="0" w:type="auto"/>
          </w:tcPr>
          <w:p>
            <w:pPr>
              <w:spacing w:line="240" w:lineRule="auto" w:before="0" w:after="0"/>
              <w:pStyle w:val="Compact"/>
            </w:pPr>
            <w:r>
              <w:rPr>
                <w:sz w:val="20"/>
                <w:szCs w:val="20"/>
              </w:rPr>
              <w:t xml:space="preserve">Classification by the analyst from the facility architecture documented per row</w:t>
            </w:r>
          </w:p>
        </w:tc>
      </w:tr>
      <w:tr>
        <w:tc>
          <w:tcPr>
            <w:tcW w:w="0" w:type="auto"/>
          </w:tcPr>
          <w:p>
            <w:pPr>
              <w:spacing w:line="240" w:lineRule="auto" w:before="0" w:after="0"/>
              <w:pStyle w:val="Compact"/>
            </w:pPr>
            <w:r>
              <w:rPr>
                <w:sz w:val="20"/>
                <w:szCs w:val="20"/>
              </w:rPr>
              <w:t xml:space="preserve">frequency_class</w:t>
            </w:r>
          </w:p>
        </w:tc>
        <w:tc>
          <w:tcPr>
            <w:tcW w:w="0" w:type="auto"/>
          </w:tcPr>
          <w:p>
            <w:pPr>
              <w:spacing w:line="240" w:lineRule="auto" w:before="0" w:after="0"/>
              <w:pStyle w:val="Compact"/>
            </w:pPr>
            <w:r>
              <w:rPr>
                <w:sz w:val="20"/>
                <w:szCs w:val="20"/>
              </w:rPr>
              <w:t xml:space="preserve">Operating band class: radio (cm-m), millimeter, or deep-space tracking antenna (descriptor, not a regressor)</w:t>
            </w:r>
          </w:p>
        </w:tc>
        <w:tc>
          <w:tcPr>
            <w:tcW w:w="0" w:type="auto"/>
          </w:tcPr>
          <w:p>
            <w:pPr>
              <w:spacing w:line="240" w:lineRule="auto" w:before="0" w:after="0"/>
              <w:pStyle w:val="Compact"/>
            </w:pPr>
            <w:r>
              <w:rPr>
                <w:sz w:val="20"/>
                <w:szCs w:val="20"/>
              </w:rPr>
              <w:t xml:space="preserve">Observatory documentation cited per row</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-0.4104</w:t>
            </w:r>
          </w:p>
        </w:tc>
        <w:tc>
          <w:tcPr>
            <w:tcW w:w="0" w:type="auto"/>
          </w:tcPr>
          <w:p>
            <w:pPr>
              <w:spacing w:line="240" w:lineRule="auto" w:before="0" w:after="0"/>
              <w:pStyle w:val="Compact"/>
            </w:pPr>
            <w:r>
              <w:rPr>
                <w:sz w:val="20"/>
                <w:szCs w:val="20"/>
              </w:rPr>
              <w:t xml:space="preserve">0.7914</w:t>
            </w:r>
          </w:p>
        </w:tc>
        <w:tc>
          <w:tcPr>
            <w:tcW w:w="0" w:type="auto"/>
          </w:tcPr>
          <w:p>
            <w:pPr>
              <w:spacing w:line="240" w:lineRule="auto" w:before="0" w:after="0"/>
              <w:pStyle w:val="Compact"/>
            </w:pPr>
            <w:r>
              <w:rPr>
                <w:sz w:val="20"/>
                <w:szCs w:val="20"/>
              </w:rPr>
              <w:t xml:space="preserve">-0.5186</w:t>
            </w:r>
          </w:p>
        </w:tc>
        <w:tc>
          <w:tcPr>
            <w:tcW w:w="0" w:type="auto"/>
          </w:tcPr>
          <w:p>
            <w:pPr>
              <w:spacing w:line="240" w:lineRule="auto" w:before="0" w:after="0"/>
              <w:pStyle w:val="Compact"/>
            </w:pPr>
            <w:r>
              <w:rPr>
                <w:sz w:val="20"/>
                <w:szCs w:val="20"/>
              </w:rPr>
              <w:t xml:space="preserve">0.6041</w:t>
            </w:r>
          </w:p>
        </w:tc>
        <w:tc>
          <w:tcPr>
            <w:tcW w:w="0" w:type="auto"/>
          </w:tcPr>
          <w:p>
            <w:pPr>
              <w:spacing w:line="240" w:lineRule="auto" w:before="0" w:after="0"/>
              <w:pStyle w:val="Compact"/>
            </w:pPr>
            <w:r>
              <w:rPr>
                <w:sz w:val="20"/>
                <w:szCs w:val="20"/>
              </w:rPr>
              <w:t xml:space="preserve">[-1.9614, 1.1407]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0.9995</w:t>
            </w:r>
          </w:p>
        </w:tc>
        <w:tc>
          <w:tcPr>
            <w:tcW w:w="0" w:type="auto"/>
          </w:tcPr>
          <w:p>
            <w:pPr>
              <w:spacing w:line="240" w:lineRule="auto" w:before="0" w:after="0"/>
              <w:pStyle w:val="Compact"/>
            </w:pPr>
            <w:r>
              <w:rPr>
                <w:sz w:val="20"/>
                <w:szCs w:val="20"/>
              </w:rPr>
              <w:t xml:space="preserve">0.1879</w:t>
            </w:r>
          </w:p>
        </w:tc>
        <w:tc>
          <w:tcPr>
            <w:tcW w:w="0" w:type="auto"/>
          </w:tcPr>
          <w:p>
            <w:pPr>
              <w:spacing w:line="240" w:lineRule="auto" w:before="0" w:after="0"/>
              <w:pStyle w:val="Compact"/>
            </w:pPr>
            <w:r>
              <w:rPr>
                <w:sz w:val="20"/>
                <w:szCs w:val="20"/>
              </w:rPr>
              <w:t xml:space="preserve">5.3202</w:t>
            </w:r>
          </w:p>
        </w:tc>
        <w:tc>
          <w:tcPr>
            <w:tcW w:w="0" w:type="auto"/>
          </w:tcPr>
          <w:p>
            <w:pPr>
              <w:spacing w:line="240" w:lineRule="auto" w:before="0" w:after="0"/>
              <w:pStyle w:val="Compact"/>
            </w:pPr>
            <w:r>
              <w:rPr>
                <w:sz w:val="20"/>
                <w:szCs w:val="20"/>
              </w:rPr>
              <w:t xml:space="preserve">1.037e-07</w:t>
            </w:r>
          </w:p>
        </w:tc>
        <w:tc>
          <w:tcPr>
            <w:tcW w:w="0" w:type="auto"/>
          </w:tcPr>
          <w:p>
            <w:pPr>
              <w:spacing w:line="240" w:lineRule="auto" w:before="0" w:after="0"/>
              <w:pStyle w:val="Compact"/>
            </w:pPr>
            <w:r>
              <w:rPr>
                <w:sz w:val="20"/>
                <w:szCs w:val="20"/>
              </w:rPr>
              <w:t xml:space="preserve">[0.6313, 1.3677]</w:t>
            </w:r>
          </w:p>
        </w:tc>
      </w:tr>
    </w:tbl>
    <w:p>
      <w:pPr>
        <w:pStyle w:val="BodyText"/>
      </w:pPr>
      <w:r>
        <w:t xml:space="preserve">Fit: N = 15 R2 = 0.6338 elasticity_b = 0.9995 progress_ratio_2^b = 1.9993</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2026-06-22T20:32:13Z</dcterms:created>
  <dcterms:modified xsi:type="dcterms:W3CDTF">2026-06-22T20:32:13Z</dcterms:modified>
</cp:coreProperties>
</file>

<file path=docProps/custom.xml><?xml version="1.0" encoding="utf-8"?>
<Properties xmlns="http://schemas.openxmlformats.org/officeDocument/2006/custom-properties" xmlns:vt="http://schemas.openxmlformats.org/officeDocument/2006/docPropsVTypes"/>
</file>