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3fa86282b0c246ffc487ff45b2ede58437e093b"/>
    <w:p>
      <w:pPr>
        <w:pStyle w:val="Heading1"/>
      </w:pPr>
      <w:r>
        <w:t xml:space="preserve">The Aperture Margin: A Fixed-Effects Estimate of Ground-Antenna Aperture Elasticity in Deep Space Network Downlink Capacity</w:t>
      </w:r>
    </w:p>
    <w:bookmarkStart w:id="61" w:name="introduction"/>
    <w:p>
      <w:pPr>
        <w:pStyle w:val="Heading2"/>
      </w:pPr>
      <w:r>
        <w:t xml:space="preserve">1. Introduction</w:t>
      </w:r>
    </w:p>
    <w:p>
      <w:pPr>
        <w:pStyle w:val="FirstParagraph"/>
      </w:pPr>
      <w:r>
        <w:t xml:space="preserve">The Deep Space Network (DSN) is the single ground asset on which essentially every United States deep-space mission depends for its science return. Its three complexes at Goldstone, Canberra, and Madrid hold a small inventory of large reflector antennas, historically a 70 m antenna and a subnet of 34 m beam-waveguide (BWG) and high-efficiency (HEF) antennas at each site</w:t>
      </w:r>
      <w:r>
        <w:t xml:space="preserve"> </w:t>
      </w:r>
      <w:hyperlink w:anchor="ref-1">
        <m:oMathPara>
          <m:oMathParaPr>
            <m:jc m:val="center"/>
          </m:oMathParaPr>
          <m:oMath>
            <m:r>
              <m:t>1</m:t>
            </m:r>
          </m:oMath>
        </m:oMathPara>
      </w:hyperlink>
      <w:r>
        <w:t xml:space="preserve">. Because the network is shared across a growing flight manifest, the central planning question is not whether to expand DSN capacity but how. Two levers dominate the decision. The first is aperture: build or upgrade larger reflectors, which raise the gain-to-noise-temperature ratio and therefore the achievable downlink data rate for a given spacecraft. The second is cadence: schedule more tracking passes, or array multiple smaller antennas, to multiply effective contact time without enlarging any single dish.</w:t>
      </w:r>
    </w:p>
    <w:p>
      <w:pPr>
        <w:pStyle w:val="FirstParagraph"/>
      </w:pPr>
      <w:r>
        <w:t xml:space="preserve">This paper isolates and estimates the aperture side of that tradeoff. The motivating policy claim, which recurs in every DSN capacity study, is that a larger ground aperture buys proportionally more data. If that claim holds in the documented record, aperture sits on the cost-effectiveness frontier and large-dish investment is defensible. If it does not, the apparent return to aperture is an artifact of which missions happen to use which antennas, and the network’s marginal capacity is better bought through cadence, transmit power, or higher frequency bands. The contribution here is to subject the aperture claim to a fixed-effects regression on a real cross-mission dataset rather than to a link-budget assertion.</w:t>
      </w:r>
    </w:p>
    <w:bookmarkEnd w:id="61"/>
    <w:bookmarkStart w:id="62" w:name="theory-and-hypotheses"/>
    <w:p>
      <w:pPr>
        <w:pStyle w:val="Heading2"/>
      </w:pPr>
      <w:r>
        <w:t xml:space="preserve">2. Theory and Hypotheses</w:t>
      </w:r>
    </w:p>
    <w:p>
      <w:pPr>
        <w:pStyle w:val="FirstParagraph"/>
      </w:pPr>
      <w:r>
        <w:t xml:space="preserve">The radio-frequency link equation gives a clear structural prior. For a fixed spacecraft transmitter, the received signal-to-noise ratio rises with ground-antenna gain, which scales with the square of aperture diameter, and falls with the square of range. Higher achievable data rate follows the received signal-to-noise ratio. Translating that relationship into a log-linear estimating equation, the elasticity of downlink rate with respect to aperture should be positive, and a naive reading of the physics would place it near the gain exponent. Parametric cost-and-performance estimation for NASA missions rests on exactly this kind of log-linear scaling, and blind-validation work on the SEER-H estimator shows that such relationships, while useful, carry wide uncertainty bands once real program data enter the fit</w:t>
      </w:r>
      <w:r>
        <w:t xml:space="preserve"> </w:t>
      </w:r>
      <w:hyperlink w:anchor="ref-2">
        <m:oMathPara>
          <m:oMathParaPr>
            <m:jc m:val="center"/>
          </m:oMathParaPr>
          <m:oMath>
            <m:r>
              <m:t>2</m:t>
            </m:r>
          </m:oMath>
        </m:oMathPara>
      </w:hyperlink>
      <w:r>
        <w:t xml:space="preserve">.</w:t>
      </w:r>
    </w:p>
    <w:p>
      <w:pPr>
        <w:pStyle w:val="FirstParagraph"/>
      </w:pPr>
      <w:r>
        <w:t xml:space="preserve">The economic framing sharpens the question. Treating DSN downlink capacity as infrastructure, the relevant object is the marginal return to the next unit of aperture along an investment frontier, not the average engineering relationship</w:t>
      </w:r>
      <w:r>
        <w:t xml:space="preserve"> </w:t>
      </w:r>
      <w:hyperlink w:anchor="ref-3">
        <m:oMathPara>
          <m:oMathParaPr>
            <m:jc m:val="center"/>
          </m:oMathParaPr>
          <m:oMath>
            <m:r>
              <m:t>3</m:t>
            </m:r>
          </m:oMath>
        </m:oMathPara>
      </w:hyperlink>
      <w:r>
        <w:t xml:space="preserve">. Space-economics scholarship has long argued that returns to large fixed space infrastructure are realized only when the rest of the system, here the spacecraft transmitter and the frequency band, is matched to the ground asset</w:t>
      </w:r>
      <w:r>
        <w:t xml:space="preserve"> </w:t>
      </w:r>
      <w:hyperlink w:anchor="ref-4">
        <m:oMathPara>
          <m:oMathParaPr>
            <m:jc m:val="center"/>
          </m:oMathParaPr>
          <m:oMath>
            <m:r>
              <m:t>4</m:t>
            </m:r>
          </m:oMath>
        </m:oMathPara>
      </w:hyperlink>
      <w:r>
        <w:t xml:space="preserve">. That argument generates the empirical expectation that aperture’s measured effect will depend heavily on what is held constant.</w:t>
      </w:r>
    </w:p>
    <w:p>
      <w:pPr>
        <w:pStyle w:val="FirstParagraph"/>
      </w:pPr>
      <w:r>
        <w:t xml:space="preserve">This paper tests one primary hypothesis. Holding spacecraft Earth distance, onboard transmit power, and frequency band fixed, the partial elasticity of peak downlink data rate with respect to ground-antenna aperture diameter is positive and economically meaningful. The null is that, once those confounders are conditioned out, aperture carries no independent, statistically detectable association with achieved downlink rate in the documented mission record.</w:t>
      </w:r>
    </w:p>
    <w:bookmarkEnd w:id="62"/>
    <w:bookmarkStart w:id="63" w:name="data"/>
    <w:p>
      <w:pPr>
        <w:pStyle w:val="Heading2"/>
      </w:pPr>
      <w:r>
        <w:t xml:space="preserve">3. Data</w:t>
      </w:r>
    </w:p>
    <w:p>
      <w:pPr>
        <w:pStyle w:val="FirstParagraph"/>
      </w:pPr>
      <w:r>
        <w:t xml:space="preserve">The dataset is a cross-section of thirty documented deep-space mission downlink configurations. Each observation records a single mission operating at a stated DSN ground-antenna aperture, with its documented peak downlink data rate in kilobits per second as the outcome. The covariates are aperture diameter in meters, spacecraft Earth distance in astronomical units at the operating point, onboard radio-frequency transmit power in watts, and a Ka-band indicator that takes the value one for Ka-band links and zero for X-band or S-band links.</w:t>
      </w:r>
    </w:p>
    <w:p>
      <w:pPr>
        <w:pStyle w:val="BodyText"/>
      </w:pPr>
      <w:r>
        <w:t xml:space="preserve">Sources are named per row in the dataset. The downlink rates and transmit powers for the flagship missions come from the JPL DESCANSO telecommunications monograph series for Voyager, Cassini, Mars Reconnaissance Orbiter, and Mars Science Laboratory</w:t>
      </w:r>
      <w:r>
        <w:t xml:space="preserve"> </w:t>
      </w:r>
      <w:hyperlink w:anchor="ref-5">
        <m:oMathPara>
          <m:oMathParaPr>
            <m:jc m:val="center"/>
          </m:oMathParaPr>
          <m:oMath>
            <m:r>
              <m:t>5</m:t>
            </m:r>
          </m:oMath>
        </m:oMathPara>
      </w:hyperlink>
      <w:r>
        <w:t xml:space="preserve">[6][7][8]. Antenna apertures and band designations follow the DSN Telecommunications Link Design Handbook 810-005 and the DSN Services Catalog</w:t>
      </w:r>
      <w:r>
        <w:t xml:space="preserve"> </w:t>
      </w:r>
      <w:hyperlink w:anchor="ref-1">
        <m:oMathPara>
          <m:oMathParaPr>
            <m:jc m:val="center"/>
          </m:oMathParaPr>
          <m:oMath>
            <m:r>
              <m:t>1</m:t>
            </m:r>
          </m:oMath>
        </m:oMathPara>
      </w:hyperlink>
      <w:r>
        <w:t xml:space="preserve">[9]. Remaining mission rates come from peer-reviewed spacecraft-description papers and NASA mission documentation, including New Horizons</w:t>
      </w:r>
      <w:r>
        <w:t xml:space="preserve"> </w:t>
      </w:r>
      <w:hyperlink w:anchor="ref-10">
        <m:oMathPara>
          <m:oMathParaPr>
            <m:jc m:val="center"/>
          </m:oMathParaPr>
          <m:oMath>
            <m:r>
              <m:t>10</m:t>
            </m:r>
          </m:oMath>
        </m:oMathPara>
      </w:hyperlink>
      <w:r>
        <w:t xml:space="preserve">. Four rows whose exact operating-point rates were not retrievable from a primary engineering document are marked illustrative in the source column; they constitute 13 percent of the sample and use values consistent with the relevant DSN antenna-class specification. Outcome and the continuous covariates enter in natural logs, so slope coefficients read as elasticities; the Ka-band term enters as a level shift.</w:t>
      </w:r>
    </w:p>
    <w:p>
      <w:pPr>
        <w:pStyle w:val="FirstParagraph"/>
      </w:pPr>
      <w:r>
        <w:t xml:space="preserve">The raw data exhibit the structure that motivates the analysis. The highest documented rates, the Lunar Reconnaissance Orbiter near 100 Mbps and the James Webb Space Telescope at 28 Mbps, are Ka-band links on the 34 m subnet, while the largest apertures, the 70 m and historical 64 m dishes, are occupied by the oldest and lowest-power outer-planet missions returning a few kilobits per second or less.</w:t>
      </w:r>
    </w:p>
    <w:bookmarkEnd w:id="63"/>
    <w:bookmarkStart w:id="64" w:name="method"/>
    <w:p>
      <w:pPr>
        <w:pStyle w:val="Heading2"/>
      </w:pPr>
      <w:r>
        <w:t xml:space="preserve">4. Method</w:t>
      </w:r>
    </w:p>
    <w:p>
      <w:pPr>
        <w:pStyle w:val="FirstParagraph"/>
      </w:pPr>
      <w:r>
        <w:t xml:space="preserve">I estimate an ordinary least squares regression of log peak downlink rate on log aperture, log distance, log transmit power, and the Ka-band indicator, with heteroskedasticity-robust HC1 standard errors. The aperture coefficient is the quantity of interest: the partial elasticity of downlink rate with respect to ground-antenna diameter, conditioning on the three other levers. The band indicator functions as a frequency fixed effect, absorbing the large level difference between Ka-band and lower-frequency links so that aperture is not credited with band-driven gains. Robust standard errors guard against the visibly unequal dispersion between the low-rate legacy missions and the high-rate modern ones. The estimating equation is stated in the configuration file accompanying this paper.</w:t>
      </w:r>
    </w:p>
    <w:bookmarkEnd w:id="64"/>
    <w:bookmarkStart w:id="65" w:name="findings"/>
    <w:p>
      <w:pPr>
        <w:pStyle w:val="Heading2"/>
      </w:pPr>
      <w:r>
        <w:t xml:space="preserve">5. Findings</w:t>
      </w:r>
    </w:p>
    <w:p>
      <w:pPr>
        <w:pStyle w:val="FirstParagraph"/>
      </w:pPr>
      <w:r>
        <w:t xml:space="preserve">The model explains a majority of the variation in log downlink rate. The R-squared is 0.597 with an adjusted R-squared of 0.533, and the overall fit is significant with an F-statistic of 12.92 and a p-value below 0.0001 on thirty observations.</w:t>
      </w:r>
    </w:p>
    <w:p>
      <w:pPr>
        <w:pStyle w:val="BodyText"/>
      </w:pPr>
      <w:r>
        <w:t xml:space="preserve">The aperture elasticity is the central result, and it does not support the naive aperture claim. The estimated coefficient on log aperture is negative at -1.198 with a robust standard error of 1.441, a t-statistic of -0.83, and a p-value of 0.406. The 95 percent confidence interval runs from -4.02 to 1.63, so the data cannot reject a coefficient of zero and cannot even sign the partial effect with confidence. Once distance, transmit power, and band are held fixed, aperture carries no statistically detectable independent association with achieved downlink rate in this documented cross-section. The primary hypothesis is not supported at conventional levels.</w:t>
      </w:r>
    </w:p>
    <w:p>
      <w:pPr>
        <w:pStyle w:val="BodyText"/>
      </w:pPr>
      <w:r>
        <w:t xml:space="preserve">The levers that do register are transmit power and frequency band. The elasticity of downlink rate with respect to onboard transmit power is 1.562 with a robust standard error of 0.551, a t-statistic of 2.84, and a p-value of 0.005, with a confidence interval from 0.48 to 2.64 that excludes zero. The Ka-band indicator adds 3.094 to log downlink rate, a robust standard error of 1.343, a t-statistic of 2.30, and a p-value of 0.021, implying that moving a link to Ka-band is associated with roughly a twenty-twofold increase in rate, holding the other covariates fixed. Distance enters with the expected negative sign at -0.467, a standard error of 0.243, and a p-value of 0.055, marginally outside the five percent threshold but consistent with the inverse-range physics.</w:t>
      </w:r>
    </w:p>
    <w:p>
      <w:pPr>
        <w:pStyle w:val="BodyText"/>
      </w:pPr>
      <w:r>
        <w:t xml:space="preserve">The reading of these numbers is that the apparent return to aperture in the unconditioned record is largely a composition effect. The largest dishes are bound up with the oldest, lowest-power, lowest-band missions, so the bivariate correlation between aperture and rate is dragged downward, and the regression, having handed the genuine explanatory work to power and band, assigns aperture a coefficient that is negative but indistinguishable from zero.</w:t>
      </w:r>
    </w:p>
    <w:bookmarkEnd w:id="65"/>
    <w:bookmarkStart w:id="66" w:name="discussion"/>
    <w:p>
      <w:pPr>
        <w:pStyle w:val="Heading2"/>
      </w:pPr>
      <w:r>
        <w:t xml:space="preserve">6. Discussion</w:t>
      </w:r>
    </w:p>
    <w:p>
      <w:pPr>
        <w:pStyle w:val="FirstParagraph"/>
      </w:pPr>
      <w:r>
        <w:t xml:space="preserve">The honest finding is that, in the documented historical cross-section, ground-antenna aperture is not the dominant lever on achieved deep-space downlink rate once the spacecraft transmitter and the frequency band are accounted for. This does not overturn the link-budget physics, under which aperture gain is real and monotone. It reframes the policy inference. The marginal mission-level data gains in the modern record have come from migrating to Ka-band and from more capable spacecraft transmitters operating on the 34 m subnet, not from the 70 m aperture. For a capacity planner weighing the aperture-cadence tradeoff, this is direct evidence that the cost-effectiveness frontier in the recent era is shaped at least as much by band and transmitter matching as by raw dish size, which is consistent with the economic prior that returns to large fixed infrastructure are conditional on a matched system</w:t>
      </w:r>
      <w:r>
        <w:t xml:space="preserve"> </w:t>
      </w:r>
      <w:hyperlink w:anchor="ref-4">
        <m:oMathPara>
          <m:oMathParaPr>
            <m:jc m:val="center"/>
          </m:oMathParaPr>
          <m:oMath>
            <m:r>
              <m:t>4</m:t>
            </m:r>
          </m:oMath>
        </m:oMathPara>
      </w:hyperlink>
      <w:r>
        <w:t xml:space="preserve">.</w:t>
      </w:r>
    </w:p>
    <w:p>
      <w:pPr>
        <w:pStyle w:val="FirstParagraph"/>
      </w:pPr>
      <w:r>
        <w:t xml:space="preserve">Three limitations bound the claim. First, the cross-section conflates eras; aperture and mission vintage are collinear in the real DSN record, which is precisely why the partial aperture effect is imprecisely estimated and why a within-band or within-era panel is the natural next design. Second, peak documented rate is a ceiling, not a delivered-volume measure, so the analysis speaks to instantaneous capability rather than to the cadence-driven total return that the broader dissertation addresses. Third, four illustrative rows, while held under fifteen percent and matched to antenna-class specifications, inject modest measurement noise. The constructive implication is that aperture investment should be justified on the configurations where it is not confounded with low-power legacy missions, namely future high-power Ka-band users at long range, and that the companion analysis of tracking cadence carries the other half of the frontier.</w:t>
      </w:r>
    </w:p>
    <w:bookmarkEnd w:id="66"/>
    <w:bookmarkStart w:id="79" w:name="references"/>
    <w:p>
      <w:pPr>
        <w:pStyle w:val="Heading2"/>
      </w:pPr>
      <w:r>
        <w:t xml:space="preserve">References</w:t>
      </w:r>
    </w:p>
    <w:p>
      <w:pPr>
        <w:pStyle w:val="FirstParagraph"/>
      </w:pPr>
      <w:bookmarkStart w:id="67" w:name="ref-1"/>
      <w:bookmarkEnd w:id="67"/>
      <w:r>
        <w:t xml:space="preserve">1. Jet Propulsion Laboratory, DSN Telecommunications Link Design Handbook (810-005), Module 104, 34-m BWG Stations Telecommunications Interfaces. deepspace.jpl.nasa.gov/dsndocs/810-005/104/104N.pdf</w:t>
      </w:r>
    </w:p>
    <w:p>
      <w:pPr>
        <w:pStyle w:val="BodyText"/>
      </w:pPr>
      <w:bookmarkStart w:id="68" w:name="ref-2"/>
      <w:bookmarkEnd w:id="68"/>
      <w:r>
        <w:t xml:space="preserve">2.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69">
        <w:r>
          <w:rPr>
            <w:rStyle w:val="Hyperlink"/>
          </w:rPr>
          <w:t xml:space="preserve">10.1016/j.actaastro.2019.09.030</w:t>
        </w:r>
      </w:hyperlink>
    </w:p>
    <w:p>
      <w:pPr>
        <w:pStyle w:val="BodyText"/>
      </w:pPr>
      <w:bookmarkStart w:id="70" w:name="ref-3"/>
      <w:bookmarkEnd w:id="70"/>
      <w:r>
        <w:t xml:space="preserve">3. OCEA,</w:t>
      </w:r>
      <w:r>
        <w:t xml:space="preserve"> </w:t>
      </w:r>
      <w:r>
        <w:t xml:space="preserve">“Forecasting the Space Economy”</w:t>
      </w:r>
      <w:r>
        <w:t xml:space="preserve"> </w:t>
      </w:r>
      <w:r>
        <w:t xml:space="preserve">(Space Economy Papers corpus, source SD08).</w:t>
      </w:r>
    </w:p>
    <w:p>
      <w:pPr>
        <w:pStyle w:val="BodyText"/>
      </w:pPr>
      <w:bookmarkStart w:id="71" w:name="ref-4"/>
      <w:bookmarkEnd w:id="71"/>
      <w:r>
        <w:t xml:space="preserve">4. M. C. Weinzierl,</w:t>
      </w:r>
      <w:r>
        <w:t xml:space="preserve"> </w:t>
      </w:r>
      <w:r>
        <w:t xml:space="preserve">“Space, the Final Economic Frontier,”</w:t>
      </w:r>
      <w:r>
        <w:t xml:space="preserve"> </w:t>
      </w:r>
      <w:r>
        <w:t xml:space="preserve">2018 (Space Economy Papers corpus, source SD18).</w:t>
      </w:r>
    </w:p>
    <w:p>
      <w:pPr>
        <w:pStyle w:val="BodyText"/>
      </w:pPr>
      <w:bookmarkStart w:id="72" w:name="ref-5"/>
      <w:bookmarkEnd w:id="72"/>
      <w:r>
        <w:t xml:space="preserve">5. R. Ludwig and J. Taylor, Voyager Telecommunications, JPL DESCANSO Design and Performance Summary Series, Article 4, 2002. descanso.jpl.nasa.gov/DPSummary/Descanso4–Voyager_ed.pdf</w:t>
      </w:r>
    </w:p>
    <w:p>
      <w:pPr>
        <w:pStyle w:val="BodyText"/>
      </w:pPr>
      <w:bookmarkStart w:id="73" w:name="ref-6"/>
      <w:bookmarkEnd w:id="73"/>
      <w:r>
        <w:t xml:space="preserve">6. D. D. Morabito and R. Hastrup, Cassini Orbiter/Huygens Probe Telecommunications, JPL DESCANSO Design and Performance Summary Series, Article 3, 2002. descanso.jpl.nasa.gov/DPSummary/Descanso3–Cassini2.pdf</w:t>
      </w:r>
    </w:p>
    <w:p>
      <w:pPr>
        <w:pStyle w:val="BodyText"/>
      </w:pPr>
      <w:bookmarkStart w:id="74" w:name="ref-7"/>
      <w:bookmarkEnd w:id="74"/>
      <w:r>
        <w:t xml:space="preserve">7. J. Taylor et al., Mars Reconnaissance Orbiter Telecommunications, JPL DESCANSO Design and Performance Summary Series, Article 12, 2006. descanso.jpl.nasa.gov/DPSummary/MRO_092106.pdf</w:t>
      </w:r>
    </w:p>
    <w:p>
      <w:pPr>
        <w:pStyle w:val="BodyText"/>
      </w:pPr>
      <w:bookmarkStart w:id="75" w:name="ref-8"/>
      <w:bookmarkEnd w:id="75"/>
      <w:r>
        <w:t xml:space="preserve">8. A. Makovsky et al., Mars Science Laboratory Telecommunications System Design, JPL DESCANSO Design and Performance Summary Series, Article 14, 2009.</w:t>
      </w:r>
    </w:p>
    <w:p>
      <w:pPr>
        <w:pStyle w:val="BodyText"/>
      </w:pPr>
      <w:bookmarkStart w:id="76" w:name="ref-9"/>
      <w:bookmarkEnd w:id="76"/>
      <w:r>
        <w:t xml:space="preserve">9. Jet Propulsion Laboratory, Deep Space Network Services Catalog (820-100-F1). deepspace.jpl.nasa.gov/files/820-100-F1.pdf</w:t>
      </w:r>
    </w:p>
    <w:p>
      <w:pPr>
        <w:pStyle w:val="BodyText"/>
      </w:pPr>
      <w:bookmarkStart w:id="77" w:name="ref-10"/>
      <w:bookmarkEnd w:id="77"/>
      <w:r>
        <w:t xml:space="preserve">10. G. H. Fountain et al.,</w:t>
      </w:r>
      <w:r>
        <w:t xml:space="preserve"> </w:t>
      </w:r>
      <w:r>
        <w:t xml:space="preserve">“The New Horizons Spacecraft,”</w:t>
      </w:r>
      <w:r>
        <w:t xml:space="preserve"> </w:t>
      </w:r>
      <w:r>
        <w:t xml:space="preserve">Space Science Reviews, vol. 140, pp. 23-47, 2008. doi:</w:t>
      </w:r>
      <w:r>
        <w:t xml:space="preserve"> </w:t>
      </w:r>
      <w:hyperlink r:id="rId78">
        <w:r>
          <w:rPr>
            <w:rStyle w:val="Hyperlink"/>
          </w:rPr>
          <w:t xml:space="preserve">10.1007/s11214-008-9374-8</w:t>
        </w:r>
      </w:hyperlink>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t>R</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t>D</m:t>
              </m:r>
            </m:e>
            <m:sub>
              <m:r>
                <m:t>i</m:t>
              </m:r>
            </m:sub>
          </m:sSub>
          <m:r>
            <m:rPr>
              <m:sty m:val="p"/>
            </m:rPr>
            <m:t>)</m:t>
          </m:r>
          <m:r>
            <m:rPr>
              <m:sty m:val="p"/>
            </m:rPr>
            <m:t>+</m:t>
          </m:r>
          <m:sSub>
            <m:e>
              <m:r>
                <m:t>β</m:t>
              </m:r>
            </m:e>
            <m:sub>
              <m:r>
                <m:t>2</m:t>
              </m:r>
            </m:sub>
          </m:sSub>
          <m:r>
            <m:rPr>
              <m:sty m:val="p"/>
            </m:rPr>
            <m:t>ln</m:t>
          </m:r>
          <m:r>
            <m:rPr>
              <m:sty m:val="p"/>
            </m:rPr>
            <m:t>(</m:t>
          </m:r>
          <m:sSub>
            <m:e>
              <m:r>
                <m:t>ρ</m:t>
              </m:r>
            </m:e>
            <m:sub>
              <m:r>
                <m:t>i</m:t>
              </m:r>
            </m:sub>
          </m:sSub>
          <m:r>
            <m:rPr>
              <m:sty m:val="p"/>
            </m:rPr>
            <m:t>)</m:t>
          </m:r>
          <m:r>
            <m:rPr>
              <m:sty m:val="p"/>
            </m:rPr>
            <m:t>+</m:t>
          </m:r>
          <m:sSub>
            <m:e>
              <m:r>
                <m:t>β</m:t>
              </m:r>
            </m:e>
            <m:sub>
              <m:r>
                <m:t>3</m:t>
              </m:r>
            </m:sub>
          </m:sSub>
          <m:r>
            <m:rPr>
              <m:sty m:val="p"/>
            </m:rPr>
            <m:t>ln</m:t>
          </m:r>
          <m:r>
            <m:rPr>
              <m:sty m:val="p"/>
            </m:rPr>
            <m:t>(</m:t>
          </m:r>
          <m:sSub>
            <m:e>
              <m:r>
                <m:t>P</m:t>
              </m:r>
            </m:e>
            <m:sub>
              <m:r>
                <m:t>i</m:t>
              </m:r>
            </m:sub>
          </m:sSub>
          <m:r>
            <m:rPr>
              <m:sty m:val="p"/>
            </m:rPr>
            <m:t>)</m:t>
          </m:r>
          <m:r>
            <m:rPr>
              <m:sty m:val="p"/>
            </m:rPr>
            <m:t>+</m:t>
          </m:r>
          <m:sSub>
            <m:e>
              <m:r>
                <m:t>β</m:t>
              </m:r>
            </m:e>
            <m:sub>
              <m:r>
                <m:t>4</m:t>
              </m:r>
            </m:sub>
          </m:sSub>
          <m:r>
            <m:t> </m:t>
          </m:r>
          <m:sSub>
            <m:e>
              <m:r>
                <m:rPr>
                  <m:sty m:val="p"/>
                </m:rPr>
                <m:t>K</m:t>
              </m:r>
              <m:r>
                <m:rPr>
                  <m:sty m:val="p"/>
                </m:rPr>
                <m:t>a</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3.5815</w:t>
            </w:r>
          </w:p>
        </w:tc>
        <w:tc>
          <w:tcPr>
            <w:tcW w:w="0" w:type="auto"/>
          </w:tcPr>
          <w:p>
            <w:pPr>
              <w:spacing w:line="240" w:lineRule="auto" w:before="0" w:after="0"/>
              <w:pStyle w:val="Compact"/>
            </w:pPr>
            <w:r>
              <w:rPr>
                <w:sz w:val="20"/>
                <w:szCs w:val="20"/>
              </w:rPr>
              <w:t xml:space="preserve">6.5377</w:t>
            </w:r>
          </w:p>
        </w:tc>
        <w:tc>
          <w:tcPr>
            <w:tcW w:w="0" w:type="auto"/>
          </w:tcPr>
          <w:p>
            <w:pPr>
              <w:spacing w:line="240" w:lineRule="auto" w:before="0" w:after="0"/>
              <w:pStyle w:val="Compact"/>
            </w:pPr>
            <w:r>
              <w:rPr>
                <w:sz w:val="20"/>
                <w:szCs w:val="20"/>
              </w:rPr>
              <w:t xml:space="preserve">0.5478</w:t>
            </w:r>
          </w:p>
        </w:tc>
        <w:tc>
          <w:tcPr>
            <w:tcW w:w="0" w:type="auto"/>
          </w:tcPr>
          <w:p>
            <w:pPr>
              <w:spacing w:line="240" w:lineRule="auto" w:before="0" w:after="0"/>
              <w:pStyle w:val="Compact"/>
            </w:pPr>
            <w:r>
              <w:rPr>
                <w:sz w:val="20"/>
                <w:szCs w:val="20"/>
              </w:rPr>
              <w:t xml:space="preserve">0.5838</w:t>
            </w:r>
          </w:p>
        </w:tc>
        <w:tc>
          <w:tcPr>
            <w:tcW w:w="0" w:type="auto"/>
          </w:tcPr>
          <w:p>
            <w:pPr>
              <w:spacing w:line="240" w:lineRule="auto" w:before="0" w:after="0"/>
              <w:pStyle w:val="Compact"/>
            </w:pPr>
            <w:r>
              <w:rPr>
                <w:sz w:val="20"/>
                <w:szCs w:val="20"/>
              </w:rPr>
              <w:t xml:space="preserve">[-9.2323, 16.3952]</w:t>
            </w:r>
          </w:p>
        </w:tc>
      </w:tr>
      <w:tr>
        <w:tc>
          <w:tcPr>
            <w:tcW w:w="0" w:type="auto"/>
          </w:tcPr>
          <w:p>
            <w:pPr>
              <w:spacing w:line="240" w:lineRule="auto" w:before="0" w:after="0"/>
              <w:pStyle w:val="Compact"/>
            </w:pPr>
            <w:r>
              <w:rPr>
                <w:sz w:val="20"/>
                <w:szCs w:val="20"/>
              </w:rPr>
              <w:t xml:space="preserve">ln_aperture_m</w:t>
            </w:r>
          </w:p>
        </w:tc>
        <w:tc>
          <w:tcPr>
            <w:tcW w:w="0" w:type="auto"/>
          </w:tcPr>
          <w:p>
            <w:pPr>
              <w:spacing w:line="240" w:lineRule="auto" w:before="0" w:after="0"/>
              <w:pStyle w:val="Compact"/>
            </w:pPr>
            <w:r>
              <w:rPr>
                <w:sz w:val="20"/>
                <w:szCs w:val="20"/>
              </w:rPr>
              <w:t xml:space="preserve">-1.1984</w:t>
            </w:r>
          </w:p>
        </w:tc>
        <w:tc>
          <w:tcPr>
            <w:tcW w:w="0" w:type="auto"/>
          </w:tcPr>
          <w:p>
            <w:pPr>
              <w:spacing w:line="240" w:lineRule="auto" w:before="0" w:after="0"/>
              <w:pStyle w:val="Compact"/>
            </w:pPr>
            <w:r>
              <w:rPr>
                <w:sz w:val="20"/>
                <w:szCs w:val="20"/>
              </w:rPr>
              <w:t xml:space="preserve">1.4414</w:t>
            </w:r>
          </w:p>
        </w:tc>
        <w:tc>
          <w:tcPr>
            <w:tcW w:w="0" w:type="auto"/>
          </w:tcPr>
          <w:p>
            <w:pPr>
              <w:spacing w:line="240" w:lineRule="auto" w:before="0" w:after="0"/>
              <w:pStyle w:val="Compact"/>
            </w:pPr>
            <w:r>
              <w:rPr>
                <w:sz w:val="20"/>
                <w:szCs w:val="20"/>
              </w:rPr>
              <w:t xml:space="preserve">-0.8314</w:t>
            </w:r>
          </w:p>
        </w:tc>
        <w:tc>
          <w:tcPr>
            <w:tcW w:w="0" w:type="auto"/>
          </w:tcPr>
          <w:p>
            <w:pPr>
              <w:spacing w:line="240" w:lineRule="auto" w:before="0" w:after="0"/>
              <w:pStyle w:val="Compact"/>
            </w:pPr>
            <w:r>
              <w:rPr>
                <w:sz w:val="20"/>
                <w:szCs w:val="20"/>
              </w:rPr>
              <w:t xml:space="preserve">0.4058</w:t>
            </w:r>
          </w:p>
        </w:tc>
        <w:tc>
          <w:tcPr>
            <w:tcW w:w="0" w:type="auto"/>
          </w:tcPr>
          <w:p>
            <w:pPr>
              <w:spacing w:line="240" w:lineRule="auto" w:before="0" w:after="0"/>
              <w:pStyle w:val="Compact"/>
            </w:pPr>
            <w:r>
              <w:rPr>
                <w:sz w:val="20"/>
                <w:szCs w:val="20"/>
              </w:rPr>
              <w:t xml:space="preserve">[-4.0235, 1.6267]</w:t>
            </w:r>
          </w:p>
        </w:tc>
      </w:tr>
      <w:tr>
        <w:tc>
          <w:tcPr>
            <w:tcW w:w="0" w:type="auto"/>
          </w:tcPr>
          <w:p>
            <w:pPr>
              <w:spacing w:line="240" w:lineRule="auto" w:before="0" w:after="0"/>
              <w:pStyle w:val="Compact"/>
            </w:pPr>
            <w:r>
              <w:rPr>
                <w:sz w:val="20"/>
                <w:szCs w:val="20"/>
              </w:rPr>
              <w:t xml:space="preserve">ln_distance_au</w:t>
            </w:r>
          </w:p>
        </w:tc>
        <w:tc>
          <w:tcPr>
            <w:tcW w:w="0" w:type="auto"/>
          </w:tcPr>
          <w:p>
            <w:pPr>
              <w:spacing w:line="240" w:lineRule="auto" w:before="0" w:after="0"/>
              <w:pStyle w:val="Compact"/>
            </w:pPr>
            <w:r>
              <w:rPr>
                <w:sz w:val="20"/>
                <w:szCs w:val="20"/>
              </w:rPr>
              <w:t xml:space="preserve">-0.4672</w:t>
            </w:r>
          </w:p>
        </w:tc>
        <w:tc>
          <w:tcPr>
            <w:tcW w:w="0" w:type="auto"/>
          </w:tcPr>
          <w:p>
            <w:pPr>
              <w:spacing w:line="240" w:lineRule="auto" w:before="0" w:after="0"/>
              <w:pStyle w:val="Compact"/>
            </w:pPr>
            <w:r>
              <w:rPr>
                <w:sz w:val="20"/>
                <w:szCs w:val="20"/>
              </w:rPr>
              <w:t xml:space="preserve">0.2429</w:t>
            </w:r>
          </w:p>
        </w:tc>
        <w:tc>
          <w:tcPr>
            <w:tcW w:w="0" w:type="auto"/>
          </w:tcPr>
          <w:p>
            <w:pPr>
              <w:spacing w:line="240" w:lineRule="auto" w:before="0" w:after="0"/>
              <w:pStyle w:val="Compact"/>
            </w:pPr>
            <w:r>
              <w:rPr>
                <w:sz w:val="20"/>
                <w:szCs w:val="20"/>
              </w:rPr>
              <w:t xml:space="preserve">-1.9232</w:t>
            </w:r>
          </w:p>
        </w:tc>
        <w:tc>
          <w:tcPr>
            <w:tcW w:w="0" w:type="auto"/>
          </w:tcPr>
          <w:p>
            <w:pPr>
              <w:spacing w:line="240" w:lineRule="auto" w:before="0" w:after="0"/>
              <w:pStyle w:val="Compact"/>
            </w:pPr>
            <w:r>
              <w:rPr>
                <w:sz w:val="20"/>
                <w:szCs w:val="20"/>
              </w:rPr>
              <w:t xml:space="preserve">0.0545</w:t>
            </w:r>
          </w:p>
        </w:tc>
        <w:tc>
          <w:tcPr>
            <w:tcW w:w="0" w:type="auto"/>
          </w:tcPr>
          <w:p>
            <w:pPr>
              <w:spacing w:line="240" w:lineRule="auto" w:before="0" w:after="0"/>
              <w:pStyle w:val="Compact"/>
            </w:pPr>
            <w:r>
              <w:rPr>
                <w:sz w:val="20"/>
                <w:szCs w:val="20"/>
              </w:rPr>
              <w:t xml:space="preserve">[-0.9433, 0.0089]</w:t>
            </w:r>
          </w:p>
        </w:tc>
      </w:tr>
      <w:tr>
        <w:tc>
          <w:tcPr>
            <w:tcW w:w="0" w:type="auto"/>
          </w:tcPr>
          <w:p>
            <w:pPr>
              <w:spacing w:line="240" w:lineRule="auto" w:before="0" w:after="0"/>
              <w:pStyle w:val="Compact"/>
            </w:pPr>
            <w:r>
              <w:rPr>
                <w:sz w:val="20"/>
                <w:szCs w:val="20"/>
              </w:rPr>
              <w:t xml:space="preserve">ln_xmit_power_w</w:t>
            </w:r>
          </w:p>
        </w:tc>
        <w:tc>
          <w:tcPr>
            <w:tcW w:w="0" w:type="auto"/>
          </w:tcPr>
          <w:p>
            <w:pPr>
              <w:spacing w:line="240" w:lineRule="auto" w:before="0" w:after="0"/>
              <w:pStyle w:val="Compact"/>
            </w:pPr>
            <w:r>
              <w:rPr>
                <w:sz w:val="20"/>
                <w:szCs w:val="20"/>
              </w:rPr>
              <w:t xml:space="preserve">1.5616</w:t>
            </w:r>
          </w:p>
        </w:tc>
        <w:tc>
          <w:tcPr>
            <w:tcW w:w="0" w:type="auto"/>
          </w:tcPr>
          <w:p>
            <w:pPr>
              <w:spacing w:line="240" w:lineRule="auto" w:before="0" w:after="0"/>
              <w:pStyle w:val="Compact"/>
            </w:pPr>
            <w:r>
              <w:rPr>
                <w:sz w:val="20"/>
                <w:szCs w:val="20"/>
              </w:rPr>
              <w:t xml:space="preserve">0.5507</w:t>
            </w:r>
          </w:p>
        </w:tc>
        <w:tc>
          <w:tcPr>
            <w:tcW w:w="0" w:type="auto"/>
          </w:tcPr>
          <w:p>
            <w:pPr>
              <w:spacing w:line="240" w:lineRule="auto" w:before="0" w:after="0"/>
              <w:pStyle w:val="Compact"/>
            </w:pPr>
            <w:r>
              <w:rPr>
                <w:sz w:val="20"/>
                <w:szCs w:val="20"/>
              </w:rPr>
              <w:t xml:space="preserve">2.8356</w:t>
            </w:r>
          </w:p>
        </w:tc>
        <w:tc>
          <w:tcPr>
            <w:tcW w:w="0" w:type="auto"/>
          </w:tcPr>
          <w:p>
            <w:pPr>
              <w:spacing w:line="240" w:lineRule="auto" w:before="0" w:after="0"/>
              <w:pStyle w:val="Compact"/>
            </w:pPr>
            <w:r>
              <w:rPr>
                <w:sz w:val="20"/>
                <w:szCs w:val="20"/>
              </w:rPr>
              <w:t xml:space="preserve">0.0046</w:t>
            </w:r>
          </w:p>
        </w:tc>
        <w:tc>
          <w:tcPr>
            <w:tcW w:w="0" w:type="auto"/>
          </w:tcPr>
          <w:p>
            <w:pPr>
              <w:spacing w:line="240" w:lineRule="auto" w:before="0" w:after="0"/>
              <w:pStyle w:val="Compact"/>
            </w:pPr>
            <w:r>
              <w:rPr>
                <w:sz w:val="20"/>
                <w:szCs w:val="20"/>
              </w:rPr>
              <w:t xml:space="preserve">[0.4822, 2.641]</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3.0937</w:t>
            </w:r>
          </w:p>
        </w:tc>
        <w:tc>
          <w:tcPr>
            <w:tcW w:w="0" w:type="auto"/>
          </w:tcPr>
          <w:p>
            <w:pPr>
              <w:spacing w:line="240" w:lineRule="auto" w:before="0" w:after="0"/>
              <w:pStyle w:val="Compact"/>
            </w:pPr>
            <w:r>
              <w:rPr>
                <w:sz w:val="20"/>
                <w:szCs w:val="20"/>
              </w:rPr>
              <w:t xml:space="preserve">1.343</w:t>
            </w:r>
          </w:p>
        </w:tc>
        <w:tc>
          <w:tcPr>
            <w:tcW w:w="0" w:type="auto"/>
          </w:tcPr>
          <w:p>
            <w:pPr>
              <w:spacing w:line="240" w:lineRule="auto" w:before="0" w:after="0"/>
              <w:pStyle w:val="Compact"/>
            </w:pPr>
            <w:r>
              <w:rPr>
                <w:sz w:val="20"/>
                <w:szCs w:val="20"/>
              </w:rPr>
              <w:t xml:space="preserve">2.3035</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[0.4614, 5.726]</w:t>
            </w:r>
          </w:p>
        </w:tc>
      </w:tr>
    </w:tbl>
    <w:p>
      <w:pPr>
        <w:pStyle w:val="BodyText"/>
      </w:pPr>
      <w:r>
        <w:t xml:space="preserve">Fit: N = 30 R2 = 0.5972 R2_adj = 0.5327 F = 12.9247 F_p = 7.739e-06</w:t>
      </w:r>
    </w:p>
    <w:p>
      <w:pPr>
        <w:pStyle w:val="CaptionedFigure"/>
      </w:pPr>
      <w:r>
        <w:drawing>
          <wp:inline>
            <wp:extent cx="5669280" cy="3657600"/>
            <wp:effectExtent b="0" l="0" r="0" t="0"/>
            <wp:docPr descr="Figure 1. Documented deep-space mission downlink rates against DSN ground-antenna aperture (log-log). Each point is a documented mission-antenna configuration; the fitted slope is the partial aperture elasticity after conditioning on distance, transmit power, and frequency band." title="" id="82" name="Picture"/>
            <a:graphic>
              <a:graphicData uri="http://schemas.openxmlformats.org/drawingml/2006/picture">
                <pic:pic>
                  <pic:nvPicPr>
                    <pic:cNvPr descr="D:\Claude_Code\brain\collegium\candidates\dissertations\JPL_OPS_COMMS_DATA_07\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Documented deep-space mission downlink rates against DSN ground-antenna aperture (log-log). Each point is a documented mission-antenna configuration; the fitted slope is the partial aperture elasticity after conditioning on distance, transmit power, and frequency band.</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config</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distance_au</w:t>
            </w:r>
          </w:p>
        </w:tc>
        <w:tc>
          <w:tcPr>
            <w:tcW w:w="0" w:type="auto"/>
          </w:tcPr>
          <w:p>
            <w:pPr>
              <w:spacing w:line="240" w:lineRule="auto" w:before="0" w:after="0"/>
              <w:pStyle w:val="Compact"/>
            </w:pPr>
            <w:r>
              <w:rPr>
                <w:sz w:val="20"/>
                <w:szCs w:val="20"/>
              </w:rPr>
              <w:t xml:space="preserve">xmit_power_w</w:t>
            </w:r>
          </w:p>
        </w:tc>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downlink_kbps</w:t>
            </w:r>
          </w:p>
        </w:tc>
        <w:tc>
          <w:tcPr>
            <w:tcW w:w="0" w:type="auto"/>
          </w:tcPr>
          <w:p>
            <w:pPr>
              <w:spacing w:line="240" w:lineRule="auto" w:before="0" w:after="0"/>
              <w:pStyle w:val="Compact"/>
            </w:pPr>
            <w:r>
              <w:rPr>
                <w:sz w:val="20"/>
                <w:szCs w:val="20"/>
              </w:rPr>
              <w:t xml:space="preserve">ln_downlink_kbps</w:t>
            </w:r>
          </w:p>
        </w:tc>
        <w:tc>
          <w:tcPr>
            <w:tcW w:w="0" w:type="auto"/>
          </w:tcPr>
          <w:p>
            <w:pPr>
              <w:spacing w:line="240" w:lineRule="auto" w:before="0" w:after="0"/>
              <w:pStyle w:val="Compact"/>
            </w:pPr>
            <w:r>
              <w:rPr>
                <w:sz w:val="20"/>
                <w:szCs w:val="20"/>
              </w:rPr>
              <w:t xml:space="preserve">ln_aperture_m</w:t>
            </w:r>
          </w:p>
        </w:tc>
        <w:tc>
          <w:tcPr>
            <w:tcW w:w="0" w:type="auto"/>
          </w:tcPr>
          <w:p>
            <w:pPr>
              <w:spacing w:line="240" w:lineRule="auto" w:before="0" w:after="0"/>
              <w:pStyle w:val="Compact"/>
            </w:pPr>
            <w:r>
              <w:rPr>
                <w:sz w:val="20"/>
                <w:szCs w:val="20"/>
              </w:rPr>
              <w:t xml:space="preserve">ln_distance_au</w:t>
            </w:r>
          </w:p>
        </w:tc>
        <w:tc>
          <w:tcPr>
            <w:tcW w:w="0" w:type="auto"/>
          </w:tcPr>
          <w:p>
            <w:pPr>
              <w:spacing w:line="240" w:lineRule="auto" w:before="0" w:after="0"/>
              <w:pStyle w:val="Compact"/>
            </w:pPr>
            <w:r>
              <w:rPr>
                <w:sz w:val="20"/>
                <w:szCs w:val="20"/>
              </w:rPr>
              <w:t xml:space="preserve">ln_xmit_power_w</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Voyager_1</w:t>
            </w:r>
          </w:p>
        </w:tc>
        <w:tc>
          <w:tcPr>
            <w:tcW w:w="0" w:type="auto"/>
          </w:tcPr>
          <w:p>
            <w:pPr>
              <w:spacing w:line="240" w:lineRule="auto" w:before="0" w:after="0"/>
              <w:pStyle w:val="Compact"/>
            </w:pPr>
            <w:r>
              <w:rPr>
                <w:sz w:val="20"/>
                <w:szCs w:val="20"/>
              </w:rPr>
              <w:t xml:space="preserve">X-band 70m playback</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1.9741</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Ludwig &amp; Taylor, Voyager Telecommunications, DESCANSO Monograph Ch.3 (2002), descanso.jpl.nasa.gov/DPSummary/Descanso4–Voyager_ed.pdf</w:t>
            </w:r>
          </w:p>
        </w:tc>
      </w:tr>
      <w:tr>
        <w:tc>
          <w:tcPr>
            <w:tcW w:w="0" w:type="auto"/>
          </w:tcPr>
          <w:p>
            <w:pPr>
              <w:spacing w:line="240" w:lineRule="auto" w:before="0" w:after="0"/>
              <w:pStyle w:val="Compact"/>
            </w:pPr>
            <w:r>
              <w:rPr>
                <w:sz w:val="20"/>
                <w:szCs w:val="20"/>
              </w:rPr>
              <w:t xml:space="preserve">Voyager_2</w:t>
            </w:r>
          </w:p>
        </w:tc>
        <w:tc>
          <w:tcPr>
            <w:tcW w:w="0" w:type="auto"/>
          </w:tcPr>
          <w:p>
            <w:pPr>
              <w:spacing w:line="240" w:lineRule="auto" w:before="0" w:after="0"/>
              <w:pStyle w:val="Compact"/>
            </w:pPr>
            <w:r>
              <w:rPr>
                <w:sz w:val="20"/>
                <w:szCs w:val="20"/>
              </w:rPr>
              <w:t xml:space="preserve">X-band 70m playback</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1.9741</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Ludwig &amp; Taylor, Voyager Telecommunications, DESCANSO Monograph Ch.3 (2002)</w:t>
            </w:r>
          </w:p>
        </w:tc>
      </w:tr>
      <w:tr>
        <w:tc>
          <w:tcPr>
            <w:tcW w:w="0" w:type="auto"/>
          </w:tcPr>
          <w:p>
            <w:pPr>
              <w:spacing w:line="240" w:lineRule="auto" w:before="0" w:after="0"/>
              <w:pStyle w:val="Compact"/>
            </w:pPr>
            <w:r>
              <w:rPr>
                <w:sz w:val="20"/>
                <w:szCs w:val="20"/>
              </w:rPr>
              <w:t xml:space="preserve">Voyager_1</w:t>
            </w:r>
          </w:p>
        </w:tc>
        <w:tc>
          <w:tcPr>
            <w:tcW w:w="0" w:type="auto"/>
          </w:tcPr>
          <w:p>
            <w:pPr>
              <w:spacing w:line="240" w:lineRule="auto" w:before="0" w:after="0"/>
              <w:pStyle w:val="Compact"/>
            </w:pPr>
            <w:r>
              <w:rPr>
                <w:sz w:val="20"/>
                <w:szCs w:val="20"/>
              </w:rPr>
              <w:t xml:space="preserve">X-band 34m HEF cruise</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Ludwig &amp; Taylor, Voyager Telecommunications, DESCANSO Monograph Ch.3 (2002)</w:t>
            </w:r>
          </w:p>
        </w:tc>
      </w:tr>
      <w:tr>
        <w:tc>
          <w:tcPr>
            <w:tcW w:w="0" w:type="auto"/>
          </w:tcPr>
          <w:p>
            <w:pPr>
              <w:spacing w:line="240" w:lineRule="auto" w:before="0" w:after="0"/>
              <w:pStyle w:val="Compact"/>
            </w:pPr>
            <w:r>
              <w:rPr>
                <w:sz w:val="20"/>
                <w:szCs w:val="20"/>
              </w:rPr>
              <w:t xml:space="preserve">Cassini_HGA</w:t>
            </w:r>
          </w:p>
        </w:tc>
        <w:tc>
          <w:tcPr>
            <w:tcW w:w="0" w:type="auto"/>
          </w:tcPr>
          <w:p>
            <w:pPr>
              <w:spacing w:line="240" w:lineRule="auto" w:before="0" w:after="0"/>
              <w:pStyle w:val="Compact"/>
            </w:pPr>
            <w:r>
              <w:rPr>
                <w:sz w:val="20"/>
                <w:szCs w:val="20"/>
              </w:rPr>
              <w:t xml:space="preserve">X-band 70m Saturn</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165.9</w:t>
            </w:r>
          </w:p>
        </w:tc>
        <w:tc>
          <w:tcPr>
            <w:tcW w:w="0" w:type="auto"/>
          </w:tcPr>
          <w:p>
            <w:pPr>
              <w:spacing w:line="240" w:lineRule="auto" w:before="0" w:after="0"/>
              <w:pStyle w:val="Compact"/>
            </w:pPr>
            <w:r>
              <w:rPr>
                <w:sz w:val="20"/>
                <w:szCs w:val="20"/>
              </w:rPr>
              <w:t xml:space="preserve">5.1114</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2.1401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Morabito &amp; Hastrup, Cassini Orbiter/Huygens Telecommunications, DESCANSO Monograph Ch.3 (2002), descanso.jpl.nasa.gov/DPSummary/Descanso3–Cassini2.pdf</w:t>
            </w:r>
          </w:p>
        </w:tc>
      </w:tr>
      <w:tr>
        <w:tc>
          <w:tcPr>
            <w:tcW w:w="0" w:type="auto"/>
          </w:tcPr>
          <w:p>
            <w:pPr>
              <w:spacing w:line="240" w:lineRule="auto" w:before="0" w:after="0"/>
              <w:pStyle w:val="Compact"/>
            </w:pPr>
            <w:r>
              <w:rPr>
                <w:sz w:val="20"/>
                <w:szCs w:val="20"/>
              </w:rPr>
              <w:t xml:space="preserve">Cassini_HGA</w:t>
            </w:r>
          </w:p>
        </w:tc>
        <w:tc>
          <w:tcPr>
            <w:tcW w:w="0" w:type="auto"/>
          </w:tcPr>
          <w:p>
            <w:pPr>
              <w:spacing w:line="240" w:lineRule="auto" w:before="0" w:after="0"/>
              <w:pStyle w:val="Compact"/>
            </w:pPr>
            <w:r>
              <w:rPr>
                <w:sz w:val="20"/>
                <w:szCs w:val="20"/>
              </w:rPr>
              <w:t xml:space="preserve">X-band 34m BWG Saturn</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2.1401</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Morabito &amp; Hastrup, Cassini Orbiter/Huygens Telecommunications, DESCANSO Monograph Ch.3 (2002)</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X-band 34m BWG Mars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8.1605</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Taylor et al., Mars Reconnaissance Orbiter Telecommunications, DESCANSO Article 12 (2006), descanso.jpl.nasa.gov/DPSummary/MRO_092106.pdf</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X-band 70m Mars</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6000</w:t>
            </w:r>
          </w:p>
        </w:tc>
        <w:tc>
          <w:tcPr>
            <w:tcW w:w="0" w:type="auto"/>
          </w:tcPr>
          <w:p>
            <w:pPr>
              <w:spacing w:line="240" w:lineRule="auto" w:before="0" w:after="0"/>
              <w:pStyle w:val="Compact"/>
            </w:pPr>
            <w:r>
              <w:rPr>
                <w:sz w:val="20"/>
                <w:szCs w:val="20"/>
              </w:rPr>
              <w:t xml:space="preserve">8.6995</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Taylor et al., MRO Telecommunications, DESCANSO Article 12 (2006)</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Ka-band 34m BWG demo</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6000</w:t>
            </w:r>
          </w:p>
        </w:tc>
        <w:tc>
          <w:tcPr>
            <w:tcW w:w="0" w:type="auto"/>
          </w:tcPr>
          <w:p>
            <w:pPr>
              <w:spacing w:line="240" w:lineRule="auto" w:before="0" w:after="0"/>
              <w:pStyle w:val="Compact"/>
            </w:pPr>
            <w:r>
              <w:rPr>
                <w:sz w:val="20"/>
                <w:szCs w:val="20"/>
              </w:rPr>
              <w:t xml:space="preserve">8.6995</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Taylor et al., MRO Telecommunications, DESCANSO Article 12 (2006); MRO Ka-band 6 Mbps demo over 34m BWG subnet</w:t>
            </w:r>
          </w:p>
        </w:tc>
      </w:tr>
      <w:tr>
        <w:tc>
          <w:tcPr>
            <w:tcW w:w="0" w:type="auto"/>
          </w:tcPr>
          <w:p>
            <w:pPr>
              <w:spacing w:line="240" w:lineRule="auto" w:before="0" w:after="0"/>
              <w:pStyle w:val="Compact"/>
            </w:pPr>
            <w:r>
              <w:rPr>
                <w:sz w:val="20"/>
                <w:szCs w:val="20"/>
              </w:rPr>
              <w:t xml:space="preserve">New_Horizons</w:t>
            </w:r>
          </w:p>
        </w:tc>
        <w:tc>
          <w:tcPr>
            <w:tcW w:w="0" w:type="auto"/>
          </w:tcPr>
          <w:p>
            <w:pPr>
              <w:spacing w:line="240" w:lineRule="auto" w:before="0" w:after="0"/>
              <w:pStyle w:val="Compact"/>
            </w:pPr>
            <w:r>
              <w:rPr>
                <w:sz w:val="20"/>
                <w:szCs w:val="20"/>
              </w:rPr>
              <w:t xml:space="preserve">X-band 70m Pluto</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32.9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3.4935</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Fountain et al., New Horizons spacecraft (2008), Space Sci Rev 140:23-47, doi:10.1007/s11214-008-9374-8</w:t>
            </w:r>
          </w:p>
        </w:tc>
      </w:tr>
      <w:tr>
        <w:tc>
          <w:tcPr>
            <w:tcW w:w="0" w:type="auto"/>
          </w:tcPr>
          <w:p>
            <w:pPr>
              <w:spacing w:line="240" w:lineRule="auto" w:before="0" w:after="0"/>
              <w:pStyle w:val="Compact"/>
            </w:pPr>
            <w:r>
              <w:rPr>
                <w:sz w:val="20"/>
                <w:szCs w:val="20"/>
              </w:rPr>
              <w:t xml:space="preserve">New_Horizons</w:t>
            </w:r>
          </w:p>
        </w:tc>
        <w:tc>
          <w:tcPr>
            <w:tcW w:w="0" w:type="auto"/>
          </w:tcPr>
          <w:p>
            <w:pPr>
              <w:spacing w:line="240" w:lineRule="auto" w:before="0" w:after="0"/>
              <w:pStyle w:val="Compact"/>
            </w:pPr>
            <w:r>
              <w:rPr>
                <w:sz w:val="20"/>
                <w:szCs w:val="20"/>
              </w:rPr>
              <w:t xml:space="preserve">X-band 34m BWG Pluto</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32.9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3.4935</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Fountain et al., New Horizons spacecraft (2008), Space Sci Rev 140:23-47</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X-band 34m BWG Jupiter</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Bagri &amp; Statman, Juno telecom; NASA Juno mission, downlink to 34m subnet at Jupiter range</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X-band 70m Jupiter</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NASA Juno mission press kit (2011), Jupiter-range downlink over 70m antenna</w:t>
            </w:r>
          </w:p>
        </w:tc>
      </w:tr>
      <w:tr>
        <w:tc>
          <w:tcPr>
            <w:tcW w:w="0" w:type="auto"/>
          </w:tcPr>
          <w:p>
            <w:pPr>
              <w:spacing w:line="240" w:lineRule="auto" w:before="0" w:after="0"/>
              <w:pStyle w:val="Compact"/>
            </w:pPr>
            <w:r>
              <w:rPr>
                <w:sz w:val="20"/>
                <w:szCs w:val="20"/>
              </w:rPr>
              <w:t xml:space="preserve">Galileo_LGA</w:t>
            </w:r>
          </w:p>
        </w:tc>
        <w:tc>
          <w:tcPr>
            <w:tcW w:w="0" w:type="auto"/>
          </w:tcPr>
          <w:p>
            <w:pPr>
              <w:spacing w:line="240" w:lineRule="auto" w:before="0" w:after="0"/>
              <w:pStyle w:val="Compact"/>
            </w:pPr>
            <w:r>
              <w:rPr>
                <w:sz w:val="20"/>
                <w:szCs w:val="20"/>
              </w:rPr>
              <w:t xml:space="preserve">S-band 70m Jupiter</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-1.8326</w:t>
            </w:r>
          </w:p>
        </w:tc>
        <w:tc>
          <w:tcPr>
            <w:tcW w:w="0" w:type="auto"/>
          </w:tcPr>
          <w:p>
            <w:pPr>
              <w:spacing w:line="240" w:lineRule="auto" w:before="0" w:after="0"/>
              <w:pStyle w:val="Compact"/>
            </w:pPr>
            <w:r>
              <w:rPr>
                <w:sz w:val="20"/>
                <w:szCs w:val="20"/>
              </w:rPr>
              <w:t xml:space="preserve">4.2485</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O’Neil et al., Galileo low-gain antenna mission, 160 bps over 70m arrayed subnet (1996)</w:t>
            </w:r>
          </w:p>
        </w:tc>
      </w:tr>
      <w:tr>
        <w:tc>
          <w:tcPr>
            <w:tcW w:w="0" w:type="auto"/>
          </w:tcPr>
          <w:p>
            <w:pPr>
              <w:spacing w:line="240" w:lineRule="auto" w:before="0" w:after="0"/>
              <w:pStyle w:val="Compact"/>
            </w:pPr>
            <w:r>
              <w:rPr>
                <w:sz w:val="20"/>
                <w:szCs w:val="20"/>
              </w:rPr>
              <w:t xml:space="preserve">Mars_Odyssey</w:t>
            </w:r>
          </w:p>
        </w:tc>
        <w:tc>
          <w:tcPr>
            <w:tcW w:w="0" w:type="auto"/>
          </w:tcPr>
          <w:p>
            <w:pPr>
              <w:spacing w:line="240" w:lineRule="auto" w:before="0" w:after="0"/>
              <w:pStyle w:val="Compact"/>
            </w:pPr>
            <w:r>
              <w:rPr>
                <w:sz w:val="20"/>
                <w:szCs w:val="20"/>
              </w:rPr>
              <w:t xml:space="preserve">X-band 34m BWG Mars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124.4</w:t>
            </w:r>
          </w:p>
        </w:tc>
        <w:tc>
          <w:tcPr>
            <w:tcW w:w="0" w:type="auto"/>
          </w:tcPr>
          <w:p>
            <w:pPr>
              <w:spacing w:line="240" w:lineRule="auto" w:before="0" w:after="0"/>
              <w:pStyle w:val="Compact"/>
            </w:pPr>
            <w:r>
              <w:rPr>
                <w:sz w:val="20"/>
                <w:szCs w:val="20"/>
              </w:rPr>
              <w:t xml:space="preserve">4.8235</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Edwards, Mars Odyssey telecom; 2001 Mars Odyssey downlink over 34m BWG, NASA mission</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X-band 34m BWG Mars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5.4293</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4.1744</w:t>
            </w:r>
          </w:p>
        </w:tc>
        <w:tc>
          <w:tcPr>
            <w:tcW w:w="0" w:type="auto"/>
          </w:tcPr>
          <w:p>
            <w:pPr>
              <w:spacing w:line="240" w:lineRule="auto" w:before="0" w:after="0"/>
              <w:pStyle w:val="Compact"/>
            </w:pPr>
            <w:r>
              <w:rPr>
                <w:sz w:val="20"/>
                <w:szCs w:val="20"/>
              </w:rPr>
              <w:t xml:space="preserve">ESA Mars Express telecom spec, X-band 34m DSN cross-support [illustrative cross-support rate]</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X-band 34m BWG Earth-trailing</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7.6962</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NASA Spitzer Space Telescope, Ka/X downlink over 34m BWG, Earth-trailing orbit</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X-band 34m BWG Vesta</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4.8203</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Rayman et al., Dawn mission telecom; downlink over 34m BWG at Vesta range, NASA Dawn</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X-band 34m BWG Earth-trailing</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4330</w:t>
            </w:r>
          </w:p>
        </w:tc>
        <w:tc>
          <w:tcPr>
            <w:tcW w:w="0" w:type="auto"/>
          </w:tcPr>
          <w:p>
            <w:pPr>
              <w:spacing w:line="240" w:lineRule="auto" w:before="0" w:after="0"/>
              <w:pStyle w:val="Compact"/>
            </w:pPr>
            <w:r>
              <w:rPr>
                <w:sz w:val="20"/>
                <w:szCs w:val="20"/>
              </w:rPr>
              <w:t xml:space="preserve">8.3733</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NASA Kepler mission, Ka-band science downlink over 34m BWG, Earth-trailing heliocentric orbit</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Ka-band 34m WS1 lunar</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100000</w:t>
            </w:r>
          </w:p>
        </w:tc>
        <w:tc>
          <w:tcPr>
            <w:tcW w:w="0" w:type="auto"/>
          </w:tcPr>
          <w:p>
            <w:pPr>
              <w:spacing w:line="240" w:lineRule="auto" w:before="0" w:after="0"/>
              <w:pStyle w:val="Compact"/>
            </w:pPr>
            <w:r>
              <w:rPr>
                <w:sz w:val="20"/>
                <w:szCs w:val="20"/>
              </w:rPr>
              <w:t xml:space="preserve">11.5129</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-5.9522</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NASA Lunar Reconnaissance Orbiter, 100 Mbps Ka-band downlink to 34m white sands / DSN class antenna</w:t>
            </w:r>
          </w:p>
        </w:tc>
      </w:tr>
      <w:tr>
        <w:tc>
          <w:tcPr>
            <w:tcW w:w="0" w:type="auto"/>
          </w:tcPr>
          <w:p>
            <w:pPr>
              <w:spacing w:line="240" w:lineRule="auto" w:before="0" w:after="0"/>
              <w:pStyle w:val="Compact"/>
            </w:pPr>
            <w:r>
              <w:rPr>
                <w:sz w:val="20"/>
                <w:szCs w:val="20"/>
              </w:rPr>
              <w:t xml:space="preserve">MSL_relay</w:t>
            </w:r>
          </w:p>
        </w:tc>
        <w:tc>
          <w:tcPr>
            <w:tcW w:w="0" w:type="auto"/>
          </w:tcPr>
          <w:p>
            <w:pPr>
              <w:spacing w:line="240" w:lineRule="auto" w:before="0" w:after="0"/>
              <w:pStyle w:val="Compact"/>
            </w:pPr>
            <w:r>
              <w:rPr>
                <w:sz w:val="20"/>
                <w:szCs w:val="20"/>
              </w:rPr>
              <w:t xml:space="preserve">X-band 34m BWG Mars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5.0752</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Makovsky et al., Mars Science Laboratory Telecommunications, DESCANSO Article 14 (2009), direct-to-Earth X-band over 34m BWG</w:t>
            </w:r>
          </w:p>
        </w:tc>
      </w:tr>
      <w:tr>
        <w:tc>
          <w:tcPr>
            <w:tcW w:w="0" w:type="auto"/>
          </w:tcPr>
          <w:p>
            <w:pPr>
              <w:spacing w:line="240" w:lineRule="auto" w:before="0" w:after="0"/>
              <w:pStyle w:val="Compact"/>
            </w:pPr>
            <w:r>
              <w:rPr>
                <w:sz w:val="20"/>
                <w:szCs w:val="20"/>
              </w:rPr>
              <w:t xml:space="preserve">DSN_Apollo_ref</w:t>
            </w:r>
          </w:p>
        </w:tc>
        <w:tc>
          <w:tcPr>
            <w:tcW w:w="0" w:type="auto"/>
          </w:tcPr>
          <w:p>
            <w:pPr>
              <w:spacing w:line="240" w:lineRule="auto" w:before="0" w:after="0"/>
              <w:pStyle w:val="Compact"/>
            </w:pPr>
            <w:r>
              <w:rPr>
                <w:sz w:val="20"/>
                <w:szCs w:val="20"/>
              </w:rPr>
              <w:t xml:space="preserve">S-band 26m lunar</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51.2</w:t>
            </w:r>
          </w:p>
        </w:tc>
        <w:tc>
          <w:tcPr>
            <w:tcW w:w="0" w:type="auto"/>
          </w:tcPr>
          <w:p>
            <w:pPr>
              <w:spacing w:line="240" w:lineRule="auto" w:before="0" w:after="0"/>
              <w:pStyle w:val="Compact"/>
            </w:pPr>
            <w:r>
              <w:rPr>
                <w:sz w:val="20"/>
                <w:szCs w:val="20"/>
              </w:rPr>
              <w:t xml:space="preserve">3.9357</w:t>
            </w:r>
          </w:p>
        </w:tc>
        <w:tc>
          <w:tcPr>
            <w:tcW w:w="0" w:type="auto"/>
          </w:tcPr>
          <w:p>
            <w:pPr>
              <w:spacing w:line="240" w:lineRule="auto" w:before="0" w:after="0"/>
              <w:pStyle w:val="Compact"/>
            </w:pPr>
            <w:r>
              <w:rPr>
                <w:sz w:val="20"/>
                <w:szCs w:val="20"/>
              </w:rPr>
              <w:t xml:space="preserve">3.2581</w:t>
            </w:r>
          </w:p>
        </w:tc>
        <w:tc>
          <w:tcPr>
            <w:tcW w:w="0" w:type="auto"/>
          </w:tcPr>
          <w:p>
            <w:pPr>
              <w:spacing w:line="240" w:lineRule="auto" w:before="0" w:after="0"/>
              <w:pStyle w:val="Compact"/>
            </w:pPr>
            <w:r>
              <w:rPr>
                <w:sz w:val="20"/>
                <w:szCs w:val="20"/>
              </w:rPr>
              <w:t xml:space="preserve">-5.9522</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DSN 26-m subnet S-band lunar support, historical DSN 810-005 class spec [illustrative]</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X-band 34m BWG Mars</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2.7726</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NASA InSight mission, direct-to-Earth X-band over 34m BWG at Mars range</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X-band 34m BWG Bennu</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914</w:t>
            </w:r>
          </w:p>
        </w:tc>
        <w:tc>
          <w:tcPr>
            <w:tcW w:w="0" w:type="auto"/>
          </w:tcPr>
          <w:p>
            <w:pPr>
              <w:spacing w:line="240" w:lineRule="auto" w:before="0" w:after="0"/>
              <w:pStyle w:val="Compact"/>
            </w:pPr>
            <w:r>
              <w:rPr>
                <w:sz w:val="20"/>
                <w:szCs w:val="20"/>
              </w:rPr>
              <w:t xml:space="preserve">6.8178</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Lauretta et al., OSIRIS-REx mission; X-band downlink over 34m BWG at Bennu range, NASA</w:t>
            </w:r>
          </w:p>
        </w:tc>
      </w:tr>
      <w:tr>
        <w:tc>
          <w:tcPr>
            <w:tcW w:w="0" w:type="auto"/>
          </w:tcPr>
          <w:p>
            <w:pPr>
              <w:spacing w:line="240" w:lineRule="auto" w:before="0" w:after="0"/>
              <w:pStyle w:val="Compact"/>
            </w:pPr>
            <w:r>
              <w:rPr>
                <w:sz w:val="20"/>
                <w:szCs w:val="20"/>
              </w:rPr>
              <w:t xml:space="preserve">Parker_SP</w:t>
            </w:r>
          </w:p>
        </w:tc>
        <w:tc>
          <w:tcPr>
            <w:tcW w:w="0" w:type="auto"/>
          </w:tcPr>
          <w:p>
            <w:pPr>
              <w:spacing w:line="240" w:lineRule="auto" w:before="0" w:after="0"/>
              <w:pStyle w:val="Compact"/>
            </w:pPr>
            <w:r>
              <w:rPr>
                <w:sz w:val="20"/>
                <w:szCs w:val="20"/>
              </w:rPr>
              <w:t xml:space="preserve">X-band 34m BWG solar</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5.118</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2.4849</w:t>
            </w:r>
          </w:p>
        </w:tc>
        <w:tc>
          <w:tcPr>
            <w:tcW w:w="0" w:type="auto"/>
          </w:tcPr>
          <w:p>
            <w:pPr>
              <w:spacing w:line="240" w:lineRule="auto" w:before="0" w:after="0"/>
              <w:pStyle w:val="Compact"/>
            </w:pPr>
            <w:r>
              <w:rPr>
                <w:sz w:val="20"/>
                <w:szCs w:val="20"/>
              </w:rPr>
              <w:t xml:space="preserve">Fox et al., Parker Solar Probe mission (2016), Space Sci Rev; X-band downlink over 34m BWG</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Ka-band 34m BWG Jupiter</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4.9053</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Buffington et al., Europa Clipper telecom; Ka-band downlink over 34m BWG at Jupiter range, NASA</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X-band 34m BWG asteroid</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5.5797</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NASA Psyche mission, X-band downlink over 34m BWG at asteroid-belt range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Ka-band 34m BWG L2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28000</w:t>
            </w:r>
          </w:p>
        </w:tc>
        <w:tc>
          <w:tcPr>
            <w:tcW w:w="0" w:type="auto"/>
          </w:tcPr>
          <w:p>
            <w:pPr>
              <w:spacing w:line="240" w:lineRule="auto" w:before="0" w:after="0"/>
              <w:pStyle w:val="Compact"/>
            </w:pPr>
            <w:r>
              <w:rPr>
                <w:sz w:val="20"/>
                <w:szCs w:val="20"/>
              </w:rPr>
              <w:t xml:space="preserve">10.24</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-4.6052</w:t>
            </w:r>
          </w:p>
        </w:tc>
        <w:tc>
          <w:tcPr>
            <w:tcW w:w="0" w:type="auto"/>
          </w:tcPr>
          <w:p>
            <w:pPr>
              <w:spacing w:line="240" w:lineRule="auto" w:before="0" w:after="0"/>
              <w:pStyle w:val="Compact"/>
            </w:pPr>
            <w:r>
              <w:rPr>
                <w:sz w:val="20"/>
                <w:szCs w:val="20"/>
              </w:rPr>
              <w:t xml:space="preserve">3.2189</w:t>
            </w:r>
          </w:p>
        </w:tc>
        <w:tc>
          <w:tcPr>
            <w:tcW w:w="0" w:type="auto"/>
          </w:tcPr>
          <w:p>
            <w:pPr>
              <w:spacing w:line="240" w:lineRule="auto" w:before="0" w:after="0"/>
              <w:pStyle w:val="Compact"/>
            </w:pPr>
            <w:r>
              <w:rPr>
                <w:sz w:val="20"/>
                <w:szCs w:val="20"/>
              </w:rPr>
              <w:t xml:space="preserve">NASA JWST mission, 28 Mbps Ka-band downlink over 34m BWG from Sun-Earth L2</w:t>
            </w:r>
          </w:p>
        </w:tc>
      </w:tr>
      <w:tr>
        <w:tc>
          <w:tcPr>
            <w:tcW w:w="0" w:type="auto"/>
          </w:tcPr>
          <w:p>
            <w:pPr>
              <w:spacing w:line="240" w:lineRule="auto" w:before="0" w:after="0"/>
              <w:pStyle w:val="Compact"/>
            </w:pPr>
            <w:r>
              <w:rPr>
                <w:sz w:val="20"/>
                <w:szCs w:val="20"/>
              </w:rPr>
              <w:t xml:space="preserve">Pioneer_10</w:t>
            </w:r>
          </w:p>
        </w:tc>
        <w:tc>
          <w:tcPr>
            <w:tcW w:w="0" w:type="auto"/>
          </w:tcPr>
          <w:p>
            <w:pPr>
              <w:spacing w:line="240" w:lineRule="auto" w:before="0" w:after="0"/>
              <w:pStyle w:val="Compact"/>
            </w:pPr>
            <w:r>
              <w:rPr>
                <w:sz w:val="20"/>
                <w:szCs w:val="20"/>
              </w:rPr>
              <w:t xml:space="preserve">S-band 64m outer</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2.048</w:t>
            </w:r>
          </w:p>
        </w:tc>
        <w:tc>
          <w:tcPr>
            <w:tcW w:w="0" w:type="auto"/>
          </w:tcPr>
          <w:p>
            <w:pPr>
              <w:spacing w:line="240" w:lineRule="auto" w:before="0" w:after="0"/>
              <w:pStyle w:val="Compact"/>
            </w:pPr>
            <w:r>
              <w:rPr>
                <w:sz w:val="20"/>
                <w:szCs w:val="20"/>
              </w:rPr>
              <w:t xml:space="preserve">0.7169</w:t>
            </w:r>
          </w:p>
        </w:tc>
        <w:tc>
          <w:tcPr>
            <w:tcW w:w="0" w:type="auto"/>
          </w:tcPr>
          <w:p>
            <w:pPr>
              <w:spacing w:line="240" w:lineRule="auto" w:before="0" w:after="0"/>
              <w:pStyle w:val="Compact"/>
            </w:pPr>
            <w:r>
              <w:rPr>
                <w:sz w:val="20"/>
                <w:szCs w:val="20"/>
              </w:rPr>
              <w:t xml:space="preserve">4.1589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DSN Pioneer 10 S-band downlink over 64m antenna (pre-70m upgrade), historical DSN spec [illustrative]</w:t>
            </w:r>
          </w:p>
        </w:tc>
      </w:tr>
      <w:tr>
        <w:tc>
          <w:tcPr>
            <w:tcW w:w="0" w:type="auto"/>
          </w:tcPr>
          <w:p>
            <w:pPr>
              <w:spacing w:line="240" w:lineRule="auto" w:before="0" w:after="0"/>
              <w:pStyle w:val="Compact"/>
            </w:pPr>
            <w:r>
              <w:rPr>
                <w:sz w:val="20"/>
                <w:szCs w:val="20"/>
              </w:rPr>
              <w:t xml:space="preserve">Phoenix_relay</w:t>
            </w:r>
          </w:p>
        </w:tc>
        <w:tc>
          <w:tcPr>
            <w:tcW w:w="0" w:type="auto"/>
          </w:tcPr>
          <w:p>
            <w:pPr>
              <w:spacing w:line="240" w:lineRule="auto" w:before="0" w:after="0"/>
              <w:pStyle w:val="Compact"/>
            </w:pPr>
            <w:r>
              <w:rPr>
                <w:sz w:val="20"/>
                <w:szCs w:val="20"/>
              </w:rPr>
              <w:t xml:space="preserve">UHF-relay 34m via MRO</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4.852</w:t>
            </w:r>
          </w:p>
        </w:tc>
        <w:tc>
          <w:tcPr>
            <w:tcW w:w="0" w:type="auto"/>
          </w:tcPr>
          <w:p>
            <w:pPr>
              <w:spacing w:line="240" w:lineRule="auto" w:before="0" w:after="0"/>
              <w:pStyle w:val="Compact"/>
            </w:pPr>
            <w:r>
              <w:rPr>
                <w:sz w:val="20"/>
                <w:szCs w:val="20"/>
              </w:rPr>
              <w:t xml:space="preserve">3.5264</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NASA Phoenix Mars lander, relay-then-34m BWG downlink chain [illustrative relay-equivalent rate]</w:t>
            </w:r>
          </w:p>
        </w:tc>
      </w:tr>
      <w:tr>
        <w:tc>
          <w:tcPr>
            <w:tcW w:w="0" w:type="auto"/>
          </w:tcPr>
          <w:p>
            <w:pPr>
              <w:spacing w:line="240" w:lineRule="auto" w:before="0" w:after="0"/>
              <w:pStyle w:val="Compact"/>
            </w:pPr>
            <w:r>
              <w:rPr>
                <w:sz w:val="20"/>
                <w:szCs w:val="20"/>
              </w:rPr>
              <w:t xml:space="preserve">Mariner_9</w:t>
            </w:r>
          </w:p>
        </w:tc>
        <w:tc>
          <w:tcPr>
            <w:tcW w:w="0" w:type="auto"/>
          </w:tcPr>
          <w:p>
            <w:pPr>
              <w:spacing w:line="240" w:lineRule="auto" w:before="0" w:after="0"/>
              <w:pStyle w:val="Compact"/>
            </w:pPr>
            <w:r>
              <w:rPr>
                <w:sz w:val="20"/>
                <w:szCs w:val="20"/>
              </w:rPr>
              <w:t xml:space="preserve">S-band 64m Mars</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2.785</w:t>
            </w:r>
          </w:p>
        </w:tc>
        <w:tc>
          <w:tcPr>
            <w:tcW w:w="0" w:type="auto"/>
          </w:tcPr>
          <w:p>
            <w:pPr>
              <w:spacing w:line="240" w:lineRule="auto" w:before="0" w:after="0"/>
              <w:pStyle w:val="Compact"/>
            </w:pPr>
            <w:r>
              <w:rPr>
                <w:sz w:val="20"/>
                <w:szCs w:val="20"/>
              </w:rPr>
              <w:t xml:space="preserve">4.1589</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DSN Mariner 9 S-band downlink over 64m antenna (1971), historical DSN 810-005 class</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ln_downlink_kbps</w:t>
            </w:r>
          </w:p>
        </w:tc>
        <w:tc>
          <w:tcPr>
            <w:tcW w:w="0" w:type="auto"/>
          </w:tcPr>
          <w:p>
            <w:pPr>
              <w:spacing w:line="240" w:lineRule="auto" w:before="0" w:after="0"/>
              <w:pStyle w:val="Compact"/>
            </w:pPr>
            <w:r>
              <w:rPr>
                <w:sz w:val="20"/>
                <w:szCs w:val="20"/>
              </w:rPr>
              <w:t xml:space="preserve">Natural log of documented peak downlink data rate, kbps (outcome)</w:t>
            </w:r>
          </w:p>
        </w:tc>
        <w:tc>
          <w:tcPr>
            <w:tcW w:w="0" w:type="auto"/>
          </w:tcPr>
          <w:p>
            <w:pPr>
              <w:spacing w:line="240" w:lineRule="auto" w:before="0" w:after="0"/>
              <w:pStyle w:val="Compact"/>
            </w:pPr>
            <w:r>
              <w:rPr>
                <w:sz w:val="20"/>
                <w:szCs w:val="20"/>
              </w:rPr>
              <w:t xml:space="preserve">DESCANSO telecommunications monographs; NASA mission documentation</w:t>
            </w:r>
          </w:p>
        </w:tc>
      </w:tr>
      <w:tr>
        <w:tc>
          <w:tcPr>
            <w:tcW w:w="0" w:type="auto"/>
          </w:tcPr>
          <w:p>
            <w:pPr>
              <w:spacing w:line="240" w:lineRule="auto" w:before="0" w:after="0"/>
              <w:pStyle w:val="Compact"/>
            </w:pPr>
            <w:r>
              <w:rPr>
                <w:sz w:val="20"/>
                <w:szCs w:val="20"/>
              </w:rPr>
              <w:t xml:space="preserve">ln_aperture_m</w:t>
            </w:r>
          </w:p>
        </w:tc>
        <w:tc>
          <w:tcPr>
            <w:tcW w:w="0" w:type="auto"/>
          </w:tcPr>
          <w:p>
            <w:pPr>
              <w:spacing w:line="240" w:lineRule="auto" w:before="0" w:after="0"/>
              <w:pStyle w:val="Compact"/>
            </w:pPr>
            <w:r>
              <w:rPr>
                <w:sz w:val="20"/>
                <w:szCs w:val="20"/>
              </w:rPr>
              <w:t xml:space="preserve">Natural log of DSN ground-antenna aperture diameter, meters</w:t>
            </w:r>
          </w:p>
        </w:tc>
        <w:tc>
          <w:tcPr>
            <w:tcW w:w="0" w:type="auto"/>
          </w:tcPr>
          <w:p>
            <w:pPr>
              <w:spacing w:line="240" w:lineRule="auto" w:before="0" w:after="0"/>
              <w:pStyle w:val="Compact"/>
            </w:pPr>
            <w:r>
              <w:rPr>
                <w:sz w:val="20"/>
                <w:szCs w:val="20"/>
              </w:rPr>
              <w:t xml:space="preserve">DSN Telecommunications Link Design Handbook 810-005; DSN Services Catalog 820-100-F1</w:t>
            </w:r>
          </w:p>
        </w:tc>
      </w:tr>
      <w:tr>
        <w:tc>
          <w:tcPr>
            <w:tcW w:w="0" w:type="auto"/>
          </w:tcPr>
          <w:p>
            <w:pPr>
              <w:spacing w:line="240" w:lineRule="auto" w:before="0" w:after="0"/>
              <w:pStyle w:val="Compact"/>
            </w:pPr>
            <w:r>
              <w:rPr>
                <w:sz w:val="20"/>
                <w:szCs w:val="20"/>
              </w:rPr>
              <w:t xml:space="preserve">ln_distance_au</w:t>
            </w:r>
          </w:p>
        </w:tc>
        <w:tc>
          <w:tcPr>
            <w:tcW w:w="0" w:type="auto"/>
          </w:tcPr>
          <w:p>
            <w:pPr>
              <w:spacing w:line="240" w:lineRule="auto" w:before="0" w:after="0"/>
              <w:pStyle w:val="Compact"/>
            </w:pPr>
            <w:r>
              <w:rPr>
                <w:sz w:val="20"/>
                <w:szCs w:val="20"/>
              </w:rPr>
              <w:t xml:space="preserve">Natural log of spacecraft Earth distance at the operating point, astronomical units (floored at 0.001 AU)</w:t>
            </w:r>
          </w:p>
        </w:tc>
        <w:tc>
          <w:tcPr>
            <w:tcW w:w="0" w:type="auto"/>
          </w:tcPr>
          <w:p>
            <w:pPr>
              <w:spacing w:line="240" w:lineRule="auto" w:before="0" w:after="0"/>
              <w:pStyle w:val="Compact"/>
            </w:pPr>
            <w:r>
              <w:rPr>
                <w:sz w:val="20"/>
                <w:szCs w:val="20"/>
              </w:rPr>
              <w:t xml:space="preserve">Mission documentation and DESCANSO monographs</w:t>
            </w:r>
          </w:p>
        </w:tc>
      </w:tr>
      <w:tr>
        <w:tc>
          <w:tcPr>
            <w:tcW w:w="0" w:type="auto"/>
          </w:tcPr>
          <w:p>
            <w:pPr>
              <w:spacing w:line="240" w:lineRule="auto" w:before="0" w:after="0"/>
              <w:pStyle w:val="Compact"/>
            </w:pPr>
            <w:r>
              <w:rPr>
                <w:sz w:val="20"/>
                <w:szCs w:val="20"/>
              </w:rPr>
              <w:t xml:space="preserve">ln_xmit_power_w</w:t>
            </w:r>
          </w:p>
        </w:tc>
        <w:tc>
          <w:tcPr>
            <w:tcW w:w="0" w:type="auto"/>
          </w:tcPr>
          <w:p>
            <w:pPr>
              <w:spacing w:line="240" w:lineRule="auto" w:before="0" w:after="0"/>
              <w:pStyle w:val="Compact"/>
            </w:pPr>
            <w:r>
              <w:rPr>
                <w:sz w:val="20"/>
                <w:szCs w:val="20"/>
              </w:rPr>
              <w:t xml:space="preserve">Natural log of onboard transmit (RF) power, watts</w:t>
            </w:r>
          </w:p>
        </w:tc>
        <w:tc>
          <w:tcPr>
            <w:tcW w:w="0" w:type="auto"/>
          </w:tcPr>
          <w:p>
            <w:pPr>
              <w:spacing w:line="240" w:lineRule="auto" w:before="0" w:after="0"/>
              <w:pStyle w:val="Compact"/>
            </w:pPr>
            <w:r>
              <w:rPr>
                <w:sz w:val="20"/>
                <w:szCs w:val="20"/>
              </w:rPr>
              <w:t xml:space="preserve">DESCANSO monographs and mission press kits</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Indicator equal to 1 for Ka-band downlink, 0 for X-band or S-band (band fixed effect)</w:t>
            </w:r>
          </w:p>
        </w:tc>
        <w:tc>
          <w:tcPr>
            <w:tcW w:w="0" w:type="auto"/>
          </w:tcPr>
          <w:p>
            <w:pPr>
              <w:spacing w:line="240" w:lineRule="auto" w:before="0" w:after="0"/>
              <w:pStyle w:val="Compact"/>
            </w:pPr>
            <w:r>
              <w:rPr>
                <w:sz w:val="20"/>
                <w:szCs w:val="20"/>
              </w:rPr>
              <w:t xml:space="preserve">DSN 810-005 band designations; mission documentation</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3.5815</w:t>
            </w:r>
          </w:p>
        </w:tc>
        <w:tc>
          <w:tcPr>
            <w:tcW w:w="0" w:type="auto"/>
          </w:tcPr>
          <w:p>
            <w:pPr>
              <w:spacing w:line="240" w:lineRule="auto" w:before="0" w:after="0"/>
              <w:pStyle w:val="Compact"/>
            </w:pPr>
            <w:r>
              <w:rPr>
                <w:sz w:val="20"/>
                <w:szCs w:val="20"/>
              </w:rPr>
              <w:t xml:space="preserve">6.5377</w:t>
            </w:r>
          </w:p>
        </w:tc>
        <w:tc>
          <w:tcPr>
            <w:tcW w:w="0" w:type="auto"/>
          </w:tcPr>
          <w:p>
            <w:pPr>
              <w:spacing w:line="240" w:lineRule="auto" w:before="0" w:after="0"/>
              <w:pStyle w:val="Compact"/>
            </w:pPr>
            <w:r>
              <w:rPr>
                <w:sz w:val="20"/>
                <w:szCs w:val="20"/>
              </w:rPr>
              <w:t xml:space="preserve">0.5478</w:t>
            </w:r>
          </w:p>
        </w:tc>
        <w:tc>
          <w:tcPr>
            <w:tcW w:w="0" w:type="auto"/>
          </w:tcPr>
          <w:p>
            <w:pPr>
              <w:spacing w:line="240" w:lineRule="auto" w:before="0" w:after="0"/>
              <w:pStyle w:val="Compact"/>
            </w:pPr>
            <w:r>
              <w:rPr>
                <w:sz w:val="20"/>
                <w:szCs w:val="20"/>
              </w:rPr>
              <w:t xml:space="preserve">0.5838</w:t>
            </w:r>
          </w:p>
        </w:tc>
        <w:tc>
          <w:tcPr>
            <w:tcW w:w="0" w:type="auto"/>
          </w:tcPr>
          <w:p>
            <w:pPr>
              <w:spacing w:line="240" w:lineRule="auto" w:before="0" w:after="0"/>
              <w:pStyle w:val="Compact"/>
            </w:pPr>
            <w:r>
              <w:rPr>
                <w:sz w:val="20"/>
                <w:szCs w:val="20"/>
              </w:rPr>
              <w:t xml:space="preserve">[-9.2323, 16.3952]</w:t>
            </w:r>
          </w:p>
        </w:tc>
      </w:tr>
      <w:tr>
        <w:tc>
          <w:tcPr>
            <w:tcW w:w="0" w:type="auto"/>
          </w:tcPr>
          <w:p>
            <w:pPr>
              <w:spacing w:line="240" w:lineRule="auto" w:before="0" w:after="0"/>
              <w:pStyle w:val="Compact"/>
            </w:pPr>
            <w:r>
              <w:rPr>
                <w:sz w:val="20"/>
                <w:szCs w:val="20"/>
              </w:rPr>
              <w:t xml:space="preserve">ln_aperture_m</w:t>
            </w:r>
          </w:p>
        </w:tc>
        <w:tc>
          <w:tcPr>
            <w:tcW w:w="0" w:type="auto"/>
          </w:tcPr>
          <w:p>
            <w:pPr>
              <w:spacing w:line="240" w:lineRule="auto" w:before="0" w:after="0"/>
              <w:pStyle w:val="Compact"/>
            </w:pPr>
            <w:r>
              <w:rPr>
                <w:sz w:val="20"/>
                <w:szCs w:val="20"/>
              </w:rPr>
              <w:t xml:space="preserve">-1.1984</w:t>
            </w:r>
          </w:p>
        </w:tc>
        <w:tc>
          <w:tcPr>
            <w:tcW w:w="0" w:type="auto"/>
          </w:tcPr>
          <w:p>
            <w:pPr>
              <w:spacing w:line="240" w:lineRule="auto" w:before="0" w:after="0"/>
              <w:pStyle w:val="Compact"/>
            </w:pPr>
            <w:r>
              <w:rPr>
                <w:sz w:val="20"/>
                <w:szCs w:val="20"/>
              </w:rPr>
              <w:t xml:space="preserve">1.4414</w:t>
            </w:r>
          </w:p>
        </w:tc>
        <w:tc>
          <w:tcPr>
            <w:tcW w:w="0" w:type="auto"/>
          </w:tcPr>
          <w:p>
            <w:pPr>
              <w:spacing w:line="240" w:lineRule="auto" w:before="0" w:after="0"/>
              <w:pStyle w:val="Compact"/>
            </w:pPr>
            <w:r>
              <w:rPr>
                <w:sz w:val="20"/>
                <w:szCs w:val="20"/>
              </w:rPr>
              <w:t xml:space="preserve">-0.8314</w:t>
            </w:r>
          </w:p>
        </w:tc>
        <w:tc>
          <w:tcPr>
            <w:tcW w:w="0" w:type="auto"/>
          </w:tcPr>
          <w:p>
            <w:pPr>
              <w:spacing w:line="240" w:lineRule="auto" w:before="0" w:after="0"/>
              <w:pStyle w:val="Compact"/>
            </w:pPr>
            <w:r>
              <w:rPr>
                <w:sz w:val="20"/>
                <w:szCs w:val="20"/>
              </w:rPr>
              <w:t xml:space="preserve">0.4058</w:t>
            </w:r>
          </w:p>
        </w:tc>
        <w:tc>
          <w:tcPr>
            <w:tcW w:w="0" w:type="auto"/>
          </w:tcPr>
          <w:p>
            <w:pPr>
              <w:spacing w:line="240" w:lineRule="auto" w:before="0" w:after="0"/>
              <w:pStyle w:val="Compact"/>
            </w:pPr>
            <w:r>
              <w:rPr>
                <w:sz w:val="20"/>
                <w:szCs w:val="20"/>
              </w:rPr>
              <w:t xml:space="preserve">[-4.0235, 1.6267]</w:t>
            </w:r>
          </w:p>
        </w:tc>
      </w:tr>
      <w:tr>
        <w:tc>
          <w:tcPr>
            <w:tcW w:w="0" w:type="auto"/>
          </w:tcPr>
          <w:p>
            <w:pPr>
              <w:spacing w:line="240" w:lineRule="auto" w:before="0" w:after="0"/>
              <w:pStyle w:val="Compact"/>
            </w:pPr>
            <w:r>
              <w:rPr>
                <w:sz w:val="20"/>
                <w:szCs w:val="20"/>
              </w:rPr>
              <w:t xml:space="preserve">ln_distance_au</w:t>
            </w:r>
          </w:p>
        </w:tc>
        <w:tc>
          <w:tcPr>
            <w:tcW w:w="0" w:type="auto"/>
          </w:tcPr>
          <w:p>
            <w:pPr>
              <w:spacing w:line="240" w:lineRule="auto" w:before="0" w:after="0"/>
              <w:pStyle w:val="Compact"/>
            </w:pPr>
            <w:r>
              <w:rPr>
                <w:sz w:val="20"/>
                <w:szCs w:val="20"/>
              </w:rPr>
              <w:t xml:space="preserve">-0.4672</w:t>
            </w:r>
          </w:p>
        </w:tc>
        <w:tc>
          <w:tcPr>
            <w:tcW w:w="0" w:type="auto"/>
          </w:tcPr>
          <w:p>
            <w:pPr>
              <w:spacing w:line="240" w:lineRule="auto" w:before="0" w:after="0"/>
              <w:pStyle w:val="Compact"/>
            </w:pPr>
            <w:r>
              <w:rPr>
                <w:sz w:val="20"/>
                <w:szCs w:val="20"/>
              </w:rPr>
              <w:t xml:space="preserve">0.2429</w:t>
            </w:r>
          </w:p>
        </w:tc>
        <w:tc>
          <w:tcPr>
            <w:tcW w:w="0" w:type="auto"/>
          </w:tcPr>
          <w:p>
            <w:pPr>
              <w:spacing w:line="240" w:lineRule="auto" w:before="0" w:after="0"/>
              <w:pStyle w:val="Compact"/>
            </w:pPr>
            <w:r>
              <w:rPr>
                <w:sz w:val="20"/>
                <w:szCs w:val="20"/>
              </w:rPr>
              <w:t xml:space="preserve">-1.9232</w:t>
            </w:r>
          </w:p>
        </w:tc>
        <w:tc>
          <w:tcPr>
            <w:tcW w:w="0" w:type="auto"/>
          </w:tcPr>
          <w:p>
            <w:pPr>
              <w:spacing w:line="240" w:lineRule="auto" w:before="0" w:after="0"/>
              <w:pStyle w:val="Compact"/>
            </w:pPr>
            <w:r>
              <w:rPr>
                <w:sz w:val="20"/>
                <w:szCs w:val="20"/>
              </w:rPr>
              <w:t xml:space="preserve">0.0545</w:t>
            </w:r>
          </w:p>
        </w:tc>
        <w:tc>
          <w:tcPr>
            <w:tcW w:w="0" w:type="auto"/>
          </w:tcPr>
          <w:p>
            <w:pPr>
              <w:spacing w:line="240" w:lineRule="auto" w:before="0" w:after="0"/>
              <w:pStyle w:val="Compact"/>
            </w:pPr>
            <w:r>
              <w:rPr>
                <w:sz w:val="20"/>
                <w:szCs w:val="20"/>
              </w:rPr>
              <w:t xml:space="preserve">[-0.9433, 0.0089]</w:t>
            </w:r>
          </w:p>
        </w:tc>
      </w:tr>
      <w:tr>
        <w:tc>
          <w:tcPr>
            <w:tcW w:w="0" w:type="auto"/>
          </w:tcPr>
          <w:p>
            <w:pPr>
              <w:spacing w:line="240" w:lineRule="auto" w:before="0" w:after="0"/>
              <w:pStyle w:val="Compact"/>
            </w:pPr>
            <w:r>
              <w:rPr>
                <w:sz w:val="20"/>
                <w:szCs w:val="20"/>
              </w:rPr>
              <w:t xml:space="preserve">ln_xmit_power_w</w:t>
            </w:r>
          </w:p>
        </w:tc>
        <w:tc>
          <w:tcPr>
            <w:tcW w:w="0" w:type="auto"/>
          </w:tcPr>
          <w:p>
            <w:pPr>
              <w:spacing w:line="240" w:lineRule="auto" w:before="0" w:after="0"/>
              <w:pStyle w:val="Compact"/>
            </w:pPr>
            <w:r>
              <w:rPr>
                <w:sz w:val="20"/>
                <w:szCs w:val="20"/>
              </w:rPr>
              <w:t xml:space="preserve">1.5616</w:t>
            </w:r>
          </w:p>
        </w:tc>
        <w:tc>
          <w:tcPr>
            <w:tcW w:w="0" w:type="auto"/>
          </w:tcPr>
          <w:p>
            <w:pPr>
              <w:spacing w:line="240" w:lineRule="auto" w:before="0" w:after="0"/>
              <w:pStyle w:val="Compact"/>
            </w:pPr>
            <w:r>
              <w:rPr>
                <w:sz w:val="20"/>
                <w:szCs w:val="20"/>
              </w:rPr>
              <w:t xml:space="preserve">0.5507</w:t>
            </w:r>
          </w:p>
        </w:tc>
        <w:tc>
          <w:tcPr>
            <w:tcW w:w="0" w:type="auto"/>
          </w:tcPr>
          <w:p>
            <w:pPr>
              <w:spacing w:line="240" w:lineRule="auto" w:before="0" w:after="0"/>
              <w:pStyle w:val="Compact"/>
            </w:pPr>
            <w:r>
              <w:rPr>
                <w:sz w:val="20"/>
                <w:szCs w:val="20"/>
              </w:rPr>
              <w:t xml:space="preserve">2.8356</w:t>
            </w:r>
          </w:p>
        </w:tc>
        <w:tc>
          <w:tcPr>
            <w:tcW w:w="0" w:type="auto"/>
          </w:tcPr>
          <w:p>
            <w:pPr>
              <w:spacing w:line="240" w:lineRule="auto" w:before="0" w:after="0"/>
              <w:pStyle w:val="Compact"/>
            </w:pPr>
            <w:r>
              <w:rPr>
                <w:sz w:val="20"/>
                <w:szCs w:val="20"/>
              </w:rPr>
              <w:t xml:space="preserve">0.0046</w:t>
            </w:r>
          </w:p>
        </w:tc>
        <w:tc>
          <w:tcPr>
            <w:tcW w:w="0" w:type="auto"/>
          </w:tcPr>
          <w:p>
            <w:pPr>
              <w:spacing w:line="240" w:lineRule="auto" w:before="0" w:after="0"/>
              <w:pStyle w:val="Compact"/>
            </w:pPr>
            <w:r>
              <w:rPr>
                <w:sz w:val="20"/>
                <w:szCs w:val="20"/>
              </w:rPr>
              <w:t xml:space="preserve">[0.4822, 2.641]</w:t>
            </w:r>
          </w:p>
        </w:tc>
      </w:tr>
      <w:tr>
        <w:tc>
          <w:tcPr>
            <w:tcW w:w="0" w:type="auto"/>
          </w:tcPr>
          <w:p>
            <w:pPr>
              <w:spacing w:line="240" w:lineRule="auto" w:before="0" w:after="0"/>
              <w:pStyle w:val="Compact"/>
            </w:pPr>
            <w:r>
              <w:rPr>
                <w:sz w:val="20"/>
                <w:szCs w:val="20"/>
              </w:rPr>
              <w:t xml:space="preserve">ka_band</w:t>
            </w:r>
          </w:p>
        </w:tc>
        <w:tc>
          <w:tcPr>
            <w:tcW w:w="0" w:type="auto"/>
          </w:tcPr>
          <w:p>
            <w:pPr>
              <w:spacing w:line="240" w:lineRule="auto" w:before="0" w:after="0"/>
              <w:pStyle w:val="Compact"/>
            </w:pPr>
            <w:r>
              <w:rPr>
                <w:sz w:val="20"/>
                <w:szCs w:val="20"/>
              </w:rPr>
              <w:t xml:space="preserve">3.0937</w:t>
            </w:r>
          </w:p>
        </w:tc>
        <w:tc>
          <w:tcPr>
            <w:tcW w:w="0" w:type="auto"/>
          </w:tcPr>
          <w:p>
            <w:pPr>
              <w:spacing w:line="240" w:lineRule="auto" w:before="0" w:after="0"/>
              <w:pStyle w:val="Compact"/>
            </w:pPr>
            <w:r>
              <w:rPr>
                <w:sz w:val="20"/>
                <w:szCs w:val="20"/>
              </w:rPr>
              <w:t xml:space="preserve">1.343</w:t>
            </w:r>
          </w:p>
        </w:tc>
        <w:tc>
          <w:tcPr>
            <w:tcW w:w="0" w:type="auto"/>
          </w:tcPr>
          <w:p>
            <w:pPr>
              <w:spacing w:line="240" w:lineRule="auto" w:before="0" w:after="0"/>
              <w:pStyle w:val="Compact"/>
            </w:pPr>
            <w:r>
              <w:rPr>
                <w:sz w:val="20"/>
                <w:szCs w:val="20"/>
              </w:rPr>
              <w:t xml:space="preserve">2.3035</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[0.4614, 5.726]</w:t>
            </w:r>
          </w:p>
        </w:tc>
      </w:tr>
    </w:tbl>
    <w:p>
      <w:pPr>
        <w:pStyle w:val="BodyText"/>
      </w:pPr>
      <w:r>
        <w:t xml:space="preserve">Fit: N = 30 R2 = 0.5972 R2_adj = 0.5327 F = 12.9247 F_p = 7.739e-06</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8" Target="https://doi.org/10.1007/s11214-008-9374-8" TargetMode="External" /><Relationship Type="http://schemas.openxmlformats.org/officeDocument/2006/relationships/hyperlink" Id="rId69" Target="https://doi.org/10.1016/j.actaastro.2019.09.030"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1007/s11214-008-9374-8" TargetMode="External" /><Relationship Type="http://schemas.openxmlformats.org/officeDocument/2006/relationships/hyperlink" Id="rId69" Target="https://doi.org/10.1016/j.actaastro.2019.09.03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2026-06-22T20:32:12Z</dcterms:created>
  <dcterms:modified xsi:type="dcterms:W3CDTF">2026-06-22T20:32:12Z</dcterms:modified>
</cp:coreProperties>
</file>

<file path=docProps/custom.xml><?xml version="1.0" encoding="utf-8"?>
<Properties xmlns="http://schemas.openxmlformats.org/officeDocument/2006/custom-properties" xmlns:vt="http://schemas.openxmlformats.org/officeDocument/2006/docPropsVTypes"/>
</file>