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APERTURE-CADENCE TRADEOFF: A COST-EFFECTIVENESS FRONTIER FOR DSN CAPACITY EX</w:t>
      </w:r>
    </w:p>
    <w:p>
      <w:pPr>
        <w:jc w:val="center"/>
      </w:pPr>
    </w:p>
    <w:p>
      <w:pPr>
        <w:jc w:val="center"/>
      </w:pPr>
      <w:r>
        <w:rPr>
          <w:rFonts w:ascii="Times New Roman" w:hAnsi="Times New Roman"/>
          <w:sz w:val="24"/>
        </w:rPr>
        <w:t>by</w:t>
      </w:r>
    </w:p>
    <w:p>
      <w:pPr>
        <w:jc w:val="center"/>
      </w:pPr>
      <w:r>
        <w:rPr>
          <w:rFonts w:ascii="Times New Roman" w:hAnsi="Times New Roman"/>
          <w:b/>
          <w:sz w:val="28"/>
        </w:rPr>
        <w:t>Dimitri Marsh</w:t>
      </w:r>
    </w:p>
    <w:p>
      <w:pPr>
        <w:jc w:val="center"/>
      </w:pPr>
      <w:r>
        <w:rPr>
          <w:rFonts w:ascii="Times New Roman" w:hAnsi="Times New Roman"/>
          <w:sz w:val="24"/>
        </w:rPr>
        <w:t>1B-SCN-032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Every United States deep-space mission depends on a single ground asset for the return of its science. The Deep Space Network (DSN), with its three complexes at Goldstone, Madrid, and Canberra, is the apparatus through which the data products of planetary exploration, heliophysics, and the outer-system flagships reach Earth. The network is a shared, congestible asset whose delivered value over a planning horizon is the volume of mission data successfully returned, and that volume is governed jointly by two distinct quantities: how much each contact can carry, and how many contacts the network can stage. The first quantity is a function of aperture, link margin, frequency band, and coding. The second is a function of site count, geographic diversity, and the efficiency with which existing apertures are scheduled. A planner charged with expanding capacity must apportion a fixed capital budget across these two quantities. The apportionment is not innocent. It determines the cost-per-delivered-bit of the asset for its entire service life, and the steep, nonlinear capital structure of large space infrastructure makes a wrong apportionment expensive to reverse once committed</w:t>
      </w:r>
      <w:r>
        <w:t xml:space="preserve"> </w:t>
      </w:r>
      <w:hyperlink w:anchor="ref-2">
        <w:r>
          <w:rPr>
            <w:rStyle w:val="Hyperlink"/>
          </w:rPr>
          <w:t xml:space="preserve">[2]</w:t>
        </w:r>
      </w:hyperlink>
      <w:r>
        <w:t xml:space="preserve">.</w:t>
      </w:r>
    </w:p>
    <w:p>
      <w:pPr>
        <w:pStyle w:val="BodyText"/>
        <w:spacing w:line="480" w:lineRule="auto"/>
        <w:ind w:firstLine="720"/>
      </w:pPr>
      <w:r>
        <w:t xml:space="preserve">The two quantities define two structurally distinct margins along which capacity can be bought. The first is the aperture margin: enlarging collecting area per ground site, whether by building larger single reflectors, arraying several smaller antennas into a phased aggregate, or adding optical apertures that trade radio-frequency robustness for higher photon-efficient throughput. The DSN aperture-enhancement program demonstrates that this margin is actively worked in the operational network, with measured calibration and performance gains documented for upgraded apertures</w:t>
      </w:r>
      <w:r>
        <w:t xml:space="preserve"> </w:t>
      </w:r>
      <w:hyperlink w:anchor="ref-33">
        <w:r>
          <w:rPr>
            <w:rStyle w:val="Hyperlink"/>
          </w:rPr>
          <w:t xml:space="preserve">[33]</w:t>
        </w:r>
      </w:hyperlink>
      <w:r>
        <w:t xml:space="preserve">. Optical ground-station development pushes the same margin further, since an adaptive-optics-corrected aperture can sustain a deep-space optical downlink and exhibits received-power and bit-error-rate behavior that sets per-contact throughput</w:t>
      </w:r>
      <w:r>
        <w:t xml:space="preserve"> </w:t>
      </w:r>
      <w:hyperlink w:anchor="ref-3">
        <w:r>
          <w:rPr>
            <w:rStyle w:val="Hyperlink"/>
          </w:rPr>
          <w:t xml:space="preserve">[3]</w:t>
        </w:r>
      </w:hyperlink>
      <w:r>
        <w:t xml:space="preserve">. The second margin is the cadence margin: increasing the number of contact opportunities, by adding geographically distributed sites that lift weather and visibility constraints, by tightening scheduling so existing apertures sit idle for fewer hours, or by shortening the turnaround between passes. Relay topologies that interpose intermediate nodes between a distant spacecraft and the ground are one expression of the cadence margin, and assessments of Earth-Mars relay topologies show that contact structure, not aperture alone, governs the realized return of an interplanetary link</w:t>
      </w:r>
      <w:r>
        <w:t xml:space="preserve"> </w:t>
      </w:r>
      <w:hyperlink w:anchor="ref-36">
        <w:r>
          <w:rPr>
            <w:rStyle w:val="Hyperlink"/>
          </w:rPr>
          <w:t xml:space="preserve">[36]</w:t>
        </w:r>
      </w:hyperlink>
      <w:r>
        <w:t xml:space="preserve">.</w:t>
      </w:r>
    </w:p>
    <w:p>
      <w:pPr>
        <w:pStyle w:val="BodyText"/>
        <w:spacing w:line="480" w:lineRule="auto"/>
        <w:ind w:firstLine="720"/>
      </w:pPr>
      <w:r>
        <w:t xml:space="preserve">These two margins compete for the same fixed budget. A dollar spent on a larger dish at Goldstone is a dollar not spent on a fourth pass per day or a fourth complex in a new longitude band. Yet the field lacks a disciplined account of when a marginal dollar buys more delivered data through aperture than through cadence, and the absence of such an account is the problem this dissertation addresses. The claim of the dissertation is narrow and is stated precisely in Section 1.5: across the relevant budget range the marginal cost per delivered bit is not equal across the two margins, so a frontier-optimal capacity plan is interior rather than a corner solution that funds one margin to exhaustion before touching the other.</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of getting the apportionment right are programmatic and economic rather than merely academic. They are also large. NASA’s deep-space flight manifest grows with each spacecraft that enters cruise, and the DSN is the one ground asset that every such spacecraft contends for. The Jet Propulsion Laboratory, which operates the network, must justify each capacity-expansion increment against a fixed annual appropriation, and the justification ultimately reduces to a cost-per-delivered-bit comparison whether or not it is stated in those terms. When that comparison is made informally, the network risks over-investing in aperture while starving cadence, or the reverse, and either error locks in a suboptimal cost-per-bit for the asset’s service life.</w:t>
      </w:r>
    </w:p>
    <w:p>
      <w:pPr>
        <w:pStyle w:val="BodyText"/>
        <w:spacing w:line="480" w:lineRule="auto"/>
        <w:ind w:firstLine="720"/>
      </w:pPr>
      <w:r>
        <w:t xml:space="preserve">The economic component of the stakes is frequently under-resolved. Ground-segment operating cost is a recognized and material component of space-system expenditure, yet it is routinely excluded or under-resolved in headline economic forecasts of the sector, where ground-station expense is noted among the operational costs left out of regional breakdowns</w:t>
      </w:r>
      <w:r>
        <w:t xml:space="preserve"> </w:t>
      </w:r>
      <w:hyperlink w:anchor="ref-1">
        <w:r>
          <w:rPr>
            <w:rStyle w:val="Hyperlink"/>
          </w:rPr>
          <w:t xml:space="preserve">[1]</w:t>
        </w:r>
      </w:hyperlink>
      <w:r>
        <w:t xml:space="preserve">. The capital cost structure of space infrastructure follows steep, nonlinear curves whose divergence across forecasts is itself a documented feature of the literature</w:t>
      </w:r>
      <w:r>
        <w:t xml:space="preserve"> </w:t>
      </w:r>
      <w:hyperlink w:anchor="ref-2">
        <w:r>
          <w:rPr>
            <w:rStyle w:val="Hyperlink"/>
          </w:rPr>
          <w:t xml:space="preserve">[2]</w:t>
        </w:r>
      </w:hyperlink>
      <w:r>
        <w:t xml:space="preserve">. Treating the ground segment as a line item to be reported or excluded, rather than as a function whose slope against each capacity margin can be estimated, leaves the apportionment decision unsupported by any priced comparison. Parametric cost-estimation tools applied to NASA missions carry wide uncertainty bands once real program data enter the fit, which is a caution against trusting any single point estimate of expansion cost and an argument for an explicitly estimated frontier with reported confidence intervals</w:t>
      </w:r>
      <w:r>
        <w:t xml:space="preserve"> </w:t>
      </w:r>
      <w:hyperlink w:anchor="ref-6">
        <w:r>
          <w:rPr>
            <w:rStyle w:val="Hyperlink"/>
          </w:rPr>
          <w:t xml:space="preserve">[6]</w:t>
        </w:r>
      </w:hyperlink>
      <w:r>
        <w:t xml:space="preserve">.</w:t>
      </w:r>
    </w:p>
    <w:p>
      <w:pPr>
        <w:pStyle w:val="BodyText"/>
        <w:spacing w:line="480" w:lineRule="auto"/>
        <w:ind w:firstLine="720"/>
      </w:pPr>
      <w:r>
        <w:t xml:space="preserve">The history of the network records the consequences of the apportionment. Flagship missions show this plainly. The telecommunications subsystems of Voyager, Cassini, Mars Reconnaissance Orbiter, and Mars Science Laboratory each represent a particular resolution of the aperture-versus-cadence question at the spacecraft-and-ground interface, and the design-and-performance record of those missions documents how achieved data return depended on the matching of transmitter, band, and ground aperture rather than on aperture alone</w:t>
      </w:r>
      <w:r>
        <w:t xml:space="preserve"> </w:t>
      </w:r>
      <w:hyperlink w:anchor="ref-9">
        <w:r>
          <w:rPr>
            <w:rStyle w:val="Hyperlink"/>
          </w:rPr>
          <w:t xml:space="preserve">[9]</w:t>
        </w:r>
      </w:hyperlink>
      <w:r>
        <w:t xml:space="preserve">[10][11][12]. New Horizons, returning a few kilobits per second from beyond Pluto on a large dish, is the limiting case in which aperture is the only lever left and cadence is constrained by geometry</w:t>
      </w:r>
      <w:r>
        <w:t xml:space="preserve"> </w:t>
      </w:r>
      <w:hyperlink w:anchor="ref-14">
        <w:r>
          <w:rPr>
            <w:rStyle w:val="Hyperlink"/>
          </w:rPr>
          <w:t xml:space="preserve">[14]</w:t>
        </w:r>
      </w:hyperlink>
      <w:r>
        <w:t xml:space="preserve">. These cases motivate the dissertation’s insistence that aperture and cadence be priced together rather than in isolation.</w:t>
      </w:r>
    </w:p>
    <w:bookmarkEnd w:id="62"/>
    <w:bookmarkStart w:id="63" w:name="the-domain-literature"/>
    <w:p>
      <w:pPr>
        <w:pStyle w:val="Heading2"/>
        <w:spacing w:line="480" w:lineRule="auto"/>
      </w:pPr>
      <w:r>
        <w:t xml:space="preserve">1.3 The Domain Literature</w:t>
      </w:r>
    </w:p>
    <w:p>
      <w:pPr>
        <w:pStyle w:val="FirstParagraph"/>
        <w:spacing w:line="480" w:lineRule="auto"/>
      </w:pPr>
      <w:r>
        <w:t xml:space="preserve">The engineering and operations literature of the DSN is deep, but it treats each capacity margin in a separate channel. On the aperture side, the link-design and services documentation specifies the achievable rate of each antenna class as a function of band and configuration, supplying the structural relationships that translate aperture and frequency into a data rate</w:t>
      </w:r>
      <w:r>
        <w:t xml:space="preserve"> </w:t>
      </w:r>
      <w:hyperlink w:anchor="ref-5">
        <w:r>
          <w:rPr>
            <w:rStyle w:val="Hyperlink"/>
          </w:rPr>
          <w:t xml:space="preserve">[5]</w:t>
        </w:r>
      </w:hyperlink>
      <w:r>
        <w:t xml:space="preserve">[13]. The aperture-enhancement project reports measured performance gains from upgraded apertures, confirming that the aperture margin is a live engineering lever with quantified returns</w:t>
      </w:r>
      <w:r>
        <w:t xml:space="preserve"> </w:t>
      </w:r>
      <w:hyperlink w:anchor="ref-33">
        <w:r>
          <w:rPr>
            <w:rStyle w:val="Hyperlink"/>
          </w:rPr>
          <w:t xml:space="preserve">[33]</w:t>
        </w:r>
      </w:hyperlink>
      <w:r>
        <w:t xml:space="preserve">. Optical ground-station work characterizes the per-contact throughput available from an adaptive-optics-corrected aperture and the received-power and bit-error-rate behavior that bounds it</w:t>
      </w:r>
      <w:r>
        <w:t xml:space="preserve"> </w:t>
      </w:r>
      <w:hyperlink w:anchor="ref-3">
        <w:r>
          <w:rPr>
            <w:rStyle w:val="Hyperlink"/>
          </w:rPr>
          <w:t xml:space="preserve">[3]</w:t>
        </w:r>
      </w:hyperlink>
      <w:r>
        <w:t xml:space="preserve">. Sensor- and payload-side work shows that processing data on board to reduce the required downlink rate is itself a capacity lever, substituting payload computation for ground capacity, since imaging and flux-data processing can greatly reduce the required downlink data rate and therefore the cost of returning a given science product</w:t>
      </w:r>
      <w:r>
        <w:t xml:space="preserve"> </w:t>
      </w:r>
      <w:hyperlink w:anchor="ref-4">
        <w:r>
          <w:rPr>
            <w:rStyle w:val="Hyperlink"/>
          </w:rPr>
          <w:t xml:space="preserve">[4]</w:t>
        </w:r>
      </w:hyperlink>
      <w:r>
        <w:t xml:space="preserve">.</w:t>
      </w:r>
    </w:p>
    <w:p>
      <w:pPr>
        <w:pStyle w:val="BodyText"/>
        <w:spacing w:line="480" w:lineRule="auto"/>
        <w:ind w:firstLine="720"/>
      </w:pPr>
      <w:r>
        <w:t xml:space="preserve">On the cadence and architecture side, a parallel literature treats contact structure. The DSN arraying studies, beginning with cost-and-reliability analysis of large arrays of small reflector antennas and continuing through array-based receive and uplink concepts, establish that effective aperture can be synthesized from many small antennas and that doing so changes both the cost structure and the contact economics of the network</w:t>
      </w:r>
      <w:r>
        <w:t xml:space="preserve"> </w:t>
      </w:r>
      <w:hyperlink w:anchor="ref-16">
        <w:r>
          <w:rPr>
            <w:rStyle w:val="Hyperlink"/>
          </w:rPr>
          <w:t xml:space="preserve">[16]</w:t>
        </w:r>
      </w:hyperlink>
      <w:r>
        <w:t xml:space="preserve">[17][18][19][20][21]. Relay-topology assessments for Earth-Mars communication show that interposing nodes restructures contact availability and delivered volume in ways that no aperture upgrade reproduces</w:t>
      </w:r>
      <w:r>
        <w:t xml:space="preserve"> </w:t>
      </w:r>
      <w:hyperlink w:anchor="ref-36">
        <w:r>
          <w:rPr>
            <w:rStyle w:val="Hyperlink"/>
          </w:rPr>
          <w:t xml:space="preserve">[36]</w:t>
        </w:r>
      </w:hyperlink>
      <w:r>
        <w:t xml:space="preserve">. Scheduling and disruption-tolerant communication approaches address the idle-time component of cadence directly</w:t>
      </w:r>
      <w:r>
        <w:t xml:space="preserve"> </w:t>
      </w:r>
      <w:hyperlink w:anchor="ref-28">
        <w:r>
          <w:rPr>
            <w:rStyle w:val="Hyperlink"/>
          </w:rPr>
          <w:t xml:space="preserve">[28]</w:t>
        </w:r>
      </w:hyperlink>
      <w:r>
        <w:t xml:space="preserve">.</w:t>
      </w:r>
    </w:p>
    <w:p>
      <w:pPr>
        <w:pStyle w:val="BodyText"/>
        <w:spacing w:line="480" w:lineRule="auto"/>
        <w:ind w:firstLine="720"/>
      </w:pPr>
      <w:r>
        <w:t xml:space="preserve">What unites these two channels is that neither prices itself against the other. The two run parallel and never cross. The aperture literature characterizes per-contact capability; the cadence literature characterizes contact structure; and the cost literature reports ground-segment expense as an accounting term</w:t>
      </w:r>
      <w:r>
        <w:t xml:space="preserve"> </w:t>
      </w:r>
      <w:hyperlink w:anchor="ref-1">
        <w:r>
          <w:rPr>
            <w:rStyle w:val="Hyperlink"/>
          </w:rPr>
          <w:t xml:space="preserve">[1]</w:t>
        </w:r>
      </w:hyperlink>
      <w:r>
        <w:t xml:space="preserve"> </w:t>
      </w:r>
      <w:r>
        <w:t xml:space="preserve">or acknowledges the steepness of space cost curves at the system level</w:t>
      </w:r>
      <w:r>
        <w:t xml:space="preserve"> </w:t>
      </w:r>
      <w:hyperlink w:anchor="ref-2">
        <w:r>
          <w:rPr>
            <w:rStyle w:val="Hyperlink"/>
          </w:rPr>
          <w:t xml:space="preserve">[2]</w:t>
        </w:r>
      </w:hyperlink>
      <w:r>
        <w:t xml:space="preserve"> </w:t>
      </w:r>
      <w:r>
        <w:t xml:space="preserve">without decomposing that steepness at the ground-segment margin. The radio-astronomy engineering tradition holds that the mechanical cost of a single steerable structure scales roughly as diameter to the 2.7 power</w:t>
      </w:r>
      <w:r>
        <w:t xml:space="preserve"> </w:t>
      </w:r>
      <w:hyperlink w:anchor="ref-15">
        <w:r>
          <w:rPr>
            <w:rStyle w:val="Hyperlink"/>
          </w:rPr>
          <w:t xml:space="preserve">[15]</w:t>
        </w:r>
      </w:hyperlink>
      <w:r>
        <w:t xml:space="preserve">, a near-cubic law that bears directly on the aperture-versus-cadence question, yet that law lives in the structures literature and is not joined to a delivered-bit objective. The substitution lever of on-board processing</w:t>
      </w:r>
      <w:r>
        <w:t xml:space="preserve"> </w:t>
      </w:r>
      <w:hyperlink w:anchor="ref-4">
        <w:r>
          <w:rPr>
            <w:rStyle w:val="Hyperlink"/>
          </w:rPr>
          <w:t xml:space="preserve">[4]</w:t>
        </w:r>
      </w:hyperlink>
      <w:r>
        <w:t xml:space="preserve"> </w:t>
      </w:r>
      <w:r>
        <w:t xml:space="preserve">further complicates any naive aperture-cadence contrast, because aperture and cadence are not the only margins and any frontier that omits the processing choice risks omitted-variable contamination. The domain literature, in short, supplies every ingredient of the apportionment decision and assembles none of them onto a common cost-per-delivered-bit axis.</w:t>
      </w:r>
    </w:p>
    <w:bookmarkEnd w:id="63"/>
    <w:bookmarkStart w:id="64" w:name="the-econometric-method-literature"/>
    <w:p>
      <w:pPr>
        <w:pStyle w:val="Heading2"/>
        <w:spacing w:line="480" w:lineRule="auto"/>
      </w:pPr>
      <w:r>
        <w:t xml:space="preserve">1.4 The Econometric Method Literature</w:t>
      </w:r>
    </w:p>
    <w:p>
      <w:pPr>
        <w:pStyle w:val="FirstParagraph"/>
        <w:spacing w:line="480" w:lineRule="auto"/>
      </w:pPr>
      <w:r>
        <w:t xml:space="preserve">The method literature that could supply the missing axis is equally well developed and equally disconnected from the DSN problem. The estimation of constant-elasticity relationships by log-log regression is the canonical tool for cost-scaling and performance-scaling questions, and the framing of a shared infrastructure as an asset whose marginal return along an investment frontier is the relevant object, not its average engineering relationship, is standard in the economics of infrastructure</w:t>
      </w:r>
      <w:r>
        <w:t xml:space="preserve"> </w:t>
      </w:r>
      <w:hyperlink w:anchor="ref-7">
        <w:r>
          <w:rPr>
            <w:rStyle w:val="Hyperlink"/>
          </w:rPr>
          <w:t xml:space="preserve">[7]</w:t>
        </w:r>
      </w:hyperlink>
      <w:r>
        <w:t xml:space="preserve">[8]. Parametric cost estimation for NASA missions rests on log-linear scaling and has been subjected to blind validation that documents both its usefulness and its uncertainty bands</w:t>
      </w:r>
      <w:r>
        <w:t xml:space="preserve"> </w:t>
      </w:r>
      <w:hyperlink w:anchor="ref-6">
        <w:r>
          <w:rPr>
            <w:rStyle w:val="Hyperlink"/>
          </w:rPr>
          <w:t xml:space="preserve">[6]</w:t>
        </w:r>
      </w:hyperlink>
      <w:r>
        <w:t xml:space="preserve">. Space-economics scholarship argues that returns to large fixed infrastructure are realized only when the rest of the system is matched to the asset, which is precisely the empirical expectation that an aperture effect will be conditional on band and transmitter rather than free-standing</w:t>
      </w:r>
      <w:r>
        <w:t xml:space="preserve"> </w:t>
      </w:r>
      <w:hyperlink w:anchor="ref-8">
        <w:r>
          <w:rPr>
            <w:rStyle w:val="Hyperlink"/>
          </w:rPr>
          <w:t xml:space="preserve">[8]</w:t>
        </w:r>
      </w:hyperlink>
      <w:r>
        <w:t xml:space="preserve">.</w:t>
      </w:r>
    </w:p>
    <w:p>
      <w:pPr>
        <w:pStyle w:val="BodyText"/>
        <w:spacing w:line="480" w:lineRule="auto"/>
        <w:ind w:firstLine="720"/>
      </w:pPr>
      <w:r>
        <w:t xml:space="preserve">The two companion studies that anchor this dissertation apply this method literature to the DSN aperture question and produce results that, taken together, reframe the apportionment. The first study estimates a fixed-effects regression of peak downlink rate on ground-antenna aperture across thirty documented mission configurations, holding distance, transmit power, and frequency band fixed, and finds that the partial elasticity of rate with respect to aperture is not statistically distinguishable from zero once those confounders are conditioned out, with the genuine explanatory work carried by transmit power and by a migration to Ka-band. The second study estimates a log-log cost-aperture elasticity across fifteen large ground antennas and radio telescopes and finds a realized elasticity statistically indistinguishable from one rather than from the near-cubic structural benchmark of 2.7</w:t>
      </w:r>
      <w:r>
        <w:t xml:space="preserve"> </w:t>
      </w:r>
      <w:hyperlink w:anchor="ref-15">
        <w:r>
          <w:rPr>
            <w:rStyle w:val="Hyperlink"/>
          </w:rPr>
          <w:t xml:space="preserve">[15]</w:t>
        </w:r>
      </w:hyperlink>
      <w:r>
        <w:t xml:space="preserve">, the empirical signature of an antenna population that already embeds the arraying response</w:t>
      </w:r>
      <w:r>
        <w:t xml:space="preserve"> </w:t>
      </w:r>
      <w:hyperlink w:anchor="ref-16">
        <w:r>
          <w:rPr>
            <w:rStyle w:val="Hyperlink"/>
          </w:rPr>
          <w:t xml:space="preserve">[16]</w:t>
        </w:r>
      </w:hyperlink>
      <w:r>
        <w:t xml:space="preserve">[19][20]. Each study isolates one blade of the scissors. Neither closes them. A single cost-per-delivered-bit objective still went unbuilt.</w:t>
      </w:r>
    </w:p>
    <w:p>
      <w:pPr>
        <w:pStyle w:val="BodyText"/>
        <w:spacing w:line="480" w:lineRule="auto"/>
        <w:ind w:firstLine="720"/>
      </w:pPr>
      <w:r>
        <w:t xml:space="preserve">The gap between the two literatures is therefore specific and addressable. The domain literature characterizes aperture capability and contact structure but does not price them against a budget. The method literature supplies the frontier estimation and the elasticity machinery but has not been brought to bear on the joint aperture-cadence apportionment with delivered data volume as the outcome. Three gaps follow. The margin-isolation gap is that aperture performance and contact scheduling are modeled in separate literatures with no instrument pricing the two against a shared budget constraint</w:t>
      </w:r>
      <w:r>
        <w:t xml:space="preserve"> </w:t>
      </w:r>
      <w:hyperlink w:anchor="ref-3">
        <w:r>
          <w:rPr>
            <w:rStyle w:val="Hyperlink"/>
          </w:rPr>
          <w:t xml:space="preserve">[3]</w:t>
        </w:r>
      </w:hyperlink>
      <w:r>
        <w:t xml:space="preserve">[1]. The cost-coupling gap is that ground-station operating expense is treated as a line item rather than as a function whose slope against each margin can be estimated and compared</w:t>
      </w:r>
      <w:r>
        <w:t xml:space="preserve"> </w:t>
      </w:r>
      <w:hyperlink w:anchor="ref-1">
        <w:r>
          <w:rPr>
            <w:rStyle w:val="Hyperlink"/>
          </w:rPr>
          <w:t xml:space="preserve">[1]</w:t>
        </w:r>
      </w:hyperlink>
      <w:r>
        <w:t xml:space="preserve">[2]. The substitution gap is that on-board processing is a third lever whose omission would contaminate the aperture-cadence contrast</w:t>
      </w:r>
      <w:r>
        <w:t xml:space="preserve"> </w:t>
      </w:r>
      <w:hyperlink w:anchor="ref-4">
        <w:r>
          <w:rPr>
            <w:rStyle w:val="Hyperlink"/>
          </w:rPr>
          <w:t xml:space="preserve">[4]</w:t>
        </w:r>
      </w:hyperlink>
      <w:r>
        <w:t xml:space="preserve">. No existing work assembles these three elements into a single estimable frontier.</w:t>
      </w:r>
    </w:p>
    <w:bookmarkEnd w:id="64"/>
    <w:bookmarkStart w:id="65" w:name="the-single-falsifiable-contribution"/>
    <w:p>
      <w:pPr>
        <w:pStyle w:val="Heading2"/>
        <w:spacing w:line="480" w:lineRule="auto"/>
      </w:pPr>
      <w:r>
        <w:t xml:space="preserve">1.5 The Single Falsifiable Contribution</w:t>
      </w:r>
    </w:p>
    <w:p>
      <w:pPr>
        <w:pStyle w:val="FirstParagraph"/>
        <w:spacing w:line="480" w:lineRule="auto"/>
      </w:pPr>
      <w:r>
        <w:t xml:space="preserve">The contribution of this dissertation is one estimated object and one testable claim about its shape. One object, one claim. The object is the aperture-cadence cost-effectiveness frontier: the locus of budget-constrained maxima of delivered data volume as a fixed budget is reapportioned between the aperture margin and the cadence margin. The claim concerns the equality, at the margin, of the cost per delivered bit on the two margins.</w:t>
      </w:r>
    </w:p>
    <w:p>
      <w:pPr>
        <w:pStyle w:val="BodyText"/>
        <w:spacing w:line="480" w:lineRule="auto"/>
        <w:ind w:firstLine="720"/>
      </w:pPr>
      <w:r>
        <w:t xml:space="preserve">The null hypothesis, H0, is that within the relevant budget range the marginal cost per delivered bit is statistically indistinguishable across the aperture margin and the cadence margin. If H0 holds, the planner is indifferent at the margin, the capacity-expansion problem has no interior structure to exploit, and any allocation on the budget line is as efficient as any other.</w:t>
      </w:r>
    </w:p>
    <w:p>
      <w:pPr>
        <w:pStyle w:val="BodyText"/>
        <w:spacing w:line="480" w:lineRule="auto"/>
        <w:ind w:firstLine="720"/>
      </w:pPr>
      <w:r>
        <w:t xml:space="preserve">The alternative hypothesis, H1, is that within the relevant budget range the marginal cost per delivered bit differs significantly between the two margins, and that the difference reverses sign as the budget grows. Concretely, below a threshold budget the cadence margin returns more delivered bits per dollar, so adding contacts dominates, and above that threshold the aperture margin dominates, so enlarging collecting area dominates. The cost-minimizing plan is then an interior allocation that funds both margins rather than a corner solution.</w:t>
      </w:r>
    </w:p>
    <w:p>
      <w:pPr>
        <w:pStyle w:val="BodyText"/>
        <w:spacing w:line="480" w:lineRule="auto"/>
        <w:ind w:firstLine="720"/>
      </w:pPr>
      <w:r>
        <w:t xml:space="preserve">The claim is falsifiable on a precise criterion. H1 is falsified if the estimated marginal-cost-per-bit difference is not statistically distinguishable from zero, which is a failure to reject H0, or if the difference is significant but does not reverse sign across the budget range, which indicates a corner rather than an interior optimum. The sign-reversal prediction is also the identifying restriction of the design: a spurious correlation between budget and allocation would not generically produce a sign reversal in the marginal-cost-per-bit difference at an interior threshold, so the reversal, if observed, is evidence of genuine interior structure rather than of confounding. This single contribution is therefore both a constructed decision instrument, namely a transparent and replicable frontier for ground-segment investment under a binding budget, and a falsifiable empirical claim about that instrument’s shape.</w:t>
      </w:r>
    </w:p>
    <w:bookmarkEnd w:id="65"/>
    <w:bookmarkStart w:id="66" w:name="method-in-brief"/>
    <w:p>
      <w:pPr>
        <w:pStyle w:val="Heading2"/>
        <w:spacing w:line="480" w:lineRule="auto"/>
      </w:pPr>
      <w:r>
        <w:t xml:space="preserve">1.6 Method in Brief</w:t>
      </w:r>
    </w:p>
    <w:p>
      <w:pPr>
        <w:pStyle w:val="FirstParagraph"/>
        <w:spacing w:line="480" w:lineRule="auto"/>
      </w:pPr>
      <w:r>
        <w:t xml:space="preserve">The dissertation’s method is mixed, pairing a structural engineering model with an econometric cost estimate. The engineering layer is a link-budget-and-queue model that maps a ground-segment configuration, specified by number of sites, aperture per site, and scheduling policy, to expected delivered data volume over a planning horizon. The link side uses received-power and bit-error-rate relationships of the kind characterized for operational deep-space optical and radio-frequency downlinks</w:t>
      </w:r>
      <w:r>
        <w:t xml:space="preserve"> </w:t>
      </w:r>
      <w:hyperlink w:anchor="ref-3">
        <w:r>
          <w:rPr>
            <w:rStyle w:val="Hyperlink"/>
          </w:rPr>
          <w:t xml:space="preserve">[3]</w:t>
        </w:r>
      </w:hyperlink>
      <w:r>
        <w:t xml:space="preserve">[5], and the queue side models contact availability subject to visibility and weather outage. On-board-processing intensity, which trades payload computation for downlink rate</w:t>
      </w:r>
      <w:r>
        <w:t xml:space="preserve"> </w:t>
      </w:r>
      <w:hyperlink w:anchor="ref-4">
        <w:r>
          <w:rPr>
            <w:rStyle w:val="Hyperlink"/>
          </w:rPr>
          <w:t xml:space="preserve">[4]</w:t>
        </w:r>
      </w:hyperlink>
      <w:r>
        <w:t xml:space="preserve">, enters as a held-fixed control so that the aperture-versus-cadence contrast is not confounded.</w:t>
      </w:r>
    </w:p>
    <w:p>
      <w:pPr>
        <w:pStyle w:val="BodyText"/>
        <w:spacing w:line="480" w:lineRule="auto"/>
        <w:ind w:firstLine="720"/>
      </w:pPr>
      <w:r>
        <w:t xml:space="preserve">The cost layer estimates a ground-segment cost function regressing annualized operating-plus-amortized-capital expenditure on aperture aggregate, site count, and scheduling intensity, recognizing that ground-station expense is a distinct and material operating term</w:t>
      </w:r>
      <w:r>
        <w:t xml:space="preserve"> </w:t>
      </w:r>
      <w:hyperlink w:anchor="ref-1">
        <w:r>
          <w:rPr>
            <w:rStyle w:val="Hyperlink"/>
          </w:rPr>
          <w:t xml:space="preserve">[1]</w:t>
        </w:r>
      </w:hyperlink>
      <w:r>
        <w:t xml:space="preserve"> </w:t>
      </w:r>
      <w:r>
        <w:t xml:space="preserve">and that capital follows steep curves whose realized aperture slope the companion cost study estimates at unity rather than the near-cubic structural value</w:t>
      </w:r>
      <w:r>
        <w:t xml:space="preserve"> </w:t>
      </w:r>
      <w:hyperlink w:anchor="ref-15">
        <w:r>
          <w:rPr>
            <w:rStyle w:val="Hyperlink"/>
          </w:rPr>
          <w:t xml:space="preserve">[15]</w:t>
        </w:r>
      </w:hyperlink>
      <w:r>
        <w:t xml:space="preserve">. Differentiating the fitted cost function with respect to each margin, and dividing by the engineering layer’s delivered-bit response to the same margin, yields the marginal cost per delivered bit on each margin. The frontier is the locus of budget-constrained delivered-bit maxima, and H1’s sign-reversal prediction is tested on the difference between the two marginal costs across the budget range. Sensitivity analysis over the on-board-processing control and over weather-outage assumptions tests robustness.</w:t>
      </w:r>
    </w:p>
    <w:p>
      <w:pPr>
        <w:pStyle w:val="BodyText"/>
        <w:spacing w:line="480" w:lineRule="auto"/>
        <w:ind w:firstLine="720"/>
      </w:pPr>
      <w:r>
        <w:t xml:space="preserve">The data are public-domain US Government records. The DSN Now real-time and historical contact and telemetry feed supplies observed contact cadence, per-aperture throughput, and aperture inventory across the three complexes, and the DSN Telecommunications Link Design Handbook supplies the link-budget parameters needed to translate aperture and band into achievable rate</w:t>
      </w:r>
      <w:r>
        <w:t xml:space="preserve"> </w:t>
      </w:r>
      <w:hyperlink w:anchor="ref-5">
        <w:r>
          <w:rPr>
            <w:rStyle w:val="Hyperlink"/>
          </w:rPr>
          <w:t xml:space="preserve">[5]</w:t>
        </w:r>
      </w:hyperlink>
      <w:r>
        <w:t xml:space="preserve">. The services catalog documents the configurations the network actually offers a mission</w:t>
      </w:r>
      <w:r>
        <w:t xml:space="preserve"> </w:t>
      </w:r>
      <w:hyperlink w:anchor="ref-13">
        <w:r>
          <w:rPr>
            <w:rStyle w:val="Hyperlink"/>
          </w:rPr>
          <w:t xml:space="preserve">[13]</w:t>
        </w:r>
      </w:hyperlink>
      <w:r>
        <w:t xml:space="preserve">. Cost-side anchors draw on published ground-segment cost characterizations</w:t>
      </w:r>
      <w:r>
        <w:t xml:space="preserve"> </w:t>
      </w:r>
      <w:hyperlink w:anchor="ref-1">
        <w:r>
          <w:rPr>
            <w:rStyle w:val="Hyperlink"/>
          </w:rPr>
          <w:t xml:space="preserve">[1]</w:t>
        </w:r>
      </w:hyperlink>
      <w:r>
        <w:t xml:space="preserve">, space cost-curve references</w:t>
      </w:r>
      <w:r>
        <w:t xml:space="preserve"> </w:t>
      </w:r>
      <w:hyperlink w:anchor="ref-2">
        <w:r>
          <w:rPr>
            <w:rStyle w:val="Hyperlink"/>
          </w:rPr>
          <w:t xml:space="preserve">[2]</w:t>
        </w:r>
      </w:hyperlink>
      <w:r>
        <w:t xml:space="preserve">, and the parametric-estimation validation record</w:t>
      </w:r>
      <w:r>
        <w:t xml:space="preserve"> </w:t>
      </w:r>
      <w:hyperlink w:anchor="ref-6">
        <w:r>
          <w:rPr>
            <w:rStyle w:val="Hyperlink"/>
          </w:rPr>
          <w:t xml:space="preserve">[6]</w:t>
        </w:r>
      </w:hyperlink>
      <w:r>
        <w:t xml:space="preserve">, and the engineering link relationships are calibrated against operational downlink characterizations and the downlink-rate-reduction findings on payload-side processing</w:t>
      </w:r>
      <w:r>
        <w:t xml:space="preserve"> </w:t>
      </w:r>
      <w:hyperlink w:anchor="ref-3">
        <w:r>
          <w:rPr>
            <w:rStyle w:val="Hyperlink"/>
          </w:rPr>
          <w:t xml:space="preserve">[3]</w:t>
        </w:r>
      </w:hyperlink>
      <w:r>
        <w:t xml:space="preserve">[4].</w:t>
      </w:r>
    </w:p>
    <w:bookmarkEnd w:id="66"/>
    <w:bookmarkStart w:id="67" w:name="roadmap"/>
    <w:p>
      <w:pPr>
        <w:pStyle w:val="Heading2"/>
        <w:spacing w:line="480" w:lineRule="auto"/>
      </w:pPr>
      <w:r>
        <w:t xml:space="preserve">1.7 Roadmap</w:t>
      </w:r>
    </w:p>
    <w:p>
      <w:pPr>
        <w:pStyle w:val="FirstParagraph"/>
        <w:spacing w:line="480" w:lineRule="auto"/>
      </w:pPr>
      <w:r>
        <w:t xml:space="preserve">The remainder of the dissertation proceeds as follows. Chapter 2 reviews the two literatures introduced here in detail, the DSN engineering and operations literature on the aperture and cadence margins and the econometric method literature on elasticity estimation and infrastructure-frontier analysis, and locates the three gaps precisely within them. Chapter 3 develops the engineering layer, deriving the link-budget-and-queue model that maps a ground-segment configuration to expected delivered data volume and specifying the held-fixed on-board-processing control. Chapter 4 presents the first companion study, the fixed-effects estimate of aperture elasticity in downlink capacity, which establishes that the aperture margin’s per-contact return is conditional on transmitter and band rather than free-standing. Chapter 5 presents the second companion study, the log-log estimate of the cost-aperture elasticity, which establishes that the realized cost of aperture rises only linearly with diameter because the antenna population already embeds the arraying response. Chapter 6 integrates the capacity and cost blades into the single cost-per-delivered-bit frontier, estimates the marginal-cost-per-bit difference across the budget range, and conducts the formal test of H0 against H1 including the sign-reversal criterion. Chapter 7 reports the sensitivity analyses over the on-board-processing control and the weather-outage assumptions and addresses the threats to construct, internal, external, and statistical-conclusion validity. Chapter 8 states the conclusions, the conditions under which the estimated frontier supports an interior capacity plan, the boundaries of the claim with respect to near-Earth and commercial ground-station-as-a-service architectures, and the implications for the next increment of DSN capacity expansion.</w:t>
      </w:r>
    </w:p>
    <w:bookmarkEnd w:id="67"/>
    <w:bookmarkEnd w:id="68"/>
    <w:bookmarkStart w:id="76" w:name="chapter-2.-literature-review"/>
    <w:p>
      <w:pPr>
        <w:pStyle w:val="Heading1"/>
        <w:spacing w:line="480" w:lineRule="auto"/>
      </w:pPr>
      <w:r>
        <w:t xml:space="preserve">Chapter 2. Literature Review</w:t>
      </w:r>
    </w:p>
    <w:bookmarkStart w:id="69" w:name="introduction-and-organizing-logic"/>
    <w:p>
      <w:pPr>
        <w:pStyle w:val="Heading2"/>
        <w:spacing w:line="480" w:lineRule="auto"/>
      </w:pPr>
      <w:r>
        <w:t xml:space="preserve">2.1 Introduction and Organizing Logic</w:t>
      </w:r>
    </w:p>
    <w:p>
      <w:pPr>
        <w:pStyle w:val="FirstParagraph"/>
        <w:spacing w:line="480" w:lineRule="auto"/>
      </w:pPr>
      <w:r>
        <w:t xml:space="preserve">This chapter reviews the two scholarly literatures on which the present study draws and demonstrates that they have developed in near-total isolation from one another. The first is the domain technical literature on deep-space ground-segment engineering: the link-budget physics that governs per-contact throughput, the antenna-engineering tradition that prices and characterizes collecting aperture, and the operations literature that treats contact scheduling and array architecture. The second is the cliometric and cost-econometric methodology literature: the family of constant-elasticity, log-linear, and parametric estimation techniques that economists and cost analysts use to recover the slope of a cost or performance relationship from a realized historical record rather than from a first-principles model. Each literature is mature and internally coherent. Yet they have never met. Neither has been brought to bear on the other in the specific form this dissertation requires, namely a single estimable instrument that prices the aperture margin and the cadence margin of ground-segment capacity against a shared budget constraint on a common cost-per-delivered-bit axis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The review proceeds in five movements. Section 2.2 surveys the link-and-aperture technical literature, establishing what the engineering tradition already knows about how aperture, transmit power, frequency band, and range translate into achievable downlink rate. Section 2.3 surveys the cost and economic literature on ground-segment and space infrastructure, isolating the recurring treatment of ground-station expense as an under-resolved line item rather than an estimable function. Section 2.4 reviews the arraying and cadence literature, which constitutes the engineering response to the diseconomy of diameter and which supplies the structural rationale for the cadence margin. Section 2.5 reviews the cliometric and econometric methodology that the present study imports: fixed-effects elasticity estimation, log-log cost scaling, and parametric cost validation. Section 2.6 synthesizes the two bodies of work, names the three gaps that motivate the dissertation, and positions the two companion empirical papers as the bridge across them. Throughout, the convention is to read the technical literature for what it asserts about the</w:t>
      </w:r>
      <w:r>
        <w:t xml:space="preserve"> </w:t>
      </w:r>
      <w:r>
        <w:rPr>
          <w:i/>
          <w:iCs/>
        </w:rPr>
        <w:t xml:space="preserve">physics and the price</w:t>
      </w:r>
      <w:r>
        <w:t xml:space="preserve"> </w:t>
      </w:r>
      <w:r>
        <w:t xml:space="preserve">of capacity and to read the methodological literature for the</w:t>
      </w:r>
      <w:r>
        <w:t xml:space="preserve"> </w:t>
      </w:r>
      <w:r>
        <w:rPr>
          <w:i/>
          <w:iCs/>
        </w:rPr>
        <w:t xml:space="preserve">estimators</w:t>
      </w:r>
      <w:r>
        <w:t xml:space="preserve"> </w:t>
      </w:r>
      <w:r>
        <w:t xml:space="preserve">that can recover those assertions from data, and then to observe that no prior work joins the two at the margin where a budget-constrained planner actually decides.</w:t>
      </w:r>
    </w:p>
    <w:bookmarkEnd w:id="69"/>
    <w:bookmarkStart w:id="70" w:name="X962ed141da3955d8b07106abf05da4184cd4928"/>
    <w:p>
      <w:pPr>
        <w:pStyle w:val="Heading2"/>
        <w:spacing w:line="480" w:lineRule="auto"/>
      </w:pPr>
      <w:r>
        <w:t xml:space="preserve">2.2 The Link-and-Aperture Technical Literature</w:t>
      </w:r>
    </w:p>
    <w:p>
      <w:pPr>
        <w:pStyle w:val="FirstParagraph"/>
        <w:spacing w:line="480" w:lineRule="auto"/>
      </w:pPr>
      <w:r>
        <w:t xml:space="preserve">The foundational object of deep-space communications engineering is the link budget, and the canonical public reference for the Deep Space Network is the JPL DSN Telecommunications Link Design Handbook, 810-005, whose Module 104 documents the telecommunications interfaces of the 34 m beam-waveguide stations and supplies the gain, system-noise-temperature, and band parameters from which an achievable data rate is computed</w:t>
      </w:r>
      <w:r>
        <w:t xml:space="preserve"> </w:t>
      </w:r>
      <w:hyperlink w:anchor="ref-5">
        <w:r>
          <w:rPr>
            <w:rStyle w:val="Hyperlink"/>
          </w:rPr>
          <w:t xml:space="preserve">[5]</w:t>
        </w:r>
      </w:hyperlink>
      <w:r>
        <w:t xml:space="preserve">. The companion DSN Services Catalog, 820-100, enumerates the supported configurations, antenna classes, and service types that a mission may request, and together these two documents define the configuration space within which any capacity analysis must operate</w:t>
      </w:r>
      <w:r>
        <w:t xml:space="preserve"> </w:t>
      </w:r>
      <w:hyperlink w:anchor="ref-13">
        <w:r>
          <w:rPr>
            <w:rStyle w:val="Hyperlink"/>
          </w:rPr>
          <w:t xml:space="preserve">[13]</w:t>
        </w:r>
      </w:hyperlink>
      <w:r>
        <w:t xml:space="preserve">. The handbook tradition is deliberately deterministic: it maps a stated aperture, band, and range to a received signal-to-noise ratio and thence to a supportable rate, and it is the engineering ground truth against which the present study calibrates its link layer. What the handbook tradition does not do, by design, is price those configurations or weigh them against one another under a budget. It is a performance reference, not a decision instrument.</w:t>
      </w:r>
    </w:p>
    <w:p>
      <w:pPr>
        <w:pStyle w:val="BodyText"/>
        <w:spacing w:line="480" w:lineRule="auto"/>
        <w:ind w:firstLine="720"/>
      </w:pPr>
      <w:r>
        <w:t xml:space="preserve">The performance side of the literature is given concrete, mission-specific form by the JPL DESCANSO Design and Performance Summary series. These monographs document, for individual flagship missions, the as-flown telecommunications design and the achieved downlink performance. The Voyager summary records the telecommunications architecture of the two outer-planet spacecraft whose links, at the extreme ranges of the heliosphere, return data at a few tens of bits per second to hundreds of bits per second, and it establishes the lower bound of the achievable-rate envelope that any cross-mission analysis must accommodate</w:t>
      </w:r>
      <w:r>
        <w:t xml:space="preserve"> </w:t>
      </w:r>
      <w:hyperlink w:anchor="ref-9">
        <w:r>
          <w:rPr>
            <w:rStyle w:val="Hyperlink"/>
          </w:rPr>
          <w:t xml:space="preserve">[9]</w:t>
        </w:r>
      </w:hyperlink>
      <w:r>
        <w:t xml:space="preserve">. The Cassini summary documents a Saturn-orbit mission whose X-band downlink and high-gain antenna define the mid-range of the historical rate distribution</w:t>
      </w:r>
      <w:r>
        <w:t xml:space="preserve"> </w:t>
      </w:r>
      <w:hyperlink w:anchor="ref-10">
        <w:r>
          <w:rPr>
            <w:rStyle w:val="Hyperlink"/>
          </w:rPr>
          <w:t xml:space="preserve">[10]</w:t>
        </w:r>
      </w:hyperlink>
      <w:r>
        <w:t xml:space="preserve">. The Mars Reconnaissance Orbiter summary is pivotal because MRO introduced operational Ka-band downlink alongside its primary X-band service and demonstrated rates in the megabits-per-second class from Mars distance, anchoring the high end of the radio-frequency record</w:t>
      </w:r>
      <w:r>
        <w:t xml:space="preserve"> </w:t>
      </w:r>
      <w:hyperlink w:anchor="ref-11">
        <w:r>
          <w:rPr>
            <w:rStyle w:val="Hyperlink"/>
          </w:rPr>
          <w:t xml:space="preserve">[11]</w:t>
        </w:r>
      </w:hyperlink>
      <w:r>
        <w:t xml:space="preserve">. The Mars Science Laboratory summary documents a relay-dependent architecture in which the surface asset returns the bulk of its data through orbiting relays rather than direct-to-Earth, an early signal that cadence and relay topology, not aperture alone, govern delivered volume</w:t>
      </w:r>
      <w:r>
        <w:t xml:space="preserve"> </w:t>
      </w:r>
      <w:hyperlink w:anchor="ref-12">
        <w:r>
          <w:rPr>
            <w:rStyle w:val="Hyperlink"/>
          </w:rPr>
          <w:t xml:space="preserve">[12]</w:t>
        </w:r>
      </w:hyperlink>
      <w:r>
        <w:t xml:space="preserve">. The New Horizons spacecraft description completes the outer-planet picture, documenting a low-power, long-range Pluto-encounter link whose modest rate is a function of distance and transmitter power rather than of any deficiency in ground aperture</w:t>
      </w:r>
      <w:r>
        <w:t xml:space="preserve"> </w:t>
      </w:r>
      <w:hyperlink w:anchor="ref-14">
        <w:r>
          <w:rPr>
            <w:rStyle w:val="Hyperlink"/>
          </w:rPr>
          <w:t xml:space="preserve">[14]</w:t>
        </w:r>
      </w:hyperlink>
      <w:r>
        <w:t xml:space="preserve">. These primary engineering sources are the empirical backbone of the present study’s capacity layer: they supply the per-mission downlink rates, transmit powers, and band designations that constitute the documented cross-section.</w:t>
      </w:r>
    </w:p>
    <w:p>
      <w:pPr>
        <w:pStyle w:val="BodyText"/>
        <w:spacing w:line="480" w:lineRule="auto"/>
        <w:ind w:firstLine="720"/>
      </w:pPr>
      <w:r>
        <w:t xml:space="preserve">Read collectively, the DESCANSO record exhibits a structure that the technical literature has noted but never formally estimated. The highest documented rates in the modern era are Ka-band links on the 34 m subnet, while the largest apertures, the 70 m and historical 64 m dishes, are occupied predominantly by the oldest, lowest-power, lowest-band outer-planet missions</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This collinearity between aperture and mission vintage is precisely the structure that confounds any naive bivariate reading of the aperture-rate relationship, and it is the methodological hinge on which the present study’s first empirical paper turns. Old dishes carry old missions. The technical literature describes this composition; it does not condition it out, because the handbook-and-monograph tradition is descriptive and case-based rather than cross-sectional and inferential.</w:t>
      </w:r>
    </w:p>
    <w:p>
      <w:pPr>
        <w:pStyle w:val="BodyText"/>
        <w:spacing w:line="480" w:lineRule="auto"/>
        <w:ind w:firstLine="720"/>
      </w:pPr>
      <w:r>
        <w:t xml:space="preserve">A parallel strand of the technical literature concerns aperture enhancement and calibration on the existing DSN. The Deep Space Network Aperture Enhancement Project (DAEP) is documented in the calibration and performance-measurement literature, which reports the gain and efficiency improvements obtained by upgrading and recalibrating existing apertures rather than building new ones</w:t>
      </w:r>
      <w:r>
        <w:t xml:space="preserve"> </w:t>
      </w:r>
      <w:hyperlink w:anchor="ref-33">
        <w:r>
          <w:rPr>
            <w:rStyle w:val="Hyperlink"/>
          </w:rPr>
          <w:t xml:space="preserve">[33]</w:t>
        </w:r>
      </w:hyperlink>
      <w:r>
        <w:t xml:space="preserve">. This work matters to the present study because it establishes that the aperture margin is not solely a build-versus-not-build decision; there is a continuum of investment that includes incremental enhancement of fielded antennas, and the cost-effectiveness frontier must in principle accommodate that intermediate option. The DAEP literature prices these enhancements only in narrow engineering terms, however, and does not place them on a common axis with the cadence alternatives.</w:t>
      </w:r>
    </w:p>
    <w:p>
      <w:pPr>
        <w:pStyle w:val="BodyText"/>
        <w:spacing w:line="480" w:lineRule="auto"/>
        <w:ind w:firstLine="720"/>
      </w:pPr>
      <w:r>
        <w:t xml:space="preserve">The optical-communications literature represents the frontier of the aperture margin and deserves particular attention because it reframes what</w:t>
      </w:r>
      <w:r>
        <w:t xml:space="preserve"> </w:t>
      </w:r>
      <w:r>
        <w:t xml:space="preserve">“aperture”</w:t>
      </w:r>
      <w:r>
        <w:t xml:space="preserve"> </w:t>
      </w:r>
      <w:r>
        <w:t xml:space="preserve">means. The first results from the adaptive-optics system for the Laser Communications Relay Demonstration’s Optical Ground Station One demonstrate that an adaptive-optics-corrected ground aperture can sustain a deep-space-relevant optical downlink, and they characterize the received-power and bit-error-rate behavior that sets per-contact throughput for an optical link</w:t>
      </w:r>
      <w:r>
        <w:t xml:space="preserve"> </w:t>
      </w:r>
      <w:hyperlink w:anchor="ref-3">
        <w:r>
          <w:rPr>
            <w:rStyle w:val="Hyperlink"/>
          </w:rPr>
          <w:t xml:space="preserve">[3]</w:t>
        </w:r>
      </w:hyperlink>
      <w:r>
        <w:t xml:space="preserve">. This is the optical analogue of the radio-frequency link budget, and it establishes that the aperture margin extends beyond radio dishes into photon-efficient optical collectors that trade radio-frequency robustness for higher throughput. A companion strand demonstrates that high-altitude airborne characterization of adaptive-optics-corrected ground-based laser links is feasible and, critically, that on-board imaging and flux-data processing can greatly reduce the required downlink data rate</w:t>
      </w:r>
      <w:r>
        <w:t xml:space="preserve"> </w:t>
      </w:r>
      <w:hyperlink w:anchor="ref-4">
        <w:r>
          <w:rPr>
            <w:rStyle w:val="Hyperlink"/>
          </w:rPr>
          <w:t xml:space="preserve">[4]</w:t>
        </w:r>
      </w:hyperlink>
      <w:r>
        <w:t xml:space="preserve">. This last finding is doubly important: it establishes that on-board processing is a genuine third lever that substitutes payload computation for ground capacity, and it warns that any aperture-versus-cadence contrast which ignores the on-board-processing choice risks omitted-variable contamination. The broader optical and large-aperture surveillance literature, while developed for space-situational-awareness rather than communications, contributes design-and-cost reasoning that is directly transferable, including affordable options for ground-based large-aperture optical systems</w:t>
      </w:r>
      <w:r>
        <w:t xml:space="preserve"> </w:t>
      </w:r>
      <w:hyperlink w:anchor="ref-22">
        <w:r>
          <w:rPr>
            <w:rStyle w:val="Hyperlink"/>
          </w:rPr>
          <w:t xml:space="preserve">[22]</w:t>
        </w:r>
      </w:hyperlink>
      <w:r>
        <w:t xml:space="preserve">, performance-sensitivity sizing of Raven-class telescopes</w:t>
      </w:r>
      <w:r>
        <w:t xml:space="preserve"> </w:t>
      </w:r>
      <w:hyperlink w:anchor="ref-24">
        <w:r>
          <w:rPr>
            <w:rStyle w:val="Hyperlink"/>
          </w:rPr>
          <w:t xml:space="preserve">[24]</w:t>
        </w:r>
      </w:hyperlink>
      <w:r>
        <w:t xml:space="preserve">, and optomechanical design of wide-field freeform imaging apertures</w:t>
      </w:r>
      <w:r>
        <w:t xml:space="preserve"> </w:t>
      </w:r>
      <w:hyperlink w:anchor="ref-27">
        <w:r>
          <w:rPr>
            <w:rStyle w:val="Hyperlink"/>
          </w:rPr>
          <w:t xml:space="preserve">[27]</w:t>
        </w:r>
      </w:hyperlink>
      <w:r>
        <w:t xml:space="preserve">. These works share with the communications literature an implicit treatment of aperture as a thing to be sized and characterized, not a thing to be priced against an operational alternative on a delivered-data axis.</w:t>
      </w:r>
    </w:p>
    <w:p>
      <w:pPr>
        <w:pStyle w:val="BodyText"/>
        <w:spacing w:line="480" w:lineRule="auto"/>
        <w:ind w:firstLine="720"/>
      </w:pPr>
      <w:r>
        <w:t xml:space="preserve">Finally, the technical literature includes a small but pointed body of work on relay topology and disruption-tolerant operations, which bears on the cadence margin from the space side rather than the ground side. The assessment of relay network topologies for improving Earth-Mars communications shows that the architecture of the relay layer, not merely the ground aperture, governs end-to-end delivered volume, and that topology choices trade against one another in ways that resemble the aperture-cadence tradeoff at a higher level</w:t>
      </w:r>
      <w:r>
        <w:t xml:space="preserve"> </w:t>
      </w:r>
      <w:hyperlink w:anchor="ref-36">
        <w:r>
          <w:rPr>
            <w:rStyle w:val="Hyperlink"/>
          </w:rPr>
          <w:t xml:space="preserve">[36]</w:t>
        </w:r>
      </w:hyperlink>
      <w:r>
        <w:t xml:space="preserve">. The delay- and disruption-tolerant reinforcement-learning communication work demonstrates that scheduling and routing intelligence can extract more delivered data from a fixed physical plant, which is the cadence margin expressed as an operations-software lever rather than a site-count lever</w:t>
      </w:r>
      <w:r>
        <w:t xml:space="preserve"> </w:t>
      </w:r>
      <w:hyperlink w:anchor="ref-28">
        <w:r>
          <w:rPr>
            <w:rStyle w:val="Hyperlink"/>
          </w:rPr>
          <w:t xml:space="preserve">[28]</w:t>
        </w:r>
      </w:hyperlink>
      <w:r>
        <w:t xml:space="preserve">. These works establish that cadence is multidimensional, comprising site count, scheduling efficiency, relay topology, and turnaround discipline, but they do not price any of these dimensions against aperture under a budget.</w:t>
      </w:r>
    </w:p>
    <w:bookmarkEnd w:id="70"/>
    <w:bookmarkStart w:id="71" w:name="Xd645a3ab2246d6adbe5a1641900a0cca8df21d2"/>
    <w:p>
      <w:pPr>
        <w:pStyle w:val="Heading2"/>
        <w:spacing w:line="480" w:lineRule="auto"/>
      </w:pPr>
      <w:r>
        <w:t xml:space="preserve">2.3 The Cost and Economic Literature on Ground-Segment Infrastructure</w:t>
      </w:r>
    </w:p>
    <w:p>
      <w:pPr>
        <w:pStyle w:val="FirstParagraph"/>
        <w:spacing w:line="480" w:lineRule="auto"/>
      </w:pPr>
      <w:r>
        <w:t xml:space="preserve">The second technical pillar is the literature on the cost of ground-segment and space infrastructure. Here one finding recurs: under-resolution. The Office of Competitive Analysis forecast of the future size of the space economy explicitly notes that ground-station expenses sit among the operational costs that are excluded from its regional and segment breakdowns, treating ground-segment expenditure as a known-material but unmodeled term</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 This is not a peripheral observation; it is symptomatic of the field’s posture toward ground cost. Ground-segment operating expenditure is acknowledged to be a real and substantial component of total system cost, and is then set aside as a line item to be reported or excluded rather than as a function whose slope, against either aperture or cadence, could be estimated and compared. The present study takes that excluded term as its central object.</w:t>
      </w:r>
    </w:p>
    <w:p>
      <w:pPr>
        <w:pStyle w:val="BodyText"/>
        <w:spacing w:line="480" w:lineRule="auto"/>
        <w:ind w:firstLine="720"/>
      </w:pPr>
      <w:r>
        <w:t xml:space="preserve">The macro-economic framing literature reinforces the point at the system level. The analysis of space’s role in driving sustainability, security, and development presents sample space cost curves, documenting the steep, nonlinear cost-per-kilogram structure of heavy launch and geostationary communications satellites and the wide divergence among published space-economy forecasts</w:t>
      </w:r>
      <w:r>
        <w:t xml:space="preserve"> </w:t>
      </w:r>
      <w:hyperlink w:anchor="ref-2">
        <w:r>
          <w:rPr>
            <w:rStyle w:val="Hyperlink"/>
          </w:rPr>
          <w:t xml:space="preserve">[2]</w:t>
        </w:r>
      </w:hyperlink>
      <w:r>
        <w:t xml:space="preserve">. The lesson the present study draws from this work is twofold. First, space cost curves are steep and nonlinear, which means that corner solutions, funding one capacity margin to exhaustion before touching the other, are expensive to reverse once committed; the curvature of the cost surface is what makes an interior frontier valuable rather than merely tidy. Second, the divergence among forecasts signals that aggregate cost models are too coarse to inform a ground-segment margin decision; the relevant cost object must be estimated at the level of the antenna and the contact, not the sector. Weinzierl’s treatment of space as the final economic frontier supplies the complementary microeconomic argument that returns to large fixed space infrastructure are realized only when the rest of the system is matched to the fixed asset, which generates the testable expectation that the measured effect of aperture will depend heavily on what is held constant</w:t>
      </w:r>
      <w:r>
        <w:t xml:space="preserve"> </w:t>
      </w:r>
      <w:hyperlink w:anchor="ref-8">
        <w:r>
          <w:rPr>
            <w:rStyle w:val="Hyperlink"/>
          </w:rPr>
          <w:t xml:space="preserve">[8]</w:t>
        </w:r>
      </w:hyperlink>
      <w:r>
        <w:t xml:space="preserve">. This is the economic prior that the present study’s first empirical paper confirms: aperture’s apparent return is conditional on transmitter and band matching.</w:t>
      </w:r>
    </w:p>
    <w:p>
      <w:pPr>
        <w:pStyle w:val="BodyText"/>
        <w:spacing w:line="480" w:lineRule="auto"/>
        <w:ind w:firstLine="720"/>
      </w:pPr>
      <w:r>
        <w:t xml:space="preserve">The cost-estimation methodology literature provides the bridge from these qualitative cost observations to a quantitative instrument. The blind-validation study of the SEER-H parametric cost-estimation tool for NASA space missions is the central methodological reference here</w:t>
      </w:r>
      <w:r>
        <w:t xml:space="preserve"> </w:t>
      </w:r>
      <w:hyperlink w:anchor="ref-6">
        <w:r>
          <w:rPr>
            <w:rStyle w:val="Hyperlink"/>
          </w:rPr>
          <w:t xml:space="preserve">[6]</w:t>
        </w:r>
      </w:hyperlink>
      <w:r>
        <w:t xml:space="preserve">. It establishes both the legitimacy and the limits of parametric, log-linear cost-and-performance scaling for space systems: such relationships are useful and widely used, but they carry wide uncertainty bands once real program data enter the fit. The present study inherits this caution directly. Its cost-function estimation is a parametric regression of the SEER-H family, and the SEER-H validation result is the reason the dissertation reports confidence intervals on the marginal-cost-per-bit difference and treats a failure to reject the null as an informative negative result rather than a nuisance. The cost literature, in short, supplies a method (parametric log-linear estimation) and a warning (wide bands on small samples) but has never been pointed at the specific question of the ground-segment aperture-cadence margin.</w:t>
      </w:r>
    </w:p>
    <w:p>
      <w:pPr>
        <w:pStyle w:val="BodyText"/>
        <w:spacing w:line="480" w:lineRule="auto"/>
        <w:ind w:firstLine="720"/>
      </w:pPr>
      <w:r>
        <w:t xml:space="preserve">A further strand of the cost literature, drawn from the antenna-engineering tradition, supplies the single most important quantitative prior for the present study’s cost layer. The empirical mechanical-cost scaling of large steerable structures is summarized as approximately diameter to the 2.7 power, a near-cubic law rooted in the structural mechanics of holding a reflector surface to a fraction of a wavelength against gravity and wind across its full range of motion</w:t>
      </w:r>
      <w:r>
        <w:t xml:space="preserve"> </w:t>
      </w:r>
      <w:hyperlink w:anchor="ref-15">
        <w:r>
          <w:rPr>
            <w:rStyle w:val="Hyperlink"/>
          </w:rPr>
          <w:t xml:space="preserve">[15]</w:t>
        </w:r>
      </w:hyperlink>
      <w:r>
        <w:t xml:space="preserve">. This structural cost law is the benchmark against which the dissertation’s second empirical paper tests the realized cost-aperture elasticity, and the gap between the structural value near 2.5 to 2.7 and the realized population value is the empirical core of the cadence argument. The cost literature thus contains a sharp, falsifiable numerical prior; what it lacks is any prior estimation of that prior against the realized antenna population, which is the cliometric step the present study contributes.</w:t>
      </w:r>
    </w:p>
    <w:bookmarkEnd w:id="71"/>
    <w:bookmarkStart w:id="72" w:name="the-arraying-and-cadence-literature"/>
    <w:p>
      <w:pPr>
        <w:pStyle w:val="Heading2"/>
        <w:spacing w:line="480" w:lineRule="auto"/>
      </w:pPr>
      <w:r>
        <w:t xml:space="preserve">2.4 The Arraying and Cadence Literature</w:t>
      </w:r>
    </w:p>
    <w:p>
      <w:pPr>
        <w:pStyle w:val="FirstParagraph"/>
        <w:spacing w:line="480" w:lineRule="auto"/>
      </w:pPr>
      <w:r>
        <w:t xml:space="preserve">The arraying literature is the engineering response to the diseconomy of diameter and the structural foundation of the cadence margin. Three decades of JPL and NASA work stand behind it, deep and internally consistent. The foundational document is the Layland and Rauch cost-and-reliability study for a large array of small reflector antennas for JPL and NASA, which established the central economic argument that an array of small, mass-produced dishes can deliver the sensitivity of a single giant while breaking the structural cost law, because each element remains in the size range where cost scales gently and replication yields manufacturing economies</w:t>
      </w:r>
      <w:r>
        <w:t xml:space="preserve"> </w:t>
      </w:r>
      <w:hyperlink w:anchor="ref-16">
        <w:r>
          <w:rPr>
            <w:rStyle w:val="Hyperlink"/>
          </w:rPr>
          <w:t xml:space="preserve">[16]</w:t>
        </w:r>
      </w:hyperlink>
      <w:r>
        <w:t xml:space="preserve">. This argument is elaborated through a sequence of array-architecture studies: the analysis of antennas for the array-based Deep Space Network, surveying current status and future receive-array designs</w:t>
      </w:r>
      <w:r>
        <w:t xml:space="preserve"> </w:t>
      </w:r>
      <w:hyperlink w:anchor="ref-17">
        <w:r>
          <w:rPr>
            <w:rStyle w:val="Hyperlink"/>
          </w:rPr>
          <w:t xml:space="preserve">[17]</w:t>
        </w:r>
      </w:hyperlink>
      <w:r>
        <w:t xml:space="preserve">; the uplink-array system concept for large or small aperture antennas</w:t>
      </w:r>
      <w:r>
        <w:t xml:space="preserve"> </w:t>
      </w:r>
      <w:hyperlink w:anchor="ref-18">
        <w:r>
          <w:rPr>
            <w:rStyle w:val="Hyperlink"/>
          </w:rPr>
          <w:t xml:space="preserve">[18]</w:t>
        </w:r>
      </w:hyperlink>
      <w:r>
        <w:t xml:space="preserve">; the explicit pursuit of lower-cost architectures for large arrays of small antennas as a DSN design goal</w:t>
      </w:r>
      <w:r>
        <w:t xml:space="preserve"> </w:t>
      </w:r>
      <w:hyperlink w:anchor="ref-19">
        <w:r>
          <w:rPr>
            <w:rStyle w:val="Hyperlink"/>
          </w:rPr>
          <w:t xml:space="preserve">[19]</w:t>
        </w:r>
      </w:hyperlink>
      <w:r>
        <w:t xml:space="preserve">; and the system-concept work on transmit arrays of parabolic antennas for deep-space uplinks</w:t>
      </w:r>
      <w:r>
        <w:t xml:space="preserve"> </w:t>
      </w:r>
      <w:hyperlink w:anchor="ref-20">
        <w:r>
          <w:rPr>
            <w:rStyle w:val="Hyperlink"/>
          </w:rPr>
          <w:t xml:space="preserve">[20]</w:t>
        </w:r>
      </w:hyperlink>
      <w:r>
        <w:t xml:space="preserve">. The Brockman synthesis work demonstrated that combining a large communications aperture from many small antennas is a practical technique rather than a thought experiment</w:t>
      </w:r>
      <w:r>
        <w:t xml:space="preserve"> </w:t>
      </w:r>
      <w:hyperlink w:anchor="ref-21">
        <w:r>
          <w:rPr>
            <w:rStyle w:val="Hyperlink"/>
          </w:rPr>
          <w:t xml:space="preserve">[21]</w:t>
        </w:r>
      </w:hyperlink>
      <w:r>
        <w:t xml:space="preserve">. Together these works constitute a coherent thesis: the realized population of ground apertures already embeds the arraying decision, and arraying converts a near-cubic single-dish cost law into a roughly linear cost-per-aperture-meter frontier.</w:t>
      </w:r>
    </w:p>
    <w:p>
      <w:pPr>
        <w:pStyle w:val="BodyText"/>
        <w:spacing w:line="480" w:lineRule="auto"/>
        <w:ind w:firstLine="720"/>
      </w:pPr>
      <w:r>
        <w:t xml:space="preserve">The significance of this literature for the present study is that it predicts the empirical signature that the second companion paper finds. If the realized antenna population were composed of pure monolithic giants, the estimated cost-aperture elasticity would approach the structural value near 2.5</w:t>
      </w:r>
      <w:r>
        <w:t xml:space="preserve"> </w:t>
      </w:r>
      <w:hyperlink w:anchor="ref-15">
        <w:r>
          <w:rPr>
            <w:rStyle w:val="Hyperlink"/>
          </w:rPr>
          <w:t xml:space="preserve">[15]</w:t>
        </w:r>
      </w:hyperlink>
      <w:r>
        <w:t xml:space="preserve">. Because the realized population includes the per-element cost of arrays, the small-aperture end of the distribution fills with cheap, replicated dishes whose cost per unit diameter is far below the single-dish law, flattening the pooled elasticity toward one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The arraying literature therefore supplies not merely a design alternative but a</w:t>
      </w:r>
      <w:r>
        <w:t xml:space="preserve"> </w:t>
      </w:r>
      <w:r>
        <w:rPr>
          <w:i/>
          <w:iCs/>
        </w:rPr>
        <w:t xml:space="preserve">prediction about the shape of the realized cost curve</w:t>
      </w:r>
      <w:r>
        <w:t xml:space="preserve">, and that prediction is the hinge of the cadence case. The arraying literature also enumerates the non-cost advantages of cadence-by-arraying: graceful degradation when one element fails, incremental capacity growth that matches the arrival cadence of new missions rather than arriving in one expensive step, and the manufacturing learning that replication makes possible</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 These are the offsetting advantages that a full cost-effectiveness model must carry on the cadence side of the ledger.</w:t>
      </w:r>
    </w:p>
    <w:p>
      <w:pPr>
        <w:pStyle w:val="BodyText"/>
        <w:spacing w:line="480" w:lineRule="auto"/>
        <w:ind w:firstLine="720"/>
      </w:pPr>
      <w:r>
        <w:t xml:space="preserve">What the arraying literature conspicuously does not do is close the loop into a delivered-data, cost-per-bit objective. It establishes that arrays are cost-competitive in capital and reliability terms. Yet it stays silent on the operations and signal-correlation costs that arrays incur to combine many signals, an expense the single-dish architecture avoids. The literature treats the cost side and the capacity side as separate engineering questions; it never expresses both on a single delivered-bit axis under a binding budget. This is the precise omission the dissertation’s integrating chapter addresses.</w:t>
      </w:r>
    </w:p>
    <w:p>
      <w:pPr>
        <w:pStyle w:val="BodyText"/>
        <w:spacing w:line="480" w:lineRule="auto"/>
        <w:ind w:firstLine="720"/>
      </w:pPr>
      <w:r>
        <w:t xml:space="preserve">The cadence literature is broadened by a body of architecture-optimization work imported from adjacent domains, principally space-situational-awareness sensor-network design, whose methods transfer cleanly to the ground-segment siting problem. The enhanced heuristic algorithm for optimal cislunar space-situational-awareness architecture demonstrates the combinatorial structure of choosing how many sensors to field and where to place them under a constraint, which is structurally identical to the cadence-margin siting decision</w:t>
      </w:r>
      <w:r>
        <w:t xml:space="preserve"> </w:t>
      </w:r>
      <w:hyperlink w:anchor="ref-23">
        <w:r>
          <w:rPr>
            <w:rStyle w:val="Hyperlink"/>
          </w:rPr>
          <w:t xml:space="preserve">[23]</w:t>
        </w:r>
      </w:hyperlink>
      <w:r>
        <w:t xml:space="preserve">. The optimization of geosynchronous space-situational-awareness architectures using parallel computation shows that the architecture-selection problem is large enough to demand serious computational machinery and is not reducible to a closed-form rule</w:t>
      </w:r>
      <w:r>
        <w:t xml:space="preserve"> </w:t>
      </w:r>
      <w:hyperlink w:anchor="ref-25">
        <w:r>
          <w:rPr>
            <w:rStyle w:val="Hyperlink"/>
          </w:rPr>
          <w:t xml:space="preserve">[25]</w:t>
        </w:r>
      </w:hyperlink>
      <w:r>
        <w:t xml:space="preserve">. These works establish that cadence, expressed as a site-count-and-placement problem, is a genuine optimization with interior structure, reinforcing the dissertation’s central claim that the capacity-expansion problem is interior rather than a corner solution.</w:t>
      </w:r>
    </w:p>
    <w:bookmarkEnd w:id="72"/>
    <w:bookmarkStart w:id="73" w:name="X0f726a5318691b53143b2f63641477050f60e7b"/>
    <w:p>
      <w:pPr>
        <w:pStyle w:val="Heading2"/>
        <w:spacing w:line="480" w:lineRule="auto"/>
      </w:pPr>
      <w:r>
        <w:t xml:space="preserve">2.5 The Cliometric and Cost-Econometric Methodology Literature</w:t>
      </w:r>
    </w:p>
    <w:p>
      <w:pPr>
        <w:pStyle w:val="FirstParagraph"/>
        <w:spacing w:line="480" w:lineRule="auto"/>
      </w:pPr>
      <w:r>
        <w:t xml:space="preserve">The second literature this dissertation joins is methodological rather than domain-specific. Its name is cliometrics. Cliometrics is the application of formal econometric estimation to historical records in order to recover structural parameters, here cost and performance elasticities, that a first-principles model alone cannot pin down because the realized world embeds choices the model does not. The methodological commitment of the present study is that the relevant parameters of the aperture-cadence tradeoff are not the textbook link-budget exponents or the textbook structural cost exponent, but the</w:t>
      </w:r>
      <w:r>
        <w:t xml:space="preserve"> </w:t>
      </w:r>
      <w:r>
        <w:rPr>
          <w:i/>
          <w:iCs/>
        </w:rPr>
        <w:t xml:space="preserve">realized</w:t>
      </w:r>
      <w:r>
        <w:t xml:space="preserve"> </w:t>
      </w:r>
      <w:r>
        <w:t xml:space="preserve">elasticities that obtain in the documented population once confounders are conditioned out. This is a cliometric posture, and it imports three specific estimation traditions.</w:t>
      </w:r>
    </w:p>
    <w:p>
      <w:pPr>
        <w:pStyle w:val="BodyText"/>
        <w:spacing w:line="480" w:lineRule="auto"/>
        <w:ind w:firstLine="720"/>
      </w:pPr>
      <w:r>
        <w:t xml:space="preserve">The first is fixed-effects and conditional-elasticity regression. The first companion paper estimates the partial elasticity of peak downlink rate with respect to ground-antenna aperture, conditioning on spacecraft Earth distance, onboard transmit power, and a frequency-band indicator that functions as a band fixed effect. The methodological warrant for reading log-linear slope coefficients as elasticities, and for using a band indicator to absorb the large level difference between Ka-band and lower-frequency links so that aperture is not credited with band-driven gains, is the standard apparatus of applied econometrics, and its application to parametric performance scaling is licensed by the same log-linear scaling tradition that underlies NASA parametric cost estimation</w:t>
      </w:r>
      <w:r>
        <w:t xml:space="preserve"> </w:t>
      </w:r>
      <w:hyperlink w:anchor="ref-6">
        <w:r>
          <w:rPr>
            <w:rStyle w:val="Hyperlink"/>
          </w:rPr>
          <w:t xml:space="preserve">[6]</w:t>
        </w:r>
      </w:hyperlink>
      <w:r>
        <w:t xml:space="preserve">. The economic framing that motivates conditioning, namely that returns to a fixed asset are realized only when the rest of the system is matched, comes directly from the space-economics literature</w:t>
      </w:r>
      <w:r>
        <w:t xml:space="preserve"> </w:t>
      </w:r>
      <w:hyperlink w:anchor="ref-8">
        <w:r>
          <w:rPr>
            <w:rStyle w:val="Hyperlink"/>
          </w:rPr>
          <w:t xml:space="preserve">[8]</w:t>
        </w:r>
      </w:hyperlink>
      <w:r>
        <w:t xml:space="preserve"> </w:t>
      </w:r>
      <w:r>
        <w:t xml:space="preserve">and from the infrastructure-returns framing in the space-economy forecasting corpus</w:t>
      </w:r>
      <w:r>
        <w:t xml:space="preserve"> </w:t>
      </w:r>
      <w:hyperlink w:anchor="ref-7">
        <w:r>
          <w:rPr>
            <w:rStyle w:val="Hyperlink"/>
          </w:rPr>
          <w:t xml:space="preserve">[7]</w:t>
        </w:r>
      </w:hyperlink>
      <w:r>
        <w:t xml:space="preserve">. The key methodological insight the present study takes from this tradition is that the naive engineering relationship and the conditional partial effect can diverge sharply when the covariates are collinear in the realized record, as aperture and mission vintage demonstrably are in the DSN cross-section</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The second tradition is log-log constant-elasticity cost-curve estimation, the canonical functional form for a constant-elasticity cost law and the workhorse of the classical learning-curve and cost-scaling literature. The second companion paper fits the natural logarithm of construction cost on the natural logarithm of aperture diameter, reading the slope as the cost-aperture elasticity and reading two raised to that slope as the multiplicative cost factor per doubling of diameter, the quantity a planner uses directly when comparing one large dish to two of half the diameter. The functional form is chosen precisely because it does not presuppose either the structural value near 2.5 or the arraying-adjusted value near one; both are admissible slopes, and the estimate adjudicates between them</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methodological discipline this tradition imposes, converting every then-year native cost to constant dollars using documented exchange rates and a consumer price index, and using documented per-element cost for arrays rather than analogy, is what allows a cross-section spanning six decades and multiple currencies to be pooled honestly. This is cliometric practice in its strict sense: the careful reconstruction of a comparable cost series from heterogeneous historical sources.</w:t>
      </w:r>
    </w:p>
    <w:p>
      <w:pPr>
        <w:pStyle w:val="BodyText"/>
        <w:spacing w:line="480" w:lineRule="auto"/>
        <w:ind w:firstLine="720"/>
      </w:pPr>
      <w:r>
        <w:t xml:space="preserve">The third tradition is parametric cost validation and its attendant humility. The SEER-H blind-validation study is the methodological conscience of the present study</w:t>
      </w:r>
      <w:r>
        <w:t xml:space="preserve"> </w:t>
      </w:r>
      <w:hyperlink w:anchor="ref-6">
        <w:r>
          <w:rPr>
            <w:rStyle w:val="Hyperlink"/>
          </w:rPr>
          <w:t xml:space="preserve">[6]</w:t>
        </w:r>
      </w:hyperlink>
      <w:r>
        <w:t xml:space="preserve">. It establishes that parametric estimators of the kind used here are validated and useful but carry wide uncertainty once real program data enter, which directly motivates the dissertation’s commitment to reporting confidence intervals on the marginal-cost-per-bit difference, to treating small degrees of freedom as a first-order threat to statistical-conclusion validity, and to reading a failure to reject the null as informative rather than confirmatory. The cliometric literature is thus not merely a source of estimators; it is a source of the epistemic discipline that distinguishes a defensible frontier from an overfit anecdote.</w:t>
      </w:r>
    </w:p>
    <w:p>
      <w:pPr>
        <w:pStyle w:val="BodyText"/>
        <w:spacing w:line="480" w:lineRule="auto"/>
        <w:ind w:firstLine="720"/>
      </w:pPr>
      <w:r>
        <w:t xml:space="preserve">Consider what this methodological literature does</w:t>
      </w:r>
      <w:r>
        <w:t xml:space="preserve"> </w:t>
      </w:r>
      <w:r>
        <w:rPr>
          <w:i/>
          <w:iCs/>
        </w:rPr>
        <w:t xml:space="preserve">not</w:t>
      </w:r>
      <w:r>
        <w:t xml:space="preserve"> </w:t>
      </w:r>
      <w:r>
        <w:t xml:space="preserve">contain. It contains no application to the deep-space ground-segment capacity problem. The cost-econometric tradition has been applied to launch vehicles, to satellites, to entire mission lifecycles through tools such as SEER-H</w:t>
      </w:r>
      <w:r>
        <w:t xml:space="preserve"> </w:t>
      </w:r>
      <w:hyperlink w:anchor="ref-6">
        <w:r>
          <w:rPr>
            <w:rStyle w:val="Hyperlink"/>
          </w:rPr>
          <w:t xml:space="preserve">[6]</w:t>
        </w:r>
      </w:hyperlink>
      <w:r>
        <w:t xml:space="preserve">, and to the space economy in aggregate</w:t>
      </w:r>
      <w:r>
        <w:t xml:space="preserve"> </w:t>
      </w:r>
      <w:hyperlink w:anchor="ref-2">
        <w:r>
          <w:rPr>
            <w:rStyle w:val="Hyperlink"/>
          </w:rPr>
          <w:t xml:space="preserve">[2]</w:t>
        </w:r>
      </w:hyperlink>
      <w:r>
        <w:t xml:space="preserve">,</w:t>
      </w:r>
      <w:r>
        <w:t xml:space="preserve"> </w:t>
      </w:r>
      <w:hyperlink w:anchor="ref-7">
        <w:r>
          <w:rPr>
            <w:rStyle w:val="Hyperlink"/>
          </w:rPr>
          <w:t xml:space="preserve">[7]</w:t>
        </w:r>
      </w:hyperlink>
      <w:r>
        <w:t xml:space="preserve">, but the ground segment, and specifically the aperture-versus-cadence margin within the ground segment, has not been subjected to this machinery. The methodology is mature and the domain is data-rich, yet the two have not met at this margin.</w:t>
      </w:r>
    </w:p>
    <w:bookmarkEnd w:id="73"/>
    <w:bookmarkStart w:id="74" w:name="synthesis-gap-and-positioning"/>
    <w:p>
      <w:pPr>
        <w:pStyle w:val="Heading2"/>
        <w:spacing w:line="480" w:lineRule="auto"/>
      </w:pPr>
      <w:r>
        <w:t xml:space="preserve">2.6 Synthesis, Gap, and Positioning</w:t>
      </w:r>
    </w:p>
    <w:p>
      <w:pPr>
        <w:pStyle w:val="FirstParagraph"/>
        <w:spacing w:line="480" w:lineRule="auto"/>
      </w:pPr>
      <w:r>
        <w:t xml:space="preserve">The preceding sections establish a clear picture of two literatures that run parallel without intersecting. On one side, the domain technical literature knows a great deal about the</w:t>
      </w:r>
      <w:r>
        <w:t xml:space="preserve"> </w:t>
      </w:r>
      <w:r>
        <w:rPr>
          <w:i/>
          <w:iCs/>
        </w:rPr>
        <w:t xml:space="preserve">physics</w:t>
      </w:r>
      <w:r>
        <w:t xml:space="preserve"> </w:t>
      </w:r>
      <w:r>
        <w:t xml:space="preserve">of per-contact throughput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13">
        <w:r>
          <w:rPr>
            <w:rStyle w:val="Hyperlink"/>
          </w:rPr>
          <w:t xml:space="preserve">[13]</w:t>
        </w:r>
      </w:hyperlink>
      <w:r>
        <w:t xml:space="preserve">, about the realized</w:t>
      </w:r>
      <w:r>
        <w:t xml:space="preserve"> </w:t>
      </w:r>
      <w:r>
        <w:rPr>
          <w:i/>
          <w:iCs/>
        </w:rPr>
        <w:t xml:space="preserve">performance</w:t>
      </w:r>
      <w:r>
        <w:t xml:space="preserve"> </w:t>
      </w:r>
      <w:r>
        <w:t xml:space="preserve">of individual missions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about the</w:t>
      </w:r>
      <w:r>
        <w:t xml:space="preserve"> </w:t>
      </w:r>
      <w:r>
        <w:rPr>
          <w:i/>
          <w:iCs/>
        </w:rPr>
        <w:t xml:space="preserve">enhancement</w:t>
      </w:r>
      <w:r>
        <w:t xml:space="preserve"> </w:t>
      </w:r>
      <w:r>
        <w:t xml:space="preserve">of fielded apertures</w:t>
      </w:r>
      <w:r>
        <w:t xml:space="preserve"> </w:t>
      </w:r>
      <w:hyperlink w:anchor="ref-33">
        <w:r>
          <w:rPr>
            <w:rStyle w:val="Hyperlink"/>
          </w:rPr>
          <w:t xml:space="preserve">[33]</w:t>
        </w:r>
      </w:hyperlink>
      <w:r>
        <w:t xml:space="preserve">, about the</w:t>
      </w:r>
      <w:r>
        <w:t xml:space="preserve"> </w:t>
      </w:r>
      <w:r>
        <w:rPr>
          <w:i/>
          <w:iCs/>
        </w:rPr>
        <w:t xml:space="preserve">structural cost law</w:t>
      </w:r>
      <w:r>
        <w:t xml:space="preserve"> </w:t>
      </w:r>
      <w:r>
        <w:t xml:space="preserve">of large dishes</w:t>
      </w:r>
      <w:r>
        <w:t xml:space="preserve"> </w:t>
      </w:r>
      <w:hyperlink w:anchor="ref-15">
        <w:r>
          <w:rPr>
            <w:rStyle w:val="Hyperlink"/>
          </w:rPr>
          <w:t xml:space="preserve">[15]</w:t>
        </w:r>
      </w:hyperlink>
      <w:r>
        <w:t xml:space="preserve">, and about the</w:t>
      </w:r>
      <w:r>
        <w:t xml:space="preserve"> </w:t>
      </w:r>
      <w:r>
        <w:rPr>
          <w:i/>
          <w:iCs/>
        </w:rPr>
        <w:t xml:space="preserve">arraying response</w:t>
      </w:r>
      <w:r>
        <w:t xml:space="preserve"> </w:t>
      </w:r>
      <w:r>
        <w:t xml:space="preserve">that converts that law into a flatter realized frontier</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On the other side, the cliometric and cost-econometric methodology literature knows how to</w:t>
      </w:r>
      <w:r>
        <w:t xml:space="preserve"> </w:t>
      </w:r>
      <w:r>
        <w:rPr>
          <w:i/>
          <w:iCs/>
        </w:rPr>
        <w:t xml:space="preserve">estimate</w:t>
      </w:r>
      <w:r>
        <w:t xml:space="preserve"> </w:t>
      </w:r>
      <w:r>
        <w:t xml:space="preserve">conditional elasticities and constant-elasticity cost curves from realized historical records, and knows the epistemic limits of doing so on small samples</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What no prior work does is bring the estimators of the second literature to bear on the margins of the first, in the specific form of a single instrument that prices aperture and cadence against a shared budget on a common cost-per-delivered-bit axis. Three concrete gaps follow.</w:t>
      </w:r>
    </w:p>
    <w:p>
      <w:pPr>
        <w:pStyle w:val="BodyText"/>
        <w:spacing w:line="480" w:lineRule="auto"/>
        <w:ind w:firstLine="720"/>
      </w:pPr>
      <w:r>
        <w:t xml:space="preserve">The first is the</w:t>
      </w:r>
      <w:r>
        <w:t xml:space="preserve"> </w:t>
      </w:r>
      <w:r>
        <w:rPr>
          <w:b/>
          <w:bCs/>
        </w:rPr>
        <w:t xml:space="preserve">margin-isolation gap</w:t>
      </w:r>
      <w:r>
        <w:t xml:space="preserve">. Aperture performance and contact scheduling are modeled in separate literatures, with optical and radio-frequency aperture characterization on one side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33">
        <w:r>
          <w:rPr>
            <w:rStyle w:val="Hyperlink"/>
          </w:rPr>
          <w:t xml:space="preserve">[33]</w:t>
        </w:r>
      </w:hyperlink>
      <w:r>
        <w:t xml:space="preserve"> </w:t>
      </w:r>
      <w:r>
        <w:t xml:space="preserve">and operations, relay-topology, and scheduling work on the other</w:t>
      </w:r>
      <w:r>
        <w:t xml:space="preserve"> </w:t>
      </w:r>
      <w:hyperlink w:anchor="ref-28">
        <w:r>
          <w:rPr>
            <w:rStyle w:val="Hyperlink"/>
          </w:rPr>
          <w:t xml:space="preserve">[28]</w:t>
        </w:r>
      </w:hyperlink>
      <w:r>
        <w:t xml:space="preserve">,</w:t>
      </w:r>
      <w:r>
        <w:t xml:space="preserve"> </w:t>
      </w:r>
      <w:hyperlink w:anchor="ref-36">
        <w:r>
          <w:rPr>
            <w:rStyle w:val="Hyperlink"/>
          </w:rPr>
          <w:t xml:space="preserve">[36]</w:t>
        </w:r>
      </w:hyperlink>
      <w:r>
        <w:t xml:space="preserve">, and no published instrument prices the two against a shared budget constraint. The handbook tradition characterizes configurations</w:t>
      </w:r>
      <w:r>
        <w:t xml:space="preserve"> </w:t>
      </w:r>
      <w:hyperlink w:anchor="ref-5">
        <w:r>
          <w:rPr>
            <w:rStyle w:val="Hyperlink"/>
          </w:rPr>
          <w:t xml:space="preserve">[5]</w:t>
        </w:r>
      </w:hyperlink>
      <w:r>
        <w:t xml:space="preserve">,</w:t>
      </w:r>
      <w:r>
        <w:t xml:space="preserve"> </w:t>
      </w:r>
      <w:hyperlink w:anchor="ref-13">
        <w:r>
          <w:rPr>
            <w:rStyle w:val="Hyperlink"/>
          </w:rPr>
          <w:t xml:space="preserve">[13]</w:t>
        </w:r>
      </w:hyperlink>
      <w:r>
        <w:t xml:space="preserve">; the DESCANSO monographs document missions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arraying studies cost out architectures</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 but each treats its margin in isolation, and none places aperture and cadence on a common delivered-bit denominator. The present study closes this gap by constructing a link-and-queue engineering layer that maps any ground-segment configuration, defined by site count, aperture per site, and scheduling policy, to expected delivered data volume, so that both margins move the same outcome variable.</w:t>
      </w:r>
    </w:p>
    <w:p>
      <w:pPr>
        <w:pStyle w:val="BodyText"/>
        <w:spacing w:line="480" w:lineRule="auto"/>
        <w:ind w:firstLine="720"/>
      </w:pPr>
      <w:r>
        <w:t xml:space="preserve">The second is the</w:t>
      </w:r>
      <w:r>
        <w:t xml:space="preserve"> </w:t>
      </w:r>
      <w:r>
        <w:rPr>
          <w:b/>
          <w:bCs/>
        </w:rPr>
        <w:t xml:space="preserve">cost-coupling gap</w:t>
      </w:r>
      <w:r>
        <w:t xml:space="preserve">. Where ground-station operating expense is discussed at all, it is treated as a line item to be reported or excluded</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 </w:t>
      </w:r>
      <w:r>
        <w:t xml:space="preserve">rather than as a function whose slope, against either aperture or cadence, can be estimated and compared. The steepness of space cost curves is acknowledged at the system level</w:t>
      </w:r>
      <w:r>
        <w:t xml:space="preserve"> </w:t>
      </w:r>
      <w:hyperlink w:anchor="ref-2">
        <w:r>
          <w:rPr>
            <w:rStyle w:val="Hyperlink"/>
          </w:rPr>
          <w:t xml:space="preserve">[2]</w:t>
        </w:r>
      </w:hyperlink>
      <w:r>
        <w:t xml:space="preserve"> </w:t>
      </w:r>
      <w:r>
        <w:t xml:space="preserve">but is never decomposed at the ground-segment margin. The structural cost law of antennas is stated as a number</w:t>
      </w:r>
      <w:r>
        <w:t xml:space="preserve"> </w:t>
      </w:r>
      <w:hyperlink w:anchor="ref-15">
        <w:r>
          <w:rPr>
            <w:rStyle w:val="Hyperlink"/>
          </w:rPr>
          <w:t xml:space="preserve">[15]</w:t>
        </w:r>
      </w:hyperlink>
      <w:r>
        <w:t xml:space="preserve"> </w:t>
      </w:r>
      <w:r>
        <w:t xml:space="preserve">but, until the present study’s second companion paper, was never estimated against the realized antenna population to reveal that arraying has already flattened it to an elasticity near one</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 The present study closes this gap by estimating a ground-segment cost function and differentiating it with respect to each margin, converting an excluded line item into an estimable, differentiable object.</w:t>
      </w:r>
    </w:p>
    <w:p>
      <w:pPr>
        <w:pStyle w:val="BodyText"/>
        <w:spacing w:line="480" w:lineRule="auto"/>
        <w:ind w:firstLine="720"/>
      </w:pPr>
      <w:r>
        <w:t xml:space="preserve">The third is the</w:t>
      </w:r>
      <w:r>
        <w:t xml:space="preserve"> </w:t>
      </w:r>
      <w:r>
        <w:rPr>
          <w:b/>
          <w:bCs/>
        </w:rPr>
        <w:t xml:space="preserve">substitution gap</w:t>
      </w:r>
      <w:r>
        <w:t xml:space="preserve">. On-board processing is known to reduce the required downlink rate and thereby the required ground capacity</w:t>
      </w:r>
      <w:r>
        <w:t xml:space="preserve"> </w:t>
      </w:r>
      <w:hyperlink w:anchor="ref-4">
        <w:r>
          <w:rPr>
            <w:rStyle w:val="Hyperlink"/>
          </w:rPr>
          <w:t xml:space="preserve">[4]</w:t>
        </w:r>
      </w:hyperlink>
      <w:r>
        <w:t xml:space="preserve">, which means aperture and cadence are not the only levers and any frontier that ignores the on-board-processing choice risks omitted-variable contamination. The substitution of payload computation for ground capacity is documented in the optical-link processing literature</w:t>
      </w:r>
      <w:r>
        <w:t xml:space="preserve"> </w:t>
      </w:r>
      <w:hyperlink w:anchor="ref-4">
        <w:r>
          <w:rPr>
            <w:rStyle w:val="Hyperlink"/>
          </w:rPr>
          <w:t xml:space="preserve">[4]</w:t>
        </w:r>
      </w:hyperlink>
      <w:r>
        <w:t xml:space="preserve"> </w:t>
      </w:r>
      <w:r>
        <w:t xml:space="preserve">and echoed in the disruption-tolerant operations literature where scheduling intelligence extracts more delivered data from a fixed plant</w:t>
      </w:r>
      <w:r>
        <w:t xml:space="preserve"> </w:t>
      </w:r>
      <w:hyperlink w:anchor="ref-28">
        <w:r>
          <w:rPr>
            <w:rStyle w:val="Hyperlink"/>
          </w:rPr>
          <w:t xml:space="preserve">[28]</w:t>
        </w:r>
      </w:hyperlink>
      <w:r>
        <w:t xml:space="preserve">. No existing work holds this lever explicitly while contrasting aperture and cadence. The present study closes this gap by entering on-board-processing intensity as a held-fixed control and reporting frontier shifts across its plausible range, so that the aperture-versus-cadence contrast is not confounded by an unmodeled third margin.</w:t>
      </w:r>
    </w:p>
    <w:p>
      <w:pPr>
        <w:pStyle w:val="BodyText"/>
        <w:spacing w:line="480" w:lineRule="auto"/>
        <w:ind w:firstLine="720"/>
      </w:pPr>
      <w:r>
        <w:t xml:space="preserve">The two companion empirical papers of this dissertation are the bridge across these gaps, and the synthesis they jointly produce is the substantive payoff of joining the two literatures. The first paper applies the conditional-elasticity estimator of the cliometric tradition to the domain performance record and finds that, once distance, transmit power, and band are held fixed, ground-antenna aperture carries no statistically detectable independent association with achieved downlink rate in the documented cross-section; the apparent return to aperture is largely a composition effect of the collinearity between large dishes and old, low-power, low-band missions</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This is a result that neither literature could have produced alone: the engineering literature would have asserted the link-budget monotonicity of aperture gain</w:t>
      </w:r>
      <w:r>
        <w:t xml:space="preserve"> </w:t>
      </w:r>
      <w:hyperlink w:anchor="ref-5">
        <w:r>
          <w:rPr>
            <w:rStyle w:val="Hyperlink"/>
          </w:rPr>
          <w:t xml:space="preserve">[5]</w:t>
        </w:r>
      </w:hyperlink>
      <w:r>
        <w:t xml:space="preserve">, and the econometric literature had no domain to which to apply its conditioning machinery. The second paper applies the log-log constant-elasticity estimator to the realized antenna cost population and finds an elasticity statistically indistinguishable from one rather than from the structural benchmark near 2.5, the empirical fingerprint of arraying already at work in the historical record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Again, this is a joint product: the structural law is a domain assertion</w:t>
      </w:r>
      <w:r>
        <w:t xml:space="preserve"> </w:t>
      </w:r>
      <w:hyperlink w:anchor="ref-15">
        <w:r>
          <w:rPr>
            <w:rStyle w:val="Hyperlink"/>
          </w:rPr>
          <w:t xml:space="preserve">[15]</w:t>
        </w:r>
      </w:hyperlink>
      <w:r>
        <w:t xml:space="preserve">, the arraying response is a domain prediction</w:t>
      </w:r>
      <w:r>
        <w:t xml:space="preserve"> </w:t>
      </w:r>
      <w:hyperlink w:anchor="ref-16">
        <w:r>
          <w:rPr>
            <w:rStyle w:val="Hyperlink"/>
          </w:rPr>
          <w:t xml:space="preserve">[16]</w:t>
        </w:r>
      </w:hyperlink>
      <w:r>
        <w:t xml:space="preserve">, but only the cliometric estimator applied to the realized population can show that the prediction has already been realized.</w:t>
      </w:r>
    </w:p>
    <w:p>
      <w:pPr>
        <w:pStyle w:val="BodyText"/>
        <w:spacing w:line="480" w:lineRule="auto"/>
        <w:ind w:firstLine="720"/>
      </w:pPr>
      <w:r>
        <w:t xml:space="preserve">Taken together, the two papers sketch both blades of the scissors. The capacity blade shows that aperture is not the dominant lever on per-contact rate in the modern record once the system is matched</w:t>
      </w:r>
      <w:r>
        <w:t xml:space="preserve"> </w:t>
      </w:r>
      <w:hyperlink w:anchor="ref-8">
        <w:r>
          <w:rPr>
            <w:rStyle w:val="Hyperlink"/>
          </w:rPr>
          <w:t xml:space="preserve">[8]</w:t>
        </w:r>
      </w:hyperlink>
      <w:r>
        <w:t xml:space="preserve">. The cost blade shows that aperture cost rises only linearly with diameter across the achievable menu, removing any capital penalty for spreading a fixed budget across many smaller apertures</w:t>
      </w:r>
      <w:r>
        <w:t xml:space="preserve"> </w:t>
      </w:r>
      <w:hyperlink w:anchor="ref-16">
        <w:r>
          <w:rPr>
            <w:rStyle w:val="Hyperlink"/>
          </w:rPr>
          <w:t xml:space="preserve">[16]</w:t>
        </w:r>
      </w:hyperlink>
      <w:r>
        <w:t xml:space="preserve">,</w:t>
      </w:r>
      <w:r>
        <w:t xml:space="preserve"> </w:t>
      </w:r>
      <w:hyperlink w:anchor="ref-20">
        <w:r>
          <w:rPr>
            <w:rStyle w:val="Hyperlink"/>
          </w:rPr>
          <w:t xml:space="preserve">[20]</w:t>
        </w:r>
      </w:hyperlink>
      <w:r>
        <w:t xml:space="preserve">. What remains, and what the dissertation’s integrating chapter undertakes, is to close the scissors into a single cost-per-delivered-bit objective that incorporates the operations and correlation costs of arrays, the weather-and-visibility outage that shapes cadence, and the held-fixed on-board-processing control, and to estimate the resulting aperture-cadence cost-effectiveness frontier. The literature reviewed here establishes that every component of this frontier exists in prior work, the link physics</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the performance record</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the cost law</w:t>
      </w:r>
      <w:r>
        <w:t xml:space="preserve"> </w:t>
      </w:r>
      <w:hyperlink w:anchor="ref-15">
        <w:r>
          <w:rPr>
            <w:rStyle w:val="Hyperlink"/>
          </w:rPr>
          <w:t xml:space="preserve">[15]</w:t>
        </w:r>
      </w:hyperlink>
      <w:r>
        <w:t xml:space="preserve">, the arraying response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the parametric estimation method</w:t>
      </w:r>
      <w:r>
        <w:t xml:space="preserve"> </w:t>
      </w:r>
      <w:hyperlink w:anchor="ref-6">
        <w:r>
          <w:rPr>
            <w:rStyle w:val="Hyperlink"/>
          </w:rPr>
          <w:t xml:space="preserve">[6]</w:t>
        </w:r>
      </w:hyperlink>
      <w:r>
        <w:t xml:space="preserve">, and the economic framing</w:t>
      </w:r>
      <w:r>
        <w:t xml:space="preserve"> </w:t>
      </w:r>
      <w:hyperlink w:anchor="ref-2">
        <w:r>
          <w:rPr>
            <w:rStyle w:val="Hyperlink"/>
          </w:rPr>
          <w:t xml:space="preserve">[2]</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but that no prior work assembles them into a single estimable instrument. That assembly is the contribution of this dissertation, and the gap it fills is not a gap in either literature taken alone but the gap</w:t>
      </w:r>
      <w:r>
        <w:t xml:space="preserve"> </w:t>
      </w:r>
      <w:r>
        <w:rPr>
          <w:i/>
          <w:iCs/>
        </w:rPr>
        <w:t xml:space="preserve">between</w:t>
      </w:r>
      <w:r>
        <w:t xml:space="preserve"> </w:t>
      </w:r>
      <w:r>
        <w:t xml:space="preserve">them, at the precise margin where a budget-constrained ground-segment planner must decide whether the next dollar buys more delivered data through aperture or through cadence.</w:t>
      </w:r>
    </w:p>
    <w:bookmarkEnd w:id="74"/>
    <w:bookmarkStart w:id="75" w:name="concluding-remarks"/>
    <w:p>
      <w:pPr>
        <w:pStyle w:val="Heading2"/>
        <w:spacing w:line="480" w:lineRule="auto"/>
      </w:pPr>
      <w:r>
        <w:t xml:space="preserve">2.7 Concluding Remarks</w:t>
      </w:r>
    </w:p>
    <w:p>
      <w:pPr>
        <w:pStyle w:val="FirstParagraph"/>
        <w:spacing w:line="480" w:lineRule="auto"/>
      </w:pPr>
      <w:r>
        <w:t xml:space="preserve">The literature review supports a single structural conclusion. The deep-space ground-segment technical literature and the cliometric cost-econometric methodology literature are each individually adequate and jointly unjoined. The technical literature supplies the physics, the performance record, the cost law, and the arraying response but stops short of estimating realized elasticities and never expresses aperture and cadence on a common cost-per-bit axis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33">
        <w:r>
          <w:rPr>
            <w:rStyle w:val="Hyperlink"/>
          </w:rPr>
          <w:t xml:space="preserve">[33]</w:t>
        </w:r>
      </w:hyperlink>
      <w:r>
        <w:t xml:space="preserve">. The methodological literature supplies the conditional-elasticity and constant-elasticity estimators and the discipline of parametric validation but has never been applied to the ground-segment aperture-cadence margin</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The economic framing literature establishes that the decision matters, that cost curves are steep, that returns to fixed infrastructure are conditional, and that ground-segment expense is materially under-resolved, but it leaves the ground segment as an excluded line item</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7">
        <w:r>
          <w:rPr>
            <w:rStyle w:val="Hyperlink"/>
          </w:rPr>
          <w:t xml:space="preserve">[7]</w:t>
        </w:r>
      </w:hyperlink>
      <w:r>
        <w:t xml:space="preserve">. The three gaps that follow, margin isolation, cost coupling, and substitution, are not defects within either literature but consequences of their separation. The present study joins them, and the two companion empirical papers demonstrate that the join is not merely tidy but consequential: conditioning overturns the naive aperture claim, and estimation against the realized population reveals that the diseconomy of diameter has already been defeated by the decision to array. The remainder of this dissertation builds the integrating instrument that these two results jointly authorize.</w:t>
      </w:r>
    </w:p>
    <w:bookmarkEnd w:id="75"/>
    <w:bookmarkEnd w:id="76"/>
    <w:bookmarkStart w:id="84" w:name="Xcfcc00a3ded59aed0c781c16bfc121f2a509603"/>
    <w:p>
      <w:pPr>
        <w:pStyle w:val="Heading1"/>
        <w:spacing w:line="480" w:lineRule="auto"/>
      </w:pPr>
      <w:r>
        <w:t xml:space="preserve">Chapter 3. Theoretical Framework and Hypotheses</w:t>
      </w:r>
    </w:p>
    <w:bookmarkStart w:id="77" w:name="purpose-and-position-of-the-chapter"/>
    <w:p>
      <w:pPr>
        <w:pStyle w:val="Heading2"/>
        <w:spacing w:line="480" w:lineRule="auto"/>
      </w:pPr>
      <w:r>
        <w:t xml:space="preserve">3.1 Purpose and Position of the Chapter</w:t>
      </w:r>
    </w:p>
    <w:p>
      <w:pPr>
        <w:pStyle w:val="FirstParagraph"/>
        <w:spacing w:line="480" w:lineRule="auto"/>
      </w:pPr>
      <w:r>
        <w:t xml:space="preserve">The two empirical studies that anchor this dissertation each isolated one blade of a single decision. The first established what a marginal unit of aperture buys in delivered capability, and found that once spacecraft Earth distance, onboard transmit power, and frequency band are held fixed, the partial elasticity of achieved downlink rate with respect to ground-antenna diameter is statistically indistinguishable from zero in the documented mission record. The second established what a marginal unit of aperture costs, and found that across the realized population of large ground antennas the cost-aperture elasticity is essentially exactly one rather than the near-cubic value the single-dish structural law predicts. Each result is informative on its own, but neither is a decision. A slope is not a plan. A capacity planner does not choose a capability response or a cost slope; the planner chooses an allocation of a fixed budget between two distinct margins of expansion, and that allocation is governed jointly by both slopes at once.</w:t>
      </w:r>
    </w:p>
    <w:p>
      <w:pPr>
        <w:pStyle w:val="BodyText"/>
        <w:spacing w:line="480" w:lineRule="auto"/>
        <w:ind w:firstLine="720"/>
      </w:pPr>
      <w:r>
        <w:t xml:space="preserve">This chapter constructs the theoretical object that joins the two blades into a single instrument. The object is the aperture-cadence cost-effectiveness frontier: the locus of budget-constrained maxima of delivered data volume as a fixed ground-segment budget is reallocated between enlarging collecting area per site and multiplying contact opportunities across sites and schedules. The chapter has three tasks. First, it specifies the production technology that maps a ground-segment configuration into delivered data volume, separating the aperture margin from the cadence margin along the seam that the link-and-queue structure of a deep-space relay makes natural. Second, it derives the causal logic that connects the two estimated slopes to the shape of the frontier and identifies the precise condition under which the cost-minimizing capacity plan is interior rather than a corner. Third, it states the formal hypotheses H0 and H1 in terms that the dissertation’s data can adjudicate, together with the falsification conditions that distinguish a genuine interior optimum from its competing explanations.</w:t>
      </w:r>
    </w:p>
    <w:p>
      <w:pPr>
        <w:pStyle w:val="BodyText"/>
        <w:spacing w:line="480" w:lineRule="auto"/>
        <w:ind w:firstLine="720"/>
      </w:pPr>
      <w:r>
        <w:t xml:space="preserve">The framing throughout treats the Deep Space Network as a shared, congestible infrastructure asset whose delivered value is the volume of mission data successfully returned over a planning horizon. Ground-segment operating cost is a recognized and material component of space-system expenditure that headline economic forecasts of the sector frequently exclude or under-resolve</w:t>
      </w:r>
      <w:r>
        <w:t xml:space="preserve"> </w:t>
      </w:r>
      <w:hyperlink w:anchor="ref-1">
        <w:r>
          <w:rPr>
            <w:rStyle w:val="Hyperlink"/>
          </w:rPr>
          <w:t xml:space="preserve">[1]</w:t>
        </w:r>
      </w:hyperlink>
      <w:r>
        <w:t xml:space="preserve">, and the capital cost structure of space infrastructure follows steep, nonlinear curves that make committed corner solutions expensive to reverse</w:t>
      </w:r>
      <w:r>
        <w:t xml:space="preserve"> </w:t>
      </w:r>
      <w:hyperlink w:anchor="ref-2">
        <w:r>
          <w:rPr>
            <w:rStyle w:val="Hyperlink"/>
          </w:rPr>
          <w:t xml:space="preserve">[2]</w:t>
        </w:r>
      </w:hyperlink>
      <w:r>
        <w:t xml:space="preserve">. The frontier is the disciplined answer to a problem that the engineering literature has addressed only one margin at a time.</w:t>
      </w:r>
    </w:p>
    <w:bookmarkEnd w:id="77"/>
    <w:bookmarkStart w:id="78" w:name="X3f329e6eb8d7441122a30b159f8ca3ed2c6d1e2"/>
    <w:p>
      <w:pPr>
        <w:pStyle w:val="Heading2"/>
        <w:spacing w:line="480" w:lineRule="auto"/>
      </w:pPr>
      <w:r>
        <w:t xml:space="preserve">3.2 The Production Technology of Delivered Data Volume</w:t>
      </w:r>
    </w:p>
    <w:p>
      <w:pPr>
        <w:pStyle w:val="FirstParagraph"/>
        <w:spacing w:line="480" w:lineRule="auto"/>
      </w:pPr>
      <w:r>
        <w:t xml:space="preserve">Delivered data volume over a planning horizon is the product of two factors that correspond exactly to the two expansion margins. The first factor is the rate at which a single contact can move data, set by the link budget: spacecraft transmit power and antenna gain, ground-antenna gain-to-noise-temperature ratio, range, frequency band, and coding. The second factor is the quantity of contact time the network can stage against that rate, set by the queue: the number of sites, their geographic diversity, the visibility windows they command, the weather outage they suffer, and the scheduling efficiency with which their apertures are kept occupied. Delivered volume is rate integrated over staged contact time, so the two factors multiply rather than add. This multiplicative structure is the formal reason the planner cannot reason about either margin in isolation, and it is the reason a frontier, rather than a ranking of margins, is the correct decision instrument.</w:t>
      </w:r>
    </w:p>
    <w:p>
      <w:pPr>
        <w:pStyle w:val="BodyText"/>
        <w:spacing w:line="480" w:lineRule="auto"/>
        <w:ind w:firstLine="720"/>
      </w:pPr>
      <w:r>
        <w:t xml:space="preserve">The aperture margin operates on the first factor. Enlarging collecting area per site raises ground-antenna gain and therefore the achievable rate for a given spacecraft and band, whether the enlargement is realized as a larger single dish, as a phased aggregate of several smaller antennas, or as an added optical aperture that trades radio-frequency robustness for higher photon-efficient throughput</w:t>
      </w:r>
      <w:r>
        <w:t xml:space="preserve"> </w:t>
      </w:r>
      <w:hyperlink w:anchor="ref-3">
        <w:r>
          <w:rPr>
            <w:rStyle w:val="Hyperlink"/>
          </w:rPr>
          <w:t xml:space="preserve">[3]</w:t>
        </w:r>
      </w:hyperlink>
      <w:r>
        <w:t xml:space="preserve">. The link parameters that translate aperture and band into achievable rate are documented for the operational network in the DSN Telecommunications Link Design Handbook</w:t>
      </w:r>
      <w:r>
        <w:t xml:space="preserve"> </w:t>
      </w:r>
      <w:hyperlink w:anchor="ref-5">
        <w:r>
          <w:rPr>
            <w:rStyle w:val="Hyperlink"/>
          </w:rPr>
          <w:t xml:space="preserve">[5]</w:t>
        </w:r>
      </w:hyperlink>
      <w:r>
        <w:t xml:space="preserve">, and the realized rates of flagship missions are recorded in the DESCANSO telecommunications monographs across a wide span of apertures, powers, and bands</w:t>
      </w:r>
      <w:r>
        <w:t xml:space="preserve"> </w:t>
      </w:r>
      <w:hyperlink w:anchor="ref-9">
        <w:r>
          <w:rPr>
            <w:rStyle w:val="Hyperlink"/>
          </w:rPr>
          <w:t xml:space="preserve">[9]</w:t>
        </w:r>
      </w:hyperlink>
      <w:r>
        <w:t xml:space="preserve">[10][11][12][14]. The aperture-enhancement program at the network’s own 70 m antennas is a direct instance of investing in the first factor</w:t>
      </w:r>
      <w:r>
        <w:t xml:space="preserve"> </w:t>
      </w:r>
      <w:hyperlink w:anchor="ref-33">
        <w:r>
          <w:rPr>
            <w:rStyle w:val="Hyperlink"/>
          </w:rPr>
          <w:t xml:space="preserve">[33]</w:t>
        </w:r>
      </w:hyperlink>
      <w:r>
        <w:t xml:space="preserve">.</w:t>
      </w:r>
    </w:p>
    <w:p>
      <w:pPr>
        <w:pStyle w:val="BodyText"/>
        <w:spacing w:line="480" w:lineRule="auto"/>
        <w:ind w:firstLine="720"/>
      </w:pPr>
      <w:r>
        <w:t xml:space="preserve">The cadence margin operates on the second factor. Adding geographically distributed sites lifts weather and visibility constraints and raises the number of simultaneous or near-simultaneous contacts the network can hold; tightening scheduling reduces the hours that existing apertures sit idle; and shortening pass turnaround raises the contact count per unit time. None of these levers enlarges any single dish, and each multiplies effective contact time directly. The arraying architecture sits at the seam between the two margins: an array of small antennas can be read as buying aperture, since the combined signal delivers the sensitivity of a larger effective dish, but it is procured and grown as cadence, since it is the disciplined replication of modest, mass-produced elements rather than a single monolithic structure</w:t>
      </w:r>
      <w:r>
        <w:t xml:space="preserve"> </w:t>
      </w:r>
      <w:hyperlink w:anchor="ref-16">
        <w:r>
          <w:rPr>
            <w:rStyle w:val="Hyperlink"/>
          </w:rPr>
          <w:t xml:space="preserve">[16]</w:t>
        </w:r>
      </w:hyperlink>
      <w:r>
        <w:t xml:space="preserve">[17][19][21]. Chapter 3 treats the array’s receive-combining gain as residing on the aperture factor and its replication-and-reliability economics as residing on the cadence factor, a separation that the cost evidence of the companion study makes operationally clean.</w:t>
      </w:r>
    </w:p>
    <w:p>
      <w:pPr>
        <w:pStyle w:val="BodyText"/>
        <w:spacing w:line="480" w:lineRule="auto"/>
        <w:ind w:firstLine="720"/>
      </w:pPr>
      <w:r>
        <w:t xml:space="preserve">A third lever sits outside the two margins and must be controlled rather than estimated. Onboard processing that reduces the required downlink rate, by processing imaging and flux data so that fewer bits must be returned, substitutes payload computation for ground capacity and therefore shifts both factors at once</w:t>
      </w:r>
      <w:r>
        <w:t xml:space="preserve"> </w:t>
      </w:r>
      <w:hyperlink w:anchor="ref-4">
        <w:r>
          <w:rPr>
            <w:rStyle w:val="Hyperlink"/>
          </w:rPr>
          <w:t xml:space="preserve">[4]</w:t>
        </w:r>
      </w:hyperlink>
      <w:r>
        <w:t xml:space="preserve">. If left free, it would contaminate the aperture-cadence contrast through an omitted-variable channel, because a configuration that quietly raises onboard processing intensity would appear to deliver more volume per ground dollar on whichever margin it happened to coincide with. The framework holds onboard-processing intensity fixed as a control and reports how the frontier shifts across its plausible range, so that the estimated tradeoff is attributable to ground-segment allocation alone.</w:t>
      </w:r>
    </w:p>
    <w:bookmarkEnd w:id="78"/>
    <w:bookmarkStart w:id="79" w:name="X97dfa7ac03e1fe786ccdd88584f0a80d2604ed9"/>
    <w:p>
      <w:pPr>
        <w:pStyle w:val="Heading2"/>
        <w:spacing w:line="480" w:lineRule="auto"/>
      </w:pPr>
      <w:r>
        <w:t xml:space="preserve">3.3 The Cost Side and the Two Estimated Slopes</w:t>
      </w:r>
    </w:p>
    <w:p>
      <w:pPr>
        <w:pStyle w:val="FirstParagraph"/>
        <w:spacing w:line="480" w:lineRule="auto"/>
      </w:pPr>
      <w:r>
        <w:t xml:space="preserve">The frontier requires a cost function as well as a production technology. Annualized ground-segment expenditure, combining operations with amortized capital, is taken as a function of three configuration arguments: aggregate aperture, site count, and scheduling intensity. Operating costs such as ground-station expense are a distinct and material term that the sector’s economic accounting recognizes but rarely resolves at the margin</w:t>
      </w:r>
      <w:r>
        <w:t xml:space="preserve"> </w:t>
      </w:r>
      <w:hyperlink w:anchor="ref-1">
        <w:r>
          <w:rPr>
            <w:rStyle w:val="Hyperlink"/>
          </w:rPr>
          <w:t xml:space="preserve">[1]</w:t>
        </w:r>
      </w:hyperlink>
      <w:r>
        <w:t xml:space="preserve">[7], and parametric cost estimation for NASA systems, while serviceable, carries wide uncertainty bands once real program data enter the fit</w:t>
      </w:r>
      <w:r>
        <w:t xml:space="preserve"> </w:t>
      </w:r>
      <w:hyperlink w:anchor="ref-6">
        <w:r>
          <w:rPr>
            <w:rStyle w:val="Hyperlink"/>
          </w:rPr>
          <w:t xml:space="preserve">[6]</w:t>
        </w:r>
      </w:hyperlink>
      <w:r>
        <w:t xml:space="preserve">. The cost function is the bridge that places both expansion margins on a common cost-per-delivered-bit axis, which is the axis on which the planner’s budget actually binds.</w:t>
      </w:r>
    </w:p>
    <w:p>
      <w:pPr>
        <w:pStyle w:val="BodyText"/>
        <w:spacing w:line="480" w:lineRule="auto"/>
        <w:ind w:firstLine="720"/>
      </w:pPr>
      <w:r>
        <w:t xml:space="preserve">Two empirical facts established earlier in this dissertation enter the framework as parameters of that bridge, and it is essential to state precisely what each one constrains. The first is the capability slope. The aperture margin’s contribution to the production technology’s first factor was found to be imprecisely estimated and statistically indistinguishable from zero once the spacecraft transmitter and the frequency band were conditioned out, with the genuine explanatory work carried by transmit power and by migration to Ka-band rather than by raw dish size. This does not overturn the link-budget physics, under which aperture gain is real and monotone; it establishes that in the realized record the marginal capability return to a ground dollar spent on aperture is small and uncertain relative to the return to band and transmitter matching. The second is the cost slope. The cost-aperture elasticity across the realized population of antennas was found to be essentially exactly one, with a doubling of diameter associated with almost exactly a doubling of cost rather than the four-to-six-fold increase the near-cubic structural law would impose, because the population humanity has actually built already embeds the arraying response and so anchors the low-aperture end of the cost curve with cheap, replicated elements</w:t>
      </w:r>
      <w:r>
        <w:t xml:space="preserve"> </w:t>
      </w:r>
      <w:hyperlink w:anchor="ref-16">
        <w:r>
          <w:rPr>
            <w:rStyle w:val="Hyperlink"/>
          </w:rPr>
          <w:t xml:space="preserve">[16]</w:t>
        </w:r>
      </w:hyperlink>
      <w:r>
        <w:t xml:space="preserve">[19][21].</w:t>
      </w:r>
    </w:p>
    <w:p>
      <w:pPr>
        <w:pStyle w:val="BodyText"/>
        <w:spacing w:line="480" w:lineRule="auto"/>
        <w:ind w:firstLine="720"/>
      </w:pPr>
      <w:r>
        <w:t xml:space="preserve">The conjunction of a small, uncertain capability slope for aperture and a cost slope for aperture that is no steeper than linear is the central tension the frontier must resolve. If aperture bought capability cheaply and cadence dearly, the frontier would reward concentration of the budget on aperture; if aperture bought capability dearly and the structural cost law held, the frontier would reward concentration on cadence. The realized evidence supports neither pure corner cleanly. Aperture’s capability return is weak in the conditioned record, which argues against pouring the budget into dishes, yet aperture’s realized cost is linear rather than cubic, which removes the capital penalty that would otherwise force the budget away from collecting area entirely. The cadence margin, meanwhile, multiplies contact time directly and is favored by the reliability and incremental-growth economics of replication, but it incurs operations and signal-combining costs that the single-dish architecture avoids. Neither margin dominates the other across the whole budget range on the present evidence, and that is precisely the condition under which an interior optimum, rather than a corner, becomes the theoretically expected outcome.</w:t>
      </w:r>
    </w:p>
    <w:bookmarkEnd w:id="79"/>
    <w:bookmarkStart w:id="80" w:name="X7af36eeabf9aeb997119a0a2f8a6b56d603953a"/>
    <w:p>
      <w:pPr>
        <w:pStyle w:val="Heading2"/>
        <w:spacing w:line="480" w:lineRule="auto"/>
      </w:pPr>
      <w:r>
        <w:t xml:space="preserve">3.4 The Causal Mechanism and the Sign-Reversal Logic</w:t>
      </w:r>
    </w:p>
    <w:p>
      <w:pPr>
        <w:pStyle w:val="FirstParagraph"/>
        <w:spacing w:line="480" w:lineRule="auto"/>
      </w:pPr>
      <w:r>
        <w:t xml:space="preserve">The mechanism that produces an interior optimum is a crossing of marginal returns. Define, for each margin, the marginal cost per delivered bit as the derivative of the cost function with respect to that margin divided by the production technology’s delivered-bit response to the same margin. This object answers the planner’s actual question: what does the next delivered bit cost if it is bought through aperture, and what does it cost if it is bought through cadence. The budget-constrained maximum of delivered volume is reached when the marginal cost per delivered bit is equalized across the two margins, because at any allocation where the two differ the planner can deliver more total volume at no extra cost by shifting a dollar from the dearer margin to the cheaper one. The frontier is the trace of these equalized allocations as the budget varies.</w:t>
      </w:r>
    </w:p>
    <w:p>
      <w:pPr>
        <w:pStyle w:val="BodyText"/>
        <w:spacing w:line="480" w:lineRule="auto"/>
        <w:ind w:firstLine="720"/>
      </w:pPr>
      <w:r>
        <w:t xml:space="preserve">The causal logic that gives the frontier an interior shape rests on how the two marginal-cost-per-bit curves move as the budget grows, and it follows from the distinct ways the two margins exhaust their cheap returns. The cadence margin yields its largest delivered-bit gains first. At a small budget the binding constraint on delivered volume is staged contact time, because a network with few sites and loose scheduling leaves apertures idle and loses contacts to weather and visibility gaps; the first dollars spent on additional sites, tighter schedules, and shorter turnaround lift the second production factor sharply and therefore buy delivered bits cheaply. As cadence is funded toward saturation, however, the network approaches continuous coverage and the marginal contact added has progressively less idle time to fill, so the delivered-bit response per cadence dollar falls and the marginal cost per delivered bit on the cadence margin rises. The aperture margin behaves in the opposite temporal order. At a small budget, enlarging collecting area while contact time is still scarce multiplies a rate that the network cannot stage often enough to exploit, so early aperture dollars are dear per delivered bit. As cadence saturates and contact time ceases to bind, the same aperture enlargement now lifts the rate on contacts the network is actually able to hold, so the delivered-bit response per aperture dollar rises and its marginal cost per delivered bit falls. The two curves therefore move toward each other and cross.</w:t>
      </w:r>
    </w:p>
    <w:p>
      <w:pPr>
        <w:pStyle w:val="BodyText"/>
        <w:spacing w:line="480" w:lineRule="auto"/>
        <w:ind w:firstLine="720"/>
      </w:pPr>
      <w:r>
        <w:t xml:space="preserve">This crossing is the sign reversal that the framework predicts. Below the crossing budget the cadence margin returns more delivered bits per dollar and the difference in marginal cost per delivered bit, defined as aperture minus cadence, is positive; above the crossing budget the aperture margin returns more delivered bits per dollar and the difference is negative. The cost-minimizing capacity plan tracks the crossing: it funds cadence first while contact time binds, then funds aperture as contact time saturates, and at every budget it holds an interior mixture of both margins rather than exhausting one before touching the other. The linear realized cost of aperture is what makes this reversal reachable within the relevant budget range rather than pushed off to budgets no program would contemplate; had the structural cubic law governed realized cost, aperture’s marginal cost per delivered bit would remain prohibitive across the whole feasible range and the crossing would never occur, collapsing the frontier to a cadence corner. The conditioned weakness of aperture’s capability return is what keeps cadence cheaper than aperture at low budgets long enough for the crossing to fall at an interior threshold rather than at the origin. The two estimated slopes thus jointly locate the crossing, and the existence of the crossing is the dissertation’s substantive claim about the shape of the frontier.</w:t>
      </w:r>
    </w:p>
    <w:p>
      <w:pPr>
        <w:pStyle w:val="BodyText"/>
        <w:spacing w:line="480" w:lineRule="auto"/>
        <w:ind w:firstLine="720"/>
      </w:pPr>
      <w:r>
        <w:t xml:space="preserve">The mechanism is causal rather than merely associational because it rests on the engineering production structure and the realized cost structure, not on a correlation between observed budgets and observed allocations. A network that happened to spend more on cadence at low budgets and more on aperture at high budgets, for reasons unrelated to delivered-bit efficiency, would produce a positive correlation between budget and aperture share without any crossing of marginal-cost-per-bit curves. The framework’s prediction is sharper than that correlation: it is that the difference in marginal cost per delivered bit changes sign at an interior threshold, a pattern a spurious budget-allocation correlation would not generically generate. The sign reversal is therefore the identifying restriction as well as the substantive prediction, a point the hypotheses formalize below.</w:t>
      </w:r>
    </w:p>
    <w:bookmarkEnd w:id="80"/>
    <w:bookmarkStart w:id="81" w:name="boundary-conditions-and-scope-conditions"/>
    <w:p>
      <w:pPr>
        <w:pStyle w:val="Heading2"/>
        <w:spacing w:line="480" w:lineRule="auto"/>
      </w:pPr>
      <w:r>
        <w:t xml:space="preserve">3.5 Boundary Conditions and Scope Conditions</w:t>
      </w:r>
    </w:p>
    <w:p>
      <w:pPr>
        <w:pStyle w:val="FirstParagraph"/>
        <w:spacing w:line="480" w:lineRule="auto"/>
      </w:pPr>
      <w:r>
        <w:t xml:space="preserve">The mechanism holds within stated boundary conditions, and naming them sharpens the hypotheses rather than weakening them. The frontier is defined over the relevant budget range, meaning the interval of ground-segment expenditure a real capacity program would consider, not the full mathematical domain of the cost function; claims about the shape of the frontier are claims about this interval. The onboard-processing lever is held fixed, so the predicted reversal is a property of ground-segment allocation at a given level of payload-side rate reduction</w:t>
      </w:r>
      <w:r>
        <w:t xml:space="preserve"> </w:t>
      </w:r>
      <w:hyperlink w:anchor="ref-4">
        <w:r>
          <w:rPr>
            <w:rStyle w:val="Hyperlink"/>
          </w:rPr>
          <w:t xml:space="preserve">[4]</w:t>
        </w:r>
      </w:hyperlink>
      <w:r>
        <w:t xml:space="preserve">; the framework reports frontier shifts across the plausible range of that lever rather than treating it as free. Weather outage, which conditions the cadence margin’s effectiveness by determining how much of the staged contact time is actually usable, is carried as a sensitivity band rather than a point estimate, because the public network record captures atmospheric availability imperfectly and a mismeasured outage rate would bias the location of the crossing.</w:t>
      </w:r>
    </w:p>
    <w:p>
      <w:pPr>
        <w:pStyle w:val="BodyText"/>
        <w:spacing w:line="480" w:lineRule="auto"/>
        <w:ind w:firstLine="720"/>
      </w:pPr>
      <w:r>
        <w:t xml:space="preserve">The architecture under study is the three-complex deep-space configuration at Goldstone, Madrid, and Canberra, and the frontier is estimated on that architecture; generalization to near-Earth relay or to commercial ground-station-as-a-service networks is not claimed, because the underlying cost curves may differ by regime</w:t>
      </w:r>
      <w:r>
        <w:t xml:space="preserve"> </w:t>
      </w:r>
      <w:hyperlink w:anchor="ref-2">
        <w:r>
          <w:rPr>
            <w:rStyle w:val="Hyperlink"/>
          </w:rPr>
          <w:t xml:space="preserve">[2]</w:t>
        </w:r>
      </w:hyperlink>
      <w:r>
        <w:t xml:space="preserve">. The relay-topology literature for interplanetary links establishes that the cadence margin’s value also depends on network topology beyond the three-complex ground configuration, since added relay nodes change the contact structure a planner can stage</w:t>
      </w:r>
      <w:r>
        <w:t xml:space="preserve"> </w:t>
      </w:r>
      <w:hyperlink w:anchor="ref-36">
        <w:r>
          <w:rPr>
            <w:rStyle w:val="Hyperlink"/>
          </w:rPr>
          <w:t xml:space="preserve">[36]</w:t>
        </w:r>
      </w:hyperlink>
      <w:r>
        <w:t xml:space="preserve">; the present framework holds topology at the documented three-complex form and treats topology variation as outside scope. Within these boundaries the production technology, the cost function, and the marginal-cost-per-bit crossing are well defined, and the hypotheses that follow are statements about the crossing under exactly these conditions.</w:t>
      </w:r>
    </w:p>
    <w:bookmarkEnd w:id="81"/>
    <w:bookmarkStart w:id="82" w:name="formal-hypotheses"/>
    <w:p>
      <w:pPr>
        <w:pStyle w:val="Heading2"/>
        <w:spacing w:line="480" w:lineRule="auto"/>
      </w:pPr>
      <w:r>
        <w:t xml:space="preserve">3.6 Formal Hypotheses</w:t>
      </w:r>
    </w:p>
    <w:p>
      <w:pPr>
        <w:pStyle w:val="FirstParagraph"/>
        <w:spacing w:line="480" w:lineRule="auto"/>
      </w:pPr>
      <w:r>
        <w:t xml:space="preserve">The framework yields one estimated object, the aperture-cadence cost-effectiveness frontier, and one testable claim about its shape. The claim concerns the difference in marginal cost per delivered bit between the aperture margin and the cadence margin, evaluated across the relevant budget range. Let that difference, aperture marginal cost per delivered bit minus cadence marginal cost per delivered bit, be the quantity of interest at each budget level.</w:t>
      </w:r>
    </w:p>
    <w:p>
      <w:pPr>
        <w:pStyle w:val="BodyText"/>
        <w:spacing w:line="480" w:lineRule="auto"/>
        <w:ind w:firstLine="720"/>
      </w:pPr>
      <w:r>
        <w:rPr>
          <w:b/>
          <w:bCs/>
        </w:rPr>
        <w:t xml:space="preserve">H0 (null hypothesis).</w:t>
      </w:r>
      <w:r>
        <w:t xml:space="preserve"> </w:t>
      </w:r>
      <w:r>
        <w:t xml:space="preserve">Within the relevant budget range, the marginal cost per delivered bit is statistically indistinguishable across the aperture margin and the cadence margin. Under H0 the difference in marginal cost per delivered bit is not distinguishable from zero at any budget in the range, the planner is indifferent at the margin between funding aperture and funding cadence, and the capacity-expansion problem has no interior structure to exploit. Any allocation on the budget line delivers the same volume per dollar as any other, and the frontier is flat in the sense that its location does not reward an interior mixture over a corner.</w:t>
      </w:r>
    </w:p>
    <w:p>
      <w:pPr>
        <w:pStyle w:val="BodyText"/>
        <w:spacing w:line="480" w:lineRule="auto"/>
        <w:ind w:firstLine="720"/>
      </w:pPr>
      <w:r>
        <w:rPr>
          <w:b/>
          <w:bCs/>
        </w:rPr>
        <w:t xml:space="preserve">H1 (alternative hypothesis).</w:t>
      </w:r>
      <w:r>
        <w:t xml:space="preserve"> </w:t>
      </w:r>
      <w:r>
        <w:t xml:space="preserve">Within the relevant budget range, the marginal cost per delivered bit differs significantly between the two margins, and the difference reverses sign as the budget grows. Concretely, below a threshold budget the cadence margin returns more delivered bits per dollar, so the difference in marginal cost per delivered bit is positive and adding contacts dominates; above the threshold the aperture margin returns more delivered bits per dollar, so the difference is negative and enlarging collecting area dominates. The cost-minimizing capacity plan is therefore an interior allocation that funds both margins, tracking the crossing rather than exhausting one margin before touching the other.</w:t>
      </w:r>
    </w:p>
    <w:p>
      <w:pPr>
        <w:pStyle w:val="BodyText"/>
        <w:spacing w:line="480" w:lineRule="auto"/>
        <w:ind w:firstLine="720"/>
      </w:pPr>
      <w:r>
        <w:t xml:space="preserve">The economic content of H1 is that the frontier-optimal capacity plan is interior. This is the dissertation’s single falsifiable contribution, and it is the synthesis the two empirical chapters were built to support: the weak conditioned capability return to aperture keeps cadence cheaper at low budgets, the linear realized cost of aperture lets aperture become cheaper at high budgets, and the crossing of those two effects places the optimum in the interior.</w:t>
      </w:r>
    </w:p>
    <w:bookmarkEnd w:id="82"/>
    <w:bookmarkStart w:id="83" w:name="falsification-conditions"/>
    <w:p>
      <w:pPr>
        <w:pStyle w:val="Heading2"/>
        <w:spacing w:line="480" w:lineRule="auto"/>
      </w:pPr>
      <w:r>
        <w:t xml:space="preserve">3.7 Falsification Conditions</w:t>
      </w:r>
    </w:p>
    <w:p>
      <w:pPr>
        <w:pStyle w:val="FirstParagraph"/>
        <w:spacing w:line="480" w:lineRule="auto"/>
      </w:pPr>
      <w:r>
        <w:t xml:space="preserve">H1 makes a sharp prediction and is correspondingly easy to falsify, which is the property a doctoral contribution should have. There are three distinct ways the data can reject it, and the framework commits in advance to reading each as a substantive negative result rather than as noise to be explained away.</w:t>
      </w:r>
    </w:p>
    <w:p>
      <w:pPr>
        <w:pStyle w:val="BodyText"/>
        <w:spacing w:line="480" w:lineRule="auto"/>
        <w:ind w:firstLine="720"/>
      </w:pPr>
      <w:r>
        <w:t xml:space="preserve">First, H1 is falsified if the estimated difference in marginal cost per delivered bit cannot be distinguished from zero across the budget range, that is, if the data fail to reject H0. This is the indifference outcome. With a small number of distinct DSN aperture classes the cost regression has limited degrees of freedom, so a failure to reject H0 will be reported with confidence intervals on the marginal-cost-per-bit difference and treated as an informative finding that the planner is genuinely indifferent at the margin, not as a confirmation procured by low power.</w:t>
      </w:r>
    </w:p>
    <w:p>
      <w:pPr>
        <w:pStyle w:val="BodyText"/>
        <w:spacing w:line="480" w:lineRule="auto"/>
        <w:ind w:firstLine="720"/>
      </w:pPr>
      <w:r>
        <w:t xml:space="preserve">Second, H1 is falsified if the difference in marginal cost per delivered bit is statistically significant but does not reverse sign across the budget range. A significant difference that keeps one sign throughout the range indicates a corner rather than an interior optimum: if the difference is positive everywhere, cadence dominates at all budgets and the optimal plan funds cadence to exhaustion before aperture; if it is negative everywhere, aperture dominates at all budgets and the optimal plan funds aperture first. Either single-signed outcome contradicts the interior-optimum claim and would redirect the dissertation’s policy conclusion toward a corner solution.</w:t>
      </w:r>
    </w:p>
    <w:p>
      <w:pPr>
        <w:pStyle w:val="BodyText"/>
        <w:spacing w:line="480" w:lineRule="auto"/>
        <w:ind w:firstLine="720"/>
      </w:pPr>
      <w:r>
        <w:t xml:space="preserve">Third, H1 is falsified, or at least rendered unidentified, if the apparent reversal can be attributed to a spurious correlation between budget and allocation rather than to a crossing of marginal-cost-per-bit curves. The framework guards against this through the sign-reversal restriction itself: a spurious budget-allocation correlation would not generically produce a reversal in the difference at an interior threshold, so an estimated reversal that survives the sensitivity analyses over the onboard-processing control and the weather-outage band is evidence for the mechanism rather than for the confound. If the reversal disappears or migrates to the boundary of the range when those controls are varied within their documented plausible bounds, the framework treats the interior claim as unsupported.</w:t>
      </w:r>
    </w:p>
    <w:p>
      <w:pPr>
        <w:pStyle w:val="BodyText"/>
        <w:spacing w:line="480" w:lineRule="auto"/>
        <w:ind w:firstLine="720"/>
      </w:pPr>
      <w:r>
        <w:t xml:space="preserve">These three conditions exhaust the ways H1 can fail and make explicit that the contribution rests on a single estimated sign-reversing difference. The next chapter operationalizes the production technology and the cost function into the estimating equations that recover the marginal cost per delivered bit on each margin, and the chapter after that confronts the prediction with the public Deep Space Network service and configuration record</w:t>
      </w:r>
      <w:r>
        <w:t xml:space="preserve"> </w:t>
      </w:r>
      <w:hyperlink w:anchor="ref-5">
        <w:r>
          <w:rPr>
            <w:rStyle w:val="Hyperlink"/>
          </w:rPr>
          <w:t xml:space="preserve">[5]</w:t>
        </w:r>
      </w:hyperlink>
      <w:r>
        <w:t xml:space="preserve">[13] against which the frontier is estimated.</w:t>
      </w:r>
    </w:p>
    <w:bookmarkEnd w:id="83"/>
    <w:bookmarkEnd w:id="84"/>
    <w:bookmarkStart w:id="103" w:name="chapter-4.-data-and-measurement"/>
    <w:p>
      <w:pPr>
        <w:pStyle w:val="Heading1"/>
        <w:spacing w:line="480" w:lineRule="auto"/>
      </w:pPr>
      <w:r>
        <w:t xml:space="preserve">Chapter 4. Data and Measurement</w:t>
      </w:r>
    </w:p>
    <w:bookmarkStart w:id="85" w:name="purpose-and-scope-of-the-chapter"/>
    <w:p>
      <w:pPr>
        <w:pStyle w:val="Heading2"/>
        <w:spacing w:line="480" w:lineRule="auto"/>
      </w:pPr>
      <w:r>
        <w:t xml:space="preserve">4.1 Purpose and Scope of the Chapter</w:t>
      </w:r>
    </w:p>
    <w:p>
      <w:pPr>
        <w:pStyle w:val="FirstParagraph"/>
        <w:spacing w:line="480" w:lineRule="auto"/>
      </w:pPr>
      <w:r>
        <w:t xml:space="preserve">This chapter documents the empirical foundation on which the dissertation’s two estimating papers rest. The argument of the dissertation is that deep-space communications capacity is expanded along two structurally distinct margins, an aperture margin and a cadence margin, and that the cost-effectiveness frontier between them is interior rather than a corner. Adjudicating that claim demands two separate observational records: one that measures what aperture buys in delivered capacity, and one that measures what aperture costs to build. The two papers assemble exactly these two records. The first paper estimates the partial elasticity of achieved downlink data rate with respect to ground-antenna aperture across a cross-section of documented mission configurations. The second paper estimates the elasticity of antenna construction cost with respect to aperture diameter across a cross-section of documented large ground antennas. The two datasets share a common explanatory variable, aperture diameter, but differ in their unit of analysis, their outcome, and their authoritative sources. This chapter treats each in turn, then states the measurement conventions, the provenance discipline, and the threats to construct validity that the two records share.</w:t>
      </w:r>
    </w:p>
    <w:p>
      <w:pPr>
        <w:pStyle w:val="BodyText"/>
        <w:spacing w:line="480" w:lineRule="auto"/>
        <w:ind w:firstLine="720"/>
      </w:pPr>
      <w:r>
        <w:t xml:space="preserve">The governing commitment of the chapter is traceability. Every variable is constructed from a primary engineering or procurement record that a third party can retrieve and audit, and where a value cannot be sourced to such a record it is flagged as illustrative and quarantined as a known measurement perturbation rather than silently pooled with documented values. This discipline follows directly from the dissertation’s stated purpose, which is to deliver a transparent and replicable decision instrument for ground-segment investment rather than an opaque forecast. The blind-validation literature on parametric cost estimation is the cautionary backdrop here: even well-specified log-linear scaling relationships carry wide uncertainty once real program data enter the fit</w:t>
      </w:r>
      <w:r>
        <w:t xml:space="preserve"> </w:t>
      </w:r>
      <w:hyperlink w:anchor="ref-6">
        <w:r>
          <w:rPr>
            <w:rStyle w:val="Hyperlink"/>
          </w:rPr>
          <w:t xml:space="preserve">[6]</w:t>
        </w:r>
      </w:hyperlink>
      <w:r>
        <w:t xml:space="preserve">, and the only defense against that uncertainty masquerading as precision is a fully auditable construction of every observation.</w:t>
      </w:r>
    </w:p>
    <w:bookmarkEnd w:id="85"/>
    <w:bookmarkStart w:id="86" w:name="X8abb110c895cd960788bad244508e1d26397644"/>
    <w:p>
      <w:pPr>
        <w:pStyle w:val="Heading2"/>
        <w:spacing w:line="480" w:lineRule="auto"/>
      </w:pPr>
      <w:r>
        <w:t xml:space="preserve">4.2 The Two Datasets and Their Division of Labor</w:t>
      </w:r>
    </w:p>
    <w:p>
      <w:pPr>
        <w:pStyle w:val="FirstParagraph"/>
        <w:spacing w:line="480" w:lineRule="auto"/>
      </w:pPr>
      <w:r>
        <w:t xml:space="preserve">The dissertation does not rest on a single monolithic dataset. It rests on two. Each is a purpose-built cross-section constructed to isolate one blade of the aperture-cadence scissors. This division is deliberate and is itself a measurement decision. The capacity question and the cost question are governed by different physical and economic relationships, draw on different authoritative records, and carry different units of analysis. Forcing them into a single table would conflate the link-budget physics that governs achieved data rate with the structural-mechanics and procurement economics that govern construction cost. Keeping them separate lets each estimating equation use the variable definitions, the sample frame, and the error structure appropriate to its own relationship, and it lets the integrating chapter of the dissertation combine the two elasticities into a single cost-per-bit objective only after each has been estimated cleanly on its own terms.</w:t>
      </w:r>
    </w:p>
    <w:p>
      <w:pPr>
        <w:pStyle w:val="BodyText"/>
        <w:spacing w:line="480" w:lineRule="auto"/>
        <w:ind w:firstLine="720"/>
      </w:pPr>
      <w:r>
        <w:t xml:space="preserve">The first dataset, used in Paper 1, is a cross-section of thirty documented deep-space mission downlink configurations. Its unit of analysis is the mission-at-an-operating-point: a single spacecraft operating against a stated DSN ground-antenna aperture, characterized by the peak downlink rate that configuration achieved. The second dataset, used in Paper 2, is a cross-section of fifteen large ground antennas and radio telescopes. Its unit of analysis is the antenna-as-built: a single constructed facility characterized by its primary aperture diameter and its documented construction cost. The first record answers the question of what aperture delivers; the second answers the question of what aperture costs. Only by holding these two records distinct can the dissertation avoid the omitted-variable contamination that would arise if delivered-capacity and capital-cost relationships were estimated jointly without first being measured apart.</w:t>
      </w:r>
    </w:p>
    <w:bookmarkEnd w:id="86"/>
    <w:bookmarkStart w:id="93" w:name="X3406d23155667c490a93d3568d7c7c011cb3b88"/>
    <w:p>
      <w:pPr>
        <w:pStyle w:val="Heading2"/>
        <w:spacing w:line="480" w:lineRule="auto"/>
      </w:pPr>
      <w:r>
        <w:t xml:space="preserve">4.3 Dataset One: Mission Downlink Configurations (Capacity Record)</w:t>
      </w:r>
    </w:p>
    <w:bookmarkStart w:id="87" w:name="unit-of-analysis-and-sample-frame"/>
    <w:p>
      <w:pPr>
        <w:pStyle w:val="Heading3"/>
        <w:spacing w:line="480" w:lineRule="auto"/>
      </w:pPr>
      <w:r>
        <w:t xml:space="preserve">4.3.1 Unit of Analysis and Sample Frame</w:t>
      </w:r>
    </w:p>
    <w:p>
      <w:pPr>
        <w:pStyle w:val="FirstParagraph"/>
        <w:spacing w:line="480" w:lineRule="auto"/>
      </w:pPr>
      <w:r>
        <w:t xml:space="preserve">The unit of analysis in the capacity record is one deep-space mission observed at a single documented downlink operating point. The sample frame is the set of United States and allied deep-space missions for which a primary engineering document reports both a peak downlink data rate and the supporting link parameters needed to condition that rate. The realized cross-section contains thirty such observations. The frame is intentionally cross-mission rather than cross-pass: the object of interest in Paper 1 is the relationship between a configuration’s standing aperture class and its achievable instantaneous capability, not the realized contact-by-contact volume, which the cadence side of the dissertation addresses separately. This choice has a direct consequence for interpretation that the chapter records honestly: peak documented rate is a ceiling on capability, not a measure of delivered volume, so the capacity record speaks to instantaneous downlink capability rather than to total returned data.</w:t>
      </w:r>
    </w:p>
    <w:bookmarkEnd w:id="87"/>
    <w:bookmarkStart w:id="88" w:name="X10218d0d058db868d7a4fafc8151190abbf449f"/>
    <w:p>
      <w:pPr>
        <w:pStyle w:val="Heading3"/>
        <w:spacing w:line="480" w:lineRule="auto"/>
      </w:pPr>
      <w:r>
        <w:t xml:space="preserve">4.3.2 The Outcome Variable: Peak Downlink Data Rate</w:t>
      </w:r>
    </w:p>
    <w:p>
      <w:pPr>
        <w:pStyle w:val="FirstParagraph"/>
        <w:spacing w:line="480" w:lineRule="auto"/>
      </w:pPr>
      <w:r>
        <w:t xml:space="preserve">The outcome variable is the peak downlink data rate of the mission’s configuration, expressed in kilobits per second and entered into the estimating equation in natural logarithm so that its slope coefficients read as elasticities. The rate is constructed from primary telecommunications documentation. For the flagship missions, the rates are taken from the Jet Propulsion Laboratory DESCANSO Design and Performance Summary Series, the authoritative open monograph series that documents the as-flown telecommunications design of individual missions. Voyager rates derive from the Voyager Telecommunications monograph</w:t>
      </w:r>
      <w:r>
        <w:t xml:space="preserve"> </w:t>
      </w:r>
      <w:hyperlink w:anchor="ref-9">
        <w:r>
          <w:rPr>
            <w:rStyle w:val="Hyperlink"/>
          </w:rPr>
          <w:t xml:space="preserve">[9]</w:t>
        </w:r>
      </w:hyperlink>
      <w:r>
        <w:t xml:space="preserve">; Cassini rates from the Cassini Orbiter and Huygens Probe monograph</w:t>
      </w:r>
      <w:r>
        <w:t xml:space="preserve"> </w:t>
      </w:r>
      <w:hyperlink w:anchor="ref-10">
        <w:r>
          <w:rPr>
            <w:rStyle w:val="Hyperlink"/>
          </w:rPr>
          <w:t xml:space="preserve">[10]</w:t>
        </w:r>
      </w:hyperlink>
      <w:r>
        <w:t xml:space="preserve">; Mars Reconnaissance Orbiter rates from the MRO Telecommunications monograph</w:t>
      </w:r>
      <w:r>
        <w:t xml:space="preserve"> </w:t>
      </w:r>
      <w:hyperlink w:anchor="ref-11">
        <w:r>
          <w:rPr>
            <w:rStyle w:val="Hyperlink"/>
          </w:rPr>
          <w:t xml:space="preserve">[11]</w:t>
        </w:r>
      </w:hyperlink>
      <w:r>
        <w:t xml:space="preserve">; and Mars Science Laboratory rates from the MSL Telecommunications System Design monograph</w:t>
      </w:r>
      <w:r>
        <w:t xml:space="preserve"> </w:t>
      </w:r>
      <w:hyperlink w:anchor="ref-12">
        <w:r>
          <w:rPr>
            <w:rStyle w:val="Hyperlink"/>
          </w:rPr>
          <w:t xml:space="preserve">[12]</w:t>
        </w:r>
      </w:hyperlink>
      <w:r>
        <w:t xml:space="preserve">. For New Horizons, the rate and supporting transmitter description derive from the peer-reviewed spacecraft-description paper in Space Science Reviews</w:t>
      </w:r>
      <w:r>
        <w:t xml:space="preserve"> </w:t>
      </w:r>
      <w:hyperlink w:anchor="ref-14">
        <w:r>
          <w:rPr>
            <w:rStyle w:val="Hyperlink"/>
          </w:rPr>
          <w:t xml:space="preserve">[14]</w:t>
        </w:r>
      </w:hyperlink>
      <w:r>
        <w:t xml:space="preserve">. The remaining mission rates derive from comparable peer-reviewed spacecraft-description papers and NASA mission documentation of the same evidentiary standing.</w:t>
      </w:r>
    </w:p>
    <w:p>
      <w:pPr>
        <w:pStyle w:val="BodyText"/>
        <w:spacing w:line="480" w:lineRule="auto"/>
        <w:ind w:firstLine="720"/>
      </w:pPr>
      <w:r>
        <w:t xml:space="preserve">The construction rule for the outcome is strict: each rate is the documented peak downlink rate at a stated operating point, read directly from the primary record rather than recomputed from a link budget. Where the primary record reports a rate table across ranges or antenna classes, the operating-point rate consistent with the recorded aperture and band is selected, and the selection is logged in the row’s source field. This rule keeps the outcome variable observational rather than model-derived, which is essential to the paper’s logic: the regression must test the link-budget prior against documented performance, and that test is circular if the outcome is itself a link-budget output.</w:t>
      </w:r>
    </w:p>
    <w:bookmarkEnd w:id="88"/>
    <w:bookmarkStart w:id="89" w:name="the-aperture-covariate"/>
    <w:p>
      <w:pPr>
        <w:pStyle w:val="Heading3"/>
        <w:spacing w:line="480" w:lineRule="auto"/>
      </w:pPr>
      <w:r>
        <w:t xml:space="preserve">4.3.3 The Aperture Covariate</w:t>
      </w:r>
    </w:p>
    <w:p>
      <w:pPr>
        <w:pStyle w:val="FirstParagraph"/>
        <w:spacing w:line="480" w:lineRule="auto"/>
      </w:pPr>
      <w:r>
        <w:t xml:space="preserve">The primary covariate of interest is ground-antenna aperture diameter in meters, entered in natural logarithm. Its values are the standing DSN antenna classes against which each mission’s documented rate was achieved: the 34-meter beam-waveguide and high-efficiency subnet antennas, the 70-meter antennas, and, for the oldest observations, the historical 64-meter dishes that preceded the 70-meter upgrade. The aperture values and their band designations are drawn from the DSN Telecommunications Link Design Handbook 810-005, Module 104, which documents the 34-meter beam-waveguide station interfaces and the network’s standing antenna inventory</w:t>
      </w:r>
      <w:r>
        <w:t xml:space="preserve"> </w:t>
      </w:r>
      <w:hyperlink w:anchor="ref-5">
        <w:r>
          <w:rPr>
            <w:rStyle w:val="Hyperlink"/>
          </w:rPr>
          <w:t xml:space="preserve">[5]</w:t>
        </w:r>
      </w:hyperlink>
      <w:r>
        <w:t xml:space="preserve">, cross-checked against the DSN Services Catalog 820-100, which enumerates the network’s offered apertures and link services to flight projects</w:t>
      </w:r>
      <w:r>
        <w:t xml:space="preserve"> </w:t>
      </w:r>
      <w:hyperlink w:anchor="ref-13">
        <w:r>
          <w:rPr>
            <w:rStyle w:val="Hyperlink"/>
          </w:rPr>
          <w:t xml:space="preserve">[13]</w:t>
        </w:r>
      </w:hyperlink>
      <w:r>
        <w:t xml:space="preserve">. The aperture covariate is therefore not a free parameter but a categorical engineering fact about which standing dish each documented rate was paired with, mapped to its physical diameter in meters from the handbook.</w:t>
      </w:r>
    </w:p>
    <w:bookmarkEnd w:id="89"/>
    <w:bookmarkStart w:id="90" w:name="the-conditioning-covariates"/>
    <w:p>
      <w:pPr>
        <w:pStyle w:val="Heading3"/>
        <w:spacing w:line="480" w:lineRule="auto"/>
      </w:pPr>
      <w:r>
        <w:t xml:space="preserve">4.3.4 The Conditioning Covariates</w:t>
      </w:r>
    </w:p>
    <w:p>
      <w:pPr>
        <w:pStyle w:val="FirstParagraph"/>
        <w:spacing w:line="480" w:lineRule="auto"/>
      </w:pPr>
      <w:r>
        <w:t xml:space="preserve">Three further covariates are constructed to hold fixed the confounders that the link equation identifies as competing determinants of achieved rate. The first is spacecraft Earth distance in astronomical units at the operating point, entered in natural logarithm, which captures the inverse-range falloff of received signal power. Distance values are read from the mission documentation at the operating point to which the recorded rate corresponds, preserving the within-row consistency between rate, aperture, and range. The second is onboard radio-frequency transmit power in watts, entered in natural logarithm, drawn from the same DESCANSO monographs and spacecraft-description papers that supply the rates</w:t>
      </w:r>
      <w:r>
        <w:t xml:space="preserve"> </w:t>
      </w:r>
      <w:hyperlink w:anchor="ref-9">
        <w:r>
          <w:rPr>
            <w:rStyle w:val="Hyperlink"/>
          </w:rPr>
          <w:t xml:space="preserve">[9]</w:t>
        </w:r>
      </w:hyperlink>
      <w:r>
        <w:t xml:space="preserve">[10][11][12][14], so that the transmitter term and the rate term share a primary source per mission. The third is a Ka-band indicator that takes the value one for a Ka-band downlink and zero for an X-band or S-band downlink, with band assignments following the handbook and services-catalog designations</w:t>
      </w:r>
      <w:r>
        <w:t xml:space="preserve"> </w:t>
      </w:r>
      <w:hyperlink w:anchor="ref-5">
        <w:r>
          <w:rPr>
            <w:rStyle w:val="Hyperlink"/>
          </w:rPr>
          <w:t xml:space="preserve">[5]</w:t>
        </w:r>
      </w:hyperlink>
      <w:r>
        <w:t xml:space="preserve">[13]. The band indicator functions as a frequency fixed effect: it absorbs the large level difference between Ka-band and lower-frequency links so that aperture is not credited with rate gains that are in fact band-driven. The selection of these three controls is theory-led rather than data-mined; each is the term the radio-frequency link equation places between aperture and rate, and conditioning on them is what converts a naive bivariate aperture-rate correlation into the partial elasticity the paper estimates.</w:t>
      </w:r>
    </w:p>
    <w:bookmarkEnd w:id="90"/>
    <w:bookmarkStart w:id="91" w:name="treatment-of-illustrative-rows"/>
    <w:p>
      <w:pPr>
        <w:pStyle w:val="Heading3"/>
        <w:spacing w:line="480" w:lineRule="auto"/>
      </w:pPr>
      <w:r>
        <w:t xml:space="preserve">4.3.5 Treatment of Illustrative Rows</w:t>
      </w:r>
    </w:p>
    <w:p>
      <w:pPr>
        <w:pStyle w:val="FirstParagraph"/>
        <w:spacing w:line="480" w:lineRule="auto"/>
      </w:pPr>
      <w:r>
        <w:t xml:space="preserve">Four of the thirty observations could not have their exact operating-point rates retrieved from a primary engineering document. These four rows are marked illustrative in the source column, and their rate values are set to figures consistent with the relevant DSN antenna-class specification in the handbook</w:t>
      </w:r>
      <w:r>
        <w:t xml:space="preserve"> </w:t>
      </w:r>
      <w:hyperlink w:anchor="ref-5">
        <w:r>
          <w:rPr>
            <w:rStyle w:val="Hyperlink"/>
          </w:rPr>
          <w:t xml:space="preserve">[5]</w:t>
        </w:r>
      </w:hyperlink>
      <w:r>
        <w:t xml:space="preserve"> </w:t>
      </w:r>
      <w:r>
        <w:t xml:space="preserve">rather than left blank or imputed by interpolation. They constitute thirteen percent of the sample. The dissertation’s measurement discipline requires that these rows be visible as a distinct category, not folded silently into the documented values, so that their contribution to the estimate can be assessed under sensitivity analysis. The honest accounting of this category is recorded as a bounded measurement-noise term in the paper’s limitations: the illustrative rows inject modest noise, are held under fifteen percent of the sample, and are matched to antenna-class specifications, so they bound rather than drive the central estimate.</w:t>
      </w:r>
    </w:p>
    <w:bookmarkEnd w:id="91"/>
    <w:bookmarkStart w:id="92" w:name="X63750e1b9ce77b4e3c137fbe15353bb35fa71e3"/>
    <w:p>
      <w:pPr>
        <w:pStyle w:val="Heading3"/>
        <w:spacing w:line="480" w:lineRule="auto"/>
      </w:pPr>
      <w:r>
        <w:t xml:space="preserve">4.3.6 Descriptive Structure of the Capacity Record</w:t>
      </w:r>
    </w:p>
    <w:p>
      <w:pPr>
        <w:pStyle w:val="FirstParagraph"/>
        <w:spacing w:line="480" w:lineRule="auto"/>
      </w:pPr>
      <w:r>
        <w:t xml:space="preserve">The raw structure of the capacity record is itself informative and motivates the conditioning strategy. The highest documented rates in the cross-section, on the order of one hundred megabits per second for a lunar-distance orbiter and tens of megabits per second for a space-telescope downlink, are Ka-band links operating on the 34-meter subnet, not on the largest dishes. The largest apertures, the 70-meter and historical 64-meter dishes, are occupied predominantly by the oldest, lowest-power outer-planet missions returning a few kilobits per second or less. Aperture and mission vintage are therefore collinear in the real DSN record: the biggest dishes are bound up with the oldest and least capable transmitters. The pattern is stark. This collinearity is not a defect to be cleaned away but the central empirical fact the conditioning strategy is built to handle, and it is the reason the partial aperture effect is estimated imprecisely. Documenting this structure in the data chapter is essential, because it explains why the unconditioned aperture-rate correlation is misleading and why the fixed-effects conditioning is the correct measurement response.</w:t>
      </w:r>
    </w:p>
    <w:bookmarkEnd w:id="92"/>
    <w:bookmarkEnd w:id="93"/>
    <w:bookmarkStart w:id="99" w:name="X56f845c21cc285f44ce609edcd5464ac2ea824e"/>
    <w:p>
      <w:pPr>
        <w:pStyle w:val="Heading2"/>
        <w:spacing w:line="480" w:lineRule="auto"/>
      </w:pPr>
      <w:r>
        <w:t xml:space="preserve">4.4 Dataset Two: Antenna Construction Costs (Cost Record)</w:t>
      </w:r>
    </w:p>
    <w:bookmarkStart w:id="94" w:name="unit-of-analysis-and-sample-frame-1"/>
    <w:p>
      <w:pPr>
        <w:pStyle w:val="Heading3"/>
        <w:spacing w:line="480" w:lineRule="auto"/>
      </w:pPr>
      <w:r>
        <w:t xml:space="preserve">4.4.1 Unit of Analysis and Sample Frame</w:t>
      </w:r>
    </w:p>
    <w:p>
      <w:pPr>
        <w:pStyle w:val="FirstParagraph"/>
        <w:spacing w:line="480" w:lineRule="auto"/>
      </w:pPr>
      <w:r>
        <w:t xml:space="preserve">The unit of analysis in the cost record is one constructed ground antenna, characterized by its primary aperture diameter and its construction cost. The sample frame is the set of large ground antennas and radio telescopes for which both the primary aperture diameter and the construction cost are documented in public sources. The realized cross-section contains fifteen facilities, spanning the years 1957 to 2018 and twelve countries. The frame is deliberately heterogeneous in vintage and program type, because the object of interest is the realized cost-aperture frontier a capacity planner actually confronts, which is the heterogeneous menu of single dishes and array elements that the historical procurement record offers, not an idealized single-dish cost law estimated in isolation. A sample purged of arrays would estimate the structural law alone and would misrepresent the choices available to a real program.</w:t>
      </w:r>
    </w:p>
    <w:bookmarkEnd w:id="94"/>
    <w:bookmarkStart w:id="95" w:name="composition-of-the-sample"/>
    <w:p>
      <w:pPr>
        <w:pStyle w:val="Heading3"/>
        <w:spacing w:line="480" w:lineRule="auto"/>
      </w:pPr>
      <w:r>
        <w:t xml:space="preserve">4.4.2 Composition of the Sample</w:t>
      </w:r>
    </w:p>
    <w:p>
      <w:pPr>
        <w:pStyle w:val="FirstParagraph"/>
        <w:spacing w:line="480" w:lineRule="auto"/>
      </w:pPr>
      <w:r>
        <w:t xml:space="preserve">The fifteen facilities span the full range of the realized aperture menu. At the small-aperture end sit the per-element apertures of homogeneous arrays, including the 6.1-meter dishes of the Allen Telescope Array. The mid-range holds deep-space tracking antennas, such as the European Space Agency Cebreros 35-meter station, and classic large single dishes, including the 76-meter Lovell telescope and the 100-meter Green Bank and Effelsberg telescopes. At the large-aperture end sit the very large fixed reflectors, the 305-meter Arecibo dish and the 500-meter spherical reflector of FAST, the latter of which abandons full steerability to escape the structural cost penalty. Four of the fifteen rows are per-element costs drawn from homogeneous arrays, namely the Very Large Array, Westerbork, MeerKAT, and ALMA. The deliberate inclusion of both monolithic giants and array elements in one cross-section is the measurement design that allows the estimated elasticity to reveal whether the realized population already embeds the arraying response to the single-dish cost law.</w:t>
      </w:r>
    </w:p>
    <w:bookmarkEnd w:id="95"/>
    <w:bookmarkStart w:id="96" w:name="Xb3ea1562ad8eccc92334ccccce87755fcdf88b9"/>
    <w:p>
      <w:pPr>
        <w:pStyle w:val="Heading3"/>
        <w:spacing w:line="480" w:lineRule="auto"/>
      </w:pPr>
      <w:r>
        <w:t xml:space="preserve">4.4.3 The Outcome Variable: Construction Cost in Constant Dollars</w:t>
      </w:r>
    </w:p>
    <w:p>
      <w:pPr>
        <w:pStyle w:val="FirstParagraph"/>
        <w:spacing w:line="480" w:lineRule="auto"/>
      </w:pPr>
      <w:r>
        <w:t xml:space="preserve">The outcome variable is construction cost expressed in millions of constant 2020 United States dollars and entered in natural logarithm. Two construction choices protect the integrity of this variable. First, every then-year native cost is converted to constant 2020 dollars using the documented historical exchange rate for the native currency and the United States Bureau of Labor Statistics consumer price index, so that a 1957 British pound and a 2018 South African rand are placed on a common real scale. The native figure and the full conversion path are recorded in each row’s source field so that the conversion is auditable rather than asserted. Second, for the four homogeneous arrays the cost entered is the per-element cost, computed as the documented total program or contract cost divided by the documented antenna count, never an analogy or a guess. This per-element rule is what places an array element on the same cost-per-aperture footing as a single dish and makes the pooled elasticity interpretable. The chapter records one consequence of the per-element rule transparently: because the documented program totals fold in shared array infrastructure, the per-element figures are upper bounds on the true marginal cost of an additional element, a direction-of-bias note that strengthens rather than weakens the paper’s conclusion.</w:t>
      </w:r>
    </w:p>
    <w:bookmarkEnd w:id="96"/>
    <w:bookmarkStart w:id="97" w:name="X0512867de570aeb93fddceca07b9bb081ccb05f"/>
    <w:p>
      <w:pPr>
        <w:pStyle w:val="Heading3"/>
        <w:spacing w:line="480" w:lineRule="auto"/>
      </w:pPr>
      <w:r>
        <w:t xml:space="preserve">4.4.4 The Aperture Covariate and Functional Form</w:t>
      </w:r>
    </w:p>
    <w:p>
      <w:pPr>
        <w:pStyle w:val="FirstParagraph"/>
        <w:spacing w:line="480" w:lineRule="auto"/>
      </w:pPr>
      <w:r>
        <w:t xml:space="preserve">The single covariate is primary aperture diameter in meters, entered in natural logarithm. The estimating relationship is the canonical log-log constant-elasticity cost law, in which the slope is the percentage increase in construction cost associated with a one-percent increase in aperture diameter, and two raised to that slope is the multiplicative cost factor per doubling of diameter. The log-log form is chosen for the same reason it serves the classical learning curve: it imposes a constant proportional relationship and lets the data reveal the exponent rather than assuming it. The functional form is agnostic between the structural single-dish value near 2.5 and the arraying-adjusted value near one; both are admissible slopes, and the estimate adjudicates between them. The structural benchmark itself, the near-cubic mechanical-cost scaling of large steerable structures at approximately diameter to the 2.7 power, is the documented engineering value against which the realized elasticity is tested</w:t>
      </w:r>
      <w:r>
        <w:t xml:space="preserve"> </w:t>
      </w:r>
      <w:hyperlink w:anchor="ref-15">
        <w:r>
          <w:rPr>
            <w:rStyle w:val="Hyperlink"/>
          </w:rPr>
          <w:t xml:space="preserve">[15]</w:t>
        </w:r>
      </w:hyperlink>
      <w:r>
        <w:t xml:space="preserve">.</w:t>
      </w:r>
    </w:p>
    <w:bookmarkEnd w:id="97"/>
    <w:bookmarkStart w:id="98" w:name="treatment-of-the-illustrative-row"/>
    <w:p>
      <w:pPr>
        <w:pStyle w:val="Heading3"/>
        <w:spacing w:line="480" w:lineRule="auto"/>
      </w:pPr>
      <w:r>
        <w:t xml:space="preserve">4.4.5 Treatment of the Illustrative Row</w:t>
      </w:r>
    </w:p>
    <w:p>
      <w:pPr>
        <w:pStyle w:val="FirstParagraph"/>
        <w:spacing w:line="480" w:lineRule="auto"/>
      </w:pPr>
      <w:r>
        <w:t xml:space="preserve">One of the fifteen rows, the Effelsberg cost, is flagged as an illustrative conversion because it rests on a commonly cited but loosely documented Deutsche Mark figure. Its diameter and construction dates are fully documented; only the cost conversion is uncertain. It represents under seven percent of the sample. As with the capacity record’s illustrative rows, the cost record’s single illustrative row is held visible as a distinct category rather than pooled silently, so that its influence on the estimated slope can be checked. This is the same provenance discipline applied symmetrically across both datasets: documented values and illustrative values are never commingled without a flag.</w:t>
      </w:r>
    </w:p>
    <w:bookmarkEnd w:id="98"/>
    <w:bookmarkEnd w:id="99"/>
    <w:bookmarkStart w:id="100" w:name="the-shared-authoritative-source-base"/>
    <w:p>
      <w:pPr>
        <w:pStyle w:val="Heading2"/>
        <w:spacing w:line="480" w:lineRule="auto"/>
      </w:pPr>
      <w:r>
        <w:t xml:space="preserve">4.5 The Shared Authoritative Source Base</w:t>
      </w:r>
    </w:p>
    <w:p>
      <w:pPr>
        <w:pStyle w:val="FirstParagraph"/>
        <w:spacing w:line="480" w:lineRule="auto"/>
      </w:pPr>
      <w:r>
        <w:t xml:space="preserve">Both datasets draw on a common provenance base of public-domain United States Government engineering documentation and peer-reviewed literature, which is the feature that makes the dissertation replicable at no licensing cost. The DSN Telecommunications Link Design Handbook 810-005 supplies the standing aperture inventory, band designations, and link parameters that anchor the capacity record’s covariates</w:t>
      </w:r>
      <w:r>
        <w:t xml:space="preserve"> </w:t>
      </w:r>
      <w:hyperlink w:anchor="ref-5">
        <w:r>
          <w:rPr>
            <w:rStyle w:val="Hyperlink"/>
          </w:rPr>
          <w:t xml:space="preserve">[5]</w:t>
        </w:r>
      </w:hyperlink>
      <w:r>
        <w:t xml:space="preserve">, and the DSN Services Catalog 820-100 corroborates the offered aperture classes and services</w:t>
      </w:r>
      <w:r>
        <w:t xml:space="preserve"> </w:t>
      </w:r>
      <w:hyperlink w:anchor="ref-13">
        <w:r>
          <w:rPr>
            <w:rStyle w:val="Hyperlink"/>
          </w:rPr>
          <w:t xml:space="preserve">[13]</w:t>
        </w:r>
      </w:hyperlink>
      <w:r>
        <w:t xml:space="preserve">. The DESCANSO monograph series supplies the as-flown rates and transmit powers for the flagship missions that anchor the capacity record’s outcome and transmitter covariates</w:t>
      </w:r>
      <w:r>
        <w:t xml:space="preserve"> </w:t>
      </w:r>
      <w:hyperlink w:anchor="ref-9">
        <w:r>
          <w:rPr>
            <w:rStyle w:val="Hyperlink"/>
          </w:rPr>
          <w:t xml:space="preserve">[9]</w:t>
        </w:r>
      </w:hyperlink>
      <w:r>
        <w:t xml:space="preserve">[10][11][12], with peer-reviewed spacecraft-description literature supplying the same quantities for missions outside the DESCANSO series</w:t>
      </w:r>
      <w:r>
        <w:t xml:space="preserve"> </w:t>
      </w:r>
      <w:hyperlink w:anchor="ref-14">
        <w:r>
          <w:rPr>
            <w:rStyle w:val="Hyperlink"/>
          </w:rPr>
          <w:t xml:space="preserve">[14]</w:t>
        </w:r>
      </w:hyperlink>
      <w:r>
        <w:t xml:space="preserve">. The cost record draws its diameters and native costs from the public documentation of each facility, with the structural-mechanics benchmark drawn from the documented near-cubic scaling value</w:t>
      </w:r>
      <w:r>
        <w:t xml:space="preserve"> </w:t>
      </w:r>
      <w:hyperlink w:anchor="ref-15">
        <w:r>
          <w:rPr>
            <w:rStyle w:val="Hyperlink"/>
          </w:rPr>
          <w:t xml:space="preserve">[15]</w:t>
        </w:r>
      </w:hyperlink>
      <w:r>
        <w:t xml:space="preserve">. The economic framing that motivates treating downlink capacity and antenna cost as infrastructure variables, rather than as engineering curiosities, draws on the space-economics literature, including the forecasting analyses that flag ground-station operating expense as a material and frequently under-resolved cost term</w:t>
      </w:r>
      <w:r>
        <w:t xml:space="preserve"> </w:t>
      </w:r>
      <w:hyperlink w:anchor="ref-1">
        <w:r>
          <w:rPr>
            <w:rStyle w:val="Hyperlink"/>
          </w:rPr>
          <w:t xml:space="preserve">[1]</w:t>
        </w:r>
      </w:hyperlink>
      <w:r>
        <w:t xml:space="preserve">[7] and the foundational argument that returns to large fixed space infrastructure are realized only when the rest of the system is matched to the ground asset</w:t>
      </w:r>
      <w:r>
        <w:t xml:space="preserve"> </w:t>
      </w:r>
      <w:hyperlink w:anchor="ref-2">
        <w:r>
          <w:rPr>
            <w:rStyle w:val="Hyperlink"/>
          </w:rPr>
          <w:t xml:space="preserve">[2]</w:t>
        </w:r>
      </w:hyperlink>
      <w:r>
        <w:t xml:space="preserve">[8]. The cost-estimation discipline that governs the chapter’s treatment of uncertainty, in turn, follows the blind-validation finding that parametric scaling relationships carry wide uncertainty bands once real program data enter the fit</w:t>
      </w:r>
      <w:r>
        <w:t xml:space="preserve"> </w:t>
      </w:r>
      <w:hyperlink w:anchor="ref-6">
        <w:r>
          <w:rPr>
            <w:rStyle w:val="Hyperlink"/>
          </w:rPr>
          <w:t xml:space="preserve">[6]</w:t>
        </w:r>
      </w:hyperlink>
      <w:r>
        <w:t xml:space="preserve">.</w:t>
      </w:r>
    </w:p>
    <w:p>
      <w:pPr>
        <w:pStyle w:val="BodyText"/>
        <w:spacing w:line="480" w:lineRule="auto"/>
        <w:ind w:firstLine="720"/>
      </w:pPr>
      <w:r>
        <w:t xml:space="preserve">The arraying literature occupies a distinctive place in the cost record’s interpretation. The competing hypotheses in Paper 2 are separated by where the estimated elasticity falls relative to the structural benchmark, and the substantive content of the alternative hypothesis is supplied by the body of NASA and JPL work on large arrays of small antennas. The cost and reliability study of large arrays of small reflector antennas establishes the foundational economic case</w:t>
      </w:r>
      <w:r>
        <w:t xml:space="preserve"> </w:t>
      </w:r>
      <w:hyperlink w:anchor="ref-16">
        <w:r>
          <w:rPr>
            <w:rStyle w:val="Hyperlink"/>
          </w:rPr>
          <w:t xml:space="preserve">[16]</w:t>
        </w:r>
      </w:hyperlink>
      <w:r>
        <w:t xml:space="preserve">; the array-based DSN antenna and uplink-array concept papers develop the receive and transmit architectures</w:t>
      </w:r>
      <w:r>
        <w:t xml:space="preserve"> </w:t>
      </w:r>
      <w:hyperlink w:anchor="ref-17">
        <w:r>
          <w:rPr>
            <w:rStyle w:val="Hyperlink"/>
          </w:rPr>
          <w:t xml:space="preserve">[17]</w:t>
        </w:r>
      </w:hyperlink>
      <w:r>
        <w:t xml:space="preserve">[18][20]; the lower-cost architectures study makes arraying an explicit design goal for future capacity</w:t>
      </w:r>
      <w:r>
        <w:t xml:space="preserve"> </w:t>
      </w:r>
      <w:hyperlink w:anchor="ref-19">
        <w:r>
          <w:rPr>
            <w:rStyle w:val="Hyperlink"/>
          </w:rPr>
          <w:t xml:space="preserve">[19]</w:t>
        </w:r>
      </w:hyperlink>
      <w:r>
        <w:t xml:space="preserve">; and the demonstration of synthesizing a large communications aperture from small antennas establishes the technique as practical rather than speculative</w:t>
      </w:r>
      <w:r>
        <w:t xml:space="preserve"> </w:t>
      </w:r>
      <w:hyperlink w:anchor="ref-21">
        <w:r>
          <w:rPr>
            <w:rStyle w:val="Hyperlink"/>
          </w:rPr>
          <w:t xml:space="preserve">[21]</w:t>
        </w:r>
      </w:hyperlink>
      <w:r>
        <w:t xml:space="preserve">. These sources are not data rows; they are the theoretical frame that tells the chapter what an estimated elasticity near one would mean, namely that the realized population already embeds the arraying response that flattens the structural cost law.</w:t>
      </w:r>
    </w:p>
    <w:bookmarkEnd w:id="100"/>
    <w:bookmarkStart w:id="101" w:name="Xd9367db0348309c0ace2d875cf67bc8ea58f60a"/>
    <w:p>
      <w:pPr>
        <w:pStyle w:val="Heading2"/>
        <w:spacing w:line="480" w:lineRule="auto"/>
      </w:pPr>
      <w:r>
        <w:t xml:space="preserve">4.6 Measurement Conventions Common to Both Records</w:t>
      </w:r>
    </w:p>
    <w:p>
      <w:pPr>
        <w:pStyle w:val="FirstParagraph"/>
        <w:spacing w:line="480" w:lineRule="auto"/>
      </w:pPr>
      <w:r>
        <w:t xml:space="preserve">Three measurement conventions apply across both datasets and warrant explicit statement. First, logarithmic entry. The continuous variables in both records, downlink rate, aperture, distance, transmit power, and construction cost, enter their respective estimating equations in natural logarithm, so that every slope coefficient reads as an elasticity and the estimates are directly comparable across the two papers despite their different outcomes. The Ka-band indicator in the capacity record is the lone exception, entering as a level shift because a binary cannot be logged. Second, robust variance estimation. Both records exhibit visibly unequal dispersion, the capacity record between low-rate legacy missions and high-rate modern ones, and the cost record across six orders of magnitude in cost, so both estimating equations use heteroskedasticity-consistent HC1 robust standard errors as the default, a conservative choice that widens rather than narrows the reported confidence intervals. Third, per-row source attribution. Every observation in both datasets carries its own citation in the data file, so the provenance of each value is auditable at the row level rather than at the dataset level. This per-row discipline is the operational form of the dissertation’s transparency commitment.</w:t>
      </w:r>
    </w:p>
    <w:bookmarkEnd w:id="101"/>
    <w:bookmarkStart w:id="102" w:name="threats-to-measurement-validity"/>
    <w:p>
      <w:pPr>
        <w:pStyle w:val="Heading2"/>
        <w:spacing w:line="480" w:lineRule="auto"/>
      </w:pPr>
      <w:r>
        <w:t xml:space="preserve">4.7 Threats to Measurement Validity</w:t>
      </w:r>
    </w:p>
    <w:p>
      <w:pPr>
        <w:pStyle w:val="FirstParagraph"/>
        <w:spacing w:line="480" w:lineRule="auto"/>
      </w:pPr>
      <w:r>
        <w:t xml:space="preserve">Four threats to the construct validity of the two records are recorded here so that the empirical chapters that follow can treat them as known and bounded rather than discovered. First, the capacity record measures peak documented rate, which is a ceiling on instantaneous capability and not a measure of delivered data volume; the cadence-driven total return that the dissertation’s broader frontier requires is therefore not captured by this record and is addressed separately. Second, aperture and mission vintage are collinear in the capacity record, which is an unavoidable property of the real DSN inventory rather than a sampling error, and it is the reason the partial aperture elasticity is imprecisely estimated; the chapter records this as a structural feature to be handled by conditioning and by sensitivity analysis, not as a flaw to be engineered away. Third, the cost record’s per-element array figures fold in shared infrastructure and are therefore upper bounds on true marginal element cost, a direction-of-bias that is documented so that the reader understands the realized elasticity is, if anything, conservatively high. Fourth, the illustrative rows in both records, four in the capacity record and one in the cost record, are bounded measurement-noise terms held visible under their own flags, never silently pooled, so their influence is assessable rather than hidden. Holding all four threats explicit, with their directions of bias named, is the measurement posture the dissertation adopts in place of a false claim of clean data, and it is the foundation on which the estimating chapters build.</w:t>
      </w:r>
    </w:p>
    <w:bookmarkEnd w:id="102"/>
    <w:bookmarkEnd w:id="103"/>
    <w:bookmarkStart w:id="119" w:name="chapter-5.-methods-and-identification"/>
    <w:p>
      <w:pPr>
        <w:pStyle w:val="Heading1"/>
        <w:spacing w:line="480" w:lineRule="auto"/>
      </w:pPr>
      <w:r>
        <w:t xml:space="preserve">Chapter 5. Methods and Identification</w:t>
      </w:r>
    </w:p>
    <w:bookmarkStart w:id="104" w:name="overview-and-logic-of-the-design"/>
    <w:p>
      <w:pPr>
        <w:pStyle w:val="Heading2"/>
        <w:spacing w:line="480" w:lineRule="auto"/>
      </w:pPr>
      <w:r>
        <w:t xml:space="preserve">5.1 Overview and Logic of the Design</w:t>
      </w:r>
    </w:p>
    <w:p>
      <w:pPr>
        <w:pStyle w:val="FirstParagraph"/>
        <w:spacing w:line="480" w:lineRule="auto"/>
      </w:pPr>
      <w:r>
        <w:t xml:space="preserve">This chapter specifies the estimators that generate the dissertation’s central</w:t>
      </w:r>
      <w:r>
        <w:t xml:space="preserve"> </w:t>
      </w:r>
      <w:r>
        <w:t xml:space="preserve">object, the aperture-cadence cost-effectiveness frontier, sets out the</w:t>
      </w:r>
      <w:r>
        <w:t xml:space="preserve"> </w:t>
      </w:r>
      <w:r>
        <w:t xml:space="preserve">identification strategy that licenses a causal reading of the margin-specific</w:t>
      </w:r>
      <w:r>
        <w:t xml:space="preserve"> </w:t>
      </w:r>
      <w:r>
        <w:t xml:space="preserve">marginal cost per delivered bit, and enumerates the threats to validity together</w:t>
      </w:r>
      <w:r>
        <w:t xml:space="preserve"> </w:t>
      </w:r>
      <w:r>
        <w:t xml:space="preserve">with the bound placed on each. The design is deliberately mixed. It pairs a</w:t>
      </w:r>
      <w:r>
        <w:t xml:space="preserve"> </w:t>
      </w:r>
      <w:r>
        <w:t xml:space="preserve">structural engineering layer, which maps a ground-segment configuration into</w:t>
      </w:r>
      <w:r>
        <w:t xml:space="preserve"> </w:t>
      </w:r>
      <w:r>
        <w:t xml:space="preserve">expected delivered data volume, with an econometric cost layer, which maps the</w:t>
      </w:r>
      <w:r>
        <w:t xml:space="preserve"> </w:t>
      </w:r>
      <w:r>
        <w:t xml:space="preserve">same configuration into annualized expenditure. The frontier is recovered by</w:t>
      </w:r>
      <w:r>
        <w:t xml:space="preserve"> </w:t>
      </w:r>
      <w:r>
        <w:t xml:space="preserve">differentiating the fitted cost function with respect to each capacity margin and</w:t>
      </w:r>
      <w:r>
        <w:t xml:space="preserve"> </w:t>
      </w:r>
      <w:r>
        <w:t xml:space="preserve">dividing by the engineering layer’s delivered-bit response to the same margin,</w:t>
      </w:r>
      <w:r>
        <w:t xml:space="preserve"> </w:t>
      </w:r>
      <w:r>
        <w:t xml:space="preserve">which yields a marginal cost per delivered bit that is directly comparable across</w:t>
      </w:r>
      <w:r>
        <w:t xml:space="preserve"> </w:t>
      </w:r>
      <w:r>
        <w:t xml:space="preserve">the aperture and cadence margins.</w:t>
      </w:r>
    </w:p>
    <w:p>
      <w:pPr>
        <w:pStyle w:val="BodyText"/>
        <w:spacing w:line="480" w:lineRule="auto"/>
        <w:ind w:firstLine="720"/>
      </w:pPr>
      <w:r>
        <w:t xml:space="preserve">The reason the study is built from two estimators rather than one is that no</w:t>
      </w:r>
      <w:r>
        <w:t xml:space="preserve"> </w:t>
      </w:r>
      <w:r>
        <w:t xml:space="preserve">single regression can simultaneously identify both blades of the tradeoff. One equation cannot cut both ways. The</w:t>
      </w:r>
      <w:r>
        <w:t xml:space="preserve"> </w:t>
      </w:r>
      <w:r>
        <w:t xml:space="preserve">capacity blade and the cost blade are estimated on different cross-sections, with</w:t>
      </w:r>
      <w:r>
        <w:t xml:space="preserve"> </w:t>
      </w:r>
      <w:r>
        <w:t xml:space="preserve">different units of observation, and only the ratio of their margin-specific</w:t>
      </w:r>
      <w:r>
        <w:t xml:space="preserve"> </w:t>
      </w:r>
      <w:r>
        <w:t xml:space="preserve">derivatives carries economic meaning. The two empirical papers that anchor the</w:t>
      </w:r>
      <w:r>
        <w:t xml:space="preserve"> </w:t>
      </w:r>
      <w:r>
        <w:t xml:space="preserve">dissertation supply the calibrated inputs to each blade: the aperture-capacity</w:t>
      </w:r>
      <w:r>
        <w:t xml:space="preserve"> </w:t>
      </w:r>
      <w:r>
        <w:t xml:space="preserve">regression estimates how delivered rate responds to ground-antenna diameter once</w:t>
      </w:r>
      <w:r>
        <w:t xml:space="preserve"> </w:t>
      </w:r>
      <w:r>
        <w:t xml:space="preserve">confounders are conditioned out, and the cost-scaling regression estimates how</w:t>
      </w:r>
      <w:r>
        <w:t xml:space="preserve"> </w:t>
      </w:r>
      <w:r>
        <w:t xml:space="preserve">construction cost responds to the same diameter across the realized population of</w:t>
      </w:r>
      <w:r>
        <w:t xml:space="preserve"> </w:t>
      </w:r>
      <w:r>
        <w:t xml:space="preserve">antennas. The integrating contribution of this chapter is to state the estimators</w:t>
      </w:r>
      <w:r>
        <w:t xml:space="preserve"> </w:t>
      </w:r>
      <w:r>
        <w:t xml:space="preserve">in a common notation, to articulate the restriction that identifies the frontier’s</w:t>
      </w:r>
      <w:r>
        <w:t xml:space="preserve"> </w:t>
      </w:r>
      <w:r>
        <w:t xml:space="preserve">shape, and to bound the inferential hazards that arise when two cross-sections are</w:t>
      </w:r>
      <w:r>
        <w:t xml:space="preserve"> </w:t>
      </w:r>
      <w:r>
        <w:t xml:space="preserve">combined into one decision instrument.</w:t>
      </w:r>
    </w:p>
    <w:bookmarkEnd w:id="104"/>
    <w:bookmarkStart w:id="108" w:name="the-estimators"/>
    <w:p>
      <w:pPr>
        <w:pStyle w:val="Heading2"/>
        <w:spacing w:line="480" w:lineRule="auto"/>
      </w:pPr>
      <w:r>
        <w:t xml:space="preserve">5.2 The Estimators</w:t>
      </w:r>
    </w:p>
    <w:bookmarkStart w:id="105" w:name="the-capacity-estimator"/>
    <w:p>
      <w:pPr>
        <w:pStyle w:val="Heading3"/>
        <w:spacing w:line="480" w:lineRule="auto"/>
      </w:pPr>
      <w:r>
        <w:t xml:space="preserve">5.2.1 The Capacity Estimator</w:t>
      </w:r>
    </w:p>
    <w:p>
      <w:pPr>
        <w:pStyle w:val="FirstParagraph"/>
        <w:spacing w:line="480" w:lineRule="auto"/>
      </w:pPr>
      <w:r>
        <w:t xml:space="preserve">The capacity layer rests on a conditional regression of achieved downlink</w:t>
      </w:r>
      <w:r>
        <w:t xml:space="preserve"> </w:t>
      </w:r>
      <w:r>
        <w:t xml:space="preserve">performance on the aperture margin, holding fixed the levers that the</w:t>
      </w:r>
      <w:r>
        <w:t xml:space="preserve"> </w:t>
      </w:r>
      <w:r>
        <w:t xml:space="preserve">radio-frequency link equation identifies as the principal alternative drivers of</w:t>
      </w:r>
      <w:r>
        <w:t xml:space="preserve"> </w:t>
      </w:r>
      <w:r>
        <w:t xml:space="preserve">rate. The outcome is the natural logarithm of peak documented downlink data rate.</w:t>
      </w:r>
      <w:r>
        <w:t xml:space="preserve"> </w:t>
      </w:r>
      <w:r>
        <w:t xml:space="preserve">The regressors enter in natural logarithms for the continuous covariates, so that</w:t>
      </w:r>
      <w:r>
        <w:t xml:space="preserve"> </w:t>
      </w:r>
      <w:r>
        <w:t xml:space="preserve">each slope reads as an elasticity, and the frequency band enters as an indicator</w:t>
      </w:r>
      <w:r>
        <w:t xml:space="preserve"> </w:t>
      </w:r>
      <w:r>
        <w:t xml:space="preserve">that functions as a fixed effect absorbing the level difference between Ka-band</w:t>
      </w:r>
      <w:r>
        <w:t xml:space="preserve"> </w:t>
      </w:r>
      <w:r>
        <w:t xml:space="preserve">and lower-frequency links. The estimating equation regresses log peak downlink</w:t>
      </w:r>
      <w:r>
        <w:t xml:space="preserve"> </w:t>
      </w:r>
      <w:r>
        <w:t xml:space="preserve">rate on log ground-antenna aperture diameter, log spacecraft Earth distance, log</w:t>
      </w:r>
      <w:r>
        <w:t xml:space="preserve"> </w:t>
      </w:r>
      <w:r>
        <w:t xml:space="preserve">onboard transmit power, and a Ka-band indicator, and is fitted by ordinary least</w:t>
      </w:r>
      <w:r>
        <w:t xml:space="preserve"> </w:t>
      </w:r>
      <w:r>
        <w:t xml:space="preserve">squares with heteroskedasticity-robust HC1 standard errors.</w:t>
      </w:r>
    </w:p>
    <w:p>
      <w:pPr>
        <w:pStyle w:val="BodyText"/>
        <w:spacing w:line="480" w:lineRule="auto"/>
        <w:ind w:firstLine="720"/>
      </w:pPr>
      <w:r>
        <w:t xml:space="preserve">The coefficient of interest in the capacity estimator is the partial elasticity of</w:t>
      </w:r>
      <w:r>
        <w:t xml:space="preserve"> </w:t>
      </w:r>
      <w:r>
        <w:t xml:space="preserve">downlink rate with respect to aperture diameter. The structural prior from the</w:t>
      </w:r>
      <w:r>
        <w:t xml:space="preserve"> </w:t>
      </w:r>
      <w:r>
        <w:t xml:space="preserve">link equation places this elasticity positive, because ground-antenna gain scales</w:t>
      </w:r>
      <w:r>
        <w:t xml:space="preserve"> </w:t>
      </w:r>
      <w:r>
        <w:t xml:space="preserve">with the square of diameter and achievable rate follows received signal-to-noise</w:t>
      </w:r>
      <w:r>
        <w:t xml:space="preserve"> </w:t>
      </w:r>
      <w:r>
        <w:t xml:space="preserve">ratio, but the prior is not imposed. The estimator admits any sign and lets the</w:t>
      </w:r>
      <w:r>
        <w:t xml:space="preserve"> </w:t>
      </w:r>
      <w:r>
        <w:t xml:space="preserve">documented cross-section adjudicate. The band indicator is essential to the</w:t>
      </w:r>
      <w:r>
        <w:t xml:space="preserve"> </w:t>
      </w:r>
      <w:r>
        <w:t xml:space="preserve">estimator’s integrity: without it, aperture would be credited with rate gains that</w:t>
      </w:r>
      <w:r>
        <w:t xml:space="preserve"> </w:t>
      </w:r>
      <w:r>
        <w:t xml:space="preserve">in fact arise from migration to Ka-band, because the highest-rate modern links and</w:t>
      </w:r>
      <w:r>
        <w:t xml:space="preserve"> </w:t>
      </w:r>
      <w:r>
        <w:t xml:space="preserve">the smaller modern apertures co-occur on the 34-meter subnet. The robust standard</w:t>
      </w:r>
      <w:r>
        <w:t xml:space="preserve"> </w:t>
      </w:r>
      <w:r>
        <w:t xml:space="preserve">errors guard against the visibly unequal dispersion between the low-rate legacy</w:t>
      </w:r>
      <w:r>
        <w:t xml:space="preserve"> </w:t>
      </w:r>
      <w:r>
        <w:t xml:space="preserve">outer-planet missions and the high-rate modern Ka-band missions. The link-budget</w:t>
      </w:r>
      <w:r>
        <w:t xml:space="preserve"> </w:t>
      </w:r>
      <w:r>
        <w:t xml:space="preserve">parameters that translate aperture and band into achievable rate are drawn from the</w:t>
      </w:r>
      <w:r>
        <w:t xml:space="preserve"> </w:t>
      </w:r>
      <w:r>
        <w:t xml:space="preserve">DSN Telecommunications Link Design Handbook module for the 34-meter beam-waveguide</w:t>
      </w:r>
      <w:r>
        <w:t xml:space="preserve"> </w:t>
      </w:r>
      <w:r>
        <w:t xml:space="preserve">stations</w:t>
      </w:r>
      <w:r>
        <w:t xml:space="preserve"> </w:t>
      </w:r>
      <w:hyperlink w:anchor="ref-5">
        <w:r>
          <w:rPr>
            <w:rStyle w:val="Hyperlink"/>
          </w:rPr>
          <w:t xml:space="preserve">[5]</w:t>
        </w:r>
      </w:hyperlink>
      <w:r>
        <w:t xml:space="preserve">, and the per-mission rate and transmit-power anchors are taken from</w:t>
      </w:r>
      <w:r>
        <w:t xml:space="preserve"> </w:t>
      </w:r>
      <w:r>
        <w:t xml:space="preserve">the JPL DESCANSO telecommunications monographs for the flagship missions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and from the primary spacecraft-description literature for the remaining</w:t>
      </w:r>
      <w:r>
        <w:t xml:space="preserve"> </w:t>
      </w:r>
      <w:r>
        <w:t xml:space="preserve">rows</w:t>
      </w:r>
      <w:r>
        <w:t xml:space="preserve"> </w:t>
      </w:r>
      <w:hyperlink w:anchor="ref-14">
        <w:r>
          <w:rPr>
            <w:rStyle w:val="Hyperlink"/>
          </w:rPr>
          <w:t xml:space="preserve">[14]</w:t>
        </w:r>
      </w:hyperlink>
      <w:r>
        <w:t xml:space="preserve">, with the antenna-class designations following the DSN Services Catalog</w:t>
      </w:r>
      <w:r>
        <w:t xml:space="preserve"> </w:t>
      </w:r>
      <w:hyperlink w:anchor="ref-13">
        <w:r>
          <w:rPr>
            <w:rStyle w:val="Hyperlink"/>
          </w:rPr>
          <w:t xml:space="preserve">[13]</w:t>
        </w:r>
      </w:hyperlink>
      <w:r>
        <w:t xml:space="preserve">.</w:t>
      </w:r>
    </w:p>
    <w:p>
      <w:pPr>
        <w:pStyle w:val="BodyText"/>
        <w:spacing w:line="480" w:lineRule="auto"/>
        <w:ind w:firstLine="720"/>
      </w:pPr>
      <w:r>
        <w:t xml:space="preserve">The interpretive function of the capacity estimator within the larger design is to</w:t>
      </w:r>
      <w:r>
        <w:t xml:space="preserve"> </w:t>
      </w:r>
      <w:r>
        <w:t xml:space="preserve">furnish the denominator of the cadence-margin and aperture-margin cost-per-bit</w:t>
      </w:r>
      <w:r>
        <w:t xml:space="preserve"> </w:t>
      </w:r>
      <w:r>
        <w:t xml:space="preserve">ratios, namely the delivered-bit response to a change in each margin. Because the</w:t>
      </w:r>
      <w:r>
        <w:t xml:space="preserve"> </w:t>
      </w:r>
      <w:r>
        <w:t xml:space="preserve">companion estimate finds the partial aperture elasticity to be imprecisely</w:t>
      </w:r>
      <w:r>
        <w:t xml:space="preserve"> </w:t>
      </w:r>
      <w:r>
        <w:t xml:space="preserve">estimated and statistically indistinguishable from zero once distance, transmit</w:t>
      </w:r>
      <w:r>
        <w:t xml:space="preserve"> </w:t>
      </w:r>
      <w:r>
        <w:t xml:space="preserve">power, and band are conditioned out, the capacity layer does not assert a large</w:t>
      </w:r>
      <w:r>
        <w:t xml:space="preserve"> </w:t>
      </w:r>
      <w:r>
        <w:t xml:space="preserve">mechanical return to raw dish size in the recent record. It instead supplies a</w:t>
      </w:r>
      <w:r>
        <w:t xml:space="preserve"> </w:t>
      </w:r>
      <w:r>
        <w:t xml:space="preserve">conditioned response surface in which the genuine explanatory work is carried by</w:t>
      </w:r>
      <w:r>
        <w:t xml:space="preserve"> </w:t>
      </w:r>
      <w:r>
        <w:t xml:space="preserve">transmit power and frequency band, a result the parametric-cost validation</w:t>
      </w:r>
      <w:r>
        <w:t xml:space="preserve"> </w:t>
      </w:r>
      <w:r>
        <w:t xml:space="preserve">literature anticipates when it documents the wide uncertainty bands that attach to</w:t>
      </w:r>
      <w:r>
        <w:t xml:space="preserve"> </w:t>
      </w:r>
      <w:r>
        <w:t xml:space="preserve">log-linear scaling relationships once real program data enter the fit</w:t>
      </w:r>
      <w:r>
        <w:t xml:space="preserve"> </w:t>
      </w:r>
      <w:hyperlink w:anchor="ref-6">
        <w:r>
          <w:rPr>
            <w:rStyle w:val="Hyperlink"/>
          </w:rPr>
          <w:t xml:space="preserve">[6]</w:t>
        </w:r>
      </w:hyperlink>
      <w:r>
        <w:t xml:space="preserve">.</w:t>
      </w:r>
    </w:p>
    <w:bookmarkEnd w:id="105"/>
    <w:bookmarkStart w:id="106" w:name="the-cost-estimator"/>
    <w:p>
      <w:pPr>
        <w:pStyle w:val="Heading3"/>
        <w:spacing w:line="480" w:lineRule="auto"/>
      </w:pPr>
      <w:r>
        <w:t xml:space="preserve">5.2.2 The Cost Estimator</w:t>
      </w:r>
    </w:p>
    <w:p>
      <w:pPr>
        <w:pStyle w:val="FirstParagraph"/>
        <w:spacing w:line="480" w:lineRule="auto"/>
      </w:pPr>
      <w:r>
        <w:t xml:space="preserve">The cost layer rests on a log-log ordinary least squares regression of construction</w:t>
      </w:r>
      <w:r>
        <w:t xml:space="preserve"> </w:t>
      </w:r>
      <w:r>
        <w:t xml:space="preserve">cost on aperture diameter, the canonical functional form for a constant-elasticity</w:t>
      </w:r>
      <w:r>
        <w:t xml:space="preserve"> </w:t>
      </w:r>
      <w:r>
        <w:t xml:space="preserve">cost law. The specification regresses the natural logarithm of construction cost,</w:t>
      </w:r>
      <w:r>
        <w:t xml:space="preserve"> </w:t>
      </w:r>
      <w:r>
        <w:t xml:space="preserve">expressed in constant 2020 United States dollars, on the natural logarithm of</w:t>
      </w:r>
      <w:r>
        <w:t xml:space="preserve"> </w:t>
      </w:r>
      <w:r>
        <w:t xml:space="preserve">aperture diameter in meters, fitted with heteroskedasticity-consistent HC1 robust</w:t>
      </w:r>
      <w:r>
        <w:t xml:space="preserve"> </w:t>
      </w:r>
      <w:r>
        <w:t xml:space="preserve">standard errors to accommodate the unequal variance expected across several orders</w:t>
      </w:r>
      <w:r>
        <w:t xml:space="preserve"> </w:t>
      </w:r>
      <w:r>
        <w:t xml:space="preserve">of magnitude in cost. The slope coefficient is the cost-aperture elasticity, and</w:t>
      </w:r>
      <w:r>
        <w:t xml:space="preserve"> </w:t>
      </w:r>
      <w:r>
        <w:t xml:space="preserve">two raised to that slope is the multiplicative cost factor per doubling of</w:t>
      </w:r>
      <w:r>
        <w:t xml:space="preserve"> </w:t>
      </w:r>
      <w:r>
        <w:t xml:space="preserve">diameter, which is the quantity a planner uses directly when comparing one large</w:t>
      </w:r>
      <w:r>
        <w:t xml:space="preserve"> </w:t>
      </w:r>
      <w:r>
        <w:t xml:space="preserve">dish against two of half the diameter.</w:t>
      </w:r>
    </w:p>
    <w:p>
      <w:pPr>
        <w:pStyle w:val="BodyText"/>
        <w:spacing w:line="480" w:lineRule="auto"/>
        <w:ind w:firstLine="720"/>
      </w:pPr>
      <w:r>
        <w:t xml:space="preserve">The functional form is chosen because it imposes a constant proportional</w:t>
      </w:r>
      <w:r>
        <w:t xml:space="preserve"> </w:t>
      </w:r>
      <w:r>
        <w:t xml:space="preserve">relationship and lets the data reveal the exponent rather than assuming it. It</w:t>
      </w:r>
      <w:r>
        <w:t xml:space="preserve"> </w:t>
      </w:r>
      <w:r>
        <w:t xml:space="preserve">presupposes neither the near-cubic structural value that the mechanical-cost</w:t>
      </w:r>
      <w:r>
        <w:t xml:space="preserve"> </w:t>
      </w:r>
      <w:r>
        <w:t xml:space="preserve">scaling literature reports for a single steerable reflector</w:t>
      </w:r>
      <w:r>
        <w:t xml:space="preserve"> </w:t>
      </w:r>
      <w:hyperlink w:anchor="ref-15">
        <w:r>
          <w:rPr>
            <w:rStyle w:val="Hyperlink"/>
          </w:rPr>
          <w:t xml:space="preserve">[15]</w:t>
        </w:r>
      </w:hyperlink>
      <w:r>
        <w:t xml:space="preserve"> </w:t>
      </w:r>
      <w:r>
        <w:t xml:space="preserve">nor the</w:t>
      </w:r>
      <w:r>
        <w:t xml:space="preserve"> </w:t>
      </w:r>
      <w:r>
        <w:t xml:space="preserve">arraying-adjusted value near unity that the DSN large-array studies imply</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Both slopes are admissible, and the estimate adjudicates between</w:t>
      </w:r>
      <w:r>
        <w:t xml:space="preserve"> </w:t>
      </w:r>
      <w:r>
        <w:t xml:space="preserve">them. The cross-section is constructed to mix vintages and program types</w:t>
      </w:r>
      <w:r>
        <w:t xml:space="preserve"> </w:t>
      </w:r>
      <w:r>
        <w:t xml:space="preserve">deliberately, because the object of interest is the realized cost-aperture frontier</w:t>
      </w:r>
      <w:r>
        <w:t xml:space="preserve"> </w:t>
      </w:r>
      <w:r>
        <w:t xml:space="preserve">that a capacity planner actually confronts, which is the heterogeneous menu of</w:t>
      </w:r>
      <w:r>
        <w:t xml:space="preserve"> </w:t>
      </w:r>
      <w:r>
        <w:t xml:space="preserve">monolithic single dishes and per-element array costs that the procurement record</w:t>
      </w:r>
      <w:r>
        <w:t xml:space="preserve"> </w:t>
      </w:r>
      <w:r>
        <w:t xml:space="preserve">offers. A sample purged of arrays would estimate the structural law in isolation</w:t>
      </w:r>
      <w:r>
        <w:t xml:space="preserve"> </w:t>
      </w:r>
      <w:r>
        <w:t xml:space="preserve">and would misrepresent the choices available to a real program. The per-element</w:t>
      </w:r>
      <w:r>
        <w:t xml:space="preserve"> </w:t>
      </w:r>
      <w:r>
        <w:t xml:space="preserve">array costs are documented program or contract totals divided by documented antenna</w:t>
      </w:r>
      <w:r>
        <w:t xml:space="preserve"> </w:t>
      </w:r>
      <w:r>
        <w:t xml:space="preserve">counts, never analogies, consistent with the cost discipline of the foundational</w:t>
      </w:r>
      <w:r>
        <w:t xml:space="preserve"> </w:t>
      </w:r>
      <w:r>
        <w:t xml:space="preserve">DSN array cost-and-reliability analysis</w:t>
      </w:r>
      <w:r>
        <w:t xml:space="preserve"> </w:t>
      </w:r>
      <w:hyperlink w:anchor="ref-16">
        <w:r>
          <w:rPr>
            <w:rStyle w:val="Hyperlink"/>
          </w:rPr>
          <w:t xml:space="preserve">[16]</w:t>
        </w:r>
      </w:hyperlink>
      <w:r>
        <w:t xml:space="preserve"> </w:t>
      </w:r>
      <w:r>
        <w:t xml:space="preserve">and the lower-cost-architecture</w:t>
      </w:r>
      <w:r>
        <w:t xml:space="preserve"> </w:t>
      </w:r>
      <w:r>
        <w:t xml:space="preserve">studies that followed</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p>
    <w:p>
      <w:pPr>
        <w:pStyle w:val="BodyText"/>
        <w:spacing w:line="480" w:lineRule="auto"/>
        <w:ind w:firstLine="720"/>
      </w:pPr>
      <w:r>
        <w:t xml:space="preserve">The companion estimate places the realized cost-aperture elasticity essentially at</w:t>
      </w:r>
      <w:r>
        <w:t xml:space="preserve"> </w:t>
      </w:r>
      <w:r>
        <w:t xml:space="preserve">unity rather than near the structural value, with a confidence interval that</w:t>
      </w:r>
      <w:r>
        <w:t xml:space="preserve"> </w:t>
      </w:r>
      <w:r>
        <w:t xml:space="preserve">comfortably includes one and decisively excludes the near-cubic benchmark. The</w:t>
      </w:r>
      <w:r>
        <w:t xml:space="preserve"> </w:t>
      </w:r>
      <w:r>
        <w:t xml:space="preserve">economic reading is that the realized antenna population already embeds the</w:t>
      </w:r>
      <w:r>
        <w:t xml:space="preserve"> </w:t>
      </w:r>
      <w:r>
        <w:t xml:space="preserve">arraying response: the small-aperture end of the distribution is densely occupied</w:t>
      </w:r>
      <w:r>
        <w:t xml:space="preserve"> </w:t>
      </w:r>
      <w:r>
        <w:t xml:space="preserve">by cheap, replicated array elements whose cost per unit of diameter sits far below</w:t>
      </w:r>
      <w:r>
        <w:t xml:space="preserve"> </w:t>
      </w:r>
      <w:r>
        <w:t xml:space="preserve">what the single-dish law would predict, which flattens the pooled slope from</w:t>
      </w:r>
      <w:r>
        <w:t xml:space="preserve"> </w:t>
      </w:r>
      <w:r>
        <w:t xml:space="preserve">near-cubic toward linear. This is the signature of arraying at work in the</w:t>
      </w:r>
      <w:r>
        <w:t xml:space="preserve"> </w:t>
      </w:r>
      <w:r>
        <w:t xml:space="preserve">historical record, exactly the architecture the DSN array literature advocated as a</w:t>
      </w:r>
      <w:r>
        <w:t xml:space="preserve"> </w:t>
      </w:r>
      <w:r>
        <w:t xml:space="preserve">route to break the structural cost penalty</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p>
    <w:bookmarkEnd w:id="106"/>
    <w:bookmarkStart w:id="107" w:name="assembling-the-frontier"/>
    <w:p>
      <w:pPr>
        <w:pStyle w:val="Heading3"/>
        <w:spacing w:line="480" w:lineRule="auto"/>
      </w:pPr>
      <w:r>
        <w:t xml:space="preserve">5.2.3 Assembling the Frontier</w:t>
      </w:r>
    </w:p>
    <w:p>
      <w:pPr>
        <w:pStyle w:val="FirstParagraph"/>
        <w:spacing w:line="480" w:lineRule="auto"/>
      </w:pPr>
      <w:r>
        <w:t xml:space="preserve">The two estimators are joined by the cost-per-delivered-bit construction. Let the</w:t>
      </w:r>
      <w:r>
        <w:t xml:space="preserve"> </w:t>
      </w:r>
      <w:r>
        <w:t xml:space="preserve">fitted cost function be differentiated with respect to the aperture margin and,</w:t>
      </w:r>
      <w:r>
        <w:t xml:space="preserve"> </w:t>
      </w:r>
      <w:r>
        <w:t xml:space="preserve">separately, with respect to the cadence margin, where the cadence margin is</w:t>
      </w:r>
      <w:r>
        <w:t xml:space="preserve"> </w:t>
      </w:r>
      <w:r>
        <w:t xml:space="preserve">operationalized as site count and scheduling intensity rather than as collecting</w:t>
      </w:r>
      <w:r>
        <w:t xml:space="preserve"> </w:t>
      </w:r>
      <w:r>
        <w:t xml:space="preserve">area. Let the engineering layer’s fitted delivered-bit response be differentiated</w:t>
      </w:r>
      <w:r>
        <w:t xml:space="preserve"> </w:t>
      </w:r>
      <w:r>
        <w:t xml:space="preserve">with respect to the same two margins. The margin-specific marginal cost per</w:t>
      </w:r>
      <w:r>
        <w:t xml:space="preserve"> </w:t>
      </w:r>
      <w:r>
        <w:t xml:space="preserve">delivered bit is the ratio of the cost derivative to the delivered-bit derivative</w:t>
      </w:r>
      <w:r>
        <w:t xml:space="preserve"> </w:t>
      </w:r>
      <w:r>
        <w:t xml:space="preserve">on that margin. The frontier is the locus of budget-constrained delivered-bit</w:t>
      </w:r>
      <w:r>
        <w:t xml:space="preserve"> </w:t>
      </w:r>
      <w:r>
        <w:t xml:space="preserve">maxima traced as the budget grows. The cost-side anchors for the operating-plus-</w:t>
      </w:r>
      <w:r>
        <w:t xml:space="preserve"> </w:t>
      </w:r>
      <w:r>
        <w:t xml:space="preserve">amortized-capital terms draw on the published ground-segment cost characterizations</w:t>
      </w:r>
      <w:r>
        <w:t xml:space="preserve"> </w:t>
      </w:r>
      <w:r>
        <w:t xml:space="preserve">that treat ground-station expense as a distinct operational line</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 </w:t>
      </w:r>
      <w:r>
        <w:t xml:space="preserve">and on</w:t>
      </w:r>
      <w:r>
        <w:t xml:space="preserve"> </w:t>
      </w:r>
      <w:r>
        <w:t xml:space="preserve">the space cost-curve and infrastructure-return references that frame the steepness</w:t>
      </w:r>
      <w:r>
        <w:t xml:space="preserve"> </w:t>
      </w:r>
      <w:r>
        <w:t xml:space="preserve">of capital outlays</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supplemented where necessary by the parametric-cost</w:t>
      </w:r>
      <w:r>
        <w:t xml:space="preserve"> </w:t>
      </w:r>
      <w:r>
        <w:t xml:space="preserve">estimation evidence on NASA missions</w:t>
      </w:r>
      <w:r>
        <w:t xml:space="preserve"> </w:t>
      </w:r>
      <w:hyperlink w:anchor="ref-6">
        <w:r>
          <w:rPr>
            <w:rStyle w:val="Hyperlink"/>
          </w:rPr>
          <w:t xml:space="preserve">[6]</w:t>
        </w:r>
      </w:hyperlink>
      <w:r>
        <w:t xml:space="preserve">. The delivered-bit denominator on the</w:t>
      </w:r>
      <w:r>
        <w:t xml:space="preserve"> </w:t>
      </w:r>
      <w:r>
        <w:t xml:space="preserve">cadence side incorporates the contact-availability gains that geographic</w:t>
      </w:r>
      <w:r>
        <w:t xml:space="preserve"> </w:t>
      </w:r>
      <w:r>
        <w:t xml:space="preserve">distribution and tighter scheduling confer, calibrated against the documented DSN</w:t>
      </w:r>
      <w:r>
        <w:t xml:space="preserve"> </w:t>
      </w:r>
      <w:r>
        <w:t xml:space="preserve">aperture-enhancement performance record</w:t>
      </w:r>
      <w:r>
        <w:t xml:space="preserve"> </w:t>
      </w:r>
      <w:hyperlink w:anchor="ref-33">
        <w:r>
          <w:rPr>
            <w:rStyle w:val="Hyperlink"/>
          </w:rPr>
          <w:t xml:space="preserve">[33]</w:t>
        </w:r>
      </w:hyperlink>
      <w:r>
        <w:t xml:space="preserve"> </w:t>
      </w:r>
      <w:r>
        <w:t xml:space="preserve">and the published mission link</w:t>
      </w:r>
      <w:r>
        <w:t xml:space="preserve"> </w:t>
      </w:r>
      <w:r>
        <w:t xml:space="preserve">performance summaries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bookmarkEnd w:id="107"/>
    <w:bookmarkEnd w:id="108"/>
    <w:bookmarkStart w:id="112" w:name="identification-strategy"/>
    <w:p>
      <w:pPr>
        <w:pStyle w:val="Heading2"/>
        <w:spacing w:line="480" w:lineRule="auto"/>
      </w:pPr>
      <w:r>
        <w:t xml:space="preserve">5.3 Identification Strategy</w:t>
      </w:r>
    </w:p>
    <w:p>
      <w:pPr>
        <w:pStyle w:val="FirstParagraph"/>
        <w:spacing w:line="480" w:lineRule="auto"/>
      </w:pPr>
      <w:r>
        <w:t xml:space="preserve">The identification of the frontier’s denominators rests on conditional</w:t>
      </w:r>
      <w:r>
        <w:t xml:space="preserve"> </w:t>
      </w:r>
      <w:r>
        <w:t xml:space="preserve">independence within each estimator, and the identification of the frontier’s</w:t>
      </w:r>
      <w:r>
        <w:t xml:space="preserve"> </w:t>
      </w:r>
      <w:r>
        <w:t xml:space="preserve">substantive claim rests on a sign-reversal restriction across the budget range.</w:t>
      </w:r>
      <w:r>
        <w:t xml:space="preserve"> </w:t>
      </w:r>
      <w:r>
        <w:t xml:space="preserve">Both must be stated explicitly because the dissertation’s falsifiable hypothesis is</w:t>
      </w:r>
      <w:r>
        <w:t xml:space="preserve"> </w:t>
      </w:r>
      <w:r>
        <w:t xml:space="preserve">not about the level of either elasticity but about whether the two margins carry</w:t>
      </w:r>
      <w:r>
        <w:t xml:space="preserve"> </w:t>
      </w:r>
      <w:r>
        <w:t xml:space="preserve">unequal marginal cost per delivered bit and whether that inequality reverses sign</w:t>
      </w:r>
      <w:r>
        <w:t xml:space="preserve"> </w:t>
      </w:r>
      <w:r>
        <w:t xml:space="preserve">as the budget grows.</w:t>
      </w:r>
    </w:p>
    <w:bookmarkStart w:id="109" w:name="X701ab3bffdeee675b926e2a102d9dfd38e9e5b3"/>
    <w:p>
      <w:pPr>
        <w:pStyle w:val="Heading3"/>
        <w:spacing w:line="480" w:lineRule="auto"/>
      </w:pPr>
      <w:r>
        <w:t xml:space="preserve">5.3.1 Conditional Independence in the Capacity Estimator</w:t>
      </w:r>
    </w:p>
    <w:p>
      <w:pPr>
        <w:pStyle w:val="FirstParagraph"/>
        <w:spacing w:line="480" w:lineRule="auto"/>
      </w:pPr>
      <w:r>
        <w:t xml:space="preserve">Within the capacity estimator, the partial aperture elasticity is identified under</w:t>
      </w:r>
      <w:r>
        <w:t xml:space="preserve"> </w:t>
      </w:r>
      <w:r>
        <w:t xml:space="preserve">the assumption that, conditional on spacecraft Earth distance, onboard transmit</w:t>
      </w:r>
      <w:r>
        <w:t xml:space="preserve"> </w:t>
      </w:r>
      <w:r>
        <w:t xml:space="preserve">power, and frequency band, the assignment of a mission to a given ground-antenna</w:t>
      </w:r>
      <w:r>
        <w:t xml:space="preserve"> </w:t>
      </w:r>
      <w:r>
        <w:t xml:space="preserve">aperture is uncorrelated with the unobserved determinants of achieved downlink</w:t>
      </w:r>
      <w:r>
        <w:t xml:space="preserve"> </w:t>
      </w:r>
      <w:r>
        <w:t xml:space="preserve">rate. The three conditioning variables are the levers that the link equation names</w:t>
      </w:r>
      <w:r>
        <w:t xml:space="preserve"> </w:t>
      </w:r>
      <w:r>
        <w:t xml:space="preserve">as the structural alternatives to aperture, so the conditional-independence</w:t>
      </w:r>
      <w:r>
        <w:t xml:space="preserve"> </w:t>
      </w:r>
      <w:r>
        <w:t xml:space="preserve">assumption is the claim that aperture is as good as randomly assigned once those</w:t>
      </w:r>
      <w:r>
        <w:t xml:space="preserve"> </w:t>
      </w:r>
      <w:r>
        <w:t xml:space="preserve">three levers are held fixed. The frequency-band fixed effect is the load-bearing</w:t>
      </w:r>
      <w:r>
        <w:t xml:space="preserve"> </w:t>
      </w:r>
      <w:r>
        <w:t xml:space="preserve">element of this strategy. Because the modern high-rate links are Ka-band links on</w:t>
      </w:r>
      <w:r>
        <w:t xml:space="preserve"> </w:t>
      </w:r>
      <w:r>
        <w:t xml:space="preserve">the smaller 34-meter subnet while the largest dishes are bound up with the oldest,</w:t>
      </w:r>
      <w:r>
        <w:t xml:space="preserve"> </w:t>
      </w:r>
      <w:r>
        <w:t xml:space="preserve">lowest-power, lowest-band missions, omitting the band indicator would let aperture</w:t>
      </w:r>
      <w:r>
        <w:t xml:space="preserve"> </w:t>
      </w:r>
      <w:r>
        <w:t xml:space="preserve">absorb a composition effect and would bias the partial elasticity downward. The</w:t>
      </w:r>
      <w:r>
        <w:t xml:space="preserve"> </w:t>
      </w:r>
      <w:r>
        <w:t xml:space="preserve">band indicator absorbs that level difference and isolates the within-band</w:t>
      </w:r>
      <w:r>
        <w:t xml:space="preserve"> </w:t>
      </w:r>
      <w:r>
        <w:t xml:space="preserve">association of rate with diameter.</w:t>
      </w:r>
    </w:p>
    <w:bookmarkEnd w:id="109"/>
    <w:bookmarkStart w:id="110" w:name="X1e095be77a3b8a419235e1abcc821b3d25c2741"/>
    <w:p>
      <w:pPr>
        <w:pStyle w:val="Heading3"/>
        <w:spacing w:line="480" w:lineRule="auto"/>
      </w:pPr>
      <w:r>
        <w:t xml:space="preserve">5.3.2 Functional-Form Identification in the Cost Estimator</w:t>
      </w:r>
    </w:p>
    <w:p>
      <w:pPr>
        <w:pStyle w:val="FirstParagraph"/>
        <w:spacing w:line="480" w:lineRule="auto"/>
      </w:pPr>
      <w:r>
        <w:t xml:space="preserve">Within the cost estimator, the cost-aperture elasticity is identified by the</w:t>
      </w:r>
      <w:r>
        <w:t xml:space="preserve"> </w:t>
      </w:r>
      <w:r>
        <w:t xml:space="preserve">log-log functional form under the assumption that the realized antenna population</w:t>
      </w:r>
      <w:r>
        <w:t xml:space="preserve"> </w:t>
      </w:r>
      <w:r>
        <w:t xml:space="preserve">is a representative draw from the menu of procurement options a planner faces. The</w:t>
      </w:r>
      <w:r>
        <w:t xml:space="preserve"> </w:t>
      </w:r>
      <w:r>
        <w:t xml:space="preserve">identifying content is the position of the confidence interval relative to the</w:t>
      </w:r>
      <w:r>
        <w:t xml:space="preserve"> </w:t>
      </w:r>
      <w:r>
        <w:t xml:space="preserve">structural benchmark: an interval bracketing the near-cubic value would identify a</w:t>
      </w:r>
      <w:r>
        <w:t xml:space="preserve"> </w:t>
      </w:r>
      <w:r>
        <w:t xml:space="preserve">diseconomy of diameter, an interval bracketing unity would identify a realized cost</w:t>
      </w:r>
      <w:r>
        <w:t xml:space="preserve"> </w:t>
      </w:r>
      <w:r>
        <w:t xml:space="preserve">frontier already flattened by arraying. Because the two competing propositions are</w:t>
      </w:r>
      <w:r>
        <w:t xml:space="preserve"> </w:t>
      </w:r>
      <w:r>
        <w:t xml:space="preserve">separated cleanly by where the interval falls, the estimator adjudicates between</w:t>
      </w:r>
      <w:r>
        <w:t xml:space="preserve"> </w:t>
      </w:r>
      <w:r>
        <w:t xml:space="preserve">them without requiring an instrument. The deliberate inclusion of per-element array</w:t>
      </w:r>
      <w:r>
        <w:t xml:space="preserve"> </w:t>
      </w:r>
      <w:r>
        <w:t xml:space="preserve">costs is what gives the estimate its external relevance, because it is the array-</w:t>
      </w:r>
      <w:r>
        <w:t xml:space="preserve"> </w:t>
      </w:r>
      <w:r>
        <w:t xml:space="preserve">inclusive menu, not the single-dish subpopulation, that a budget-constrained</w:t>
      </w:r>
      <w:r>
        <w:t xml:space="preserve"> </w:t>
      </w:r>
      <w:r>
        <w:t xml:space="preserve">network actually confronts</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p>
    <w:bookmarkEnd w:id="110"/>
    <w:bookmarkStart w:id="111" w:name="the-sign-reversal-restriction"/>
    <w:p>
      <w:pPr>
        <w:pStyle w:val="Heading3"/>
        <w:spacing w:line="480" w:lineRule="auto"/>
      </w:pPr>
      <w:r>
        <w:t xml:space="preserve">5.3.3 The Sign-Reversal Restriction</w:t>
      </w:r>
    </w:p>
    <w:p>
      <w:pPr>
        <w:pStyle w:val="FirstParagraph"/>
        <w:spacing w:line="480" w:lineRule="auto"/>
      </w:pPr>
      <w:r>
        <w:t xml:space="preserve">The frontier’s substantive claim is identified by a restriction on the shape of the</w:t>
      </w:r>
      <w:r>
        <w:t xml:space="preserve"> </w:t>
      </w:r>
      <w:r>
        <w:t xml:space="preserve">margin-specific cost-per-bit difference rather than on its level. The dissertation</w:t>
      </w:r>
      <w:r>
        <w:t xml:space="preserve"> </w:t>
      </w:r>
      <w:r>
        <w:t xml:space="preserve">advances the hypothesis that, within the relevant budget range, the marginal cost</w:t>
      </w:r>
      <w:r>
        <w:t xml:space="preserve"> </w:t>
      </w:r>
      <w:r>
        <w:t xml:space="preserve">per delivered bit differs between the aperture and cadence margins and that the</w:t>
      </w:r>
      <w:r>
        <w:t xml:space="preserve"> </w:t>
      </w:r>
      <w:r>
        <w:t xml:space="preserve">difference reverses sign as the budget grows, so that below a threshold the cadence</w:t>
      </w:r>
      <w:r>
        <w:t xml:space="preserve"> </w:t>
      </w:r>
      <w:r>
        <w:t xml:space="preserve">margin returns more delivered bits per dollar and above it the aperture margin</w:t>
      </w:r>
      <w:r>
        <w:t xml:space="preserve"> </w:t>
      </w:r>
      <w:r>
        <w:t xml:space="preserve">dominates. The identifying logic is that a spurious correlation between budget and</w:t>
      </w:r>
      <w:r>
        <w:t xml:space="preserve"> </w:t>
      </w:r>
      <w:r>
        <w:t xml:space="preserve">allocation would not generically produce a sign reversal in the margin-specific</w:t>
      </w:r>
      <w:r>
        <w:t xml:space="preserve"> </w:t>
      </w:r>
      <w:r>
        <w:t xml:space="preserve">cost-per-bit difference at an interior threshold. A confound that merely shifted</w:t>
      </w:r>
      <w:r>
        <w:t xml:space="preserve"> </w:t>
      </w:r>
      <w:r>
        <w:t xml:space="preserve">both margins’ costs in the same direction would move the level of the difference</w:t>
      </w:r>
      <w:r>
        <w:t xml:space="preserve"> </w:t>
      </w:r>
      <w:r>
        <w:t xml:space="preserve">but would not flip its sign at a budget-dependent crossing point. The sign reversal</w:t>
      </w:r>
      <w:r>
        <w:t xml:space="preserve"> </w:t>
      </w:r>
      <w:r>
        <w:t xml:space="preserve">is therefore the discriminating prediction, and an interior optimum that funds both</w:t>
      </w:r>
      <w:r>
        <w:t xml:space="preserve"> </w:t>
      </w:r>
      <w:r>
        <w:t xml:space="preserve">margins is the structural consequence that follows if the reversal is observed. The</w:t>
      </w:r>
      <w:r>
        <w:t xml:space="preserve"> </w:t>
      </w:r>
      <w:r>
        <w:t xml:space="preserve">null is that the difference is statistically indistinguishable from zero, in which</w:t>
      </w:r>
      <w:r>
        <w:t xml:space="preserve"> </w:t>
      </w:r>
      <w:r>
        <w:t xml:space="preserve">case the planner is indifferent at the margin and the capacity-expansion problem</w:t>
      </w:r>
      <w:r>
        <w:t xml:space="preserve"> </w:t>
      </w:r>
      <w:r>
        <w:t xml:space="preserve">has no interior structure to exploit. The alternative is falsified either by a</w:t>
      </w:r>
      <w:r>
        <w:t xml:space="preserve"> </w:t>
      </w:r>
      <w:r>
        <w:t xml:space="preserve">failure to reject that null or by a difference that is significant but does not</w:t>
      </w:r>
      <w:r>
        <w:t xml:space="preserve"> </w:t>
      </w:r>
      <w:r>
        <w:t xml:space="preserve">reverse sign, indicating a corner rather than an interior solution. The cost-</w:t>
      </w:r>
      <w:r>
        <w:t xml:space="preserve"> </w:t>
      </w:r>
      <w:r>
        <w:t xml:space="preserve">scaling estimate’s finding of a realized elasticity near unity is consistent with</w:t>
      </w:r>
      <w:r>
        <w:t xml:space="preserve"> </w:t>
      </w:r>
      <w:r>
        <w:t xml:space="preserve">the cadence-favorable side of this prediction, because a linear rather than near-</w:t>
      </w:r>
      <w:r>
        <w:t xml:space="preserve"> </w:t>
      </w:r>
      <w:r>
        <w:t xml:space="preserve">cubic cost law removes the capital penalty that would otherwise force the optimum</w:t>
      </w:r>
      <w:r>
        <w:t xml:space="preserve"> </w:t>
      </w:r>
      <w:r>
        <w:t xml:space="preserve">toward the aperture corner</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p>
    <w:bookmarkEnd w:id="111"/>
    <w:bookmarkEnd w:id="112"/>
    <w:bookmarkStart w:id="117" w:name="threats-to-validity-and-their-bounds"/>
    <w:p>
      <w:pPr>
        <w:pStyle w:val="Heading2"/>
        <w:spacing w:line="480" w:lineRule="auto"/>
      </w:pPr>
      <w:r>
        <w:t xml:space="preserve">5.4 Threats to Validity and Their Bounds</w:t>
      </w:r>
    </w:p>
    <w:p>
      <w:pPr>
        <w:pStyle w:val="FirstParagraph"/>
        <w:spacing w:line="480" w:lineRule="auto"/>
      </w:pPr>
      <w:r>
        <w:t xml:space="preserve">The combination of two cross-sections into a single decision instrument introduces</w:t>
      </w:r>
      <w:r>
        <w:t xml:space="preserve"> </w:t>
      </w:r>
      <w:r>
        <w:t xml:space="preserve">hazards along all four standard dimensions of validity. Each is named below, its</w:t>
      </w:r>
      <w:r>
        <w:t xml:space="preserve"> </w:t>
      </w:r>
      <w:r>
        <w:t xml:space="preserve">mechanism is stated, and the bound placed on it is specified so that the residual</w:t>
      </w:r>
      <w:r>
        <w:t xml:space="preserve"> </w:t>
      </w:r>
      <w:r>
        <w:t xml:space="preserve">risk is explicit rather than assumed away.</w:t>
      </w:r>
    </w:p>
    <w:bookmarkStart w:id="113" w:name="construct-validity"/>
    <w:p>
      <w:pPr>
        <w:pStyle w:val="Heading3"/>
        <w:spacing w:line="480" w:lineRule="auto"/>
      </w:pPr>
      <w:r>
        <w:t xml:space="preserve">5.4.1 Construct Validity</w:t>
      </w:r>
    </w:p>
    <w:p>
      <w:pPr>
        <w:pStyle w:val="FirstParagraph"/>
        <w:spacing w:line="480" w:lineRule="auto"/>
      </w:pPr>
      <w:r>
        <w:t xml:space="preserve">The outcome construct is delivered data volume, but link availability depends on</w:t>
      </w:r>
      <w:r>
        <w:t xml:space="preserve"> </w:t>
      </w:r>
      <w:r>
        <w:t xml:space="preserve">atmospheric conditions that the documented record captures imperfectly, and a</w:t>
      </w:r>
      <w:r>
        <w:t xml:space="preserve"> </w:t>
      </w:r>
      <w:r>
        <w:t xml:space="preserve">mismeasured weather-outage process would bias the cadence margin’s apparent</w:t>
      </w:r>
      <w:r>
        <w:t xml:space="preserve"> </w:t>
      </w:r>
      <w:r>
        <w:t xml:space="preserve">effectiveness. A second construct hazard is that the capacity estimator’s outcome</w:t>
      </w:r>
      <w:r>
        <w:t xml:space="preserve"> </w:t>
      </w:r>
      <w:r>
        <w:t xml:space="preserve">is peak documented rate, which is a ceiling rather than a delivered-volume measure,</w:t>
      </w:r>
      <w:r>
        <w:t xml:space="preserve"> </w:t>
      </w:r>
      <w:r>
        <w:t xml:space="preserve">so the capacity layer speaks to instantaneous capability and must be combined with</w:t>
      </w:r>
      <w:r>
        <w:t xml:space="preserve"> </w:t>
      </w:r>
      <w:r>
        <w:t xml:space="preserve">the queueing model to recover the cadence-driven total return that the frontier</w:t>
      </w:r>
      <w:r>
        <w:t xml:space="preserve"> </w:t>
      </w:r>
      <w:r>
        <w:t xml:space="preserve">requires. The bound on the first hazard is to model weather outage as a sensitivity</w:t>
      </w:r>
      <w:r>
        <w:t xml:space="preserve"> </w:t>
      </w:r>
      <w:r>
        <w:t xml:space="preserve">band rather than a point estimate, so that the cadence-margin denominator is</w:t>
      </w:r>
      <w:r>
        <w:t xml:space="preserve"> </w:t>
      </w:r>
      <w:r>
        <w:t xml:space="preserve">reported across a plausible interval of outage rather than at a single value. The</w:t>
      </w:r>
      <w:r>
        <w:t xml:space="preserve"> </w:t>
      </w:r>
      <w:r>
        <w:t xml:space="preserve">bound on the second is to keep the peak-rate regression strictly as a calibration</w:t>
      </w:r>
      <w:r>
        <w:t xml:space="preserve"> </w:t>
      </w:r>
      <w:r>
        <w:t xml:space="preserve">input to the link side of the engineering layer and to derive delivered volume only</w:t>
      </w:r>
      <w:r>
        <w:t xml:space="preserve"> </w:t>
      </w:r>
      <w:r>
        <w:t xml:space="preserve">after the queueing layer has applied contact-availability constraints, never</w:t>
      </w:r>
      <w:r>
        <w:t xml:space="preserve"> </w:t>
      </w:r>
      <w:r>
        <w:t xml:space="preserve">treating peak rate as if it were delivered volume.</w:t>
      </w:r>
    </w:p>
    <w:bookmarkEnd w:id="113"/>
    <w:bookmarkStart w:id="114" w:name="internal-validity"/>
    <w:p>
      <w:pPr>
        <w:pStyle w:val="Heading3"/>
        <w:spacing w:line="480" w:lineRule="auto"/>
      </w:pPr>
      <w:r>
        <w:t xml:space="preserve">5.4.2 Internal Validity</w:t>
      </w:r>
    </w:p>
    <w:p>
      <w:pPr>
        <w:pStyle w:val="FirstParagraph"/>
        <w:spacing w:line="480" w:lineRule="auto"/>
      </w:pPr>
      <w:r>
        <w:t xml:space="preserve">The principal internal-validity threat is the omitted on-board-processing lever.</w:t>
      </w:r>
      <w:r>
        <w:t xml:space="preserve"> </w:t>
      </w:r>
      <w:r>
        <w:t xml:space="preserve">Processing data on board to reduce the required downlink rate substitutes payload</w:t>
      </w:r>
      <w:r>
        <w:t xml:space="preserve"> </w:t>
      </w:r>
      <w:r>
        <w:t xml:space="preserve">computation for ground capacity, and the published evidence that such processing</w:t>
      </w:r>
      <w:r>
        <w:t xml:space="preserve"> </w:t>
      </w:r>
      <w:r>
        <w:t xml:space="preserve">greatly reduces the required downlink data rate, and therefore cost, establishes</w:t>
      </w:r>
      <w:r>
        <w:t xml:space="preserve"> </w:t>
      </w:r>
      <w:r>
        <w:t xml:space="preserve">that this lever is real</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If it were omitted, it would contaminate the</w:t>
      </w:r>
      <w:r>
        <w:t xml:space="preserve"> </w:t>
      </w:r>
      <w:r>
        <w:t xml:space="preserve">aperture-cadence contrast, because a mission that has invested in on-board</w:t>
      </w:r>
      <w:r>
        <w:t xml:space="preserve"> </w:t>
      </w:r>
      <w:r>
        <w:t xml:space="preserve">processing demands less of both margins. The bound is to hold the on-board-</w:t>
      </w:r>
      <w:r>
        <w:t xml:space="preserve"> </w:t>
      </w:r>
      <w:r>
        <w:t xml:space="preserve">processing intensity fixed as a control and to report frontier shifts across its</w:t>
      </w:r>
      <w:r>
        <w:t xml:space="preserve"> </w:t>
      </w:r>
      <w:r>
        <w:t xml:space="preserve">plausible range, so that the contrast is read within a level of processing rather</w:t>
      </w:r>
      <w:r>
        <w:t xml:space="preserve"> </w:t>
      </w:r>
      <w:r>
        <w:t xml:space="preserve">than across uncontrolled levels of it. A second internal threat is endogeneity in</w:t>
      </w:r>
      <w:r>
        <w:t xml:space="preserve"> </w:t>
      </w:r>
      <w:r>
        <w:t xml:space="preserve">the cost function if site placement responds to anticipated demand, which would</w:t>
      </w:r>
      <w:r>
        <w:t xml:space="preserve"> </w:t>
      </w:r>
      <w:r>
        <w:t xml:space="preserve">correlate the cadence regressors with the cost disturbance. The bound here is</w:t>
      </w:r>
      <w:r>
        <w:t xml:space="preserve"> </w:t>
      </w:r>
      <w:r>
        <w:t xml:space="preserve">structural: the public DSN configuration is historically fixed across the three</w:t>
      </w:r>
      <w:r>
        <w:t xml:space="preserve"> </w:t>
      </w:r>
      <w:r>
        <w:t xml:space="preserve">complexes, which limits the channel through which placement could respond to demand</w:t>
      </w:r>
      <w:r>
        <w:t xml:space="preserve"> </w:t>
      </w:r>
      <w:r>
        <w:t xml:space="preserve">within the estimation window, and the per-element array costs are taken from</w:t>
      </w:r>
      <w:r>
        <w:t xml:space="preserve"> </w:t>
      </w:r>
      <w:r>
        <w:t xml:space="preserve">documented program divisions rather than from demand-responsive quotations</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p>
    <w:bookmarkEnd w:id="114"/>
    <w:bookmarkStart w:id="115" w:name="external-validity"/>
    <w:p>
      <w:pPr>
        <w:pStyle w:val="Heading3"/>
        <w:spacing w:line="480" w:lineRule="auto"/>
      </w:pPr>
      <w:r>
        <w:t xml:space="preserve">5.4.3 External Validity</w:t>
      </w:r>
    </w:p>
    <w:p>
      <w:pPr>
        <w:pStyle w:val="FirstParagraph"/>
        <w:spacing w:line="480" w:lineRule="auto"/>
      </w:pPr>
      <w:r>
        <w:t xml:space="preserve">The frontier is estimated on a three-complex deep-space architecture, and</w:t>
      </w:r>
      <w:r>
        <w:t xml:space="preserve"> </w:t>
      </w:r>
      <w:r>
        <w:t xml:space="preserve">generalization to near-Earth relay networks or to commercial ground-station-as-a-</w:t>
      </w:r>
      <w:r>
        <w:t xml:space="preserve"> </w:t>
      </w:r>
      <w:r>
        <w:t xml:space="preserve">service offerings is not claimed. The steepness of the underlying capital cost</w:t>
      </w:r>
      <w:r>
        <w:t xml:space="preserve"> </w:t>
      </w:r>
      <w:r>
        <w:t xml:space="preserve">curves may differ by regime, and the cost-scaling estimate’s realized elasticity</w:t>
      </w:r>
      <w:r>
        <w:t xml:space="preserve"> </w:t>
      </w:r>
      <w:r>
        <w:t xml:space="preserve">near unity is a property of the historical antenna population rather than a law that</w:t>
      </w:r>
      <w:r>
        <w:t xml:space="preserve"> </w:t>
      </w:r>
      <w:r>
        <w:t xml:space="preserve">must hold in a different procurement environment</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bound is to scope</w:t>
      </w:r>
      <w:r>
        <w:t xml:space="preserve"> </w:t>
      </w:r>
      <w:r>
        <w:t xml:space="preserve">every inference to the deep-space three-complex regime and to flag the cost-curve</w:t>
      </w:r>
      <w:r>
        <w:t xml:space="preserve"> </w:t>
      </w:r>
      <w:r>
        <w:t xml:space="preserve">regime dependence explicitly, so that a planner in a different setting reads the</w:t>
      </w:r>
      <w:r>
        <w:t xml:space="preserve"> </w:t>
      </w:r>
      <w:r>
        <w:t xml:space="preserve">frontier as a method to be re-estimated on local data rather than as a transportable</w:t>
      </w:r>
      <w:r>
        <w:t xml:space="preserve"> </w:t>
      </w:r>
      <w:r>
        <w:t xml:space="preserve">constant. The relay-topology literature that addresses alternative network</w:t>
      </w:r>
      <w:r>
        <w:t xml:space="preserve"> </w:t>
      </w:r>
      <w:r>
        <w:t xml:space="preserve">geometries is noted as outside the estimation scope but available for a future</w:t>
      </w:r>
      <w:r>
        <w:t xml:space="preserve"> </w:t>
      </w:r>
      <w:r>
        <w:t xml:space="preserve">extension</w:t>
      </w:r>
      <w:r>
        <w:t xml:space="preserve"> </w:t>
      </w:r>
      <w:hyperlink w:anchor="ref-36">
        <w:r>
          <w:rPr>
            <w:rStyle w:val="Hyperlink"/>
          </w:rPr>
          <w:t xml:space="preserve">[36]</w:t>
        </w:r>
      </w:hyperlink>
      <w:r>
        <w:t xml:space="preserve">.</w:t>
      </w:r>
    </w:p>
    <w:bookmarkEnd w:id="115"/>
    <w:bookmarkStart w:id="116" w:name="statistical-conclusion-validity"/>
    <w:p>
      <w:pPr>
        <w:pStyle w:val="Heading3"/>
        <w:spacing w:line="480" w:lineRule="auto"/>
      </w:pPr>
      <w:r>
        <w:t xml:space="preserve">5.4.4 Statistical-Conclusion Validity</w:t>
      </w:r>
    </w:p>
    <w:p>
      <w:pPr>
        <w:pStyle w:val="FirstParagraph"/>
        <w:spacing w:line="480" w:lineRule="auto"/>
      </w:pPr>
      <w:r>
        <w:t xml:space="preserve">The capacity cross-section contains a small number of distinct DSN aperture classes,</w:t>
      </w:r>
      <w:r>
        <w:t xml:space="preserve"> </w:t>
      </w:r>
      <w:r>
        <w:t xml:space="preserve">and the cost cross-section contains fifteen heterogeneous facilities spanning six</w:t>
      </w:r>
      <w:r>
        <w:t xml:space="preserve"> </w:t>
      </w:r>
      <w:r>
        <w:t xml:space="preserve">decades and four currencies, so both regressions operate with limited degrees of</w:t>
      </w:r>
      <w:r>
        <w:t xml:space="preserve"> </w:t>
      </w:r>
      <w:r>
        <w:t xml:space="preserve">freedom. In the capacity estimator this manifests as an aperture elasticity that</w:t>
      </w:r>
      <w:r>
        <w:t xml:space="preserve"> </w:t>
      </w:r>
      <w:r>
        <w:t xml:space="preserve">cannot be signed with confidence, and in the cost estimator it manifests as a</w:t>
      </w:r>
      <w:r>
        <w:t xml:space="preserve"> </w:t>
      </w:r>
      <w:r>
        <w:t xml:space="preserve">confidence interval wide enough to separate unity from the structural benchmark but</w:t>
      </w:r>
      <w:r>
        <w:t xml:space="preserve"> </w:t>
      </w:r>
      <w:r>
        <w:t xml:space="preserve">not to resolve finer structure such as a vintage trend or a band-dependent premium.</w:t>
      </w:r>
      <w:r>
        <w:t xml:space="preserve"> </w:t>
      </w:r>
      <w:r>
        <w:t xml:space="preserve">The bound is twofold. First, confidence intervals are reported on the margin-</w:t>
      </w:r>
      <w:r>
        <w:t xml:space="preserve"> </w:t>
      </w:r>
      <w:r>
        <w:t xml:space="preserve">specific marginal-cost-per-bit difference, and a failure to reject the null of</w:t>
      </w:r>
      <w:r>
        <w:t xml:space="preserve"> </w:t>
      </w:r>
      <w:r>
        <w:t xml:space="preserve">indifference is treated as an informative negative result rather than as</w:t>
      </w:r>
      <w:r>
        <w:t xml:space="preserve"> </w:t>
      </w:r>
      <w:r>
        <w:t xml:space="preserve">confirmation of indifference. Second, the share of illustrative rows is held to a</w:t>
      </w:r>
      <w:r>
        <w:t xml:space="preserve"> </w:t>
      </w:r>
      <w:r>
        <w:t xml:space="preserve">documented minority in each dataset, with the capacity cross-section’s illustrative</w:t>
      </w:r>
      <w:r>
        <w:t xml:space="preserve"> </w:t>
      </w:r>
      <w:r>
        <w:t xml:space="preserve">rows held under fifteen percent and matched to antenna-class specifications and the</w:t>
      </w:r>
      <w:r>
        <w:t xml:space="preserve"> </w:t>
      </w:r>
      <w:r>
        <w:t xml:space="preserve">cost cross-section’s single illustrative conversion held under seven percent with</w:t>
      </w:r>
      <w:r>
        <w:t xml:space="preserve"> </w:t>
      </w:r>
      <w:r>
        <w:t xml:space="preserve">fully documented diameter and dates, so that measurement noise from those rows is</w:t>
      </w:r>
      <w:r>
        <w:t xml:space="preserve"> </w:t>
      </w:r>
      <w:r>
        <w:t xml:space="preserve">quantified rather than hidden. The parametric-cost validation literature’s</w:t>
      </w:r>
      <w:r>
        <w:t xml:space="preserve"> </w:t>
      </w:r>
      <w:r>
        <w:t xml:space="preserve">demonstration that log-linear scaling carries wide uncertainty once real program</w:t>
      </w:r>
      <w:r>
        <w:t xml:space="preserve"> </w:t>
      </w:r>
      <w:r>
        <w:t xml:space="preserve">data enter the fit is taken as a standing caution that the reported intervals are</w:t>
      </w:r>
      <w:r>
        <w:t xml:space="preserve"> </w:t>
      </w:r>
      <w:r>
        <w:t xml:space="preserve">the honest width of the inference rather than an artifact to be narrowed by</w:t>
      </w:r>
      <w:r>
        <w:t xml:space="preserve"> </w:t>
      </w:r>
      <w:r>
        <w:t xml:space="preserve">assumption</w:t>
      </w:r>
      <w:r>
        <w:t xml:space="preserve"> </w:t>
      </w:r>
      <w:hyperlink w:anchor="ref-6">
        <w:r>
          <w:rPr>
            <w:rStyle w:val="Hyperlink"/>
          </w:rPr>
          <w:t xml:space="preserve">[6]</w:t>
        </w:r>
      </w:hyperlink>
      <w:r>
        <w:t xml:space="preserve">.</w:t>
      </w:r>
    </w:p>
    <w:bookmarkEnd w:id="116"/>
    <w:bookmarkEnd w:id="117"/>
    <w:bookmarkStart w:id="118" w:name="sensitivity-architecture"/>
    <w:p>
      <w:pPr>
        <w:pStyle w:val="Heading2"/>
        <w:spacing w:line="480" w:lineRule="auto"/>
      </w:pPr>
      <w:r>
        <w:t xml:space="preserve">5.5 Sensitivity Architecture</w:t>
      </w:r>
    </w:p>
    <w:p>
      <w:pPr>
        <w:pStyle w:val="FirstParagraph"/>
        <w:spacing w:line="480" w:lineRule="auto"/>
      </w:pPr>
      <w:r>
        <w:t xml:space="preserve">The estimators are accompanied by a sensitivity architecture that varies the two</w:t>
      </w:r>
      <w:r>
        <w:t xml:space="preserve"> </w:t>
      </w:r>
      <w:r>
        <w:t xml:space="preserve">quantities most capable of moving the frontier’s conclusion: the on-board-</w:t>
      </w:r>
      <w:r>
        <w:t xml:space="preserve"> </w:t>
      </w:r>
      <w:r>
        <w:t xml:space="preserve">processing control and the weather-outage assumption. The on-board-processing</w:t>
      </w:r>
      <w:r>
        <w:t xml:space="preserve"> </w:t>
      </w:r>
      <w:r>
        <w:t xml:space="preserve">control is swept across its plausible range, and the frontier is re-traced at each</w:t>
      </w:r>
      <w:r>
        <w:t xml:space="preserve"> </w:t>
      </w:r>
      <w:r>
        <w:t xml:space="preserve">level, so that the interior-versus-corner finding is reported as robust or fragile</w:t>
      </w:r>
      <w:r>
        <w:t xml:space="preserve"> </w:t>
      </w:r>
      <w:r>
        <w:t xml:space="preserve">to the processing assumption rather than asserted at a single setting</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w:t>
      </w:r>
      <w:r>
        <w:t xml:space="preserve"> </w:t>
      </w:r>
      <w:r>
        <w:t xml:space="preserve">weather-outage assumption is swept across the sensitivity band described under</w:t>
      </w:r>
      <w:r>
        <w:t xml:space="preserve"> </w:t>
      </w:r>
      <w:r>
        <w:t xml:space="preserve">construct validity, so that the cadence margin’s denominator is stress-tested</w:t>
      </w:r>
      <w:r>
        <w:t xml:space="preserve"> </w:t>
      </w:r>
      <w:r>
        <w:t xml:space="preserve">against both optimistic and pessimistic outage. The cost side is additionally</w:t>
      </w:r>
      <w:r>
        <w:t xml:space="preserve"> </w:t>
      </w:r>
      <w:r>
        <w:t xml:space="preserve">stress-tested by re-estimating the cost-aperture elasticity on the array-inclusive</w:t>
      </w:r>
      <w:r>
        <w:t xml:space="preserve"> </w:t>
      </w:r>
      <w:r>
        <w:t xml:space="preserve">and single-dish-only subsamples, because the gap between those two slopes is the</w:t>
      </w:r>
      <w:r>
        <w:t xml:space="preserve"> </w:t>
      </w:r>
      <w:r>
        <w:t xml:space="preserve">empirical magnitude of the arraying response and a frontier that depends on it</w:t>
      </w:r>
      <w:r>
        <w:t xml:space="preserve"> </w:t>
      </w:r>
      <w:r>
        <w:t xml:space="preserve">should display its sensitivity to which subpopulation anchors the low-aperture end</w:t>
      </w:r>
      <w:r>
        <w:t xml:space="preserve"> </w:t>
      </w:r>
      <w:r>
        <w:t xml:space="preserve">of the cost curve</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This architecture ensures that the</w:t>
      </w:r>
      <w:r>
        <w:t xml:space="preserve"> </w:t>
      </w:r>
      <w:r>
        <w:t xml:space="preserve">dissertation’s headline, an interior frontier that funds both margins, is reported</w:t>
      </w:r>
      <w:r>
        <w:t xml:space="preserve"> </w:t>
      </w:r>
      <w:r>
        <w:t xml:space="preserve">together with the conditions under which it would collapse to a corner, which is the</w:t>
      </w:r>
      <w:r>
        <w:t xml:space="preserve"> </w:t>
      </w:r>
      <w:r>
        <w:t xml:space="preserve">form in which a decision instrument is useful to a planner operating under a binding</w:t>
      </w:r>
      <w:r>
        <w:t xml:space="preserve"> </w:t>
      </w:r>
      <w:r>
        <w:t xml:space="preserve">budget</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w:t>
      </w:r>
    </w:p>
    <w:bookmarkEnd w:id="118"/>
    <w:bookmarkEnd w:id="119"/>
    <w:bookmarkStart w:id="134" w:name="chapter-6.-results"/>
    <w:p>
      <w:pPr>
        <w:pStyle w:val="Heading1"/>
        <w:spacing w:line="480" w:lineRule="auto"/>
      </w:pPr>
      <w:r>
        <w:t xml:space="preserve">Chapter 6. Results</w:t>
      </w:r>
    </w:p>
    <w:p>
      <w:pPr>
        <w:pStyle w:val="FirstParagraph"/>
        <w:spacing w:line="480" w:lineRule="auto"/>
      </w:pPr>
      <w:r>
        <w:t xml:space="preserve">This chapter reports and interprets the estimated findings of the two empirical studies that together populate the aperture-cadence cost-effectiveness frontier. The first study estimates the capacity payoff of ground-antenna aperture: the partial elasticity of achieved deep-space downlink rate with respect to dish diameter, holding the competing engineering levers fixed. The second study estimates the cost penalty of that same aperture: the elasticity of antenna construction cost with respect to diameter across the realized population of large ground antennas. The two elasticities are the numerator and denominator of the marginal cost per delivered bit that the dissertation’s integrating argument turns on, and so they are reported here in full numerical detail before the discussion draws the joint inference. Throughout, I quote only the quantities returned by the estimators, present the coefficients with their standard errors and significance, and reserve the supporting tables, formulas, and graphical material for Appendix A. The chapter is organized in three parts: the capacity result, the cost result, and a synthesis that reads the two together against the falsifiable claim laid out in the prospectus.</w:t>
      </w:r>
    </w:p>
    <w:bookmarkStart w:id="124" w:name="X2639a96a164c8f1ea2c24cbd6ac4e134a528c58"/>
    <w:p>
      <w:pPr>
        <w:pStyle w:val="Heading2"/>
        <w:spacing w:line="480" w:lineRule="auto"/>
      </w:pPr>
      <w:r>
        <w:t xml:space="preserve">6.1 The Capacity Margin: Aperture Elasticity of Downlink Rate</w:t>
      </w:r>
    </w:p>
    <w:bookmarkStart w:id="120" w:name="overall-fit"/>
    <w:p>
      <w:pPr>
        <w:pStyle w:val="Heading3"/>
        <w:spacing w:line="480" w:lineRule="auto"/>
      </w:pPr>
      <w:r>
        <w:t xml:space="preserve">6.1.1 Overall fit</w:t>
      </w:r>
    </w:p>
    <w:p>
      <w:pPr>
        <w:pStyle w:val="FirstParagraph"/>
        <w:spacing w:line="480" w:lineRule="auto"/>
      </w:pPr>
      <w:r>
        <w:t xml:space="preserve">The first model is an ordinary least squares regression of log peak downlink data rate on log aperture diameter, log spacecraft Earth distance, log onboard transmit power, and a Ka-band indicator, estimated with heteroskedasticity-robust HC1 standard errors on a cross-section of thirty documented deep-space mission downlink configurations. The model accounts for a clear majority of the dispersion in the outcome. The coefficient of determination is 0.597, and the adjusted coefficient of determination, which penalizes the four estimated slopes against the thirty observations, is 0.533. The gap between the two is modest, which indicates that the explanatory power is not an artifact of overfitting a small sample with too many regressors. The joint significance of the specification is decisive: the F-statistic is 12.92 with a p-value of 7.74 times ten to the negative sixth, far below any conventional threshold. Read together, these fit statistics establish that the four chosen covariates, aperture, distance, transmit power, and band, jointly carry real and statistically secure information about achieved downlink rate. The question the chapter must then answer is not whether the model explains the data but which of the four levers does the explaining, and in particular whether aperture earns the credit that the standard link-budget intuition assigns to it.</w:t>
      </w:r>
    </w:p>
    <w:bookmarkEnd w:id="120"/>
    <w:bookmarkStart w:id="121" w:name="the-aperture-coefficient"/>
    <w:p>
      <w:pPr>
        <w:pStyle w:val="Heading3"/>
        <w:spacing w:line="480" w:lineRule="auto"/>
      </w:pPr>
      <w:r>
        <w:t xml:space="preserve">6.1.2 The aperture coefficient</w:t>
      </w:r>
    </w:p>
    <w:p>
      <w:pPr>
        <w:pStyle w:val="FirstParagraph"/>
        <w:spacing w:line="480" w:lineRule="auto"/>
      </w:pPr>
      <w:r>
        <w:t xml:space="preserve">The central result of the first study is the coefficient on log aperture. It does not support the conventional aperture claim. The estimated elasticity of peak downlink rate with respect to ground-antenna diameter is negative at -1.198, with a robust standard error of 1.441. The implied t-statistic is approximately -0.83, and the associated p-value is 0.406. At that p-value the coefficient is nowhere near statistical significance; the probability of observing an estimate this far from zero under a true null of no association is roughly two in five, which is to say the data are entirely consistent with aperture having no independent effect at all. The ninety-five percent confidence interval constructed from the point estimate and its robust standard error spans from approximately -4.02 to 1.63. That interval is wide, and it straddles zero. It does more than fail to reject a null of no effect. It fails even to sign the partial relationship. The data cannot tell us with confidence whether, holding distance, transmit power, and band fixed, a larger dish is associated with a higher or a lower downlink rate.</w:t>
      </w:r>
    </w:p>
    <w:p>
      <w:pPr>
        <w:pStyle w:val="BodyText"/>
        <w:spacing w:line="480" w:lineRule="auto"/>
        <w:ind w:firstLine="720"/>
      </w:pPr>
      <w:r>
        <w:t xml:space="preserve">The substantive reading of this estimate requires care, because a negative point estimate on aperture invites the misreading that bigger dishes return less data, which would contradict the link-budget physics. That is not the correct inference, and the standard error is the reason. With a standard error of 1.441 against a point estimate of -1.198, the negative sign is statistical noise. The honest statement is that, once the three competing covariates are conditioned out, aperture carries no statistically detectable independent association with achieved downlink rate in this documented cross-section. The primary hypothesis of the first study, that the partial aperture elasticity is positive and economically meaningful, is not supported at conventional levels. The null, that aperture has no independent, detectable association once the confounders are removed, cannot be rejected.</w:t>
      </w:r>
    </w:p>
    <w:p>
      <w:pPr>
        <w:pStyle w:val="BodyText"/>
        <w:spacing w:line="480" w:lineRule="auto"/>
        <w:ind w:firstLine="720"/>
      </w:pPr>
      <w:r>
        <w:t xml:space="preserve">This is a negative result, and it is reported as an informative one rather than a failure of the design. The prospectus anticipated precisely this risk under its statistical-conclusion-validity threat: with a small number of distinct aperture classes in the real DSN record, the cost-and-capacity regressions would have limited degrees of freedom, and a failure to reject the null was to be treated as substantive evidence rather than as an absence of evidence. The wide confidence interval is the visible signature of that anticipated limitation. The collinearity between aperture and mission vintage in the documented record, the largest dishes bound up with the oldest and lowest-power missions, inflates the variance of the aperture coefficient specifically, which is why this one slope is so imprecisely estimated while the others are sharp.</w:t>
      </w:r>
    </w:p>
    <w:bookmarkEnd w:id="121"/>
    <w:bookmarkStart w:id="122" w:name="the-levers-that-do-register"/>
    <w:p>
      <w:pPr>
        <w:pStyle w:val="Heading3"/>
        <w:spacing w:line="480" w:lineRule="auto"/>
      </w:pPr>
      <w:r>
        <w:t xml:space="preserve">6.1.3 The levers that do register</w:t>
      </w:r>
    </w:p>
    <w:p>
      <w:pPr>
        <w:pStyle w:val="FirstParagraph"/>
        <w:spacing w:line="480" w:lineRule="auto"/>
      </w:pPr>
      <w:r>
        <w:t xml:space="preserve">The levers that carry the genuine explanatory work are transmit power and frequency band, and their estimates are sharp where aperture’s is diffuse. The elasticity of downlink rate with respect to onboard radio-frequency transmit power is 1.562, with a robust standard error of 0.551. The t-statistic is approximately 2.84 and the p-value is 0.005, comfortably significant at the one percent level. The ninety-five percent confidence interval, from roughly 0.48 to 2.64, excludes zero throughout. The point estimate above unity is itself worth dwelling on. An elasticity of 1.562 means that a one percent increase in transmit power is associated with a more than one-and-a-half percent increase in achieved downlink rate, holding aperture, distance, and band fixed. Within the documented record, the spacecraft transmitter is the active margin on which achieved rate moves, and it moves more than proportionally. For a capacity planner this is the first piece of direct evidence that the data-return gains of the modern era are transmitter-driven rather than dish-driven.</w:t>
      </w:r>
    </w:p>
    <w:p>
      <w:pPr>
        <w:pStyle w:val="BodyText"/>
        <w:spacing w:line="480" w:lineRule="auto"/>
        <w:ind w:firstLine="720"/>
      </w:pPr>
      <w:r>
        <w:t xml:space="preserve">The frequency-band term is the second sharp result. The Ka-band indicator enters as a level shift on log rate, and its coefficient is 3.094 with a robust standard error of 1.343. The t-statistic is approximately 2.30 and the p-value is 0.021, significant at the five percent level. Because the indicator shifts the log of the outcome, its substantive magnitude is multiplicative: the exponential of 3.094 is approximately twenty-two, so moving a link from the X-band or S-band baseline to Ka-band is associated with on the order of a twenty-two-fold increase in achieved downlink rate, holding aperture, distance, and transmit power fixed. This is a very large effect, and it is consistent with the structural reason Ka-band exists, the higher carrier frequency permits far higher symbol rates within a given allocated bandwidth. The band term functions in the specification as a frequency fixed effect, absorbing the level difference between Ka-band and lower-frequency links so that aperture is not retroactively credited with gains that properly belong to the move up in frequency. That absorption is exactly what one wants from the design, and it is part of why the aperture coefficient, stripped of the band-driven composition effect, lands where it does.</w:t>
      </w:r>
    </w:p>
    <w:p>
      <w:pPr>
        <w:pStyle w:val="BodyText"/>
        <w:spacing w:line="480" w:lineRule="auto"/>
        <w:ind w:firstLine="720"/>
      </w:pPr>
      <w:r>
        <w:t xml:space="preserve">Distance enters with the sign the inverse-range physics demands. The elasticity of downlink rate with respect to spacecraft Earth distance is -0.467, with a standard error of 0.243 and a p-value of 0.055. At 0.055 the distance term is marginally outside the five percent threshold, which is to say it is significant at the ten percent level and only just misses the conventional five percent line. The negative sign is correct and expected: received signal power falls with the square of range, so a more distant spacecraft achieves a lower rate, all else equal. The magnitude, an elasticity of about negative one-half, is more modest than the inverse-square law alone would suggest, which is plausible once one recognizes that mission designers compensate for range with coding, larger spacecraft antennas, and higher power, partially offsetting the raw geometric loss. The estimate is best read as confirmation that the specification recovers the qualitative physics, lending credibility to the model as a whole even as it leaves the distance term just shy of formal significance.</w:t>
      </w:r>
    </w:p>
    <w:p>
      <w:pPr>
        <w:pStyle w:val="BodyText"/>
        <w:spacing w:line="480" w:lineRule="auto"/>
        <w:ind w:firstLine="720"/>
      </w:pPr>
      <w:r>
        <w:t xml:space="preserve">The constant is 3.581 with a standard error of 6.538 and a p-value of 0.584, statistically indistinguishable from zero and of no substantive interest in a log-log specification of this kind, where the intercept absorbs unit conventions and the joint baseline of the omitted band categories rather than carrying an independent economic meaning.</w:t>
      </w:r>
    </w:p>
    <w:bookmarkEnd w:id="122"/>
    <w:bookmarkStart w:id="123" w:name="interpretation-of-the-capacity-result"/>
    <w:p>
      <w:pPr>
        <w:pStyle w:val="Heading3"/>
        <w:spacing w:line="480" w:lineRule="auto"/>
      </w:pPr>
      <w:r>
        <w:t xml:space="preserve">6.1.4 Interpretation of the capacity result</w:t>
      </w:r>
    </w:p>
    <w:p>
      <w:pPr>
        <w:pStyle w:val="FirstParagraph"/>
        <w:spacing w:line="480" w:lineRule="auto"/>
      </w:pPr>
      <w:r>
        <w:t xml:space="preserve">The composition-effect reading reconciles the negative aperture point estimate with the uncontested link-budget physics. In the unconditioned record, the highest documented rates belong to Ka-band links on the 34 m subnet, the Lunar Reconnaissance Orbiter near one hundred megabits per second and the James Webb Space Telescope at twenty-eight megabits per second, while the largest apertures, the 70 m and the historical 64 m dishes, are occupied by the oldest and lowest-power outer-planet missions returning a few kilobits per second or less. The bivariate association between aperture and rate is therefore dragged downward by the fact that the biggest dishes serve the weakest, slowest links. When the regression hands the genuine explanatory work to transmit power and band, the residual variation it assigns to aperture is negative in sign but statistically indistinguishable from zero. The physics of aperture gain is real and monotone; what the data show is that in the realized DSN record aperture is so thoroughly confounded with mission vintage that its partial effect cannot be estimated with precision. This is consistent with the economic prior, advanced in the space-economics literature, that returns to large fixed infrastructure are realized only when the rest of the system, here the transmitter and the band, is matched to the ground asset</w:t>
      </w:r>
      <w:r>
        <w:t xml:space="preserve"> </w:t>
      </w:r>
      <w:hyperlink w:anchor="ref-8">
        <w:r>
          <w:rPr>
            <w:rStyle w:val="Hyperlink"/>
          </w:rPr>
          <w:t xml:space="preserve">[8]</w:t>
        </w:r>
      </w:hyperlink>
      <w:r>
        <w:t xml:space="preserve">. The aperture coefficient is imprecise precisely because the historical record never varied aperture while holding the matched system fixed.</w:t>
      </w:r>
    </w:p>
    <w:p>
      <w:pPr>
        <w:pStyle w:val="BodyText"/>
        <w:spacing w:line="480" w:lineRule="auto"/>
        <w:ind w:firstLine="720"/>
      </w:pPr>
      <w:r>
        <w:t xml:space="preserve">The policy inference for the frontier is direct and is carried forward to the synthesis: in the recent era, the marginal mission-level data gains have come from migrating to Ka-band and from more capable spacecraft transmitters operating on the 34 m subnet, not from the 70 m aperture. The capacity blade of the scissors, read on its own, gives no empirical mandate for concentrating capital in ever-larger single dishes. The parametric-cost literature’s caution that log-linear performance scalings carry wide uncertainty bands once real program data enter the fit is borne out exactly here, in the 1.441 standard error on the aperture term</w:t>
      </w:r>
      <w:r>
        <w:t xml:space="preserve"> </w:t>
      </w:r>
      <w:hyperlink w:anchor="ref-6">
        <w:r>
          <w:rPr>
            <w:rStyle w:val="Hyperlink"/>
          </w:rPr>
          <w:t xml:space="preserve">[6]</w:t>
        </w:r>
      </w:hyperlink>
      <w:r>
        <w:t xml:space="preserve">.</w:t>
      </w:r>
    </w:p>
    <w:bookmarkEnd w:id="123"/>
    <w:bookmarkEnd w:id="124"/>
    <w:bookmarkStart w:id="128" w:name="Xe9ea6607594346f22c742e66376abaf86d6ccae"/>
    <w:p>
      <w:pPr>
        <w:pStyle w:val="Heading2"/>
        <w:spacing w:line="480" w:lineRule="auto"/>
      </w:pPr>
      <w:r>
        <w:t xml:space="preserve">6.2 The Cost Margin: Aperture Cost-Scaling Elasticity</w:t>
      </w:r>
    </w:p>
    <w:bookmarkStart w:id="125" w:name="overall-fit-and-the-estimated-elasticity"/>
    <w:p>
      <w:pPr>
        <w:pStyle w:val="Heading3"/>
        <w:spacing w:line="480" w:lineRule="auto"/>
      </w:pPr>
      <w:r>
        <w:t xml:space="preserve">6.2.1 Overall fit and the estimated elasticity</w:t>
      </w:r>
    </w:p>
    <w:p>
      <w:pPr>
        <w:pStyle w:val="FirstParagraph"/>
        <w:spacing w:line="480" w:lineRule="auto"/>
      </w:pPr>
      <w:r>
        <w:t xml:space="preserve">The second study estimates the price curve of aperture. The surprise waits in the slope. It is a log-log ordinary least squares regression of antenna construction cost in constant 2020 US dollars on aperture diameter in meters, estimated with HC1 robust standard errors on a hand-compiled panel of fifteen large ground antennas and radio telescopes spanning 1957 to 2018 and twelve countries. The fitted elasticity of construction cost with respect to aperture diameter is 0.999, with a robust standard error of 0.188 and a p-value below 0.001. Three features of this estimate deserve emphasis. First, it is precise: the standard error of 0.188 is small relative to the coefficient, and the slope is significant at well beyond the one-tenth-of-one-percent level. Second, the value itself is the surprise: the realized cost-aperture elasticity is essentially exactly one, not the 2.4 to 2.7 that the single-dish structural mechanics literature predicts for a steerable reflector that must hold its surface against gravity and wind</w:t>
      </w:r>
      <w:r>
        <w:t xml:space="preserve"> </w:t>
      </w:r>
      <w:hyperlink w:anchor="ref-15">
        <w:r>
          <w:rPr>
            <w:rStyle w:val="Hyperlink"/>
          </w:rPr>
          <w:t xml:space="preserve">[15]</w:t>
        </w:r>
      </w:hyperlink>
      <w:r>
        <w:t xml:space="preserve">. Third, the model fits well for a cross-section of this heterogeneity: the regression explains 63.4 percent of the variance in log cost across the fifteen facilities, a respectable figure given that the sample deliberately mixes six decades, four currencies, monolithic dishes, and per-element array costs.</w:t>
      </w:r>
    </w:p>
    <w:p>
      <w:pPr>
        <w:pStyle w:val="BodyText"/>
        <w:spacing w:line="480" w:lineRule="auto"/>
        <w:ind w:firstLine="720"/>
      </w:pPr>
      <w:r>
        <w:t xml:space="preserve">The ninety-five percent confidence interval on the elasticity, constructed from the point estimate of 0.999 and the robust standard error of 0.188, runs from approximately 0.631 to 1.368. This interval is the analytical heart of the second study, and it resolves the hypothesis test cleanly. The interval comfortably includes unity, and it decisively excludes the structural benchmark near 2.5. The literature value for the single-dish mechanical cost law lies well outside the upper bound of 1.368, by a wide margin. The data therefore reject, at the conventional level, the proposition that the realized cost-aperture relationship follows the near-cubic diseconomy of diameter.</w:t>
      </w:r>
    </w:p>
    <w:bookmarkEnd w:id="125"/>
    <w:bookmarkStart w:id="126" w:name="the-intercept-and-the-progress-factor"/>
    <w:p>
      <w:pPr>
        <w:pStyle w:val="Heading3"/>
        <w:spacing w:line="480" w:lineRule="auto"/>
      </w:pPr>
      <w:r>
        <w:t xml:space="preserve">6.2.2 The intercept and the progress factor</w:t>
      </w:r>
    </w:p>
    <w:p>
      <w:pPr>
        <w:pStyle w:val="FirstParagraph"/>
        <w:spacing w:line="480" w:lineRule="auto"/>
      </w:pPr>
      <w:r>
        <w:t xml:space="preserve">The intercept is -0.410 with a standard error of 0.791 and a p-value of 0.604. It is statistically indistinguishable from zero and of no substantive interest on its own; in a constant-elasticity cost specification the intercept fixes the cost level at unit diameter under the chosen units and currency base, and carries no independent economic meaning once the slope is in hand. Reporting it is a matter of completeness rather than of inference.</w:t>
      </w:r>
    </w:p>
    <w:p>
      <w:pPr>
        <w:pStyle w:val="BodyText"/>
        <w:spacing w:line="480" w:lineRule="auto"/>
        <w:ind w:firstLine="720"/>
      </w:pPr>
      <w:r>
        <w:t xml:space="preserve">The substantive content of the slope is most cleanly read through the implied progress factor, which is two raised to the estimated elasticity, the multiplicative cost factor per doubling of diameter. Two raised to 0.999 is 1.999. Across the realized population, in other words, a doubling of aperture diameter is associated with almost exactly a doubling of construction cost, not the four-to-six-fold increase that a near-cubic structural law would impose on a doubling of diameter. Cost rises in lockstep with diameter rather than with diameter cubed. This is the single number a planner uses directly when comparing one large dish against two of half the diameter: at an elasticity of one, the two half-diameter dishes cost essentially the same in aggregate as the one full-diameter dish, so there is no capital penalty, on these data, for choosing replication over concentration.</w:t>
      </w:r>
    </w:p>
    <w:bookmarkEnd w:id="126"/>
    <w:bookmarkStart w:id="127" w:name="interpretation-of-the-cost-result"/>
    <w:p>
      <w:pPr>
        <w:pStyle w:val="Heading3"/>
        <w:spacing w:line="480" w:lineRule="auto"/>
      </w:pPr>
      <w:r>
        <w:t xml:space="preserve">6.2.3 Interpretation of the cost result</w:t>
      </w:r>
    </w:p>
    <w:p>
      <w:pPr>
        <w:pStyle w:val="FirstParagraph"/>
        <w:spacing w:line="480" w:lineRule="auto"/>
      </w:pPr>
      <w:r>
        <w:t xml:space="preserve">The second study’s stated hypothesis was that the diseconomy of diameter dominates the realized record, so that the elasticity would exceed one decisively with a confidence interval bracketing the literature value near 2.5. That hypothesis is rejected, and the rejection is the informative finding rather than a disappointment. The rejection does not contradict the structural cost law at the level of an individual steerable dish; the mechanics that make a single giant reflector progressively unaffordable are real and are not challenged by these data. What the pooled elasticity of one reveals is that the population of antennas humanity has actually built is not a population of pure monolithic giants. The small-aperture end of the realized distribution is densely occupied by cheap, replicated array elements, the per-element costs of the Very Large Array, Westerbork, MeerKAT, and ALMA, which sit at prices far below what the single-dish law would predict at their size. Those elements anchor the low-diameter corner of the cost curve and flatten the pooled slope from near-cubic toward linear. The elasticity of one is, in this reading, the empirical fingerprint of the arraying response already at work in the historical record, exactly the architecture the DSN arraying studies advocated across three decades of cost-and-reliability and array-concept work</w:t>
      </w:r>
      <w:r>
        <w:t xml:space="preserve"> </w:t>
      </w:r>
      <w:hyperlink w:anchor="ref-16">
        <w:r>
          <w:rPr>
            <w:rStyle w:val="Hyperlink"/>
          </w:rPr>
          <w:t xml:space="preserve">[16]</w:t>
        </w:r>
      </w:hyperlink>
      <w:r>
        <w:t xml:space="preserve">[18][19].</w:t>
      </w:r>
    </w:p>
    <w:p>
      <w:pPr>
        <w:pStyle w:val="BodyText"/>
        <w:spacing w:line="480" w:lineRule="auto"/>
        <w:ind w:firstLine="720"/>
      </w:pPr>
      <w:r>
        <w:t xml:space="preserve">The robustness of this conclusion is, if anything, understated by the point estimate. The per-element array costs used in the panel are documented divisions of total program cost by antenna count, and they therefore fold in shared infrastructure that a strict marginal-cost accounting would strip out. The true marginal cost of an additional array element is likely below the figures used here, which would push the realized elasticity even lower and strengthen, not weaken, the conclusion. The headline stands on the estimated numbers: a realized cost-aperture elasticity of 0.999 with a confidence interval of 0.631 to 1.368, a near-perfect doubling of cost per doubling of diameter, and a flat rejection of the near-cubic diseconomy at the population level.</w:t>
      </w:r>
    </w:p>
    <w:bookmarkEnd w:id="127"/>
    <w:bookmarkEnd w:id="128"/>
    <w:bookmarkStart w:id="133" w:name="X6ed1aa04815d5d03e1f26c1599ac22b322d6148"/>
    <w:p>
      <w:pPr>
        <w:pStyle w:val="Heading2"/>
        <w:spacing w:line="480" w:lineRule="auto"/>
      </w:pPr>
      <w:r>
        <w:t xml:space="preserve">6.3 Synthesis: Reading the Two Margins Against the Frontier</w:t>
      </w:r>
    </w:p>
    <w:bookmarkStart w:id="129" w:name="the-two-elasticities-side-by-side"/>
    <w:p>
      <w:pPr>
        <w:pStyle w:val="Heading3"/>
        <w:spacing w:line="480" w:lineRule="auto"/>
      </w:pPr>
      <w:r>
        <w:t xml:space="preserve">6.3.1 The two elasticities side by side</w:t>
      </w:r>
    </w:p>
    <w:p>
      <w:pPr>
        <w:pStyle w:val="FirstParagraph"/>
        <w:spacing w:line="480" w:lineRule="auto"/>
      </w:pPr>
      <w:r>
        <w:t xml:space="preserve">The two studies estimate the two quantities that the dissertation’s cost-per-bit objective requires, and they are reported here on a common footing for the first time. On the capacity side, the partial elasticity of downlink rate with respect to aperture is -1.198 with a robust standard error of 1.441 and a p-value of 0.406, a coefficient that is statistically indistinguishable from zero and cannot even be signed. On the cost side, the elasticity of construction cost with respect to aperture is 0.999 with a robust standard error of 0.188 and a p-value below 0.001, a coefficient estimated with precision and essentially exactly one. The asymmetry in precision between the two is itself a finding. The cost relationship is sharp because the realized population of antennas spans nearly two orders of magnitude in diameter and six in cost, supplying ample identifying variation. The capacity relationship is diffuse because the realized DSN record never varied aperture independently of mission vintage, transmit power, and band, leaving the partial aperture effect under-identified. The dissertation’s frontier therefore rests on one well-estimated blade and one deliberately honest, imprecisely estimated blade, and the integrating argument is built to respect that asymmetry rather than to paper over it.</w:t>
      </w:r>
    </w:p>
    <w:bookmarkEnd w:id="129"/>
    <w:bookmarkStart w:id="130" w:name="X6e1d79f5d31ab94a7ff8e0beb41a5475911a624"/>
    <w:p>
      <w:pPr>
        <w:pStyle w:val="Heading3"/>
        <w:spacing w:line="480" w:lineRule="auto"/>
      </w:pPr>
      <w:r>
        <w:t xml:space="preserve">6.3.2 What the joint result says about the aperture-cadence tradeoff</w:t>
      </w:r>
    </w:p>
    <w:p>
      <w:pPr>
        <w:pStyle w:val="FirstParagraph"/>
        <w:spacing w:line="480" w:lineRule="auto"/>
      </w:pPr>
      <w:r>
        <w:t xml:space="preserve">The two results point in the same strategic direction, and they do so through different mechanisms. The capacity study finds no detectable empirical mandate for concentrating capital in larger single dishes: in the documented record the data-return gains accrue to transmit power, with an elasticity of 1.562 and a p-value of 0.005, and to Ka-band, with a level shift of 3.094 and a p-value of 0.021 implying roughly a twenty-two-fold rate increase, while aperture’s independent contribution cannot be distinguished from zero. The cost study finds no capital penalty for spreading a fixed budget across many smaller apertures: at a realized cost-aperture elasticity of essentially one, cost rises only linearly with diameter, so two half-diameter dishes cost about what one full-diameter dish costs. The capacity blade is silent on the case for large dishes; the cost blade is neutral to cadence at worst and favorable to it once the offsetting advantages of arraying, graceful degradation when an element fails, incremental capacity growth matched to the cadence of new missions, and the manufacturing learning that replication enables, are priced in</w:t>
      </w:r>
      <w:r>
        <w:t xml:space="preserve"> </w:t>
      </w:r>
      <w:hyperlink w:anchor="ref-16">
        <w:r>
          <w:rPr>
            <w:rStyle w:val="Hyperlink"/>
          </w:rPr>
          <w:t xml:space="preserve">[16]</w:t>
        </w:r>
      </w:hyperlink>
      <w:r>
        <w:t xml:space="preserve">[19]. Neither blade, on the realized evidence, argues for concentration. The direction is one. Together they constitute permission, on both capacity and cost grounds, to choose cadence.</w:t>
      </w:r>
    </w:p>
    <w:bookmarkEnd w:id="130"/>
    <w:bookmarkStart w:id="131" w:name="Xb1722b44c1ee8b2a7ed205ea84b63736db1fddb"/>
    <w:p>
      <w:pPr>
        <w:pStyle w:val="Heading3"/>
        <w:spacing w:line="480" w:lineRule="auto"/>
      </w:pPr>
      <w:r>
        <w:t xml:space="preserve">6.3.3 Relation to the dissertation’s falsifiable claim</w:t>
      </w:r>
    </w:p>
    <w:p>
      <w:pPr>
        <w:pStyle w:val="FirstParagraph"/>
        <w:spacing w:line="480" w:lineRule="auto"/>
      </w:pPr>
      <w:r>
        <w:t xml:space="preserve">The prospectus advanced a single falsifiable claim about the shape of the cost-effectiveness frontier: that across the relevant budget range the marginal cost per delivered bit is not equal across the aperture and cadence margins, so that the frontier-optimal plan is interior rather than a corner solution. The two studies in this chapter supply the two ingredients of that marginal cost per bit, the cost response to aperture and the delivered-rate response to aperture, but they also qualify the claim in an important way. The cost numerator is secure: aperture cost scales linearly, with elasticity 0.999. The capacity denominator is, on the realized DSN record, statistically indistinguishable from zero, with the aperture coefficient at -1.198 carrying a 1.441 standard error and a confidence interval from -4.02 to 1.63. A marginal cost per delivered bit on the aperture margin computed from these two estimates therefore has a well-determined numerator and a denominator that the data cannot bound away from zero. The practical consequence is that the aperture margin’s cost-per-bit is, on this evidence, not the dominant lever; the delivered-rate gains are flowing through transmit power and band, not dish size. This does not by itself confirm the interior-solution structure of H1, which requires the cadence margin’s own cost-per-bit to be estimated and the sign of the difference to reverse across the budget range; that estimation is the work of the dissertation’s integrating chapter, which carries the cadence blade. What this chapter establishes is the empirical precondition for that argument: aperture is neither the cheap capacity lever the naive claim assumes nor the prohibitively expensive one the structural cost law assumes. It is a lever whose cost scales linearly and whose independent capacity payoff, in the realized record, cannot be detected at all.</w:t>
      </w:r>
    </w:p>
    <w:bookmarkEnd w:id="131"/>
    <w:bookmarkStart w:id="132" w:name="bounds-on-the-findings"/>
    <w:p>
      <w:pPr>
        <w:pStyle w:val="Heading3"/>
        <w:spacing w:line="480" w:lineRule="auto"/>
      </w:pPr>
      <w:r>
        <w:t xml:space="preserve">6.3.4 Bounds on the findings</w:t>
      </w:r>
    </w:p>
    <w:p>
      <w:pPr>
        <w:pStyle w:val="FirstParagraph"/>
        <w:spacing w:line="480" w:lineRule="auto"/>
      </w:pPr>
      <w:r>
        <w:t xml:space="preserve">Three bounds qualify the capacity result and three qualify the cost result, and they are stated plainly so that the synthesis is not over-read. On the capacity side, the cross-section conflates eras, so that aperture and mission vintage are collinear in the real DSN record, which is the proximate reason the partial aperture effect is imprecisely estimated and is why a within-band or within-era panel is the natural next design; peak documented rate is a ceiling rather than a delivered-volume measure, so the analysis speaks to instantaneous capability rather than to the cadence-driven total return that the broader frontier requires; and four illustrative rows, held under fifteen percent of the sample and matched to antenna-class specifications, inject modest measurement noise. On the cost side, the sample of fifteen facilities is small and heterogeneous, sufficient to separate an elasticity of one from an elasticity of 2.5 with confidence but not to resolve finer structure such as a vintage trend or a band-dependent premium; the per-element array costs fold in shared infrastructure that a strict marginal-cost accounting would strip out, biasing the estimated elasticity upward and so making the linear-cost finding conservative; and the cost variable captures capital outlay only, silent on the operations and signal-correlation costs that arrays incur to combine many apertures, a real expense the single-dish architecture avoids and that a complete cost-per-bit objective must carry. These bounds do not overturn the two headline estimates. They locate them: a linear cost law estimated with precision, and a capacity payoff to aperture that the realized record cannot detect once the matched system is held fixed. The integrating chapter takes these two numbers, adds the cadence margin and the operations cost the arrays incur, and closes the scissors into the single cost-per-delivered-bit objective that the frontier requires.</w:t>
      </w:r>
    </w:p>
    <w:bookmarkEnd w:id="132"/>
    <w:bookmarkEnd w:id="133"/>
    <w:bookmarkEnd w:id="134"/>
    <w:bookmarkStart w:id="142" w:name="X21322cb5e29cbf4eb576afddcad42f86ace4e0d"/>
    <w:p>
      <w:pPr>
        <w:pStyle w:val="Heading1"/>
        <w:spacing w:line="480" w:lineRule="auto"/>
      </w:pPr>
      <w:r>
        <w:t xml:space="preserve">Chapter 7. Discussion and Governance Implications</w:t>
      </w:r>
    </w:p>
    <w:bookmarkStart w:id="135" w:name="what-the-two-estimates-mean-together"/>
    <w:p>
      <w:pPr>
        <w:pStyle w:val="Heading2"/>
        <w:spacing w:line="480" w:lineRule="auto"/>
      </w:pPr>
      <w:r>
        <w:t xml:space="preserve">7.1 What the Two Estimates Mean Together</w:t>
      </w:r>
    </w:p>
    <w:p>
      <w:pPr>
        <w:pStyle w:val="FirstParagraph"/>
        <w:spacing w:line="480" w:lineRule="auto"/>
      </w:pPr>
      <w:r>
        <w:t xml:space="preserve">The dissertation set out to price the aperture and cadence margins against a common budget constraint and to test a single falsifiable claim: that the marginal cost per delivered bit is not equal across the two margins, so a frontier-optimal capacity plan is interior rather than a corner solution. The two empirical chapters that precede this one attack the two blades of that scissors separately, and read together they yield a conclusion sharper than either delivers alone.</w:t>
      </w:r>
    </w:p>
    <w:p>
      <w:pPr>
        <w:pStyle w:val="BodyText"/>
        <w:spacing w:line="480" w:lineRule="auto"/>
        <w:ind w:firstLine="720"/>
      </w:pPr>
      <w:r>
        <w:t xml:space="preserve">The capacity blade establishes that ground-antenna aperture, once spacecraft Earth distance, onboard transmit power, and frequency band are conditioned out, carries no statistically detectable independent association with achieved downlink rate in the documented mission record. The estimated aperture elasticity is negative at -1.198 with a robust standard error of 1.441, a confidence interval running from -4.02 to 1.63 that cannot even sign the partial effect, and a p-value of 0.406 that fails to reject a coefficient of zero. The levers that do register are transmit power, with an elasticity of 1.562 and a confidence interval from 0.48 to 2.64 that excludes zero, and the Ka-band indicator, which adds 3.094 to log downlink rate and implies roughly a twenty-twofold rate increase from a band migration alone. This is not a refutation of the link-budget physics, under which aperture gain is real and monotone with the square of diameter. It is a statement about composition: in the realized DSN record the largest dishes are occupied by the oldest, lowest-power, lowest-band outer-planet missions, and the modern data gains have come from migrating to Ka-band on the 34 m subnet and from more capable spacecraft transmitters, not from the 70 m aperture</w:t>
      </w:r>
      <w:r>
        <w:t xml:space="preserve"> </w:t>
      </w:r>
      <w:hyperlink w:anchor="ref-5">
        <w:r>
          <w:rPr>
            <w:rStyle w:val="Hyperlink"/>
          </w:rPr>
          <w:t xml:space="preserve">[5]</w:t>
        </w:r>
      </w:hyperlink>
      <w:r>
        <w:t xml:space="preserve">[9].</w:t>
      </w:r>
    </w:p>
    <w:p>
      <w:pPr>
        <w:pStyle w:val="BodyText"/>
        <w:spacing w:line="480" w:lineRule="auto"/>
        <w:ind w:firstLine="720"/>
      </w:pPr>
      <w:r>
        <w:t xml:space="preserve">The cost blade establishes that the realized cost-aperture elasticity is 0.999, with a robust standard error of 0.188 and a confidence interval from 0.631 to 1.368 that comfortably includes unity and decisively excludes the structural benchmark near 2.5 that the radio-astronomy mechanical-cost law would predict</w:t>
      </w:r>
      <w:r>
        <w:t xml:space="preserve"> </w:t>
      </w:r>
      <w:hyperlink w:anchor="ref-15">
        <w:r>
          <w:rPr>
            <w:rStyle w:val="Hyperlink"/>
          </w:rPr>
          <w:t xml:space="preserve">[15]</w:t>
        </w:r>
      </w:hyperlink>
      <w:r>
        <w:t xml:space="preserve">. A doubling of aperture diameter across the achievable menu is associated with almost exactly a doubling of cost, not the four-to-six-fold increase the near-cubic diseconomy of diameter would impose on a single steerable dish. The reading is that the population of antennas humanity has actually built already embeds the arraying response: the small-aperture end of the cost curve is densely occupied by cheap, replicated array elements of the kind the DSN arraying studies advocated</w:t>
      </w:r>
      <w:r>
        <w:t xml:space="preserve"> </w:t>
      </w:r>
      <w:hyperlink w:anchor="ref-16">
        <w:r>
          <w:rPr>
            <w:rStyle w:val="Hyperlink"/>
          </w:rPr>
          <w:t xml:space="preserve">[16]</w:t>
        </w:r>
      </w:hyperlink>
      <w:r>
        <w:t xml:space="preserve">[17][19], and those elements anchor the low-diameter corner at prices far below the single-dish law, flattening the realized slope from near-cubic toward linear.</w:t>
      </w:r>
    </w:p>
    <w:p>
      <w:pPr>
        <w:pStyle w:val="BodyText"/>
        <w:spacing w:line="480" w:lineRule="auto"/>
        <w:ind w:firstLine="720"/>
      </w:pPr>
      <w:r>
        <w:t xml:space="preserve">Placed on a single cost-per-delivered-bit axis, the two findings converge. They tell one story. On the capacity side, aperture is not the binding lever; band and transmit power are. On the cost side, aperture carries no capital penalty for being spread thin, because cost rises only linearly with diameter across the realized menu. Neither blade argues for concentrating a fixed budget in a small number of very large apertures. Both, read in the frame the prospectus established, point toward the cadence margin: toward more contacts, more geographically distributed and arrayed apertures, tighter scheduling, and band-and-transmitter matching rather than raw dish size</w:t>
      </w:r>
      <w:r>
        <w:t xml:space="preserve"> </w:t>
      </w:r>
      <w:hyperlink w:anchor="ref-16">
        <w:r>
          <w:rPr>
            <w:rStyle w:val="Hyperlink"/>
          </w:rPr>
          <w:t xml:space="preserve">[16]</w:t>
        </w:r>
      </w:hyperlink>
      <w:r>
        <w:t xml:space="preserve">[19][33]. The interior-optimum hypothesis is supported in its weaker and more defensible form. The capacity-expansion problem does have interior structure, and the structure tilts the cost-effective allocation away from the aperture corner that DSN capacity studies have historically treated as the default.</w:t>
      </w:r>
    </w:p>
    <w:bookmarkEnd w:id="135"/>
    <w:bookmarkStart w:id="136"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NASA program management the most consequential implication is that the headline justification for large-aperture ground investment, that a bigger dish buys proportionally more data, does not survive a conditional estimate on the documented record. This matters because ground-segment operating cost is a recognized and material component of space-system expenditure that headline economic forecasts of the sector frequently exclude or under-resolve</w:t>
      </w:r>
      <w:r>
        <w:t xml:space="preserve"> </w:t>
      </w:r>
      <w:hyperlink w:anchor="ref-1">
        <w:r>
          <w:rPr>
            <w:rStyle w:val="Hyperlink"/>
          </w:rPr>
          <w:t xml:space="preserve">[1]</w:t>
        </w:r>
      </w:hyperlink>
      <w:r>
        <w:t xml:space="preserve">[7], and because the capital cost structure of space infrastructure follows steep, nonlinear curves that make corner solutions expensive to reverse once committed</w:t>
      </w:r>
      <w:r>
        <w:t xml:space="preserve"> </w:t>
      </w:r>
      <w:hyperlink w:anchor="ref-2">
        <w:r>
          <w:rPr>
            <w:rStyle w:val="Hyperlink"/>
          </w:rPr>
          <w:t xml:space="preserve">[2]</w:t>
        </w:r>
      </w:hyperlink>
      <w:r>
        <w:t xml:space="preserve">. A network that funds aperture to exhaustion before touching cadence locks in a suboptimal cost-per-bit for the asset’s service life. The estimates here give a program office an empirical basis to resist that default rather than an anecdote.</w:t>
      </w:r>
    </w:p>
    <w:p>
      <w:pPr>
        <w:pStyle w:val="BodyText"/>
        <w:spacing w:line="480" w:lineRule="auto"/>
        <w:ind w:firstLine="720"/>
      </w:pPr>
      <w:r>
        <w:t xml:space="preserve">The practical management consequence is a reordering of the capacity-expansion decision tree. The first question a program office confronting a downlink shortfall should ask is no longer</w:t>
      </w:r>
      <w:r>
        <w:t xml:space="preserve"> </w:t>
      </w:r>
      <w:r>
        <w:t xml:space="preserve">“how much larger an aperture can the budget buy,”</w:t>
      </w:r>
      <w:r>
        <w:t xml:space="preserve"> </w:t>
      </w:r>
      <w:r>
        <w:t xml:space="preserve">but</w:t>
      </w:r>
      <w:r>
        <w:t xml:space="preserve"> </w:t>
      </w:r>
      <w:r>
        <w:t xml:space="preserve">“is the shortfall on the mission side or the network side.”</w:t>
      </w:r>
      <w:r>
        <w:t xml:space="preserve"> </w:t>
      </w:r>
      <w:r>
        <w:t xml:space="preserve">Where the binding constraint is a single mission’s instantaneous capability, the conditional estimate says the highest-return interventions are band migration and transmitter capability, both of which sit on the spacecraft rather than on the ground</w:t>
      </w:r>
      <w:r>
        <w:t xml:space="preserve"> </w:t>
      </w:r>
      <w:hyperlink w:anchor="ref-5">
        <w:r>
          <w:rPr>
            <w:rStyle w:val="Hyperlink"/>
          </w:rPr>
          <w:t xml:space="preserve">[5]</w:t>
        </w:r>
      </w:hyperlink>
      <w:r>
        <w:t xml:space="preserve">[8][14]. A program that specifies a Ka-band downlink and a capable transmitter at the spacecraft design phase captures the twenty-twofold band effect and the power elasticity that the regression isolates, and it does so without committing the network to a fixed ground asset at all. This is a direct argument for pushing telecommunications capability decisions upstream into mission formulation, where they are cheap to make, and against deferring them to a ground-segment capital program, where they are expensive and slow.</w:t>
      </w:r>
    </w:p>
    <w:p>
      <w:pPr>
        <w:pStyle w:val="BodyText"/>
        <w:spacing w:line="480" w:lineRule="auto"/>
        <w:ind w:firstLine="720"/>
      </w:pPr>
      <w:r>
        <w:t xml:space="preserve">Where the binding constraint is network-side, the volume of aggregate contact opportunity across a growing flight manifest, the cost blade gives program management permission to expand at cadence without a capital penalty. Because cost rises linearly with diameter, a fixed expansion budget buys the same aggregate collecting area whether it is concentrated in one giant or distributed across many modest apertures, and the distributed configuration carries offsetting advantages that the cost variable alone does not price: graceful degradation when one element fails, incremental capacity growth that can be phased to match the cadence of new missions rather than arriving in one expensive and irreversible step, and the manufacturing learning that replication of a standard element makes possible</w:t>
      </w:r>
      <w:r>
        <w:t xml:space="preserve"> </w:t>
      </w:r>
      <w:hyperlink w:anchor="ref-16">
        <w:r>
          <w:rPr>
            <w:rStyle w:val="Hyperlink"/>
          </w:rPr>
          <w:t xml:space="preserve">[16]</w:t>
        </w:r>
      </w:hyperlink>
      <w:r>
        <w:t xml:space="preserve">[19][20]. For a program manager working under annual appropriations and a manifest that grows mission by mission, the ability to phase capacity in increments that track demand is not a secondary convenience. It is the difference between a capital plan that can be adjusted as the manifest evolves and one that bets a decade of budget on a single procurement whose sizing was fixed before the missions it serves were approved.</w:t>
      </w:r>
    </w:p>
    <w:p>
      <w:pPr>
        <w:pStyle w:val="BodyText"/>
        <w:spacing w:line="480" w:lineRule="auto"/>
        <w:ind w:firstLine="720"/>
      </w:pPr>
      <w:r>
        <w:t xml:space="preserve">A third management implication concerns how the agency estimates and reviews ground-segment cost. The blind-validation work on the SEER-H parametric estimator shows that log-linear scaling relationships, while useful, carry wide uncertainty bands once real program data enter the fit</w:t>
      </w:r>
      <w:r>
        <w:t xml:space="preserve"> </w:t>
      </w:r>
      <w:hyperlink w:anchor="ref-6">
        <w:r>
          <w:rPr>
            <w:rStyle w:val="Hyperlink"/>
          </w:rPr>
          <w:t xml:space="preserve">[6]</w:t>
        </w:r>
      </w:hyperlink>
      <w:r>
        <w:t xml:space="preserve">, and the aperture estimate in this dissertation is a concrete instance of that caution: a relationship that the link budget treats as tight and monotone dissolves into statistical insignificance once the confounders are conditioned out. Program review boards that rely on parametric aperture-to-capability scaling to justify ground investment should treat those parametrics as priors to be tested against the realized record, not as settled engineering facts. The decision instrument this dissertation offers, a transparent and replicable cost-per-delivered-bit frontier built from public-domain data, is intended to be exactly that test, and its replicability on public NASA and JPL sources</w:t>
      </w:r>
      <w:r>
        <w:t xml:space="preserve"> </w:t>
      </w:r>
      <w:hyperlink w:anchor="ref-5">
        <w:r>
          <w:rPr>
            <w:rStyle w:val="Hyperlink"/>
          </w:rPr>
          <w:t xml:space="preserve">[5]</w:t>
        </w:r>
      </w:hyperlink>
      <w:r>
        <w:t xml:space="preserve">[9][13] means a review board can reproduce it rather than accept it on authority.</w:t>
      </w:r>
    </w:p>
    <w:bookmarkEnd w:id="136"/>
    <w:bookmarkStart w:id="137" w:name="implications-for-jpl-decision-making"/>
    <w:p>
      <w:pPr>
        <w:pStyle w:val="Heading2"/>
        <w:spacing w:line="480" w:lineRule="auto"/>
      </w:pPr>
      <w:r>
        <w:t xml:space="preserve">7.3 Implications for JPL Decision-Making</w:t>
      </w:r>
    </w:p>
    <w:p>
      <w:pPr>
        <w:pStyle w:val="FirstParagraph"/>
        <w:spacing w:line="480" w:lineRule="auto"/>
      </w:pPr>
      <w:r>
        <w:t xml:space="preserve">For JPL, which operates the Deep Space Network and authors the design and cost documentation on which this analysis rests, the implications are more specific and more operational. The institution’s own arraying studies anticipated the cost finding three decades ago: the cost-and-reliability analyses of large arrays of small reflector antennas, the array-based receive and uplink concepts, and the lower-cost-architecture design goal for future DSN capacity all argued that an array of small mass-produced dishes can deliver the sensitivity of a single giant while breaking the structural cost law</w:t>
      </w:r>
      <w:r>
        <w:t xml:space="preserve"> </w:t>
      </w:r>
      <w:hyperlink w:anchor="ref-16">
        <w:r>
          <w:rPr>
            <w:rStyle w:val="Hyperlink"/>
          </w:rPr>
          <w:t xml:space="preserve">[16]</w:t>
        </w:r>
      </w:hyperlink>
      <w:r>
        <w:t xml:space="preserve">[17][18][19][20][21]. The elasticity of one estimated here is the empirical confirmation, in the realized population, that this argument was correct. JPL’s institutional position should be that the arraying case is no longer a forward-looking proposal to be evaluated against the monolithic default; it is the architecture the global procurement record already validates, and the burden of justification now falls on proposals to build large single apertures, not on proposals to array.</w:t>
      </w:r>
    </w:p>
    <w:p>
      <w:pPr>
        <w:pStyle w:val="BodyText"/>
        <w:spacing w:line="480" w:lineRule="auto"/>
        <w:ind w:firstLine="720"/>
      </w:pPr>
      <w:r>
        <w:t xml:space="preserve">The DSN Aperture Enhancement Project provides a useful internal reference point. Its calibration and performance work demonstrated that aperture-side capability on the existing subnet can be enhanced and measured against documented standards</w:t>
      </w:r>
      <w:r>
        <w:t xml:space="preserve"> </w:t>
      </w:r>
      <w:hyperlink w:anchor="ref-33">
        <w:r>
          <w:rPr>
            <w:rStyle w:val="Hyperlink"/>
          </w:rPr>
          <w:t xml:space="preserve">[33]</w:t>
        </w:r>
      </w:hyperlink>
      <w:r>
        <w:t xml:space="preserve">, which is consistent with this dissertation’s finding that the productive modern margin runs through the 34 m subnet and band capability rather than through new large dishes. JPL’s capacity roadmap can read the two findings as mutually reinforcing: enhance and array the existing modest-aperture subnet, match it to Ka-band and capable transmitters at the mission interface, and treat new large-aperture construction as the exception requiring affirmative justification on the narrow configurations where aperture is not confounded with low-power legacy missions, namely future high-power Ka-band users at long range.</w:t>
      </w:r>
    </w:p>
    <w:p>
      <w:pPr>
        <w:pStyle w:val="BodyText"/>
        <w:spacing w:line="480" w:lineRule="auto"/>
        <w:ind w:firstLine="720"/>
      </w:pPr>
      <w:r>
        <w:t xml:space="preserve">Three operational levers follow directly, and none of them requires a new dish. First, scheduling intensity. The cadence margin includes not only new sites and arrayed apertures but the tightening of scheduling so existing apertures sit idle for fewer hours, and reinforcement-learning approaches to delay-tolerant scheduling of deep-space links are an active and promising line of work</w:t>
      </w:r>
      <w:r>
        <w:t xml:space="preserve"> </w:t>
      </w:r>
      <w:hyperlink w:anchor="ref-28">
        <w:r>
          <w:rPr>
            <w:rStyle w:val="Hyperlink"/>
          </w:rPr>
          <w:t xml:space="preserve">[28]</w:t>
        </w:r>
      </w:hyperlink>
      <w:r>
        <w:t xml:space="preserve">. JPL can extract cadence-margin returns from the installed base before spending any capital, simply by raising the utilization of apertures it already owns, and the cost-per-delivered-bit frontier developed here gives it a metric against which to value that scheduling improvement. Second, relay topology. The companion question of how relay network topology shapes Earth-Mars communications has been studied and shows that delivered volume is sensitive to architecture choices that are independent of ground-aperture size</w:t>
      </w:r>
      <w:r>
        <w:t xml:space="preserve"> </w:t>
      </w:r>
      <w:hyperlink w:anchor="ref-36">
        <w:r>
          <w:rPr>
            <w:rStyle w:val="Hyperlink"/>
          </w:rPr>
          <w:t xml:space="preserve">[36]</w:t>
        </w:r>
      </w:hyperlink>
      <w:r>
        <w:t xml:space="preserve">, which reinforces the dissertation’s claim that delivered data volume, not instantaneous peak rate, is the outcome that capacity planning should optimize. Third, optical augmentation. The optical ground-station work that motivated the prospectus demonstrates that adaptive-optics-corrected apertures can sustain a deep-space optical downlink at high photon efficiency</w:t>
      </w:r>
      <w:r>
        <w:t xml:space="preserve"> </w:t>
      </w:r>
      <w:hyperlink w:anchor="ref-3">
        <w:r>
          <w:rPr>
            <w:rStyle w:val="Hyperlink"/>
          </w:rPr>
          <w:t xml:space="preserve">[3]</w:t>
        </w:r>
      </w:hyperlink>
      <w:r>
        <w:t xml:space="preserve">, and on-board processing that reduces the required downlink data rate substitutes payload computation for ground capacity</w:t>
      </w:r>
      <w:r>
        <w:t xml:space="preserve"> </w:t>
      </w:r>
      <w:hyperlink w:anchor="ref-4">
        <w:r>
          <w:rPr>
            <w:rStyle w:val="Hyperlink"/>
          </w:rPr>
          <w:t xml:space="preserve">[4]</w:t>
        </w:r>
      </w:hyperlink>
      <w:r>
        <w:t xml:space="preserve">. For JPL these are reminders that the aperture-cadence frontier is embedded in a larger design space, and that the on-board-processing lever held fixed as a control in this analysis is itself a capacity margin that a full institutional strategy must price explicitly.</w:t>
      </w:r>
    </w:p>
    <w:bookmarkEnd w:id="137"/>
    <w:bookmarkStart w:id="138" w:name="limitations"/>
    <w:p>
      <w:pPr>
        <w:pStyle w:val="Heading2"/>
        <w:spacing w:line="480" w:lineRule="auto"/>
      </w:pPr>
      <w:r>
        <w:t xml:space="preserve">7.4 Limitations</w:t>
      </w:r>
    </w:p>
    <w:p>
      <w:pPr>
        <w:pStyle w:val="FirstParagraph"/>
        <w:spacing w:line="480" w:lineRule="auto"/>
      </w:pPr>
      <w:r>
        <w:t xml:space="preserve">The findings are bounded, and intellectual honesty requires stating the bounds as plainly as the results. One bound matters most. It is shared by both empirical chapters and inheres in the realized DSN record itself: aperture and mission vintage are collinear. The largest dishes in the cross-section are bound up with the oldest, lowest-power, lowest-band outer-planet missions, which is precisely why the partial aperture effect on capacity is estimated imprecisely, with a confidence interval wide enough to admit both a strong positive and a strong negative elasticity. The capacity chapter’s negative point estimate should therefore be read not as evidence that aperture hurts capacity, which would contradict the physics, but as evidence that the documented record cannot identify the aperture effect cleanly because the historical assignment of apertures to missions is not orthogonal to the other levers. A within-band or within-era panel is the natural next design, and until one is estimated the capacity claim must remain a claim about identification, that aperture is not separately identified in the realized record, rather than a structural claim that aperture does not matter.</w:t>
      </w:r>
    </w:p>
    <w:p>
      <w:pPr>
        <w:pStyle w:val="BodyText"/>
        <w:spacing w:line="480" w:lineRule="auto"/>
        <w:ind w:firstLine="720"/>
      </w:pPr>
      <w:r>
        <w:t xml:space="preserve">A second limitation concerns the outcome variable on the capacity side. Peak documented downlink rate is a ceiling, an instantaneous capability, not a delivered-volume measure. The broader dissertation is about total delivered data over a planning horizon, which is a function of cadence and contact availability as much as of per-contact rate, and the capacity chapter speaks only to the per-contact ceiling. The integration into a delivered-volume frontier rests on the link-and-queue model rather than on a direct regression of delivered volume on the two margins, because the public DSN Now contact record, while it exposes per-antenna assignments and data rates, does not in itself yield a clean panel of delivered bits attributable to identified aperture and cadence interventions. The frontier is therefore a constructed object, transparent and replicable but model-dependent, not a directly observed one.</w:t>
      </w:r>
    </w:p>
    <w:p>
      <w:pPr>
        <w:pStyle w:val="BodyText"/>
        <w:spacing w:line="480" w:lineRule="auto"/>
        <w:ind w:firstLine="720"/>
      </w:pPr>
      <w:r>
        <w:t xml:space="preserve">A third limitation concerns the cost data. The cost-aperture elasticity rests on a hand-compiled cross-section of fifteen facilities spanning six decades and twelve countries, which is enough to separate an elasticity of one from an elasticity of 2.5 with confidence but not enough to resolve finer structure such as a vintage trend or a band-dependent premium. More consequentially, the per-element array costs are documented divisions of program totals and therefore fold in shared infrastructure, correlation, and combining systems that a strict marginal-cost accounting would strip out. The true marginal cost of an additional array element is likely below the figures used, which would push the realized elasticity even lower and strengthen rather than weaken the cadence conclusion; but it also means the cost variable captures capital outlay only and is silent on the operations and signal-combining costs that arrays incur and that a single large dish avoids. A full cost-effectiveness model must carry those operations costs, and the absence of a public, standardized operations-cost series for arrayed versus monolithic configurations is the single largest data gap the dissertation could not close</w:t>
      </w:r>
      <w:r>
        <w:t xml:space="preserve"> </w:t>
      </w:r>
      <w:hyperlink w:anchor="ref-1">
        <w:r>
          <w:rPr>
            <w:rStyle w:val="Hyperlink"/>
          </w:rPr>
          <w:t xml:space="preserve">[1]</w:t>
        </w:r>
      </w:hyperlink>
      <w:r>
        <w:t xml:space="preserve">[7].</w:t>
      </w:r>
    </w:p>
    <w:p>
      <w:pPr>
        <w:pStyle w:val="BodyText"/>
        <w:spacing w:line="480" w:lineRule="auto"/>
        <w:ind w:firstLine="720"/>
      </w:pPr>
      <w:r>
        <w:t xml:space="preserve">A fourth limitation concerns measurement noise from illustrative rows. The capacity cross-section marks four rows as illustrative, under fifteen percent of the sample and matched to antenna-class specifications, and the cost panel flags one conversion as illustrative, under seven percent of its sample. These are disclosed and bounded, but they inject modest measurement error into already small samples, and they are a reminder that the public engineering record, rich as it is, was not assembled for econometric identification.</w:t>
      </w:r>
    </w:p>
    <w:p>
      <w:pPr>
        <w:pStyle w:val="BodyText"/>
        <w:spacing w:line="480" w:lineRule="auto"/>
        <w:ind w:firstLine="720"/>
      </w:pPr>
      <w:r>
        <w:t xml:space="preserve">A fifth limitation concerns external validity. The frontier is estimated on a three-complex deep-space architecture, and generalization to near-Earth relay or commercial ground-station-as-a-service networks is not claimed. The steepness of the underlying cost curves may differ by regime</w:t>
      </w:r>
      <w:r>
        <w:t xml:space="preserve"> </w:t>
      </w:r>
      <w:hyperlink w:anchor="ref-2">
        <w:r>
          <w:rPr>
            <w:rStyle w:val="Hyperlink"/>
          </w:rPr>
          <w:t xml:space="preserve">[2]</w:t>
        </w:r>
      </w:hyperlink>
      <w:r>
        <w:t xml:space="preserve">, and the band-and-transmitter levers that dominate the deep-space capacity result may carry different weights where range is shorter and atmospheric and regulatory constraints differ. The on-board-processing control held fixed throughout, finally, is held fixed precisely because allowing it to vary would confound the aperture-cadence contrast; but a strategy that treats on-board processing as a third margin rather than a control could reach different conclusions, and nothing here forecloses that possibility</w:t>
      </w:r>
      <w:r>
        <w:t xml:space="preserve"> </w:t>
      </w:r>
      <w:hyperlink w:anchor="ref-4">
        <w:r>
          <w:rPr>
            <w:rStyle w:val="Hyperlink"/>
          </w:rPr>
          <w:t xml:space="preserve">[4]</w:t>
        </w:r>
      </w:hyperlink>
      <w:r>
        <w:t xml:space="preserve">.</w:t>
      </w:r>
    </w:p>
    <w:bookmarkEnd w:id="138"/>
    <w:bookmarkStart w:id="139" w:name="threats-to-the-governance-inference"/>
    <w:p>
      <w:pPr>
        <w:pStyle w:val="Heading2"/>
        <w:spacing w:line="480" w:lineRule="auto"/>
      </w:pPr>
      <w:r>
        <w:t xml:space="preserve">7.5 Threats to the Governance Inference</w:t>
      </w:r>
    </w:p>
    <w:p>
      <w:pPr>
        <w:pStyle w:val="FirstParagraph"/>
        <w:spacing w:line="480" w:lineRule="auto"/>
      </w:pPr>
      <w:r>
        <w:t xml:space="preserve">Beyond the statistical limitations, the governance inference itself carries threats that a program office should weigh before acting on it. The principal threat is that a cost-per-bit frontier, however well estimated, optimizes a single objective that the agency does not in fact hold alone. Deep-space communications capacity is also a strategic and resilience asset, and a distributed array purchased for its cost-per-bit efficiency happens also to deliver graceful degradation and geographic diversity that a single large dish cannot, but a planner who weighted assurance or sovereignty differently might value concentration for reasons the cost-per-bit metric does not capture. The frontier is a decision instrument, not a decision; it sharpens the cost-effectiveness axis precisely so that the other axes, assurance, schedule risk, international partnership, and mission-class equity, can be deliberated explicitly rather than smuggled into an aperture default.</w:t>
      </w:r>
    </w:p>
    <w:p>
      <w:pPr>
        <w:pStyle w:val="BodyText"/>
        <w:spacing w:line="480" w:lineRule="auto"/>
        <w:ind w:firstLine="720"/>
      </w:pPr>
      <w:r>
        <w:t xml:space="preserve">A second governance threat is the reversibility asymmetry the prospectus flagged. The cost blade’s argument for cadence rests partly on incremental phasing, the ability to grow capacity in steps that track the manifest. But an agency that has already committed to a large-aperture procurement, or whose institutional and contractual structures are organized around monolithic capital programs, faces switching costs that the elasticity estimate does not price. The finding that arraying is cost-neutral to favorable at the population level does not imply that a mid-program pivot to arraying is cost-neutral for an organization mid-commitment. The cleanest application of the result is therefore at the formulation of a new capacity increment, where the menu is still open, rather than as a retrofit argument against capital already obligated.</w:t>
      </w:r>
    </w:p>
    <w:bookmarkEnd w:id="139"/>
    <w:bookmarkStart w:id="140" w:name="future-research"/>
    <w:p>
      <w:pPr>
        <w:pStyle w:val="Heading2"/>
        <w:spacing w:line="480" w:lineRule="auto"/>
      </w:pPr>
      <w:r>
        <w:t xml:space="preserve">7.6 Future Research</w:t>
      </w:r>
    </w:p>
    <w:p>
      <w:pPr>
        <w:pStyle w:val="FirstParagraph"/>
        <w:spacing w:line="480" w:lineRule="auto"/>
      </w:pPr>
      <w:r>
        <w:t xml:space="preserve">The limitations map directly onto a research agenda. The first and highest-value extension is the within-band, within-era panel that the capacity chapter’s collinearity diagnosis demands. The public DSN Now feed exposes per-antenna assignments, data rates, and frequency bands across the three complexes over time, and a panel that observes the same mission across multiple apertures, or multiple missions on the same aperture across a controlled band, would identify the aperture effect free of the vintage confound that defeats the cross-section. Such a design would convert the present claim, that aperture is not separately identified in the realized record, into a structural estimate of the partial aperture elasticity, and would either confirm the weak-frontier reading offered here or reveal a positive aperture return that the cross-section masked.</w:t>
      </w:r>
    </w:p>
    <w:p>
      <w:pPr>
        <w:pStyle w:val="BodyText"/>
        <w:spacing w:line="480" w:lineRule="auto"/>
        <w:ind w:firstLine="720"/>
      </w:pPr>
      <w:r>
        <w:t xml:space="preserve">The second extension is the delivered-volume frontier built directly from contact data rather than from the link-and-queue model. The integration in this dissertation is model-mediated; a direct estimate would regress observed delivered volume, aggregated from the DSN Now contact record over a planning horizon, on aperture aggregate, site count, scheduling intensity, and outage, with weather outage modeled as a sensitivity band rather than a point estimate to address the construct-validity threat the prospectus identified. This would replace the constructed frontier with an observed one and would let the interior-optimum claim be tested against delivered bits rather than against modeled bits.</w:t>
      </w:r>
    </w:p>
    <w:p>
      <w:pPr>
        <w:pStyle w:val="BodyText"/>
        <w:spacing w:line="480" w:lineRule="auto"/>
        <w:ind w:firstLine="720"/>
      </w:pPr>
      <w:r>
        <w:t xml:space="preserve">The third extension is the operations-cost series the cost chapter could not assemble. Closing the scissors into a true cost-per-bit objective requires a standardized accounting of the operations, correlation, and signal-combining costs that arrays incur and that monolithic dishes avoid. NASA budget justification documents report DSN operations funding lines, and a research program that reconciled those lines against documented array and single-dish configurations would price the operations term that this dissertation carried only qualitatively</w:t>
      </w:r>
      <w:r>
        <w:t xml:space="preserve"> </w:t>
      </w:r>
      <w:hyperlink w:anchor="ref-1">
        <w:r>
          <w:rPr>
            <w:rStyle w:val="Hyperlink"/>
          </w:rPr>
          <w:t xml:space="preserve">[1]</w:t>
        </w:r>
      </w:hyperlink>
      <w:r>
        <w:t xml:space="preserve">[7]. Because the cost chapter argued that stripping shared infrastructure from per-element costs would lower the realized elasticity further, the operations-cost extension is the one place where the conclusion is genuinely at risk: if combining costs scale steeply enough with element count, they could offset the linear capital advantage, and only a direct operations-cost estimate can settle whether they do.</w:t>
      </w:r>
    </w:p>
    <w:p>
      <w:pPr>
        <w:pStyle w:val="BodyText"/>
        <w:spacing w:line="480" w:lineRule="auto"/>
        <w:ind w:firstLine="720"/>
      </w:pPr>
      <w:r>
        <w:t xml:space="preserve">The fourth extension treats on-board processing and optical downlink as explicit margins rather than as controls. The substitution of payload computation for ground capacity</w:t>
      </w:r>
      <w:r>
        <w:t xml:space="preserve"> </w:t>
      </w:r>
      <w:hyperlink w:anchor="ref-4">
        <w:r>
          <w:rPr>
            <w:rStyle w:val="Hyperlink"/>
          </w:rPr>
          <w:t xml:space="preserve">[4]</w:t>
        </w:r>
      </w:hyperlink>
      <w:r>
        <w:t xml:space="preserve"> </w:t>
      </w:r>
      <w:r>
        <w:t xml:space="preserve">and the high-photon-efficiency optical downlink</w:t>
      </w:r>
      <w:r>
        <w:t xml:space="preserve"> </w:t>
      </w:r>
      <w:hyperlink w:anchor="ref-3">
        <w:r>
          <w:rPr>
            <w:rStyle w:val="Hyperlink"/>
          </w:rPr>
          <w:t xml:space="preserve">[3]</w:t>
        </w:r>
      </w:hyperlink>
      <w:r>
        <w:t xml:space="preserve"> </w:t>
      </w:r>
      <w:r>
        <w:t xml:space="preserve">are both capacity levers that the present design holds fixed, and a three-margin or four-margin frontier, pricing aperture, cadence, on-board processing, and optical augmentation against the same budget, would generalize the instrument toward the full design space a real DSN strategy confronts. The relay-topology and reinforcement-learning scheduling literatures</w:t>
      </w:r>
      <w:r>
        <w:t xml:space="preserve"> </w:t>
      </w:r>
      <w:hyperlink w:anchor="ref-28">
        <w:r>
          <w:rPr>
            <w:rStyle w:val="Hyperlink"/>
          </w:rPr>
          <w:t xml:space="preserve">[28]</w:t>
        </w:r>
      </w:hyperlink>
      <w:r>
        <w:t xml:space="preserve">[36] supply the methods to model the cadence margin in richer detail than the queue model used here, and integrating them would let the frontier reflect scheduling and topology choices that the installed base can realize without any capital at all.</w:t>
      </w:r>
    </w:p>
    <w:p>
      <w:pPr>
        <w:pStyle w:val="BodyText"/>
        <w:spacing w:line="480" w:lineRule="auto"/>
        <w:ind w:firstLine="720"/>
      </w:pPr>
      <w:r>
        <w:t xml:space="preserve">A fifth and broader extension reaches beyond the deep-space architecture to the regimes the external-validity limitation excludes. The same aperture-cadence frontier, re-estimated on near-Earth relay or commercial ground-station-as-a-service data where cost curves and band constraints differ</w:t>
      </w:r>
      <w:r>
        <w:t xml:space="preserve"> </w:t>
      </w:r>
      <w:hyperlink w:anchor="ref-2">
        <w:r>
          <w:rPr>
            <w:rStyle w:val="Hyperlink"/>
          </w:rPr>
          <w:t xml:space="preserve">[2]</w:t>
        </w:r>
      </w:hyperlink>
      <w:r>
        <w:t xml:space="preserve">, would test whether the cadence-favoring conclusion is specific to deep space or general to congestible ground-relay assets, and would establish whether the decision instrument transfers across the regimes that an increasingly commercial and multi-actor ground-segment market now spans</w:t>
      </w:r>
      <w:r>
        <w:t xml:space="preserve"> </w:t>
      </w:r>
      <w:hyperlink w:anchor="ref-22">
        <w:r>
          <w:rPr>
            <w:rStyle w:val="Hyperlink"/>
          </w:rPr>
          <w:t xml:space="preserve">[22]</w:t>
        </w:r>
      </w:hyperlink>
      <w:r>
        <w:t xml:space="preserve">[26].</w:t>
      </w:r>
    </w:p>
    <w:bookmarkEnd w:id="140"/>
    <w:bookmarkStart w:id="141" w:name="concluding-synthesis"/>
    <w:p>
      <w:pPr>
        <w:pStyle w:val="Heading2"/>
        <w:spacing w:line="480" w:lineRule="auto"/>
      </w:pPr>
      <w:r>
        <w:t xml:space="preserve">7.7 Concluding Synthesis</w:t>
      </w:r>
    </w:p>
    <w:p>
      <w:pPr>
        <w:pStyle w:val="FirstParagraph"/>
        <w:spacing w:line="480" w:lineRule="auto"/>
      </w:pPr>
      <w:r>
        <w:t xml:space="preserve">The dissertation began with a planner facing a portfolio choice between aperture and cadence under a binding budget, and a single falsifiable claim that the cost-effective plan is interior rather than a corner solution. The evidence assembled here supports that claim in the direction the cadence margin favors, and it does so through two estimates that survive transparent and replicable construction on public-domain data. Aperture, the lever that DSN capacity studies have historically treated as the default, is not separately identified as a driver of achieved downlink rate once band and transmit power are conditioned out, and it carries no capital penalty for being distributed because realized cost rises only linearly with diameter. The productive modern margins are band migration, transmitter capability, scheduling intensity, and the disciplined replication of modest apertures at cadence, all of which the existing institutional record at JPL and NASA already anticipates</w:t>
      </w:r>
      <w:r>
        <w:t xml:space="preserve"> </w:t>
      </w:r>
      <w:hyperlink w:anchor="ref-16">
        <w:r>
          <w:rPr>
            <w:rStyle w:val="Hyperlink"/>
          </w:rPr>
          <w:t xml:space="preserve">[16]</w:t>
        </w:r>
      </w:hyperlink>
      <w:r>
        <w:t xml:space="preserve">[19][33]. The frontier this work delivers is offered not as a final answer but as a decision instrument: a way to put the cost-effectiveness of the aperture and cadence margins on a common, auditable axis so that the agency’s other commitments, to assurance, to schedule, and to mission breadth, can be deliberated in the open rather than settled by an aperture default that the documented record does not support.</w:t>
      </w:r>
    </w:p>
    <w:bookmarkEnd w:id="141"/>
    <w:bookmarkEnd w:id="142"/>
    <w:bookmarkStart w:id="198" w:name="chapter-8.-conclusion"/>
    <w:p>
      <w:pPr>
        <w:pStyle w:val="Heading1"/>
        <w:spacing w:line="480" w:lineRule="auto"/>
      </w:pPr>
      <w:r>
        <w:t xml:space="preserve">Chapter 8. Conclusion</w:t>
      </w:r>
    </w:p>
    <w:bookmarkStart w:id="143" w:name="the-argument-recovered"/>
    <w:p>
      <w:pPr>
        <w:pStyle w:val="Heading2"/>
        <w:spacing w:line="480" w:lineRule="auto"/>
      </w:pPr>
      <w:r>
        <w:t xml:space="preserve">8.1 The Argument Recovered</w:t>
      </w:r>
    </w:p>
    <w:p>
      <w:pPr>
        <w:pStyle w:val="FirstParagraph"/>
        <w:spacing w:line="480" w:lineRule="auto"/>
      </w:pPr>
      <w:r>
        <w:t xml:space="preserve">This dissertation began from a planning question that every expansion of the Deep Space Network forces but that the engineering literature has never priced as a single decision. Delivered mission data, the only object a planner ultimately cares about, can be bought along two structurally distinct margins. The aperture margin raises the collecting area, and therefore the achievable rate, of each contact. The cadence margin raises the number and continuity of contacts, whether by adding sites, tightening scheduling, or replicating modest antennas into an array. Both margins draw on the same fixed capital budget, and the field had no disciplined account of when a marginal dollar returns more delivered data through aperture than through cadence. The prospectus advanced a single falsifiable claim about the shape of the resulting cost-effectiveness frontier: that the marginal cost per delivered bit is not equal across the two margins, so the budget-optimal capacity plan is interior rather than a corner solution that exhausts one margin before touching the other. The two empirical papers were designed to estimate the two blades of that scissors, the capacity blade and the cost blade, on real and fully sourced records rather than on link-budget assertion.</w:t>
      </w:r>
    </w:p>
    <w:p>
      <w:pPr>
        <w:pStyle w:val="BodyText"/>
        <w:spacing w:line="480" w:lineRule="auto"/>
        <w:ind w:firstLine="720"/>
      </w:pPr>
      <w:r>
        <w:t xml:space="preserve">The first paper isolated the capacity blade. Its question was simple. It asked whether ground-antenna aperture, the lever that the standard link equation treats as decisive, actually carries an independent and economically meaningful association with achieved downlink rate once the other levers are conditioned out. Estimated on a thirty-mission cross-section drawn from the DESCANSO telecommunications monographs and the DSN handbook record, the partial elasticity of peak downlink rate with respect to aperture diameter was negative at -1.198 but statistically indistinguishable from zero, with a confidence interval from -4.02 to 1.63 that cannot even sign the effect. The levers that did register were onboard transmit power, with an elasticity of 1.562 and a p-value of 0.005, and frequency band, with the Ka-band indicator adding 3.094 to log rate and implying roughly a twenty-twofold increase in achievable rate. The honest reading is that the apparent return to aperture in the unconditioned record is largely a composition effect: the largest dishes are bound up with the oldest, lowest-power, lowest-band outer-planet missions, so the bivariate correlation between dish size and rate is dragged downward, and the regression, having handed the genuine explanatory work to power and band, leaves aperture with a coefficient indistinguishable from zero. The marginal data gains of the modern era have come from migrating links to Ka-band and from more capable transmitters on the 34 m subnet, not from the 70 m aperture. That finding is consistent with the long-standing economic prior that returns to large fixed space infrastructure are realized only when the rest of the system is matched to the ground asset</w:t>
      </w:r>
      <w:r>
        <w:t xml:space="preserve"> </w:t>
      </w:r>
      <w:hyperlink w:anchor="ref-8">
        <w:r>
          <w:rPr>
            <w:rStyle w:val="Hyperlink"/>
          </w:rPr>
          <w:t xml:space="preserve">[8]</w:t>
        </w:r>
      </w:hyperlink>
      <w:r>
        <w:t xml:space="preserve">.</w:t>
      </w:r>
    </w:p>
    <w:p>
      <w:pPr>
        <w:pStyle w:val="BodyText"/>
        <w:spacing w:line="480" w:lineRule="auto"/>
        <w:ind w:firstLine="720"/>
      </w:pPr>
      <w:r>
        <w:t xml:space="preserve">The second paper isolated the cost blade. Here the finding upended the prior. It asked how steeply the price of a ground antenna rises as the antenna grows, because the case for concentrating a budget in a few giant dishes stands or falls on that slope. The radio-astronomy engineering literature holds that the mechanical cost of a single steerable structure scales as roughly the 2.4 to 2.7 power of diameter</w:t>
      </w:r>
      <w:r>
        <w:t xml:space="preserve"> </w:t>
      </w:r>
      <w:hyperlink w:anchor="ref-15">
        <w:r>
          <w:rPr>
            <w:rStyle w:val="Hyperlink"/>
          </w:rPr>
          <w:t xml:space="preserve">[15]</w:t>
        </w:r>
      </w:hyperlink>
      <w:r>
        <w:t xml:space="preserve">, a near-cubic law that would make monolithic giants progressively unaffordable and would reward concentration. Estimated on a hand-compiled panel of fifteen documented facilities spanning six decades and four currencies, with every native cost converted to constant 2020 dollars for auditability, the realized cost-aperture elasticity was 0.999, with a robust standard error of 0.188 and a confidence interval from 0.631 to 1.368. That interval comfortably includes unity and decisively excludes the structural benchmark near 2.5. A doubling of diameter is associated with almost exactly a doubling of cost across the achievable menu, not the four-to-six-fold increase the structural law would impose on a pure population of monolithic dishes. The result does not refute the structural law; it is the empirical fingerprint of the engineering response to it. The population of antennas humanity has actually built is not a population of pure giants. Its small-aperture end is densely occupied by cheap, replicated array elements, exactly the architecture the DSN arraying studies advocated across two decades of design work</w:t>
      </w:r>
      <w:r>
        <w:t xml:space="preserve"> </w:t>
      </w:r>
      <w:hyperlink w:anchor="ref-16">
        <w:r>
          <w:rPr>
            <w:rStyle w:val="Hyperlink"/>
          </w:rPr>
          <w:t xml:space="preserve">[16]</w:t>
        </w:r>
      </w:hyperlink>
      <w:r>
        <w:t xml:space="preserve">[19][20][21]. Those elements anchor the low-diameter corner of the cost curve below the single-dish law and flatten the realized slope from near-cubic toward linear.</w:t>
      </w:r>
    </w:p>
    <w:p>
      <w:pPr>
        <w:pStyle w:val="BodyText"/>
        <w:spacing w:line="480" w:lineRule="auto"/>
        <w:ind w:firstLine="720"/>
      </w:pPr>
      <w:r>
        <w:t xml:space="preserve">Read together, the two blades close into a coherent statement about the frontier. On the capacity side, raw aperture is not the dominant lever on delivered rate once transmitter and band are matched; the marginal capacity dollar buys more when spent on band migration, transmitter capability, and the contact-time multiplication that cadence and arraying provide than when spent enlarging a single dish. On the cost side, there is no capital penalty for spreading a fixed budget across many smaller apertures, because cost rises only linearly with diameter across the realized menu, and arraying carries the offsetting advantages of graceful degradation, incremental capacity that tracks the manifest of new missions, and the manufacturing learning that replication makes possible</w:t>
      </w:r>
      <w:r>
        <w:t xml:space="preserve"> </w:t>
      </w:r>
      <w:hyperlink w:anchor="ref-16">
        <w:r>
          <w:rPr>
            <w:rStyle w:val="Hyperlink"/>
          </w:rPr>
          <w:t xml:space="preserve">[16]</w:t>
        </w:r>
      </w:hyperlink>
      <w:r>
        <w:t xml:space="preserve">[26]. Neither blade, on its own, would settle the planner’s question. Together they remove the two assumptions on which the case for aperture concentration had rested, namely that bigger dishes reliably return proportionally more data and that they do so at a cost the budget can bear only in small numbers. Both assumptions fail against the documented record.</w:t>
      </w:r>
    </w:p>
    <w:bookmarkEnd w:id="143"/>
    <w:bookmarkStart w:id="144" w:name="the-frontier-and-the-falsifiable-claim"/>
    <w:p>
      <w:pPr>
        <w:pStyle w:val="Heading2"/>
        <w:spacing w:line="480" w:lineRule="auto"/>
      </w:pPr>
      <w:r>
        <w:t xml:space="preserve">8.2 The Frontier and the Falsifiable Claim</w:t>
      </w:r>
    </w:p>
    <w:p>
      <w:pPr>
        <w:pStyle w:val="FirstParagraph"/>
        <w:spacing w:line="480" w:lineRule="auto"/>
      </w:pPr>
      <w:r>
        <w:t xml:space="preserve">The dissertation’s organizing object was a cost-effectiveness frontier and its single testable prediction that the marginal cost per delivered bit differs across the aperture and cadence margins. The two empirical estimates supply the inputs to that frontier from opposite directions and converge on the same interior verdict, though the convergence is asymmetric and that asymmetry is itself the finding. The capacity estimate denies aperture a detectable independent return in the conditioned cross-section; the cost estimate denies aperture any superlinear cost penalty. The frontier that results is not the symmetric interior optimum the prospectus sketched as one possible shape, with cadence dominating below a budget threshold and aperture dominating above it. It is a frontier on which, across the documented operating regime, the cadence margin and its arrayed-aperture cousin are weakly favored on capacity grounds and at worst cost-neutral, so the cost-minimizing plan funds contacts, band, and transmitter matching before it funds raw dish size.</w:t>
      </w:r>
    </w:p>
    <w:p>
      <w:pPr>
        <w:pStyle w:val="BodyText"/>
        <w:spacing w:line="480" w:lineRule="auto"/>
        <w:ind w:firstLine="720"/>
      </w:pPr>
      <w:r>
        <w:t xml:space="preserve">This is a sharper result than indifference and it must be reported with the precision the evidence supports. The prospectus framed the null, H0, as statistical indistinguishability of the marginal cost per delivered bit across margins, and warned that a failure to reject it would be an informative negative result rather than a confirmation of true indifference. The capacity paper returns exactly such a result for aperture: a wide confidence interval that cannot sign the partial effect. Honesty requires that this be read as imprecision born of a real and unavoidable feature of the DSN record, the collinearity of aperture with mission vintage, rather than as proof that aperture does no work. The link-budget physics under which aperture gain is real and monotone is not overturned by an econometric null estimated on a cross-section that conflates eras. What the dissertation establishes is narrower and more defensible: in the documented historical record, aperture is not the lever to which a capacity planner should attribute marginal data gains, and the cost record offers no reason to concentrate a budget in large dishes to capture gains that the capacity record cannot locate. The interior character of the optimum is therefore established not by a clean sign reversal of the marginal-cost-per-bit difference, which the data are too collinear to deliver, but by the joint failure of the two propositions that would have justified a corner solution at the aperture extreme.</w:t>
      </w:r>
    </w:p>
    <w:p>
      <w:pPr>
        <w:pStyle w:val="BodyText"/>
        <w:spacing w:line="480" w:lineRule="auto"/>
        <w:ind w:firstLine="720"/>
      </w:pPr>
      <w:r>
        <w:t xml:space="preserve">The frontier instrument also carries the substitution lever the prospectus insisted be held explicit rather than buried. On-board processing reduces the required downlink rate and so substitutes payload computation for ground capacity</w:t>
      </w:r>
      <w:r>
        <w:t xml:space="preserve"> </w:t>
      </w:r>
      <w:hyperlink w:anchor="ref-4">
        <w:r>
          <w:rPr>
            <w:rStyle w:val="Hyperlink"/>
          </w:rPr>
          <w:t xml:space="preserve">[4]</w:t>
        </w:r>
      </w:hyperlink>
      <w:r>
        <w:t xml:space="preserve">, and the cost-effectiveness verdict here is conditional on that lever being held fixed. A network that aggressively shifts data reduction on board moves the whole frontier inward and changes the absolute scale of the capacity problem without changing the relative ranking of aperture against cadence that this work estimates. The two estimates are robust to that translation because both are elasticities, statements about proportional response, not about absolute volume.</w:t>
      </w:r>
    </w:p>
    <w:bookmarkEnd w:id="144"/>
    <w:bookmarkStart w:id="145"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a transparent, replicable decision instrument for ground-segment investment under a binding budget, together with two empirical estimates that populate it and reverse a piece of received planning wisdom. The contribution can be stated in four parts.</w:t>
      </w:r>
    </w:p>
    <w:p>
      <w:pPr>
        <w:pStyle w:val="BodyText"/>
        <w:spacing w:line="480" w:lineRule="auto"/>
        <w:ind w:firstLine="720"/>
      </w:pPr>
      <w:r>
        <w:t xml:space="preserve">First, the dissertation supplies the budget-coupling step that the engineering literature had left absent. Aperture characterization and contact scheduling had been modeled in separate literatures, optical and radio-frequency aperture performance on one side</w:t>
      </w:r>
      <w:r>
        <w:t xml:space="preserve"> </w:t>
      </w:r>
      <w:hyperlink w:anchor="ref-3">
        <w:r>
          <w:rPr>
            <w:rStyle w:val="Hyperlink"/>
          </w:rPr>
          <w:t xml:space="preserve">[3]</w:t>
        </w:r>
      </w:hyperlink>
      <w:r>
        <w:t xml:space="preserve"> </w:t>
      </w:r>
      <w:r>
        <w:t xml:space="preserve">and operations-cost accounting on the other</w:t>
      </w:r>
      <w:r>
        <w:t xml:space="preserve"> </w:t>
      </w:r>
      <w:hyperlink w:anchor="ref-1">
        <w:r>
          <w:rPr>
            <w:rStyle w:val="Hyperlink"/>
          </w:rPr>
          <w:t xml:space="preserve">[1]</w:t>
        </w:r>
      </w:hyperlink>
      <w:r>
        <w:t xml:space="preserve">, with no published instrument that places both margins on a common cost-per-delivered-bit axis. This work builds that axis and shows that it is estimable from public-domain data. The frontier is not a metaphor here but a constructed object with named inputs, a capacity elasticity and a cost elasticity, each estimated with reported standard errors and confidence intervals.</w:t>
      </w:r>
    </w:p>
    <w:p>
      <w:pPr>
        <w:pStyle w:val="BodyText"/>
        <w:spacing w:line="480" w:lineRule="auto"/>
        <w:ind w:firstLine="720"/>
      </w:pPr>
      <w:r>
        <w:t xml:space="preserve">Second, the dissertation overturns the naive aperture claim with direct evidence rather than assertion. The recurring policy premise that a larger ground aperture buys proportionally more data does not survive a fixed-effects regression on the documented cross-mission record once distance, transmit power, and band are conditioned out. This reframes the policy inference for DSN capacity planning: the cost-effectiveness frontier in the recent era is shaped at least as much by band and transmitter matching as by raw dish size. The finding is constructive, not merely deflationary, because it redirects aperture investment toward the configurations where it is not confounded with low-power legacy missions, namely future high-power Ka-band users at long range.</w:t>
      </w:r>
    </w:p>
    <w:p>
      <w:pPr>
        <w:pStyle w:val="BodyText"/>
        <w:spacing w:line="480" w:lineRule="auto"/>
        <w:ind w:firstLine="720"/>
      </w:pPr>
      <w:r>
        <w:t xml:space="preserve">Third, the dissertation demonstrates that the diseconomy of diameter, real for a single steerable dish, has already been defeated in the realized cost record by the decision to array. The estimated cost-aperture elasticity of essentially one, against a structural prior near 2.5, is the population-level signature of arraying at work. This converts a body of DSN arraying design studies that argued the case from engineering first principles</w:t>
      </w:r>
      <w:r>
        <w:t xml:space="preserve"> </w:t>
      </w:r>
      <w:hyperlink w:anchor="ref-16">
        <w:r>
          <w:rPr>
            <w:rStyle w:val="Hyperlink"/>
          </w:rPr>
          <w:t xml:space="preserve">[16]</w:t>
        </w:r>
      </w:hyperlink>
      <w:r>
        <w:t xml:space="preserve">[19][20] into an empirical fact about the cost curve that planners actually confront. For a network expanding under a fixed budget, the linear cost law is permission, on cost grounds, to choose cadence.</w:t>
      </w:r>
    </w:p>
    <w:p>
      <w:pPr>
        <w:pStyle w:val="BodyText"/>
        <w:spacing w:line="480" w:lineRule="auto"/>
        <w:ind w:firstLine="720"/>
      </w:pPr>
      <w:r>
        <w:t xml:space="preserve">Fourth, and methodologically, the dissertation models how to estimate space-infrastructure tradeoffs from sparse, heterogeneous, public-domain records without overclaiming. Both papers worked with small samples, conditioned confounders explicitly, reported robust standard errors, flagged illustrative rows below transparent thresholds, and treated negative and imprecise results as informative. The parametric-cost-estimation literature has shown that even well-validated estimators carry wide uncertainty bands once real program data enter the fit</w:t>
      </w:r>
      <w:r>
        <w:t xml:space="preserve"> </w:t>
      </w:r>
      <w:hyperlink w:anchor="ref-6">
        <w:r>
          <w:rPr>
            <w:rStyle w:val="Hyperlink"/>
          </w:rPr>
          <w:t xml:space="preserve">[6]</w:t>
        </w:r>
      </w:hyperlink>
      <w:r>
        <w:t xml:space="preserve">, and this work honors that lesson by reporting intervals rather than point claims and by treating a wide interval as a finding about the record rather than a defect to be concealed. The instrument is replicable because its data are fully sourced and public, drawn from the DSN service record, the DESCANSO monographs, the 810-005 handbook, and the documented facility-cost literature</w:t>
      </w:r>
      <w:r>
        <w:t xml:space="preserve"> </w:t>
      </w:r>
      <w:hyperlink w:anchor="ref-5">
        <w:r>
          <w:rPr>
            <w:rStyle w:val="Hyperlink"/>
          </w:rPr>
          <w:t xml:space="preserve">[5]</w:t>
        </w:r>
      </w:hyperlink>
      <w:r>
        <w:t xml:space="preserve">[9][10][11][12][13][14].</w:t>
      </w:r>
    </w:p>
    <w:p>
      <w:pPr>
        <w:pStyle w:val="BodyText"/>
        <w:spacing w:line="480" w:lineRule="auto"/>
        <w:ind w:firstLine="720"/>
      </w:pPr>
      <w:r>
        <w:t xml:space="preserve">The boundaries of the contribution are as important as its substance. The frontier is estimated on a three-complex deep-space architecture and is not claimed to generalize to near-Earth relay or to commercial ground-station-as-a-service networks, where the underlying cost curves may differ in regime</w:t>
      </w:r>
      <w:r>
        <w:t xml:space="preserve"> </w:t>
      </w:r>
      <w:hyperlink w:anchor="ref-2">
        <w:r>
          <w:rPr>
            <w:rStyle w:val="Hyperlink"/>
          </w:rPr>
          <w:t xml:space="preserve">[2]</w:t>
        </w:r>
      </w:hyperlink>
      <w:r>
        <w:t xml:space="preserve">. The capacity estimate speaks to instantaneous achievable rate, a ceiling, rather than to delivered volume integrated over a planning horizon, which is the quantity the full frontier ultimately requires and which the integrating model sketches but does not estimate at mission scale. The cost estimate captures capital outlay and is silent on the operations and signal-correlation costs that arrays incur to combine many apertures, a real expense the single-dish architecture avoids and that a complete cost-per-bit objective must carry. These are not concealed weaknesses but the explicit edges of a deliberately bounded claim, and each names the natural next study: a within-band or within-era panel that breaks the aperture-vintage collinearity, a delivered-volume model calibrated against the contact record, and a cost accounting that prices array operations alongside array capital.</w:t>
      </w:r>
    </w:p>
    <w:bookmarkEnd w:id="145"/>
    <w:bookmarkStart w:id="146" w:name="X752dbed53bee6fd8fc5cacc0161ca5238b7eac3"/>
    <w:p>
      <w:pPr>
        <w:pStyle w:val="Heading2"/>
        <w:spacing w:line="480" w:lineRule="auto"/>
      </w:pPr>
      <w:r>
        <w:t xml:space="preserve">8.4 Implications for the Deep Space Network and the Wider Network Economy</w:t>
      </w:r>
    </w:p>
    <w:p>
      <w:pPr>
        <w:pStyle w:val="FirstParagraph"/>
        <w:spacing w:line="480" w:lineRule="auto"/>
      </w:pPr>
      <w:r>
        <w:t xml:space="preserve">The practical implication for the Deep Space Network is a reordering of capacity-investment priorities under budget pressure. The evidence assembled here favors, in order, the migration of links to higher frequency bands, the matching of spacecraft transmitter capability to the ground asset, the multiplication of contact opportunity through scheduling discipline and geographic diversity, and the replication of modest apertures into arrays, ahead of the construction of new monolithic giants. None of this argues for abandoning large apertures already in service or for ceasing aperture enhancement where it serves the long-range high-power users for whom dish gain remains decisive</w:t>
      </w:r>
      <w:r>
        <w:t xml:space="preserve"> </w:t>
      </w:r>
      <w:hyperlink w:anchor="ref-33">
        <w:r>
          <w:rPr>
            <w:rStyle w:val="Hyperlink"/>
          </w:rPr>
          <w:t xml:space="preserve">[33]</w:t>
        </w:r>
      </w:hyperlink>
      <w:r>
        <w:t xml:space="preserve">. It argues against treating raw aperture as the default answer to a capacity shortfall, which the documented record does not support on either the capacity or the cost blade.</w:t>
      </w:r>
    </w:p>
    <w:p>
      <w:pPr>
        <w:pStyle w:val="BodyText"/>
        <w:spacing w:line="480" w:lineRule="auto"/>
        <w:ind w:firstLine="720"/>
      </w:pPr>
      <w:r>
        <w:t xml:space="preserve">The wider implication reaches beyond a single agency’s ground segment. Ground-segment operating cost is a recognized and material component of space-system expenditure that headline economic forecasts routinely under-resolve or exclude</w:t>
      </w:r>
      <w:r>
        <w:t xml:space="preserve"> </w:t>
      </w:r>
      <w:hyperlink w:anchor="ref-1">
        <w:r>
          <w:rPr>
            <w:rStyle w:val="Hyperlink"/>
          </w:rPr>
          <w:t xml:space="preserve">[1]</w:t>
        </w:r>
      </w:hyperlink>
      <w:r>
        <w:t xml:space="preserve">[7], and the divergence among space-economy forecasts is driven in part by exactly this kind of unmodeled infrastructure cost</w:t>
      </w:r>
      <w:r>
        <w:t xml:space="preserve"> </w:t>
      </w:r>
      <w:hyperlink w:anchor="ref-2">
        <w:r>
          <w:rPr>
            <w:rStyle w:val="Hyperlink"/>
          </w:rPr>
          <w:t xml:space="preserve">[2]</w:t>
        </w:r>
      </w:hyperlink>
      <w:r>
        <w:t xml:space="preserve">. A network that locks in a suboptimal cost-per-bit through aperture over-investment carries that inefficiency across the asset’s service life, and the steep, nonlinear character of space capital makes the commitment expensive to reverse. The decision instrument this dissertation provides is a small but concrete step toward pricing such commitments before they are made. The same frontier logic, capacity elasticity over cost elasticity on each available margin, transfers to any congestible shared communications asset that expands under a binding budget, even where the specific elasticities differ.</w:t>
      </w:r>
    </w:p>
    <w:bookmarkEnd w:id="146"/>
    <w:bookmarkStart w:id="147" w:name="closing-statement"/>
    <w:p>
      <w:pPr>
        <w:pStyle w:val="Heading2"/>
        <w:spacing w:line="480" w:lineRule="auto"/>
      </w:pPr>
      <w:r>
        <w:t xml:space="preserve">8.5 Closing Statement</w:t>
      </w:r>
    </w:p>
    <w:p>
      <w:pPr>
        <w:pStyle w:val="FirstParagraph"/>
        <w:spacing w:line="480" w:lineRule="auto"/>
      </w:pPr>
      <w:r>
        <w:t xml:space="preserve">The dissertation set out to determine when a marginal dollar of ground-segment budget buys more delivered deep-space data through aperture than through cadence, and it answered the question with the discipline of estimated elasticities rather than the comfort of engineering intuition. The intuition held that bigger dishes return proportionally more data and that they are costly enough to build only a few of. The documented record contradicts both halves. Neither survives conditioning. Aperture carries no detectable independent return on achieved rate once transmitter and band are accounted for, and aperture cost rises only linearly with diameter because the engineering community long ago answered the diseconomy of diameter by arraying. The cost-effectiveness frontier these findings describe does not reward the largest reachable dish. It rewards matched transmitters, higher bands, disciplined contact cadence, and the replicated modest apertures that turn a near-cubic cost law into a linear one. For a Deep Space Network that must expand under a fixed budget, and for the broader ground-segment economy that must do the same, the conclusion is both empirical and actionable: the marginal cost per delivered bit is not equal across the two margins, the budget-optimal plan is interior, and on the weight of the documented evidence the interior tilts toward cadence. The frontier is now an instrument rather than an intuition, and that is the contribution this work leaves to the planners who come after it.</w:t>
      </w:r>
    </w:p>
    <w:bookmarkEnd w:id="147"/>
    <w:bookmarkStart w:id="197" w:name="references"/>
    <w:p>
      <w:pPr>
        <w:pStyle w:val="Heading2"/>
        <w:spacing w:line="480" w:lineRule="auto"/>
      </w:pPr>
      <w:r>
        <w:t xml:space="preserve">References</w:t>
      </w:r>
    </w:p>
    <w:p>
      <w:pPr>
        <w:pStyle w:val="FirstParagraph"/>
        <w:spacing w:line="480" w:lineRule="auto"/>
      </w:pPr>
      <w:bookmarkStart w:id="148" w:name="ref-1"/>
      <w:bookmarkEnd w:id="148"/>
      <w:r>
        <w:t xml:space="preserve">1. Office of Competitive Analysis, Department of the Air Force,</w:t>
      </w:r>
      <w:r>
        <w:t xml:space="preserve"> </w:t>
      </w:r>
      <w:r>
        <w:rPr>
          <w:i/>
          <w:iCs/>
        </w:rPr>
        <w:t xml:space="preserve">OCEA: Forecasting the Future Size of the Space Economy</w:t>
      </w:r>
      <w:r>
        <w:t xml:space="preserve">. (Notes ground-station expenses among operational costs excluded from regional breakdowns.)</w:t>
      </w:r>
    </w:p>
    <w:p>
      <w:pPr>
        <w:pStyle w:val="BodyText"/>
        <w:spacing w:line="480" w:lineRule="auto"/>
        <w:ind w:firstLine="720"/>
      </w:pPr>
      <w:bookmarkStart w:id="149" w:name="ref-2"/>
      <w:bookmarkEnd w:id="149"/>
      <w:r>
        <w:t xml:space="preserve">2.</w:t>
      </w:r>
      <w:r>
        <w:t xml:space="preserve"> </w:t>
      </w:r>
      <w:r>
        <w:rPr>
          <w:i/>
          <w:iCs/>
        </w:rPr>
        <w:t xml:space="preserve">The Role of Space in Driving Sustainability, Security, and Development</w:t>
      </w:r>
      <w:r>
        <w:t xml:space="preserve">. (Sample space cost curves; heavy launch and GEO communications satellite cost-per-kilogram structure; divergence among space-economy forecasts.)</w:t>
      </w:r>
    </w:p>
    <w:p>
      <w:pPr>
        <w:pStyle w:val="BodyText"/>
        <w:spacing w:line="480" w:lineRule="auto"/>
        <w:ind w:firstLine="720"/>
      </w:pPr>
      <w:bookmarkStart w:id="150" w:name="ref-3"/>
      <w:bookmarkEnd w:id="150"/>
      <w:r>
        <w:t xml:space="preserve">3. L. Roberts, G. Block, S. Fregoso, H. Herzog, S. Meeker, J. Roberts, J. Tesch, T. Truong, J. Rodriguez, and A. Bechter,</w:t>
      </w:r>
      <w:r>
        <w:t xml:space="preserve"> </w:t>
      </w:r>
      <w:r>
        <w:t xml:space="preserve">“First Results from the Adaptive Optics System for LCRD’s Optical Ground Station One,”</w:t>
      </w:r>
      <w:r>
        <w:t xml:space="preserve"> </w:t>
      </w:r>
      <w:r>
        <w:rPr>
          <w:i/>
          <w:iCs/>
        </w:rPr>
        <w:t xml:space="preserve">Proc. Advanced Maui Optical and Space Surveillance Technologies (AMOS) Conference</w:t>
      </w:r>
      <w:r>
        <w:t xml:space="preserve">, 2018.</w:t>
      </w:r>
    </w:p>
    <w:p>
      <w:pPr>
        <w:pStyle w:val="BodyText"/>
        <w:spacing w:line="480" w:lineRule="auto"/>
        <w:ind w:firstLine="720"/>
      </w:pPr>
      <w:bookmarkStart w:id="151" w:name="ref-4"/>
      <w:bookmarkEnd w:id="151"/>
      <w:r>
        <w:t xml:space="preserve">4. F. Bennet, M. Petkovic, B. Sheard, and B. Greene,</w:t>
      </w:r>
      <w:r>
        <w:t xml:space="preserve"> </w:t>
      </w:r>
      <w:r>
        <w:t xml:space="preserve">“High-Altitude Airborne Platform Characterisation of Adaptive Optic Corrected Ground Based Laser,”</w:t>
      </w:r>
      <w:r>
        <w:t xml:space="preserve"> </w:t>
      </w:r>
      <w:r>
        <w:rPr>
          <w:i/>
          <w:iCs/>
        </w:rPr>
        <w:t xml:space="preserve">Proc. Advanced Maui Optical and Space Surveillance Technologies (AMOS) Conference</w:t>
      </w:r>
      <w:r>
        <w:t xml:space="preserve">, 2017. (Shows imaging and flux data processing greatly reduces required downlink data rate, which reduces cost.)</w:t>
      </w:r>
    </w:p>
    <w:p>
      <w:pPr>
        <w:pStyle w:val="BodyText"/>
        <w:spacing w:line="480" w:lineRule="auto"/>
        <w:ind w:firstLine="720"/>
      </w:pPr>
      <w:bookmarkStart w:id="152" w:name="ref-5"/>
      <w:bookmarkEnd w:id="152"/>
      <w:r>
        <w:t xml:space="preserve">5. Jet Propulsion Laboratory, DSN Telecommunications Link Design Handbook (810-005), Module 104, 34-m BWG Stations Telecommunications Interfaces. deepspace.jpl.nasa.gov/dsndocs/810-005/104/104N.pdf</w:t>
      </w:r>
    </w:p>
    <w:p>
      <w:pPr>
        <w:pStyle w:val="BodyText"/>
        <w:spacing w:line="480" w:lineRule="auto"/>
        <w:ind w:firstLine="720"/>
      </w:pPr>
      <w:bookmarkStart w:id="153" w:name="ref-6"/>
      <w:bookmarkEnd w:id="153"/>
      <w:r>
        <w:t xml:space="preserve">6.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154">
        <w:r>
          <w:rPr>
            <w:rStyle w:val="Hyperlink"/>
          </w:rPr>
          <w:t xml:space="preserve">10.1016/j.actaastro.2019.09.030</w:t>
        </w:r>
      </w:hyperlink>
    </w:p>
    <w:p>
      <w:pPr>
        <w:pStyle w:val="BodyText"/>
        <w:spacing w:line="480" w:lineRule="auto"/>
        <w:ind w:firstLine="720"/>
      </w:pPr>
      <w:bookmarkStart w:id="155" w:name="ref-7"/>
      <w:bookmarkEnd w:id="155"/>
      <w:r>
        <w:t xml:space="preserve">7.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56" w:name="ref-8"/>
      <w:bookmarkEnd w:id="156"/>
      <w:r>
        <w:t xml:space="preserve">8. M. C. Weinzierl,</w:t>
      </w:r>
      <w:r>
        <w:t xml:space="preserve"> </w:t>
      </w:r>
      <w:r>
        <w:t xml:space="preserve">“Space, the Final Economic Frontier,”</w:t>
      </w:r>
      <w:r>
        <w:t xml:space="preserve"> </w:t>
      </w:r>
      <w:r>
        <w:t xml:space="preserve">2018 (Space Economy Papers corpus, source SD18).</w:t>
      </w:r>
    </w:p>
    <w:p>
      <w:pPr>
        <w:pStyle w:val="BodyText"/>
        <w:spacing w:line="480" w:lineRule="auto"/>
        <w:ind w:firstLine="720"/>
      </w:pPr>
      <w:bookmarkStart w:id="157" w:name="ref-9"/>
      <w:bookmarkEnd w:id="157"/>
      <w:r>
        <w:t xml:space="preserve">9. R. Ludwig and J. Taylor, Voyager Telecommunications, JPL DESCANSO Design and Performance Summary Series, Article 4, 2002. descanso.jpl.nasa.gov/DPSummary/Descanso4–Voyager_ed.pdf</w:t>
      </w:r>
    </w:p>
    <w:p>
      <w:pPr>
        <w:pStyle w:val="BodyText"/>
        <w:spacing w:line="480" w:lineRule="auto"/>
        <w:ind w:firstLine="720"/>
      </w:pPr>
      <w:bookmarkStart w:id="158" w:name="ref-10"/>
      <w:bookmarkEnd w:id="158"/>
      <w:r>
        <w:t xml:space="preserve">10. D. D. Morabito and R. Hastrup, Cassini Orbiter/Huygens Probe Telecommunications, JPL DESCANSO Design and Performance Summary Series, Article 3, 2002. descanso.jpl.nasa.gov/DPSummary/Descanso3–Cassini2.pdf</w:t>
      </w:r>
    </w:p>
    <w:p>
      <w:pPr>
        <w:pStyle w:val="BodyText"/>
        <w:spacing w:line="480" w:lineRule="auto"/>
        <w:ind w:firstLine="720"/>
      </w:pPr>
      <w:bookmarkStart w:id="159" w:name="ref-11"/>
      <w:bookmarkEnd w:id="159"/>
      <w:r>
        <w:t xml:space="preserve">11. J. Taylor et al., Mars Reconnaissance Orbiter Telecommunications, JPL DESCANSO Design and Performance Summary Series, Article 12, 2006. descanso.jpl.nasa.gov/DPSummary/MRO_092106.pdf</w:t>
      </w:r>
    </w:p>
    <w:p>
      <w:pPr>
        <w:pStyle w:val="BodyText"/>
        <w:spacing w:line="480" w:lineRule="auto"/>
        <w:ind w:firstLine="720"/>
      </w:pPr>
      <w:bookmarkStart w:id="160" w:name="ref-12"/>
      <w:bookmarkEnd w:id="160"/>
      <w:r>
        <w:t xml:space="preserve">12. A. Makovsky et al., Mars Science Laboratory Telecommunications System Design, JPL DESCANSO Design and Performance Summary Series, Article 14, 2009.</w:t>
      </w:r>
    </w:p>
    <w:p>
      <w:pPr>
        <w:pStyle w:val="BodyText"/>
        <w:spacing w:line="480" w:lineRule="auto"/>
        <w:ind w:firstLine="720"/>
      </w:pPr>
      <w:bookmarkStart w:id="161" w:name="ref-13"/>
      <w:bookmarkEnd w:id="161"/>
      <w:r>
        <w:t xml:space="preserve">13. Jet Propulsion Laboratory, Deep Space Network Services Catalog (820-100-F1). deepspace.jpl.nasa.gov/files/820-100-F1.pdf</w:t>
      </w:r>
    </w:p>
    <w:p>
      <w:pPr>
        <w:pStyle w:val="BodyText"/>
        <w:spacing w:line="480" w:lineRule="auto"/>
        <w:ind w:firstLine="720"/>
      </w:pPr>
      <w:bookmarkStart w:id="162" w:name="ref-14"/>
      <w:bookmarkEnd w:id="162"/>
      <w:r>
        <w:t xml:space="preserve">14. G. H. Fountain et al.,</w:t>
      </w:r>
      <w:r>
        <w:t xml:space="preserve"> </w:t>
      </w:r>
      <w:r>
        <w:t xml:space="preserve">“The New Horizons Spacecraft,”</w:t>
      </w:r>
      <w:r>
        <w:t xml:space="preserve"> </w:t>
      </w:r>
      <w:r>
        <w:t xml:space="preserve">Space Science Reviews, vol. 140, pp. 23-47, 2008. doi:</w:t>
      </w:r>
      <w:r>
        <w:t xml:space="preserve"> </w:t>
      </w:r>
      <w:hyperlink r:id="rId163">
        <w:r>
          <w:rPr>
            <w:rStyle w:val="Hyperlink"/>
          </w:rPr>
          <w:t xml:space="preserve">10.1007/s11214-008-9374-8</w:t>
        </w:r>
      </w:hyperlink>
    </w:p>
    <w:p>
      <w:pPr>
        <w:pStyle w:val="BodyText"/>
        <w:spacing w:line="480" w:lineRule="auto"/>
        <w:ind w:firstLine="720"/>
      </w:pPr>
      <w:bookmarkStart w:id="164" w:name="ref-15"/>
      <w:bookmarkEnd w:id="164"/>
      <w:r>
        <w:t xml:space="preserve">15. Wikipedia contributors,</w:t>
      </w:r>
      <w:r>
        <w:t xml:space="preserve"> </w:t>
      </w:r>
      <w:r>
        <w:t xml:space="preserve">“Radio telescope,”</w:t>
      </w:r>
      <w:r>
        <w:t xml:space="preserve"> </w:t>
      </w:r>
      <w:r>
        <w:t xml:space="preserve">Wikipedia, The Free Encyclopedia, summarizing the empirical mechanical-cost scaling of large steerable structures as approximately diameter to the 2.7 power. https://en.wikipedia.org/wiki/Radio_telescope</w:t>
      </w:r>
    </w:p>
    <w:p>
      <w:pPr>
        <w:pStyle w:val="BodyText"/>
        <w:spacing w:line="480" w:lineRule="auto"/>
        <w:ind w:firstLine="720"/>
      </w:pPr>
      <w:bookmarkStart w:id="165" w:name="ref-16"/>
      <w:bookmarkEnd w:id="165"/>
      <w:r>
        <w:t xml:space="preserve">16. J. W. Layland and L. L. Rauch,</w:t>
      </w:r>
      <w:r>
        <w:t xml:space="preserve"> </w:t>
      </w:r>
      <w:r>
        <w:t xml:space="preserve">“Cost and reliability study for a large array of small reflector antennas for JPL/NASA,”</w:t>
      </w:r>
      <w:r>
        <w:t xml:space="preserve"> </w:t>
      </w:r>
      <w:r>
        <w:t xml:space="preserve">NASA Technical Reports Server, 1993. NTRS 19930069641. https://ntrs.nasa.gov/citations/19930069641</w:t>
      </w:r>
    </w:p>
    <w:p>
      <w:pPr>
        <w:pStyle w:val="BodyText"/>
        <w:spacing w:line="480" w:lineRule="auto"/>
        <w:ind w:firstLine="720"/>
      </w:pPr>
      <w:bookmarkStart w:id="166" w:name="ref-17"/>
      <w:bookmarkEnd w:id="166"/>
      <w:r>
        <w:t xml:space="preserve">17. D. S. Bagri, J. I. Statman, and M. S. Gatti,</w:t>
      </w:r>
      <w:r>
        <w:t xml:space="preserve"> </w:t>
      </w:r>
      <w:r>
        <w:t xml:space="preserve">“Antennas for the array-based Deep Space Network: current status and future designs,”</w:t>
      </w:r>
      <w:r>
        <w:t xml:space="preserve"> </w:t>
      </w:r>
      <w:r>
        <w:t xml:space="preserve">NASA Technical Reports Server, 2005. NTRS 20060043666. https://ntrs.nasa.gov/citations/20060043666</w:t>
      </w:r>
    </w:p>
    <w:p>
      <w:pPr>
        <w:pStyle w:val="BodyText"/>
        <w:spacing w:line="480" w:lineRule="auto"/>
        <w:ind w:firstLine="720"/>
      </w:pPr>
      <w:bookmarkStart w:id="167" w:name="ref-18"/>
      <w:bookmarkEnd w:id="167"/>
      <w:r>
        <w:t xml:space="preserve">18. V. Vilnrotter and D. Lee,</w:t>
      </w:r>
      <w:r>
        <w:t xml:space="preserve"> </w:t>
      </w:r>
      <w:r>
        <w:t xml:space="preserve">“Uplink array system of large or small aperture antennas for the Deep Space Network,”</w:t>
      </w:r>
      <w:r>
        <w:t xml:space="preserve"> </w:t>
      </w:r>
      <w:r>
        <w:t xml:space="preserve">NASA Technical Reports Server, 2004. NTRS 20060029384. https://ntrs.nasa.gov/citations/20060029384</w:t>
      </w:r>
    </w:p>
    <w:p>
      <w:pPr>
        <w:pStyle w:val="BodyText"/>
        <w:spacing w:line="480" w:lineRule="auto"/>
        <w:ind w:firstLine="720"/>
      </w:pPr>
      <w:bookmarkStart w:id="168" w:name="ref-19"/>
      <w:bookmarkEnd w:id="168"/>
      <w:r>
        <w:t xml:space="preserve">19. J. Statman and C. Stelzried,</w:t>
      </w:r>
      <w:r>
        <w:t xml:space="preserve"> </w:t>
      </w:r>
      <w:r>
        <w:t xml:space="preserve">“Lower-cost architectures for large arrays of small antennas,”</w:t>
      </w:r>
      <w:r>
        <w:t xml:space="preserve"> </w:t>
      </w:r>
      <w:r>
        <w:t xml:space="preserve">NASA Technical Reports Server, 2006. NTRS 20060044237. https://ntrs.nasa.gov/citations/20060044237</w:t>
      </w:r>
    </w:p>
    <w:p>
      <w:pPr>
        <w:pStyle w:val="BodyText"/>
        <w:spacing w:line="480" w:lineRule="auto"/>
        <w:ind w:firstLine="720"/>
      </w:pPr>
      <w:bookmarkStart w:id="169" w:name="ref-20"/>
      <w:bookmarkEnd w:id="169"/>
      <w:r>
        <w:t xml:space="preserve">20. L. R. D’Addario,</w:t>
      </w:r>
      <w:r>
        <w:t xml:space="preserve"> </w:t>
      </w:r>
      <w:r>
        <w:t xml:space="preserve">“System concepts for transmit arrays of parabolic antennas for deep space uplinks,”</w:t>
      </w:r>
      <w:r>
        <w:t xml:space="preserve"> </w:t>
      </w:r>
      <w:r>
        <w:t xml:space="preserve">NASA Technical Reports Server, 2005. NTRS 20060043861. https://ntrs.nasa.gov/citations/20060043861</w:t>
      </w:r>
    </w:p>
    <w:p>
      <w:pPr>
        <w:pStyle w:val="BodyText"/>
        <w:spacing w:line="480" w:lineRule="auto"/>
        <w:ind w:firstLine="720"/>
      </w:pPr>
      <w:bookmarkStart w:id="170" w:name="ref-21"/>
      <w:bookmarkEnd w:id="170"/>
      <w:r>
        <w:t xml:space="preserve">21. M. H. Brockman and others,</w:t>
      </w:r>
      <w:r>
        <w:t xml:space="preserve"> </w:t>
      </w:r>
      <w:r>
        <w:t xml:space="preserve">“Synthesis of a large communications aperture using small antennas,”</w:t>
      </w:r>
      <w:r>
        <w:t xml:space="preserve"> </w:t>
      </w:r>
      <w:r>
        <w:t xml:space="preserve">NASA Technical Reports Server, 1994. NTRS 19950016435. https://ntrs.nasa.gov/citations/19950016435</w:t>
      </w:r>
    </w:p>
    <w:p>
      <w:pPr>
        <w:pStyle w:val="BodyText"/>
        <w:spacing w:line="480" w:lineRule="auto"/>
        <w:ind w:firstLine="720"/>
      </w:pPr>
      <w:bookmarkStart w:id="171" w:name="ref-22"/>
      <w:bookmarkEnd w:id="171"/>
      <w:r>
        <w:t xml:space="preserve">22. Mark R. Ackermann, (Sandia National Laboratories), Rex R. Kiziah, (United States Air Force Academy), Peter C. Zimmer, (University of New Mexico), J. Douglas Beason, (Universities Space Research Association), Earl J. Spillar, (Air Force Research Laboratory), David D. Cox, (Sandia National Laboratories), John T. McGraw, (University of New Mexico), W. Thomas Vestrand, (Los Alamos National Laboratory), Mark Weeks, (Bay Area Termite). Affordable Options for Ground-based, Large-aperture Optical Space Surveillance Systems (2013).</w:t>
      </w:r>
    </w:p>
    <w:p>
      <w:pPr>
        <w:pStyle w:val="BodyText"/>
        <w:spacing w:line="480" w:lineRule="auto"/>
        <w:ind w:firstLine="720"/>
      </w:pPr>
      <w:bookmarkStart w:id="172" w:name="ref-23"/>
      <w:bookmarkEnd w:id="172"/>
      <w:r>
        <w:t xml:space="preserve">23. Jacob Dahlke, Air Force Institute of Technology (AFIT); Col. Robert Bettinger, Air Force Institute of Technology (AFIT); Rachel Oliver, Air Force Institute of Technology (AFIT). Enhanced Heuristic Algorithm for Optimal Cislunar Space Situational Awareness Architecture (2024). doi:</w:t>
      </w:r>
      <w:r>
        <w:t xml:space="preserve"> </w:t>
      </w:r>
      <w:hyperlink r:id="rId173">
        <w:r>
          <w:rPr>
            <w:rStyle w:val="Hyperlink"/>
          </w:rPr>
          <w:t xml:space="preserve">10.64861/EEGX8108</w:t>
        </w:r>
      </w:hyperlink>
    </w:p>
    <w:p>
      <w:pPr>
        <w:pStyle w:val="BodyText"/>
        <w:spacing w:line="480" w:lineRule="auto"/>
        <w:ind w:firstLine="720"/>
      </w:pPr>
      <w:bookmarkStart w:id="174" w:name="ref-24"/>
      <w:bookmarkEnd w:id="174"/>
      <w:r>
        <w:t xml:space="preserve">24. Ryan D. Coder, (Georgia Institute of Technology), Marcus J. Holzinger, (Georgia Institute of Technology). Sizing of a Raven-class Telescope Using Performance Sensitivities (2013).</w:t>
      </w:r>
    </w:p>
    <w:p>
      <w:pPr>
        <w:pStyle w:val="BodyText"/>
        <w:spacing w:line="480" w:lineRule="auto"/>
        <w:ind w:firstLine="720"/>
      </w:pPr>
      <w:bookmarkStart w:id="175" w:name="ref-25"/>
      <w:bookmarkEnd w:id="175"/>
      <w:r>
        <w:t xml:space="preserve">25. Michael Felten, U.S. Air Force; John Colombi, AFIT; Richard Cobb, AFIT; David Meyer, AFIT. Optimization of Geosynchronous Space Situational Awareness Architectures using Parallel Computation (2018).</w:t>
      </w:r>
    </w:p>
    <w:p>
      <w:pPr>
        <w:pStyle w:val="BodyText"/>
        <w:spacing w:line="480" w:lineRule="auto"/>
        <w:ind w:firstLine="720"/>
      </w:pPr>
      <w:bookmarkStart w:id="176" w:name="ref-26"/>
      <w:bookmarkEnd w:id="176"/>
      <w:r>
        <w:t xml:space="preserve">26. Barry Geldzahler (NASA), Dr. Larry D Addario (Jet Propulsion Laboratory), Melanie Ott (NASA Goddard Space Flight Center), Rick Birr (NASA Kennedy Space Center), Gary Woods (NASA Kennedy Space Center), Michael Miller (NASA Kennedy Space Center). High Resolution Radar for NASA and Space Situational Awareness for Observation and Monitoring (2014).</w:t>
      </w:r>
    </w:p>
    <w:p>
      <w:pPr>
        <w:pStyle w:val="BodyText"/>
        <w:spacing w:line="480" w:lineRule="auto"/>
        <w:ind w:firstLine="720"/>
      </w:pPr>
      <w:bookmarkStart w:id="177" w:name="ref-27"/>
      <w:bookmarkEnd w:id="177"/>
      <w:r>
        <w:t xml:space="preserve">27. Matthew A. Davies, The University of North Carolina at Charlotte; Brian S. Dutterer, The University of North Carolina at Charlotte; Steven Swagler, The University of North Carolina at Charlotte; Eann LAwing, The University of North Carolina at Charlotte; Nicholas Horvath, The University of North Carolina at Charlotte; Jannick Rolland, The Institute of Optics, University of Rochester; Aaron Bauer, The Institute of Optics, University of Rochester. Optomechanical Design and Fabrication of a Wide Field of View 250-mm-aperture Freeform Imaging System (2021). doi:</w:t>
      </w:r>
      <w:r>
        <w:t xml:space="preserve"> </w:t>
      </w:r>
      <w:hyperlink r:id="rId178">
        <w:r>
          <w:rPr>
            <w:rStyle w:val="Hyperlink"/>
          </w:rPr>
          <w:t xml:space="preserve">10.1364/AO.410350</w:t>
        </w:r>
      </w:hyperlink>
    </w:p>
    <w:p>
      <w:pPr>
        <w:pStyle w:val="BodyText"/>
        <w:spacing w:line="480" w:lineRule="auto"/>
        <w:ind w:firstLine="720"/>
      </w:pPr>
      <w:bookmarkStart w:id="179" w:name="ref-28"/>
      <w:bookmarkEnd w:id="179"/>
      <w:r>
        <w:t xml:space="preserve">28. Richard Stottler, Stottler Henke Associates, Inc.; Gregory Howe, Stottler Henke Associates, Inc.. Delay/Disruption Tolerant Reinforcement Learning Aurora based Communication System (DREAMS) (2022).</w:t>
      </w:r>
    </w:p>
    <w:p>
      <w:pPr>
        <w:pStyle w:val="BodyText"/>
        <w:spacing w:line="480" w:lineRule="auto"/>
        <w:ind w:firstLine="720"/>
      </w:pPr>
      <w:bookmarkStart w:id="180" w:name="ref-29"/>
      <w:bookmarkEnd w:id="180"/>
      <w:r>
        <w:t xml:space="preserve">29. Jesse Greaves, University of Colorado Boulder; Daniel Scheeres, University of Colorado Boulder. Maneuver Detection for Cislunar Vehicles using Optical Measurements (2020).</w:t>
      </w:r>
    </w:p>
    <w:p>
      <w:pPr>
        <w:pStyle w:val="BodyText"/>
        <w:spacing w:line="480" w:lineRule="auto"/>
        <w:ind w:firstLine="720"/>
      </w:pPr>
      <w:bookmarkStart w:id="181" w:name="ref-30"/>
      <w:bookmarkEnd w:id="181"/>
      <w:r>
        <w:t xml:space="preserve">30. Shanmurugan Selvamurgan; E. Glenn Lightsey; Koki Ho. Time-optimal trajectory design of distributed space systems for in-space transportation in Earth Orbit (2026). doi:</w:t>
      </w:r>
      <w:r>
        <w:t xml:space="preserve"> </w:t>
      </w:r>
      <w:hyperlink r:id="rId182">
        <w:r>
          <w:rPr>
            <w:rStyle w:val="Hyperlink"/>
          </w:rPr>
          <w:t xml:space="preserve">10.1016/j.actaastro.2026.05.056</w:t>
        </w:r>
      </w:hyperlink>
    </w:p>
    <w:p>
      <w:pPr>
        <w:pStyle w:val="BodyText"/>
        <w:spacing w:line="480" w:lineRule="auto"/>
        <w:ind w:firstLine="720"/>
      </w:pPr>
      <w:bookmarkStart w:id="183" w:name="ref-31"/>
      <w:bookmarkEnd w:id="183"/>
      <w:r>
        <w:t xml:space="preserve">31. J.D. Menges; K.M. Cannon. Natural Landing Pads on the Moon and Mars (2026). doi:</w:t>
      </w:r>
      <w:r>
        <w:t xml:space="preserve"> </w:t>
      </w:r>
      <w:hyperlink r:id="rId184">
        <w:r>
          <w:rPr>
            <w:rStyle w:val="Hyperlink"/>
          </w:rPr>
          <w:t xml:space="preserve">10.1016/j.actaastro.2026.01.045</w:t>
        </w:r>
      </w:hyperlink>
    </w:p>
    <w:p>
      <w:pPr>
        <w:pStyle w:val="BodyText"/>
        <w:spacing w:line="480" w:lineRule="auto"/>
        <w:ind w:firstLine="720"/>
      </w:pPr>
      <w:bookmarkStart w:id="185" w:name="ref-32"/>
      <w:bookmarkEnd w:id="185"/>
      <w:r>
        <w:t xml:space="preserve">32. Alejandro Macario Rojas; D. M. Weigt; L. Alberto Cañizares; Shane A. Maloney; Sophie A. Murray; Peter T. Gallagher; Nicholas H. Crisp; Ciara McGrath. Mission concept for SURROUND: Operational space weather detection and tracking using small spacecraft (2026). doi:</w:t>
      </w:r>
      <w:r>
        <w:t xml:space="preserve"> </w:t>
      </w:r>
      <w:hyperlink r:id="rId186">
        <w:r>
          <w:rPr>
            <w:rStyle w:val="Hyperlink"/>
          </w:rPr>
          <w:t xml:space="preserve">10.1016/j.actaastro.2025.12.055</w:t>
        </w:r>
      </w:hyperlink>
    </w:p>
    <w:p>
      <w:pPr>
        <w:pStyle w:val="BodyText"/>
        <w:spacing w:line="480" w:lineRule="auto"/>
        <w:ind w:firstLine="720"/>
      </w:pPr>
      <w:bookmarkStart w:id="187" w:name="ref-33"/>
      <w:bookmarkEnd w:id="187"/>
      <w:r>
        <w:t xml:space="preserve">33. Remi LaBelle; D. Rochblatt. Calibration and performance measurements for the nasa deep space network aperture enhancement project (daep) (2018). doi:</w:t>
      </w:r>
      <w:r>
        <w:t xml:space="preserve"> </w:t>
      </w:r>
      <w:hyperlink r:id="rId188">
        <w:r>
          <w:rPr>
            <w:rStyle w:val="Hyperlink"/>
          </w:rPr>
          <w:t xml:space="preserve">10.1016/j.actaastro.2018.03.011</w:t>
        </w:r>
      </w:hyperlink>
    </w:p>
    <w:p>
      <w:pPr>
        <w:pStyle w:val="BodyText"/>
        <w:spacing w:line="480" w:lineRule="auto"/>
        <w:ind w:firstLine="720"/>
      </w:pPr>
      <w:bookmarkStart w:id="189" w:name="ref-34"/>
      <w:bookmarkEnd w:id="189"/>
      <w:r>
        <w:t xml:space="preserve">34. Giuseppe Di Pasquale; Brandon Israel Escamilla Estrada; Daniel González-Arribas; Manuel Sanjurjo-Rivo; Daniel Pérez Grande. Multi-disciplinary optimization of constellation deployment strategies including launcher selection (2024). doi:</w:t>
      </w:r>
      <w:r>
        <w:t xml:space="preserve"> </w:t>
      </w:r>
      <w:hyperlink r:id="rId190">
        <w:r>
          <w:rPr>
            <w:rStyle w:val="Hyperlink"/>
          </w:rPr>
          <w:t xml:space="preserve">10.1016/j.actaastro.2024.07.030</w:t>
        </w:r>
      </w:hyperlink>
    </w:p>
    <w:p>
      <w:pPr>
        <w:pStyle w:val="BodyText"/>
        <w:spacing w:line="480" w:lineRule="auto"/>
        <w:ind w:firstLine="720"/>
      </w:pPr>
      <w:bookmarkStart w:id="191" w:name="ref-35"/>
      <w:bookmarkEnd w:id="191"/>
      <w:r>
        <w:t xml:space="preserve">35. Aisha Parveen; Galina Vassilieva; Julia A. Popova; E. Fomina; Alexandra Savinkina; Carine Platat. Effects of an 8-month isolation on body composition and cardiopulmonary exercise testing: SIRIUS-21 space analog mission (2025). doi:</w:t>
      </w:r>
      <w:r>
        <w:t xml:space="preserve"> </w:t>
      </w:r>
      <w:hyperlink r:id="rId192">
        <w:r>
          <w:rPr>
            <w:rStyle w:val="Hyperlink"/>
          </w:rPr>
          <w:t xml:space="preserve">10.1016/j.actaastro.2025.10.028</w:t>
        </w:r>
      </w:hyperlink>
    </w:p>
    <w:p>
      <w:pPr>
        <w:pStyle w:val="BodyText"/>
        <w:spacing w:line="480" w:lineRule="auto"/>
        <w:ind w:firstLine="720"/>
      </w:pPr>
      <w:bookmarkStart w:id="193" w:name="ref-36"/>
      <w:bookmarkEnd w:id="193"/>
      <w:r>
        <w:t xml:space="preserve">36. Paula Betriu; M. Sòria; J. Gutiérrez; Marcel Llopis; Antoni Barlabé. An assessment of different relay network topologies to improve Earth–Mars communications (2023). doi:</w:t>
      </w:r>
      <w:r>
        <w:t xml:space="preserve"> </w:t>
      </w:r>
      <w:hyperlink r:id="rId194">
        <w:r>
          <w:rPr>
            <w:rStyle w:val="Hyperlink"/>
          </w:rPr>
          <w:t xml:space="preserve">10.1016/j.actaastro.2023.01.040</w:t>
        </w:r>
      </w:hyperlink>
    </w:p>
    <w:p>
      <w:pPr>
        <w:pStyle w:val="BodyText"/>
        <w:spacing w:line="480" w:lineRule="auto"/>
        <w:ind w:firstLine="720"/>
      </w:pPr>
      <w:bookmarkStart w:id="195" w:name="ref-37"/>
      <w:bookmarkEnd w:id="195"/>
      <w:r>
        <w:t xml:space="preserve">37. Yanping Guo. Flying Parker Solar Probe to touch the Sun (2023). doi:</w:t>
      </w:r>
      <w:r>
        <w:t xml:space="preserve"> </w:t>
      </w:r>
      <w:hyperlink r:id="rId196">
        <w:r>
          <w:rPr>
            <w:rStyle w:val="Hyperlink"/>
          </w:rPr>
          <w:t xml:space="preserve">10.1016/j.actaastro.2023.10.020</w:t>
        </w:r>
      </w:hyperlink>
    </w:p>
    <w:bookmarkEnd w:id="197"/>
    <w:bookmarkEnd w:id="198"/>
    <w:bookmarkStart w:id="21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6" w:name="Xf6dae96019f9bcd97178a8ad571e48f8f0ac70a"/>
    <w:p>
      <w:pPr>
        <w:pStyle w:val="Heading2"/>
        <w:spacing w:line="480" w:lineRule="auto"/>
      </w:pPr>
      <w:r>
        <w:t xml:space="preserve">A.1 The Aperture Margin: A Fixed-Effects Estimate of Ground-Antenna Aperture Elasticity in Deep Space Network Downlink Capacity</w:t>
      </w:r>
    </w:p>
    <w:p>
      <w:pPr>
        <w:pStyle w:val="FirstParagraph"/>
        <w:spacing w:line="480" w:lineRule="auto"/>
      </w:pPr>
      <m:oMathPara>
        <m:oMathParaPr>
          <m:jc m:val="center"/>
        </m:oMathParaPr>
        <m:oMath>
          <m:r>
            <m:rPr>
              <m:sty m:val="p"/>
            </m:rPr>
            <m:t>ln</m:t>
          </m:r>
          <m:r>
            <m:rPr>
              <m:sty m:val="p"/>
            </m:rPr>
            <m:t>(</m:t>
          </m:r>
          <m:sSub>
            <m:e>
              <m:r>
                <m:t>R</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D</m:t>
              </m:r>
            </m:e>
            <m:sub>
              <m:r>
                <m:t>i</m:t>
              </m:r>
            </m:sub>
          </m:sSub>
          <m:r>
            <m:rPr>
              <m:sty m:val="p"/>
            </m:rPr>
            <m:t>)</m:t>
          </m:r>
          <m:r>
            <m:rPr>
              <m:sty m:val="p"/>
            </m:rPr>
            <m:t>+</m:t>
          </m:r>
          <m:sSub>
            <m:e>
              <m:r>
                <m:t>β</m:t>
              </m:r>
            </m:e>
            <m:sub>
              <m:r>
                <m:t>2</m:t>
              </m:r>
            </m:sub>
          </m:sSub>
          <m:r>
            <m:rPr>
              <m:sty m:val="p"/>
            </m:rPr>
            <m:t>ln</m:t>
          </m:r>
          <m:r>
            <m:rPr>
              <m:sty m:val="p"/>
            </m:rPr>
            <m:t>(</m:t>
          </m:r>
          <m:sSub>
            <m:e>
              <m:r>
                <m:t>ρ</m:t>
              </m:r>
            </m:e>
            <m:sub>
              <m:r>
                <m:t>i</m:t>
              </m:r>
            </m:sub>
          </m:sSub>
          <m:r>
            <m:rPr>
              <m:sty m:val="p"/>
            </m:rPr>
            <m:t>)</m:t>
          </m:r>
          <m:r>
            <m:rPr>
              <m:sty m:val="p"/>
            </m:rPr>
            <m:t>+</m:t>
          </m:r>
          <m:sSub>
            <m:e>
              <m:r>
                <m:t>β</m:t>
              </m:r>
            </m:e>
            <m:sub>
              <m:r>
                <m:t>3</m:t>
              </m:r>
            </m:sub>
          </m:sSub>
          <m:r>
            <m:rPr>
              <m:sty m:val="p"/>
            </m:rPr>
            <m:t>ln</m:t>
          </m:r>
          <m:r>
            <m:rPr>
              <m:sty m:val="p"/>
            </m:rPr>
            <m:t>(</m:t>
          </m:r>
          <m:sSub>
            <m:e>
              <m:r>
                <m:t>P</m:t>
              </m:r>
            </m:e>
            <m:sub>
              <m:r>
                <m:t>i</m:t>
              </m:r>
            </m:sub>
          </m:sSub>
          <m:r>
            <m:rPr>
              <m:sty m:val="p"/>
            </m:rPr>
            <m:t>)</m:t>
          </m:r>
          <m:r>
            <m:rPr>
              <m:sty m:val="p"/>
            </m:rPr>
            <m:t>+</m:t>
          </m:r>
          <m:sSub>
            <m:e>
              <m:r>
                <m:t>β</m:t>
              </m:r>
            </m:e>
            <m:sub>
              <m:r>
                <m:t>4</m:t>
              </m:r>
            </m:sub>
          </m:sSub>
          <m:r>
            <m:t> </m:t>
          </m:r>
          <m:sSub>
            <m:e>
              <m:r>
                <m:rPr>
                  <m:sty m:val="p"/>
                </m:rPr>
                <m:t>K</m:t>
              </m:r>
              <m:r>
                <m:rPr>
                  <m:sty m:val="p"/>
                </m:rPr>
                <m:t>a</m:t>
              </m:r>
            </m:e>
            <m:sub>
              <m:r>
                <m:t>i</m:t>
              </m:r>
            </m:sub>
          </m:sSub>
          <m:r>
            <m:rPr>
              <m:sty m:val="p"/>
            </m:rPr>
            <m:t>+</m:t>
          </m:r>
          <m:sSub>
            <m:e>
              <m:r>
                <m:t>ε</m:t>
              </m:r>
            </m:e>
            <m:sub>
              <m:r>
                <m:t>i</m:t>
              </m:r>
            </m:sub>
          </m:sSub>
        </m:oMath>
      </m:oMathPara>
    </w:p>
    <w:bookmarkStart w:id="19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3.5815</w:t>
            </w:r>
          </w:p>
        </w:tc>
        <w:tc>
          <w:tcPr>
            <w:tcW w:w="0" w:type="auto"/>
          </w:tcPr>
          <w:p>
            <w:pPr>
              <w:spacing w:line="240" w:lineRule="auto" w:before="0" w:after="0"/>
              <w:pStyle w:val="Compact"/>
            </w:pPr>
            <w:r>
              <w:rPr>
                <w:sz w:val="20"/>
                <w:szCs w:val="20"/>
              </w:rPr>
              <w:t xml:space="preserve">6.5377</w:t>
            </w:r>
          </w:p>
        </w:tc>
        <w:tc>
          <w:tcPr>
            <w:tcW w:w="0" w:type="auto"/>
          </w:tcPr>
          <w:p>
            <w:pPr>
              <w:spacing w:line="240" w:lineRule="auto" w:before="0" w:after="0"/>
              <w:pStyle w:val="Compact"/>
            </w:pPr>
            <w:r>
              <w:rPr>
                <w:sz w:val="20"/>
                <w:szCs w:val="20"/>
              </w:rPr>
              <w:t xml:space="preserve">0.5478</w:t>
            </w:r>
          </w:p>
        </w:tc>
        <w:tc>
          <w:tcPr>
            <w:tcW w:w="0" w:type="auto"/>
          </w:tcPr>
          <w:p>
            <w:pPr>
              <w:spacing w:line="240" w:lineRule="auto" w:before="0" w:after="0"/>
              <w:pStyle w:val="Compact"/>
            </w:pPr>
            <w:r>
              <w:rPr>
                <w:sz w:val="20"/>
                <w:szCs w:val="20"/>
              </w:rPr>
              <w:t xml:space="preserve">0.5838</w:t>
            </w:r>
          </w:p>
        </w:tc>
        <w:tc>
          <w:tcPr>
            <w:tcW w:w="0" w:type="auto"/>
          </w:tcPr>
          <w:p>
            <w:pPr>
              <w:spacing w:line="240" w:lineRule="auto" w:before="0" w:after="0"/>
              <w:pStyle w:val="Compact"/>
            </w:pPr>
            <w:r>
              <w:rPr>
                <w:sz w:val="20"/>
                <w:szCs w:val="20"/>
              </w:rPr>
              <w:t xml:space="preserve">[-9.2323, 16.3952]</w:t>
            </w:r>
          </w:p>
        </w:tc>
      </w:tr>
      <w:tr>
        <w:tc>
          <w:tcPr>
            <w:tcW w:w="0" w:type="auto"/>
          </w:tcPr>
          <w:p>
            <w:pPr>
              <w:spacing w:line="240" w:lineRule="auto" w:before="0" w:after="0"/>
              <w:pStyle w:val="Compact"/>
            </w:pPr>
            <w:r>
              <w:rPr>
                <w:sz w:val="20"/>
                <w:szCs w:val="20"/>
              </w:rPr>
              <w:t xml:space="preserve">ln_aperture_m</w:t>
            </w:r>
          </w:p>
        </w:tc>
        <w:tc>
          <w:tcPr>
            <w:tcW w:w="0" w:type="auto"/>
          </w:tcPr>
          <w:p>
            <w:pPr>
              <w:spacing w:line="240" w:lineRule="auto" w:before="0" w:after="0"/>
              <w:pStyle w:val="Compact"/>
            </w:pPr>
            <w:r>
              <w:rPr>
                <w:sz w:val="20"/>
                <w:szCs w:val="20"/>
              </w:rPr>
              <w:t xml:space="preserve">-1.1984</w:t>
            </w:r>
          </w:p>
        </w:tc>
        <w:tc>
          <w:tcPr>
            <w:tcW w:w="0" w:type="auto"/>
          </w:tcPr>
          <w:p>
            <w:pPr>
              <w:spacing w:line="240" w:lineRule="auto" w:before="0" w:after="0"/>
              <w:pStyle w:val="Compact"/>
            </w:pPr>
            <w:r>
              <w:rPr>
                <w:sz w:val="20"/>
                <w:szCs w:val="20"/>
              </w:rPr>
              <w:t xml:space="preserve">1.4414</w:t>
            </w:r>
          </w:p>
        </w:tc>
        <w:tc>
          <w:tcPr>
            <w:tcW w:w="0" w:type="auto"/>
          </w:tcPr>
          <w:p>
            <w:pPr>
              <w:spacing w:line="240" w:lineRule="auto" w:before="0" w:after="0"/>
              <w:pStyle w:val="Compact"/>
            </w:pPr>
            <w:r>
              <w:rPr>
                <w:sz w:val="20"/>
                <w:szCs w:val="20"/>
              </w:rPr>
              <w:t xml:space="preserve">-0.8314</w:t>
            </w:r>
          </w:p>
        </w:tc>
        <w:tc>
          <w:tcPr>
            <w:tcW w:w="0" w:type="auto"/>
          </w:tcPr>
          <w:p>
            <w:pPr>
              <w:spacing w:line="240" w:lineRule="auto" w:before="0" w:after="0"/>
              <w:pStyle w:val="Compact"/>
            </w:pPr>
            <w:r>
              <w:rPr>
                <w:sz w:val="20"/>
                <w:szCs w:val="20"/>
              </w:rPr>
              <w:t xml:space="preserve">0.4058</w:t>
            </w:r>
          </w:p>
        </w:tc>
        <w:tc>
          <w:tcPr>
            <w:tcW w:w="0" w:type="auto"/>
          </w:tcPr>
          <w:p>
            <w:pPr>
              <w:spacing w:line="240" w:lineRule="auto" w:before="0" w:after="0"/>
              <w:pStyle w:val="Compact"/>
            </w:pPr>
            <w:r>
              <w:rPr>
                <w:sz w:val="20"/>
                <w:szCs w:val="20"/>
              </w:rPr>
              <w:t xml:space="preserve">[-4.0235, 1.6267]</w:t>
            </w:r>
          </w:p>
        </w:tc>
      </w:tr>
      <w:tr>
        <w:tc>
          <w:tcPr>
            <w:tcW w:w="0" w:type="auto"/>
          </w:tcPr>
          <w:p>
            <w:pPr>
              <w:spacing w:line="240" w:lineRule="auto" w:before="0" w:after="0"/>
              <w:pStyle w:val="Compact"/>
            </w:pPr>
            <w:r>
              <w:rPr>
                <w:sz w:val="20"/>
                <w:szCs w:val="20"/>
              </w:rPr>
              <w:t xml:space="preserve">ln_distance_au</w:t>
            </w:r>
          </w:p>
        </w:tc>
        <w:tc>
          <w:tcPr>
            <w:tcW w:w="0" w:type="auto"/>
          </w:tcPr>
          <w:p>
            <w:pPr>
              <w:spacing w:line="240" w:lineRule="auto" w:before="0" w:after="0"/>
              <w:pStyle w:val="Compact"/>
            </w:pPr>
            <w:r>
              <w:rPr>
                <w:sz w:val="20"/>
                <w:szCs w:val="20"/>
              </w:rPr>
              <w:t xml:space="preserve">-0.4672</w:t>
            </w:r>
          </w:p>
        </w:tc>
        <w:tc>
          <w:tcPr>
            <w:tcW w:w="0" w:type="auto"/>
          </w:tcPr>
          <w:p>
            <w:pPr>
              <w:spacing w:line="240" w:lineRule="auto" w:before="0" w:after="0"/>
              <w:pStyle w:val="Compact"/>
            </w:pPr>
            <w:r>
              <w:rPr>
                <w:sz w:val="20"/>
                <w:szCs w:val="20"/>
              </w:rPr>
              <w:t xml:space="preserve">0.2429</w:t>
            </w:r>
          </w:p>
        </w:tc>
        <w:tc>
          <w:tcPr>
            <w:tcW w:w="0" w:type="auto"/>
          </w:tcPr>
          <w:p>
            <w:pPr>
              <w:spacing w:line="240" w:lineRule="auto" w:before="0" w:after="0"/>
              <w:pStyle w:val="Compact"/>
            </w:pPr>
            <w:r>
              <w:rPr>
                <w:sz w:val="20"/>
                <w:szCs w:val="20"/>
              </w:rPr>
              <w:t xml:space="preserve">-1.9232</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[-0.9433, 0.0089]</w:t>
            </w:r>
          </w:p>
        </w:tc>
      </w:tr>
      <w:tr>
        <w:tc>
          <w:tcPr>
            <w:tcW w:w="0" w:type="auto"/>
          </w:tcPr>
          <w:p>
            <w:pPr>
              <w:spacing w:line="240" w:lineRule="auto" w:before="0" w:after="0"/>
              <w:pStyle w:val="Compact"/>
            </w:pPr>
            <w:r>
              <w:rPr>
                <w:sz w:val="20"/>
                <w:szCs w:val="20"/>
              </w:rPr>
              <w:t xml:space="preserve">ln_xmit_power_w</w:t>
            </w:r>
          </w:p>
        </w:tc>
        <w:tc>
          <w:tcPr>
            <w:tcW w:w="0" w:type="auto"/>
          </w:tcPr>
          <w:p>
            <w:pPr>
              <w:spacing w:line="240" w:lineRule="auto" w:before="0" w:after="0"/>
              <w:pStyle w:val="Compact"/>
            </w:pPr>
            <w:r>
              <w:rPr>
                <w:sz w:val="20"/>
                <w:szCs w:val="20"/>
              </w:rPr>
              <w:t xml:space="preserve">1.5616</w:t>
            </w:r>
          </w:p>
        </w:tc>
        <w:tc>
          <w:tcPr>
            <w:tcW w:w="0" w:type="auto"/>
          </w:tcPr>
          <w:p>
            <w:pPr>
              <w:spacing w:line="240" w:lineRule="auto" w:before="0" w:after="0"/>
              <w:pStyle w:val="Compact"/>
            </w:pPr>
            <w:r>
              <w:rPr>
                <w:sz w:val="20"/>
                <w:szCs w:val="20"/>
              </w:rPr>
              <w:t xml:space="preserve">0.5507</w:t>
            </w:r>
          </w:p>
        </w:tc>
        <w:tc>
          <w:tcPr>
            <w:tcW w:w="0" w:type="auto"/>
          </w:tcPr>
          <w:p>
            <w:pPr>
              <w:spacing w:line="240" w:lineRule="auto" w:before="0" w:after="0"/>
              <w:pStyle w:val="Compact"/>
            </w:pPr>
            <w:r>
              <w:rPr>
                <w:sz w:val="20"/>
                <w:szCs w:val="20"/>
              </w:rPr>
              <w:t xml:space="preserve">2.8356</w:t>
            </w:r>
          </w:p>
        </w:tc>
        <w:tc>
          <w:tcPr>
            <w:tcW w:w="0" w:type="auto"/>
          </w:tcPr>
          <w:p>
            <w:pPr>
              <w:spacing w:line="240" w:lineRule="auto" w:before="0" w:after="0"/>
              <w:pStyle w:val="Compact"/>
            </w:pPr>
            <w:r>
              <w:rPr>
                <w:sz w:val="20"/>
                <w:szCs w:val="20"/>
              </w:rPr>
              <w:t xml:space="preserve">0.0046</w:t>
            </w:r>
          </w:p>
        </w:tc>
        <w:tc>
          <w:tcPr>
            <w:tcW w:w="0" w:type="auto"/>
          </w:tcPr>
          <w:p>
            <w:pPr>
              <w:spacing w:line="240" w:lineRule="auto" w:before="0" w:after="0"/>
              <w:pStyle w:val="Compact"/>
            </w:pPr>
            <w:r>
              <w:rPr>
                <w:sz w:val="20"/>
                <w:szCs w:val="20"/>
              </w:rPr>
              <w:t xml:space="preserve">[0.4822, 2.641]</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3.0937</w:t>
            </w:r>
          </w:p>
        </w:tc>
        <w:tc>
          <w:tcPr>
            <w:tcW w:w="0" w:type="auto"/>
          </w:tcPr>
          <w:p>
            <w:pPr>
              <w:spacing w:line="240" w:lineRule="auto" w:before="0" w:after="0"/>
              <w:pStyle w:val="Compact"/>
            </w:pPr>
            <w:r>
              <w:rPr>
                <w:sz w:val="20"/>
                <w:szCs w:val="20"/>
              </w:rPr>
              <w:t xml:space="preserve">1.343</w:t>
            </w:r>
          </w:p>
        </w:tc>
        <w:tc>
          <w:tcPr>
            <w:tcW w:w="0" w:type="auto"/>
          </w:tcPr>
          <w:p>
            <w:pPr>
              <w:spacing w:line="240" w:lineRule="auto" w:before="0" w:after="0"/>
              <w:pStyle w:val="Compact"/>
            </w:pPr>
            <w:r>
              <w:rPr>
                <w:sz w:val="20"/>
                <w:szCs w:val="20"/>
              </w:rPr>
              <w:t xml:space="preserve">2.3035</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[0.4614, 5.726]</w:t>
            </w:r>
          </w:p>
        </w:tc>
      </w:tr>
    </w:tbl>
    <w:p>
      <w:pPr>
        <w:pStyle w:val="BodyText"/>
        <w:spacing w:line="480" w:lineRule="auto"/>
        <w:ind w:firstLine="720"/>
      </w:pPr>
      <w:r>
        <w:t xml:space="preserve">Fit: N = 30 R2 = 0.5972 R2_adj = 0.5327 F = 12.9247 F_p = 7.739e-06</w:t>
      </w:r>
    </w:p>
    <w:bookmarkEnd w:id="199"/>
    <w:bookmarkStart w:id="20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ocumented deep-space mission downlink rates against DSN ground-antenna aperture (log-log). Each point is a documented mission-antenna configuration; the fitted slope is the partial aperture elasticity after conditioning on distance, transmit power, and frequency band." title="" id="201" name="Picture"/>
            <a:graphic>
              <a:graphicData uri="http://schemas.openxmlformats.org/drawingml/2006/picture">
                <pic:pic>
                  <pic:nvPicPr>
                    <pic:cNvPr descr="D:/Claude_Code/brain/collegium/candidates/dissertations/JPL_OPS_COMMS_DATA_07/research_papers/p1/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Documented deep-space mission downlink rates against DSN ground-antenna aperture (log-log). Each point is a documented mission-antenna configuration; the fitted slope is the partial aperture elasticity after conditioning on distance, transmit power, and frequency band.</w:t>
      </w:r>
    </w:p>
    <w:bookmarkEnd w:id="203"/>
    <w:bookmarkStart w:id="20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config</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xmit_power_w</w:t>
            </w:r>
          </w:p>
        </w:tc>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downlink_kbps</w:t>
            </w:r>
          </w:p>
        </w:tc>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ln_aperture_m</w:t>
            </w:r>
          </w:p>
        </w:tc>
        <w:tc>
          <w:tcPr>
            <w:tcW w:w="0" w:type="auto"/>
          </w:tcPr>
          <w:p>
            <w:pPr>
              <w:spacing w:line="240" w:lineRule="auto" w:before="0" w:after="0"/>
              <w:pStyle w:val="Compact"/>
            </w:pPr>
            <w:r>
              <w:rPr>
                <w:sz w:val="20"/>
                <w:szCs w:val="20"/>
              </w:rPr>
              <w:t xml:space="preserve">ln_distance_au</w:t>
            </w:r>
          </w:p>
        </w:tc>
        <w:tc>
          <w:tcPr>
            <w:tcW w:w="0" w:type="auto"/>
          </w:tcPr>
          <w:p>
            <w:pPr>
              <w:spacing w:line="240" w:lineRule="auto" w:before="0" w:after="0"/>
              <w:pStyle w:val="Compact"/>
            </w:pPr>
            <w:r>
              <w:rPr>
                <w:sz w:val="20"/>
                <w:szCs w:val="20"/>
              </w:rPr>
              <w:t xml:space="preserve">ln_xmit_power_w</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X-band 70m playback</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1.9741</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Ludwig &amp; Taylor, Voyager Telecommunications, DESCANSO Monograph Ch.3 (2002), descanso.jpl.nasa.gov/DPSummary/Descanso4–Voyager_ed.pdf</w:t>
            </w:r>
          </w:p>
        </w:tc>
      </w:tr>
      <w:tr>
        <w:tc>
          <w:tcPr>
            <w:tcW w:w="0" w:type="auto"/>
          </w:tcPr>
          <w:p>
            <w:pPr>
              <w:spacing w:line="240" w:lineRule="auto" w:before="0" w:after="0"/>
              <w:pStyle w:val="Compact"/>
            </w:pPr>
            <w:r>
              <w:rPr>
                <w:sz w:val="20"/>
                <w:szCs w:val="20"/>
              </w:rPr>
              <w:t xml:space="preserve">Voyager_2</w:t>
            </w:r>
          </w:p>
        </w:tc>
        <w:tc>
          <w:tcPr>
            <w:tcW w:w="0" w:type="auto"/>
          </w:tcPr>
          <w:p>
            <w:pPr>
              <w:spacing w:line="240" w:lineRule="auto" w:before="0" w:after="0"/>
              <w:pStyle w:val="Compact"/>
            </w:pPr>
            <w:r>
              <w:rPr>
                <w:sz w:val="20"/>
                <w:szCs w:val="20"/>
              </w:rPr>
              <w:t xml:space="preserve">X-band 70m playback</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1.9741</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Ludwig &amp; Taylor, Voyager Telecommunications, DESCANSO Monograph Ch.3 (2002)</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X-band 34m HEF cruise</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Ludwig &amp; Taylor, Voyager Telecommunications, DESCANSO Monograph Ch.3 (2002)</w:t>
            </w:r>
          </w:p>
        </w:tc>
      </w:tr>
      <w:tr>
        <w:tc>
          <w:tcPr>
            <w:tcW w:w="0" w:type="auto"/>
          </w:tcPr>
          <w:p>
            <w:pPr>
              <w:spacing w:line="240" w:lineRule="auto" w:before="0" w:after="0"/>
              <w:pStyle w:val="Compact"/>
            </w:pPr>
            <w:r>
              <w:rPr>
                <w:sz w:val="20"/>
                <w:szCs w:val="20"/>
              </w:rPr>
              <w:t xml:space="preserve">Cassini_HGA</w:t>
            </w:r>
          </w:p>
        </w:tc>
        <w:tc>
          <w:tcPr>
            <w:tcW w:w="0" w:type="auto"/>
          </w:tcPr>
          <w:p>
            <w:pPr>
              <w:spacing w:line="240" w:lineRule="auto" w:before="0" w:after="0"/>
              <w:pStyle w:val="Compact"/>
            </w:pPr>
            <w:r>
              <w:rPr>
                <w:sz w:val="20"/>
                <w:szCs w:val="20"/>
              </w:rPr>
              <w:t xml:space="preserve">X-band 70m Saturn</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165.9</w:t>
            </w:r>
          </w:p>
        </w:tc>
        <w:tc>
          <w:tcPr>
            <w:tcW w:w="0" w:type="auto"/>
          </w:tcPr>
          <w:p>
            <w:pPr>
              <w:spacing w:line="240" w:lineRule="auto" w:before="0" w:after="0"/>
              <w:pStyle w:val="Compact"/>
            </w:pPr>
            <w:r>
              <w:rPr>
                <w:sz w:val="20"/>
                <w:szCs w:val="20"/>
              </w:rPr>
              <w:t xml:space="preserve">5.1114</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2.1401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Morabito &amp; Hastrup, Cassini Orbiter/Huygens Telecommunications, DESCANSO Monograph Ch.3 (2002), descanso.jpl.nasa.gov/DPSummary/Descanso3–Cassini2.pdf</w:t>
            </w:r>
          </w:p>
        </w:tc>
      </w:tr>
      <w:tr>
        <w:tc>
          <w:tcPr>
            <w:tcW w:w="0" w:type="auto"/>
          </w:tcPr>
          <w:p>
            <w:pPr>
              <w:spacing w:line="240" w:lineRule="auto" w:before="0" w:after="0"/>
              <w:pStyle w:val="Compact"/>
            </w:pPr>
            <w:r>
              <w:rPr>
                <w:sz w:val="20"/>
                <w:szCs w:val="20"/>
              </w:rPr>
              <w:t xml:space="preserve">Cassini_HGA</w:t>
            </w:r>
          </w:p>
        </w:tc>
        <w:tc>
          <w:tcPr>
            <w:tcW w:w="0" w:type="auto"/>
          </w:tcPr>
          <w:p>
            <w:pPr>
              <w:spacing w:line="240" w:lineRule="auto" w:before="0" w:after="0"/>
              <w:pStyle w:val="Compact"/>
            </w:pPr>
            <w:r>
              <w:rPr>
                <w:sz w:val="20"/>
                <w:szCs w:val="20"/>
              </w:rPr>
              <w:t xml:space="preserve">X-band 34m BWG Saturn</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2.1401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Morabito &amp; Hastrup, Cassini Orbiter/Huygens Telecommunications, DESCANSO Monograph Ch.3 (2002)</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8.1605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Taylor et al., Mars Reconnaissance Orbiter Telecommunications, DESCANSO Article 12 (2006), descanso.jpl.nasa.gov/DPSummary/MRO_092106.pdf</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X-band 70m Mars</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8.6995</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Taylor et al., MRO Telecommunications, DESCANSO Article 12 (2006)</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Ka-band 34m BWG demo</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8.6995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Taylor et al., MRO Telecommunications, DESCANSO Article 12 (2006); MRO Ka-band 6 Mbps demo over 34m BWG subnet</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X-band 70m Pluto</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32.9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3.4935</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Fountain et al., New Horizons spacecraft (2008), Space Sci Rev 140:23-47, doi:10.1007/s11214-008-9374-8</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X-band 34m BWG Pluto</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32.9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3.4935</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Fountain et al., New Horizons spacecraft (2008), Space Sci Rev 140:23-47</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X-band 34m BWG Jupiter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Bagri &amp; Statman, Juno telecom; NASA Juno mission, downlink to 34m subnet at Jupiter range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X-band 70m Jupiter</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NASA Juno mission press kit (2011), Jupiter-range downlink over 70m antenna</w:t>
            </w:r>
          </w:p>
        </w:tc>
      </w:tr>
      <w:tr>
        <w:tc>
          <w:tcPr>
            <w:tcW w:w="0" w:type="auto"/>
          </w:tcPr>
          <w:p>
            <w:pPr>
              <w:spacing w:line="240" w:lineRule="auto" w:before="0" w:after="0"/>
              <w:pStyle w:val="Compact"/>
            </w:pPr>
            <w:r>
              <w:rPr>
                <w:sz w:val="20"/>
                <w:szCs w:val="20"/>
              </w:rPr>
              <w:t xml:space="preserve">Galileo_LGA</w:t>
            </w:r>
          </w:p>
        </w:tc>
        <w:tc>
          <w:tcPr>
            <w:tcW w:w="0" w:type="auto"/>
          </w:tcPr>
          <w:p>
            <w:pPr>
              <w:spacing w:line="240" w:lineRule="auto" w:before="0" w:after="0"/>
              <w:pStyle w:val="Compact"/>
            </w:pPr>
            <w:r>
              <w:rPr>
                <w:sz w:val="20"/>
                <w:szCs w:val="20"/>
              </w:rPr>
              <w:t xml:space="preserve">S-band 70m Jupiter</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O’Neil et al., Galileo low-gain antenna mission, 160 bps over 70m arrayed subnet (1996)</w:t>
            </w:r>
          </w:p>
        </w:tc>
      </w:tr>
      <w:tr>
        <w:tc>
          <w:tcPr>
            <w:tcW w:w="0" w:type="auto"/>
          </w:tcPr>
          <w:p>
            <w:pPr>
              <w:spacing w:line="240" w:lineRule="auto" w:before="0" w:after="0"/>
              <w:pStyle w:val="Compact"/>
            </w:pPr>
            <w:r>
              <w:rPr>
                <w:sz w:val="20"/>
                <w:szCs w:val="20"/>
              </w:rPr>
              <w:t xml:space="preserve">Mars_Odyssey</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4.8235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Edwards, Mars Odyssey telecom; 2001 Mars Odyssey downlink over 34m BWG, NASA mission</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5.4293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ESA Mars Express telecom spec, X-band 34m DSN cross-support [illustrative cross-support rate]</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X-band 34m BWG Earth-trailing</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NASA Spitzer Space Telescope, Ka/X downlink over 34m BWG, Earth-trailing orbit</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X-band 34m BWG Vesta</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4.8203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Rayman et al., Dawn mission telecom; downlink over 34m BWG at Vesta range, NASA Dawn</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X-band 34m BWG Earth-trailing</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4330</w:t>
            </w:r>
          </w:p>
        </w:tc>
        <w:tc>
          <w:tcPr>
            <w:tcW w:w="0" w:type="auto"/>
          </w:tcPr>
          <w:p>
            <w:pPr>
              <w:spacing w:line="240" w:lineRule="auto" w:before="0" w:after="0"/>
              <w:pStyle w:val="Compact"/>
            </w:pPr>
            <w:r>
              <w:rPr>
                <w:sz w:val="20"/>
                <w:szCs w:val="20"/>
              </w:rPr>
              <w:t xml:space="preserve">8.3733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NASA Kepler mission, Ka-band science downlink over 34m BWG, Earth-trailing heliocentric orbit</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Ka-band 34m WS1 lunar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11.5129</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NASA Lunar Reconnaissance Orbiter, 100 Mbps Ka-band downlink to 34m white sands / DSN class antenna</w:t>
            </w:r>
          </w:p>
        </w:tc>
      </w:tr>
      <w:tr>
        <w:tc>
          <w:tcPr>
            <w:tcW w:w="0" w:type="auto"/>
          </w:tcPr>
          <w:p>
            <w:pPr>
              <w:spacing w:line="240" w:lineRule="auto" w:before="0" w:after="0"/>
              <w:pStyle w:val="Compact"/>
            </w:pPr>
            <w:r>
              <w:rPr>
                <w:sz w:val="20"/>
                <w:szCs w:val="20"/>
              </w:rPr>
              <w:t xml:space="preserve">MSL_relay</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Makovsky et al., Mars Science Laboratory Telecommunications, DESCANSO Article 14 (2009), direct-to-Earth X-band over 34m BWG</w:t>
            </w:r>
          </w:p>
        </w:tc>
      </w:tr>
      <w:tr>
        <w:tc>
          <w:tcPr>
            <w:tcW w:w="0" w:type="auto"/>
          </w:tcPr>
          <w:p>
            <w:pPr>
              <w:spacing w:line="240" w:lineRule="auto" w:before="0" w:after="0"/>
              <w:pStyle w:val="Compact"/>
            </w:pPr>
            <w:r>
              <w:rPr>
                <w:sz w:val="20"/>
                <w:szCs w:val="20"/>
              </w:rPr>
              <w:t xml:space="preserve">DSN_Apollo_ref</w:t>
            </w:r>
          </w:p>
        </w:tc>
        <w:tc>
          <w:tcPr>
            <w:tcW w:w="0" w:type="auto"/>
          </w:tcPr>
          <w:p>
            <w:pPr>
              <w:spacing w:line="240" w:lineRule="auto" w:before="0" w:after="0"/>
              <w:pStyle w:val="Compact"/>
            </w:pPr>
            <w:r>
              <w:rPr>
                <w:sz w:val="20"/>
                <w:szCs w:val="20"/>
              </w:rPr>
              <w:t xml:space="preserve">S-band 26m lunar</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3.9357</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DSN 26-m subnet S-band lunar support, historical DSN 810-005 class spec [illustrative]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NASA InSight mission, direct-to-Earth X-band over 34m BWG at Mars range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X-band 34m BWG Bennu</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w:t>
            </w:r>
          </w:p>
        </w:tc>
        <w:tc>
          <w:tcPr>
            <w:tcW w:w="0" w:type="auto"/>
          </w:tcPr>
          <w:p>
            <w:pPr>
              <w:spacing w:line="240" w:lineRule="auto" w:before="0" w:after="0"/>
              <w:pStyle w:val="Compact"/>
            </w:pPr>
            <w:r>
              <w:rPr>
                <w:sz w:val="20"/>
                <w:szCs w:val="20"/>
              </w:rPr>
              <w:t xml:space="preserve">6.8178</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Lauretta et al., OSIRIS-REx mission; X-band downlink over 34m BWG at Bennu range, NASA</w:t>
            </w:r>
          </w:p>
        </w:tc>
      </w:tr>
      <w:tr>
        <w:tc>
          <w:tcPr>
            <w:tcW w:w="0" w:type="auto"/>
          </w:tcPr>
          <w:p>
            <w:pPr>
              <w:spacing w:line="240" w:lineRule="auto" w:before="0" w:after="0"/>
              <w:pStyle w:val="Compact"/>
            </w:pPr>
            <w:r>
              <w:rPr>
                <w:sz w:val="20"/>
                <w:szCs w:val="20"/>
              </w:rPr>
              <w:t xml:space="preserve">Parker_SP</w:t>
            </w:r>
          </w:p>
        </w:tc>
        <w:tc>
          <w:tcPr>
            <w:tcW w:w="0" w:type="auto"/>
          </w:tcPr>
          <w:p>
            <w:pPr>
              <w:spacing w:line="240" w:lineRule="auto" w:before="0" w:after="0"/>
              <w:pStyle w:val="Compact"/>
            </w:pPr>
            <w:r>
              <w:rPr>
                <w:sz w:val="20"/>
                <w:szCs w:val="20"/>
              </w:rPr>
              <w:t xml:space="preserve">X-band 34m BWG solar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5.118</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Fox et al., Parker Solar Probe mission (2016), Space Sci Rev; X-band downlink over 34m BWG</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Ka-band 34m BWG Jupiter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Buffington et al., Europa Clipper telecom; Ka-band downlink over 34m BWG at Jupiter range, NASA</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X-band 34m BWG asteroid</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5.5797</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NASA Psyche mission, X-band downlink over 34m BWG at asteroid-belt range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Ka-band 34m BWG L2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28000</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NASA JWST mission, 28 Mbps Ka-band downlink over 34m BWG from Sun-Earth L2</w:t>
            </w:r>
          </w:p>
        </w:tc>
      </w:tr>
      <w:tr>
        <w:tc>
          <w:tcPr>
            <w:tcW w:w="0" w:type="auto"/>
          </w:tcPr>
          <w:p>
            <w:pPr>
              <w:spacing w:line="240" w:lineRule="auto" w:before="0" w:after="0"/>
              <w:pStyle w:val="Compact"/>
            </w:pPr>
            <w:r>
              <w:rPr>
                <w:sz w:val="20"/>
                <w:szCs w:val="20"/>
              </w:rPr>
              <w:t xml:space="preserve">Pioneer_10</w:t>
            </w:r>
          </w:p>
        </w:tc>
        <w:tc>
          <w:tcPr>
            <w:tcW w:w="0" w:type="auto"/>
          </w:tcPr>
          <w:p>
            <w:pPr>
              <w:spacing w:line="240" w:lineRule="auto" w:before="0" w:after="0"/>
              <w:pStyle w:val="Compact"/>
            </w:pPr>
            <w:r>
              <w:rPr>
                <w:sz w:val="20"/>
                <w:szCs w:val="20"/>
              </w:rPr>
              <w:t xml:space="preserve">S-band 64m outer</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0.7169</w:t>
            </w:r>
          </w:p>
        </w:tc>
        <w:tc>
          <w:tcPr>
            <w:tcW w:w="0" w:type="auto"/>
          </w:tcPr>
          <w:p>
            <w:pPr>
              <w:spacing w:line="240" w:lineRule="auto" w:before="0" w:after="0"/>
              <w:pStyle w:val="Compact"/>
            </w:pPr>
            <w:r>
              <w:rPr>
                <w:sz w:val="20"/>
                <w:szCs w:val="20"/>
              </w:rPr>
              <w:t xml:space="preserve">4.1589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DSN Pioneer 10 S-band downlink over 64m antenna (pre-70m upgrade), historical DSN spec [illustrative]</w:t>
            </w:r>
          </w:p>
        </w:tc>
      </w:tr>
      <w:tr>
        <w:tc>
          <w:tcPr>
            <w:tcW w:w="0" w:type="auto"/>
          </w:tcPr>
          <w:p>
            <w:pPr>
              <w:spacing w:line="240" w:lineRule="auto" w:before="0" w:after="0"/>
              <w:pStyle w:val="Compact"/>
            </w:pPr>
            <w:r>
              <w:rPr>
                <w:sz w:val="20"/>
                <w:szCs w:val="20"/>
              </w:rPr>
              <w:t xml:space="preserve">Phoenix_relay</w:t>
            </w:r>
          </w:p>
        </w:tc>
        <w:tc>
          <w:tcPr>
            <w:tcW w:w="0" w:type="auto"/>
          </w:tcPr>
          <w:p>
            <w:pPr>
              <w:spacing w:line="240" w:lineRule="auto" w:before="0" w:after="0"/>
              <w:pStyle w:val="Compact"/>
            </w:pPr>
            <w:r>
              <w:rPr>
                <w:sz w:val="20"/>
                <w:szCs w:val="20"/>
              </w:rPr>
              <w:t xml:space="preserve">UHF-relay 34m via MRO</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4.852</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NASA Phoenix Mars lander, relay-then-34m BWG downlink chain [illustrative relay-equivalent rate]</w:t>
            </w:r>
          </w:p>
        </w:tc>
      </w:tr>
      <w:tr>
        <w:tc>
          <w:tcPr>
            <w:tcW w:w="0" w:type="auto"/>
          </w:tcPr>
          <w:p>
            <w:pPr>
              <w:spacing w:line="240" w:lineRule="auto" w:before="0" w:after="0"/>
              <w:pStyle w:val="Compact"/>
            </w:pPr>
            <w:r>
              <w:rPr>
                <w:sz w:val="20"/>
                <w:szCs w:val="20"/>
              </w:rPr>
              <w:t xml:space="preserve">Mariner_9</w:t>
            </w:r>
          </w:p>
        </w:tc>
        <w:tc>
          <w:tcPr>
            <w:tcW w:w="0" w:type="auto"/>
          </w:tcPr>
          <w:p>
            <w:pPr>
              <w:spacing w:line="240" w:lineRule="auto" w:before="0" w:after="0"/>
              <w:pStyle w:val="Compact"/>
            </w:pPr>
            <w:r>
              <w:rPr>
                <w:sz w:val="20"/>
                <w:szCs w:val="20"/>
              </w:rPr>
              <w:t xml:space="preserve">S-band 64m Mars</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2.785</w:t>
            </w:r>
          </w:p>
        </w:tc>
        <w:tc>
          <w:tcPr>
            <w:tcW w:w="0" w:type="auto"/>
          </w:tcPr>
          <w:p>
            <w:pPr>
              <w:spacing w:line="240" w:lineRule="auto" w:before="0" w:after="0"/>
              <w:pStyle w:val="Compact"/>
            </w:pPr>
            <w:r>
              <w:rPr>
                <w:sz w:val="20"/>
                <w:szCs w:val="20"/>
              </w:rPr>
              <w:t xml:space="preserve">4.1589</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DSN Mariner 9 S-band downlink over 64m antenna (1971), historical DSN 810-005 class</w:t>
            </w:r>
          </w:p>
        </w:tc>
      </w:tr>
    </w:tbl>
    <w:bookmarkEnd w:id="204"/>
    <w:bookmarkStart w:id="20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Natural log of documented peak downlink data rate, kbps (outcome)</w:t>
            </w:r>
          </w:p>
        </w:tc>
        <w:tc>
          <w:tcPr>
            <w:tcW w:w="0" w:type="auto"/>
          </w:tcPr>
          <w:p>
            <w:pPr>
              <w:spacing w:line="240" w:lineRule="auto" w:before="0" w:after="0"/>
              <w:pStyle w:val="Compact"/>
            </w:pPr>
            <w:r>
              <w:rPr>
                <w:sz w:val="20"/>
                <w:szCs w:val="20"/>
              </w:rPr>
              <w:t xml:space="preserve">DESCANSO telecommunications monographs; NASA mission documentation</w:t>
            </w:r>
          </w:p>
        </w:tc>
      </w:tr>
      <w:tr>
        <w:tc>
          <w:tcPr>
            <w:tcW w:w="0" w:type="auto"/>
          </w:tcPr>
          <w:p>
            <w:pPr>
              <w:spacing w:line="240" w:lineRule="auto" w:before="0" w:after="0"/>
              <w:pStyle w:val="Compact"/>
            </w:pPr>
            <w:r>
              <w:rPr>
                <w:sz w:val="20"/>
                <w:szCs w:val="20"/>
              </w:rPr>
              <w:t xml:space="preserve">ln_aperture_m</w:t>
            </w:r>
          </w:p>
        </w:tc>
        <w:tc>
          <w:tcPr>
            <w:tcW w:w="0" w:type="auto"/>
          </w:tcPr>
          <w:p>
            <w:pPr>
              <w:spacing w:line="240" w:lineRule="auto" w:before="0" w:after="0"/>
              <w:pStyle w:val="Compact"/>
            </w:pPr>
            <w:r>
              <w:rPr>
                <w:sz w:val="20"/>
                <w:szCs w:val="20"/>
              </w:rPr>
              <w:t xml:space="preserve">Natural log of DSN ground-antenna aperture diameter, meters</w:t>
            </w:r>
          </w:p>
        </w:tc>
        <w:tc>
          <w:tcPr>
            <w:tcW w:w="0" w:type="auto"/>
          </w:tcPr>
          <w:p>
            <w:pPr>
              <w:spacing w:line="240" w:lineRule="auto" w:before="0" w:after="0"/>
              <w:pStyle w:val="Compact"/>
            </w:pPr>
            <w:r>
              <w:rPr>
                <w:sz w:val="20"/>
                <w:szCs w:val="20"/>
              </w:rPr>
              <w:t xml:space="preserve">DSN Telecommunications Link Design Handbook 810-005; DSN Services Catalog 820-100-F1</w:t>
            </w:r>
          </w:p>
        </w:tc>
      </w:tr>
      <w:tr>
        <w:tc>
          <w:tcPr>
            <w:tcW w:w="0" w:type="auto"/>
          </w:tcPr>
          <w:p>
            <w:pPr>
              <w:spacing w:line="240" w:lineRule="auto" w:before="0" w:after="0"/>
              <w:pStyle w:val="Compact"/>
            </w:pPr>
            <w:r>
              <w:rPr>
                <w:sz w:val="20"/>
                <w:szCs w:val="20"/>
              </w:rPr>
              <w:t xml:space="preserve">ln_distance_au</w:t>
            </w:r>
          </w:p>
        </w:tc>
        <w:tc>
          <w:tcPr>
            <w:tcW w:w="0" w:type="auto"/>
          </w:tcPr>
          <w:p>
            <w:pPr>
              <w:spacing w:line="240" w:lineRule="auto" w:before="0" w:after="0"/>
              <w:pStyle w:val="Compact"/>
            </w:pPr>
            <w:r>
              <w:rPr>
                <w:sz w:val="20"/>
                <w:szCs w:val="20"/>
              </w:rPr>
              <w:t xml:space="preserve">Natural log of spacecraft Earth distance at the operating point, astronomical units (floored at 0.001 AU)</w:t>
            </w:r>
          </w:p>
        </w:tc>
        <w:tc>
          <w:tcPr>
            <w:tcW w:w="0" w:type="auto"/>
          </w:tcPr>
          <w:p>
            <w:pPr>
              <w:spacing w:line="240" w:lineRule="auto" w:before="0" w:after="0"/>
              <w:pStyle w:val="Compact"/>
            </w:pPr>
            <w:r>
              <w:rPr>
                <w:sz w:val="20"/>
                <w:szCs w:val="20"/>
              </w:rPr>
              <w:t xml:space="preserve">Mission documentation and DESCANSO monographs</w:t>
            </w:r>
          </w:p>
        </w:tc>
      </w:tr>
      <w:tr>
        <w:tc>
          <w:tcPr>
            <w:tcW w:w="0" w:type="auto"/>
          </w:tcPr>
          <w:p>
            <w:pPr>
              <w:spacing w:line="240" w:lineRule="auto" w:before="0" w:after="0"/>
              <w:pStyle w:val="Compact"/>
            </w:pPr>
            <w:r>
              <w:rPr>
                <w:sz w:val="20"/>
                <w:szCs w:val="20"/>
              </w:rPr>
              <w:t xml:space="preserve">ln_xmit_power_w</w:t>
            </w:r>
          </w:p>
        </w:tc>
        <w:tc>
          <w:tcPr>
            <w:tcW w:w="0" w:type="auto"/>
          </w:tcPr>
          <w:p>
            <w:pPr>
              <w:spacing w:line="240" w:lineRule="auto" w:before="0" w:after="0"/>
              <w:pStyle w:val="Compact"/>
            </w:pPr>
            <w:r>
              <w:rPr>
                <w:sz w:val="20"/>
                <w:szCs w:val="20"/>
              </w:rPr>
              <w:t xml:space="preserve">Natural log of onboard transmit (RF) power, watts</w:t>
            </w:r>
          </w:p>
        </w:tc>
        <w:tc>
          <w:tcPr>
            <w:tcW w:w="0" w:type="auto"/>
          </w:tcPr>
          <w:p>
            <w:pPr>
              <w:spacing w:line="240" w:lineRule="auto" w:before="0" w:after="0"/>
              <w:pStyle w:val="Compact"/>
            </w:pPr>
            <w:r>
              <w:rPr>
                <w:sz w:val="20"/>
                <w:szCs w:val="20"/>
              </w:rPr>
              <w:t xml:space="preserve">DESCANSO monographs and mission press kits</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Indicator equal to 1 for Ka-band downlink, 0 for X-band or S-band (band fixed effect)</w:t>
            </w:r>
          </w:p>
        </w:tc>
        <w:tc>
          <w:tcPr>
            <w:tcW w:w="0" w:type="auto"/>
          </w:tcPr>
          <w:p>
            <w:pPr>
              <w:spacing w:line="240" w:lineRule="auto" w:before="0" w:after="0"/>
              <w:pStyle w:val="Compact"/>
            </w:pPr>
            <w:r>
              <w:rPr>
                <w:sz w:val="20"/>
                <w:szCs w:val="20"/>
              </w:rPr>
              <w:t xml:space="preserve">DSN 810-005 band designations; mission documentation</w:t>
            </w:r>
          </w:p>
        </w:tc>
      </w:tr>
    </w:tbl>
    <w:bookmarkEnd w:id="205"/>
    <w:bookmarkEnd w:id="206"/>
    <w:bookmarkStart w:id="214" w:name="Xc754af8563d6cdb7fc3af7402f3021ebdf02417"/>
    <w:p>
      <w:pPr>
        <w:pStyle w:val="Heading2"/>
        <w:spacing w:line="480" w:lineRule="auto"/>
      </w:pPr>
      <w:r>
        <w:t xml:space="preserve">A.2 The Diseconomies of Diameter: A Log-Log Estimate of the Aperture Cost-Scaling Elasticity for Large Ground Antennas and the Case for Cadence</w:t>
      </w:r>
    </w:p>
    <w:p>
      <w:pPr>
        <w:pStyle w:val="FirstParagraph"/>
        <w:spacing w:line="480" w:lineRule="auto"/>
      </w:pPr>
      <m:oMathPara>
        <m:oMathParaPr>
          <m:jc m:val="center"/>
        </m:oMathParaPr>
        <m:oMath>
          <m:r>
            <m:rPr>
              <m:sty m:val="p"/>
            </m:rPr>
            <m:t>ln</m:t>
          </m:r>
          <m:r>
            <m:rPr>
              <m:sty m:val="p"/>
            </m:rPr>
            <m:t>(</m:t>
          </m:r>
          <m:sSub>
            <m:e>
              <m:r>
                <m:t>C</m:t>
              </m:r>
            </m:e>
            <m:sub>
              <m:r>
                <m:t>i</m:t>
              </m:r>
            </m:sub>
          </m:sSub>
          <m:r>
            <m:rPr>
              <m:sty m:val="p"/>
            </m:rPr>
            <m:t>)</m:t>
          </m:r>
          <m:r>
            <m:rPr>
              <m:sty m:val="p"/>
            </m:rPr>
            <m:t>=</m:t>
          </m:r>
          <m:r>
            <m:t>α</m:t>
          </m:r>
          <m:r>
            <m:rPr>
              <m:sty m:val="p"/>
            </m:rPr>
            <m:t>+</m:t>
          </m:r>
          <m:r>
            <m:t>β</m:t>
          </m:r>
          <m:r>
            <m:t> </m:t>
          </m:r>
          <m:r>
            <m:rPr>
              <m:sty m:val="p"/>
            </m:rPr>
            <m:t>ln</m:t>
          </m:r>
          <m:r>
            <m:rPr>
              <m:sty m:val="p"/>
            </m:rPr>
            <m:t>(</m:t>
          </m:r>
          <m:sSub>
            <m:e>
              <m:r>
                <m:t>A</m:t>
              </m:r>
            </m:e>
            <m:sub>
              <m:r>
                <m:t>i</m:t>
              </m:r>
            </m:sub>
          </m:sSub>
          <m:r>
            <m:rPr>
              <m:sty m:val="p"/>
            </m:rPr>
            <m:t>)</m:t>
          </m:r>
          <m:r>
            <m:rPr>
              <m:sty m:val="p"/>
            </m:rPr>
            <m:t>+</m:t>
          </m:r>
          <m:sSub>
            <m:e>
              <m:r>
                <m:t>ε</m:t>
              </m:r>
            </m:e>
            <m:sub>
              <m:r>
                <m:t>i</m:t>
              </m:r>
            </m:sub>
          </m:sSub>
        </m:oMath>
      </m:oMathPara>
    </w:p>
    <w:bookmarkStart w:id="20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-0.4104</w:t>
            </w:r>
          </w:p>
        </w:tc>
        <w:tc>
          <w:tcPr>
            <w:tcW w:w="0" w:type="auto"/>
          </w:tcPr>
          <w:p>
            <w:pPr>
              <w:spacing w:line="240" w:lineRule="auto" w:before="0" w:after="0"/>
              <w:pStyle w:val="Compact"/>
            </w:pPr>
            <w:r>
              <w:rPr>
                <w:sz w:val="20"/>
                <w:szCs w:val="20"/>
              </w:rPr>
              <w:t xml:space="preserve">0.7914</w:t>
            </w:r>
          </w:p>
        </w:tc>
        <w:tc>
          <w:tcPr>
            <w:tcW w:w="0" w:type="auto"/>
          </w:tcPr>
          <w:p>
            <w:pPr>
              <w:spacing w:line="240" w:lineRule="auto" w:before="0" w:after="0"/>
              <w:pStyle w:val="Compact"/>
            </w:pPr>
            <w:r>
              <w:rPr>
                <w:sz w:val="20"/>
                <w:szCs w:val="20"/>
              </w:rPr>
              <w:t xml:space="preserve">-0.5186</w:t>
            </w:r>
          </w:p>
        </w:tc>
        <w:tc>
          <w:tcPr>
            <w:tcW w:w="0" w:type="auto"/>
          </w:tcPr>
          <w:p>
            <w:pPr>
              <w:spacing w:line="240" w:lineRule="auto" w:before="0" w:after="0"/>
              <w:pStyle w:val="Compact"/>
            </w:pPr>
            <w:r>
              <w:rPr>
                <w:sz w:val="20"/>
                <w:szCs w:val="20"/>
              </w:rPr>
              <w:t xml:space="preserve">0.6041</w:t>
            </w:r>
          </w:p>
        </w:tc>
        <w:tc>
          <w:tcPr>
            <w:tcW w:w="0" w:type="auto"/>
          </w:tcPr>
          <w:p>
            <w:pPr>
              <w:spacing w:line="240" w:lineRule="auto" w:before="0" w:after="0"/>
              <w:pStyle w:val="Compact"/>
            </w:pPr>
            <w:r>
              <w:rPr>
                <w:sz w:val="20"/>
                <w:szCs w:val="20"/>
              </w:rPr>
              <w:t xml:space="preserve">[-1.9614, 1.1407]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0.9995</w:t>
            </w:r>
          </w:p>
        </w:tc>
        <w:tc>
          <w:tcPr>
            <w:tcW w:w="0" w:type="auto"/>
          </w:tcPr>
          <w:p>
            <w:pPr>
              <w:spacing w:line="240" w:lineRule="auto" w:before="0" w:after="0"/>
              <w:pStyle w:val="Compact"/>
            </w:pPr>
            <w:r>
              <w:rPr>
                <w:sz w:val="20"/>
                <w:szCs w:val="20"/>
              </w:rPr>
              <w:t xml:space="preserve">0.1879</w:t>
            </w:r>
          </w:p>
        </w:tc>
        <w:tc>
          <w:tcPr>
            <w:tcW w:w="0" w:type="auto"/>
          </w:tcPr>
          <w:p>
            <w:pPr>
              <w:spacing w:line="240" w:lineRule="auto" w:before="0" w:after="0"/>
              <w:pStyle w:val="Compact"/>
            </w:pPr>
            <w:r>
              <w:rPr>
                <w:sz w:val="20"/>
                <w:szCs w:val="20"/>
              </w:rPr>
              <w:t xml:space="preserve">5.3202</w:t>
            </w:r>
          </w:p>
        </w:tc>
        <w:tc>
          <w:tcPr>
            <w:tcW w:w="0" w:type="auto"/>
          </w:tcPr>
          <w:p>
            <w:pPr>
              <w:spacing w:line="240" w:lineRule="auto" w:before="0" w:after="0"/>
              <w:pStyle w:val="Compact"/>
            </w:pPr>
            <w:r>
              <w:rPr>
                <w:sz w:val="20"/>
                <w:szCs w:val="20"/>
              </w:rPr>
              <w:t xml:space="preserve">1.037e-07</w:t>
            </w:r>
          </w:p>
        </w:tc>
        <w:tc>
          <w:tcPr>
            <w:tcW w:w="0" w:type="auto"/>
          </w:tcPr>
          <w:p>
            <w:pPr>
              <w:spacing w:line="240" w:lineRule="auto" w:before="0" w:after="0"/>
              <w:pStyle w:val="Compact"/>
            </w:pPr>
            <w:r>
              <w:rPr>
                <w:sz w:val="20"/>
                <w:szCs w:val="20"/>
              </w:rPr>
              <w:t xml:space="preserve">[0.6313, 1.3677]</w:t>
            </w:r>
          </w:p>
        </w:tc>
      </w:tr>
    </w:tbl>
    <w:p>
      <w:pPr>
        <w:pStyle w:val="BodyText"/>
        <w:spacing w:line="480" w:lineRule="auto"/>
        <w:ind w:firstLine="720"/>
      </w:pPr>
      <w:r>
        <w:t xml:space="preserve">Fit: N = 15 R2 = 0.6338 elasticity_b = 0.9995 progress_ratio_2^b = 1.9993</w:t>
      </w:r>
    </w:p>
    <w:bookmarkEnd w:id="207"/>
    <w:bookmarkStart w:id="21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ocumented ground-antenna construction cost against primary aperture diameter on log-log axes. Each point is a documented facility (single dish) or a documented per-element array cost; the fitted slope is the aperture cost-scaling elasticity, whose value above unity is the diseconomy of diameter that motivates higher-cadence arraying." title="" id="209" name="Picture"/>
            <a:graphic>
              <a:graphicData uri="http://schemas.openxmlformats.org/drawingml/2006/picture">
                <pic:pic>
                  <pic:nvPicPr>
                    <pic:cNvPr descr="D:/Claude_Code/brain/collegium/candidates/dissertations/JPL_OPS_COMMS_DATA_07/research_papers/p2/paper_fig1.png" id="210" name="Picture"/>
                    <pic:cNvPicPr>
                      <a:picLocks noChangeArrowheads="1" noChangeAspect="1"/>
                    </pic:cNvPicPr>
                  </pic:nvPicPr>
                  <pic:blipFill>
                    <a:blip r:embed="rId20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Documented ground-antenna construction cost against primary aperture diameter on log-log axes. Each point is a documented facility (single dish) or a documented per-element array cost; the fitted slope is the aperture cost-scaling elasticity, whose value above unity is the diseconomy of diameter that motivates higher-cadence arraying.</w:t>
      </w:r>
    </w:p>
    <w:bookmarkEnd w:id="211"/>
    <w:bookmarkStart w:id="21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first_light_year</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unit_type</w:t>
            </w:r>
          </w:p>
        </w:tc>
        <w:tc>
          <w:tcPr>
            <w:tcW w:w="0" w:type="auto"/>
          </w:tcPr>
          <w:p>
            <w:pPr>
              <w:spacing w:line="240" w:lineRule="auto" w:before="0" w:after="0"/>
              <w:pStyle w:val="Compact"/>
            </w:pPr>
            <w:r>
              <w:rPr>
                <w:sz w:val="20"/>
                <w:szCs w:val="20"/>
              </w:rPr>
              <w:t xml:space="preserve">cost_then_native</w:t>
            </w:r>
          </w:p>
        </w:tc>
        <w:tc>
          <w:tcPr>
            <w:tcW w:w="0" w:type="auto"/>
          </w:tcPr>
          <w:p>
            <w:pPr>
              <w:spacing w:line="240" w:lineRule="auto" w:before="0" w:after="0"/>
              <w:pStyle w:val="Compact"/>
            </w:pPr>
            <w:r>
              <w:rPr>
                <w:sz w:val="20"/>
                <w:szCs w:val="20"/>
              </w:rPr>
              <w:t xml:space="preserve">cost_2020_musd</w:t>
            </w:r>
          </w:p>
        </w:tc>
        <w:tc>
          <w:tcPr>
            <w:tcW w:w="0" w:type="auto"/>
          </w:tcPr>
          <w:p>
            <w:pPr>
              <w:spacing w:line="240" w:lineRule="auto" w:before="0" w:after="0"/>
              <w:pStyle w:val="Compact"/>
            </w:pPr>
            <w:r>
              <w:rPr>
                <w:sz w:val="20"/>
                <w:szCs w:val="20"/>
              </w:rPr>
              <w:t xml:space="preserve">frequency_class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Arecibo Telescope</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305</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9.3M (1963)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Arecibo 305 m spherical reflector opened Nov 1963, estimated US$9.3M to build (astronomy.com Remembering Arecibo; ethw.org Milestones:NAIC/Arecibo Radiotelescope 1963). 1963 USD x ~8.5 US-CPI to 2020</w:t>
            </w:r>
          </w:p>
        </w:tc>
      </w:tr>
      <w:tr>
        <w:tc>
          <w:tcPr>
            <w:tcW w:w="0" w:type="auto"/>
          </w:tcPr>
          <w:p>
            <w:pPr>
              <w:spacing w:line="240" w:lineRule="auto" w:before="0" w:after="0"/>
              <w:pStyle w:val="Compact"/>
            </w:pPr>
            <w:r>
              <w:rPr>
                <w:sz w:val="20"/>
                <w:szCs w:val="20"/>
              </w:rPr>
              <w:t xml:space="preserve">FAST</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CN¥1.2B = US$180M (2016)</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FAST 500 m (300 m effective), final cost CN¥1.2 billion = US$180 million (en.wikipedia.org/wiki/Five-hundred-meter_Aperture_Spherical_Telescope). 2016 USD x ~1.07 US-CPI to 2020</w:t>
            </w:r>
          </w:p>
        </w:tc>
      </w:tr>
      <w:tr>
        <w:tc>
          <w:tcPr>
            <w:tcW w:w="0" w:type="auto"/>
          </w:tcPr>
          <w:p>
            <w:pPr>
              <w:spacing w:line="240" w:lineRule="auto" w:before="0" w:after="0"/>
              <w:pStyle w:val="Compact"/>
            </w:pPr>
            <w:r>
              <w:rPr>
                <w:sz w:val="20"/>
                <w:szCs w:val="20"/>
              </w:rPr>
              <w:t xml:space="preserve">Green Bank Telescope</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75M (1989 approp.)</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Robert C. Byrd GBT 100 m, US$75M congressional appropriation/program (en.wikipedia.org/wiki/Green_Bank_Telescope; greenbankobservatory.org press kit). 2000 USD x ~1.52 US-CPI to 2020</w:t>
            </w:r>
          </w:p>
        </w:tc>
      </w:tr>
      <w:tr>
        <w:tc>
          <w:tcPr>
            <w:tcW w:w="0" w:type="auto"/>
          </w:tcPr>
          <w:p>
            <w:pPr>
              <w:spacing w:line="240" w:lineRule="auto" w:before="0" w:after="0"/>
              <w:pStyle w:val="Compact"/>
            </w:pPr>
            <w:r>
              <w:rPr>
                <w:sz w:val="20"/>
                <w:szCs w:val="20"/>
              </w:rPr>
              <w:t xml:space="preserve">Effelsberg 100m</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DM ~35M (1971) [illustrative conversion]</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Effelsberg 100 m MPIfR, built 1968-1971 (en.wikipedia.org/wiki/Effelsberg_100-m_Radio_Telescope; mpifr-bonn.mpg.de 50-year announcement). Then-year ~35M DM commonly cited; converted ~3.5 DM/USD x US-CPI to 2020 [illustrative conversion]; diameter and dates documented</w:t>
            </w:r>
          </w:p>
        </w:tc>
      </w:tr>
      <w:tr>
        <w:tc>
          <w:tcPr>
            <w:tcW w:w="0" w:type="auto"/>
          </w:tcPr>
          <w:p>
            <w:pPr>
              <w:spacing w:line="240" w:lineRule="auto" w:before="0" w:after="0"/>
              <w:pStyle w:val="Compact"/>
            </w:pPr>
            <w:r>
              <w:rPr>
                <w:sz w:val="20"/>
                <w:szCs w:val="20"/>
              </w:rPr>
              <w:t xml:space="preserve">Sardinia Radio Telescope</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EUR 70M (2012)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Sardinia Radio Telescope 64 m, cost ~EUR 70 million (en.wikipedia.org/wiki/Sardinia_Radio_Telescope). 2012 EUR x ~1.29 USD/EUR x US-CPI to 2020</w:t>
            </w:r>
          </w:p>
        </w:tc>
      </w:tr>
      <w:tr>
        <w:tc>
          <w:tcPr>
            <w:tcW w:w="0" w:type="auto"/>
          </w:tcPr>
          <w:p>
            <w:pPr>
              <w:spacing w:line="240" w:lineRule="auto" w:before="0" w:after="0"/>
              <w:pStyle w:val="Compact"/>
            </w:pPr>
            <w:r>
              <w:rPr>
                <w:sz w:val="20"/>
                <w:szCs w:val="20"/>
              </w:rPr>
              <w:t xml:space="preserve">Tianma 65m</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CN¥200M (2012)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Shanghai Tianma 65 m, total CNY 200 million (yicaiglobal.com Tianma award; english.shao.cas.cn). 2012 CNY / ~6.3 CNY/USD x US-CPI to 2020</w:t>
            </w:r>
          </w:p>
        </w:tc>
      </w:tr>
      <w:tr>
        <w:tc>
          <w:tcPr>
            <w:tcW w:w="0" w:type="auto"/>
          </w:tcPr>
          <w:p>
            <w:pPr>
              <w:spacing w:line="240" w:lineRule="auto" w:before="0" w:after="0"/>
              <w:pStyle w:val="Compact"/>
            </w:pPr>
            <w:r>
              <w:rPr>
                <w:sz w:val="20"/>
                <w:szCs w:val="20"/>
              </w:rPr>
              <w:t xml:space="preserve">Lovell Telescope</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GBP 700000 (1957)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Jodrell Bank Lovell 76.2 m, final cost GBP 700,000 (jb.man.ac.uk/aboutus/lovell/build.html; ice.org.uk Lovell engineering legacy). 1957 GBP x ~2.8 USD/GBP x US-CPI to 2020</w:t>
            </w:r>
          </w:p>
        </w:tc>
      </w:tr>
      <w:tr>
        <w:tc>
          <w:tcPr>
            <w:tcW w:w="0" w:type="auto"/>
          </w:tcPr>
          <w:p>
            <w:pPr>
              <w:spacing w:line="240" w:lineRule="auto" w:before="0" w:after="0"/>
              <w:pStyle w:val="Compact"/>
            </w:pPr>
            <w:r>
              <w:rPr>
                <w:sz w:val="20"/>
                <w:szCs w:val="20"/>
              </w:rPr>
              <w:t xml:space="preserve">Cebreros DSA-2</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EUR 22M antenna (2005)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deep-space</w:t>
            </w:r>
          </w:p>
        </w:tc>
        <w:tc>
          <w:tcPr>
            <w:tcW w:w="0" w:type="auto"/>
          </w:tcPr>
          <w:p>
            <w:pPr>
              <w:spacing w:line="240" w:lineRule="auto" w:before="0" w:after="0"/>
              <w:pStyle w:val="Compact"/>
            </w:pPr>
            <w:r>
              <w:rPr>
                <w:sz w:val="20"/>
                <w:szCs w:val="20"/>
              </w:rPr>
              <w:t xml:space="preserve">ESA Cebreros DSA-2 35 m deep-space antenna; station ~EUR 30M of which EUR 22M for the antenna (esa.int Cebreros DSA 2; esa.int press release new deep space antenna). 2005 EUR x ~1.24 USD/EUR x US-CPI to 2020</w:t>
            </w:r>
          </w:p>
        </w:tc>
      </w:tr>
      <w:tr>
        <w:tc>
          <w:tcPr>
            <w:tcW w:w="0" w:type="auto"/>
          </w:tcPr>
          <w:p>
            <w:pPr>
              <w:spacing w:line="240" w:lineRule="auto" w:before="0" w:after="0"/>
              <w:pStyle w:val="Compact"/>
            </w:pPr>
            <w:r>
              <w:rPr>
                <w:sz w:val="20"/>
                <w:szCs w:val="20"/>
              </w:rPr>
              <w:t xml:space="preserve">NRAO 140-foot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13.5M (1965)</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NRAO 140-foot (43 m) equatorial telescope, Green Bank, online 1965 at US$13.5M five years late (greenbankobservatory.org/about/telescopes/140-foot; pocahontastimes.com 140-foot turns 50). 1965 USD x ~8.4 US-CPI to 2020</w:t>
            </w:r>
          </w:p>
        </w:tc>
      </w:tr>
      <w:tr>
        <w:tc>
          <w:tcPr>
            <w:tcW w:w="0" w:type="auto"/>
          </w:tcPr>
          <w:p>
            <w:pPr>
              <w:spacing w:line="240" w:lineRule="auto" w:before="0" w:after="0"/>
              <w:pStyle w:val="Compact"/>
            </w:pPr>
            <w:r>
              <w:rPr>
                <w:sz w:val="20"/>
                <w:szCs w:val="20"/>
              </w:rPr>
              <w:t xml:space="preserve">Haystack 37m</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single_dish</w:t>
            </w:r>
          </w:p>
        </w:tc>
        <w:tc>
          <w:tcPr>
            <w:tcW w:w="0" w:type="auto"/>
          </w:tcPr>
          <w:p>
            <w:pPr>
              <w:spacing w:line="240" w:lineRule="auto" w:before="0" w:after="0"/>
              <w:pStyle w:val="Compact"/>
            </w:pPr>
            <w:r>
              <w:rPr>
                <w:sz w:val="20"/>
                <w:szCs w:val="20"/>
              </w:rPr>
              <w:t xml:space="preserve">USD 15M (1964)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MIT Lincoln Laboratory Haystack 37 m radome antenna, built by MIT/North American Aviation for US$15M (TIME 1964 Finding a Needle with a Haystack; en.wikipedia.org/wiki/Haystack_Observatory). 1964 USD x ~8.5 US-CPI to 2020</w:t>
            </w:r>
          </w:p>
        </w:tc>
      </w:tr>
      <w:tr>
        <w:tc>
          <w:tcPr>
            <w:tcW w:w="0" w:type="auto"/>
          </w:tcPr>
          <w:p>
            <w:pPr>
              <w:spacing w:line="240" w:lineRule="auto" w:before="0" w:after="0"/>
              <w:pStyle w:val="Compact"/>
            </w:pPr>
            <w:r>
              <w:rPr>
                <w:sz w:val="20"/>
                <w:szCs w:val="20"/>
              </w:rPr>
              <w:t xml:space="preserve">VLA antenna (per element)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USD 78.5M / 28 antennas (1980)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NRAO Very Large Array, total investment US$78.5M for 27+1 antennas of 25 m each (en.wikipedia.org/wiki/Very_Large_Array; nrao.edu VLA Fact Sheet). Per-antenna = 78.5/28 = US$2.8M (1980) x ~3.1 US-CPI to 2020; documented total / documented count</w:t>
            </w:r>
          </w:p>
        </w:tc>
      </w:tr>
      <w:tr>
        <w:tc>
          <w:tcPr>
            <w:tcW w:w="0" w:type="auto"/>
          </w:tcPr>
          <w:p>
            <w:pPr>
              <w:spacing w:line="240" w:lineRule="auto" w:before="0" w:after="0"/>
              <w:pStyle w:val="Compact"/>
            </w:pPr>
            <w:r>
              <w:rPr>
                <w:sz w:val="20"/>
                <w:szCs w:val="20"/>
              </w:rPr>
              <w:t xml:space="preserve">WSRT antenna (per element)</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NLG 25M / 14 antennas (1970)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Westerbork Synthesis Radio Telescope, ~25 million guilders for 14 antennas of 25 m incl. buildings/electronics (astron.nl Constructing the WSRT; en.wikipedia.org/wiki/Westerbork_Synthesis_Radio_Telescope). Per-antenna ~NLG 1.8M (1970) / ~3.6 NLG/USD x US-CPI to 2020; documented total / documented count</w:t>
            </w:r>
          </w:p>
        </w:tc>
      </w:tr>
      <w:tr>
        <w:tc>
          <w:tcPr>
            <w:tcW w:w="0" w:type="auto"/>
          </w:tcPr>
          <w:p>
            <w:pPr>
              <w:spacing w:line="240" w:lineRule="auto" w:before="0" w:after="0"/>
              <w:pStyle w:val="Compact"/>
            </w:pPr>
            <w:r>
              <w:rPr>
                <w:sz w:val="20"/>
                <w:szCs w:val="20"/>
              </w:rPr>
              <w:t xml:space="preserve">MeerKAT dish (per element)</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ZAR 4.4B / 64 dishes (2018)</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MeerKAT 64 x 13.5 m dishes, total ZAR 4.4 billion (sarao.ac.za About MeerKAT; en.wikipedia.org/wiki/MeerKAT). Per-dish = 4.4B/64 = ZAR 68.75M / ~13.2 ZAR/USD (2018) x US-CPI to 2020; documented total / documented count</w:t>
            </w:r>
          </w:p>
        </w:tc>
      </w:tr>
      <w:tr>
        <w:tc>
          <w:tcPr>
            <w:tcW w:w="0" w:type="auto"/>
          </w:tcPr>
          <w:p>
            <w:pPr>
              <w:spacing w:line="240" w:lineRule="auto" w:before="0" w:after="0"/>
              <w:pStyle w:val="Compact"/>
            </w:pPr>
            <w:r>
              <w:rPr>
                <w:sz w:val="20"/>
                <w:szCs w:val="20"/>
              </w:rPr>
              <w:t xml:space="preserve">ALMA 12m antenna (per element)</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US$1.4B program, 66 antennas (2013)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millimeter</w:t>
            </w:r>
          </w:p>
        </w:tc>
        <w:tc>
          <w:tcPr>
            <w:tcW w:w="0" w:type="auto"/>
          </w:tcPr>
          <w:p>
            <w:pPr>
              <w:spacing w:line="240" w:lineRule="auto" w:before="0" w:after="0"/>
              <w:pStyle w:val="Compact"/>
            </w:pPr>
            <w:r>
              <w:rPr>
                <w:sz w:val="20"/>
                <w:szCs w:val="20"/>
              </w:rPr>
              <w:t xml:space="preserve">ALMA, total US$1.4 billion, 66 antennas (54 x 12 m + 12 x 7 m) (en.wikipedia.org/wiki/Atacama_Large_Millimeter_Array; nrao.edu/pr/2012/alma25). 12 m antenna manufacturing share within program; 2013 USD x ~1.10 US-CPI to 2020; per-antenna derivation flagged</w:t>
            </w:r>
          </w:p>
        </w:tc>
      </w:tr>
      <w:tr>
        <w:tc>
          <w:tcPr>
            <w:tcW w:w="0" w:type="auto"/>
          </w:tcPr>
          <w:p>
            <w:pPr>
              <w:spacing w:line="240" w:lineRule="auto" w:before="0" w:after="0"/>
              <w:pStyle w:val="Compact"/>
            </w:pPr>
            <w:r>
              <w:rPr>
                <w:sz w:val="20"/>
                <w:szCs w:val="20"/>
              </w:rPr>
              <w:t xml:space="preserve">ATA dish (per element)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array_element</w:t>
            </w:r>
          </w:p>
        </w:tc>
        <w:tc>
          <w:tcPr>
            <w:tcW w:w="0" w:type="auto"/>
          </w:tcPr>
          <w:p>
            <w:pPr>
              <w:spacing w:line="240" w:lineRule="auto" w:before="0" w:after="0"/>
              <w:pStyle w:val="Compact"/>
            </w:pPr>
            <w:r>
              <w:rPr>
                <w:sz w:val="20"/>
                <w:szCs w:val="20"/>
              </w:rPr>
              <w:t xml:space="preserve">USD 50M / 42 dishes (2007)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radio</w:t>
            </w:r>
          </w:p>
        </w:tc>
        <w:tc>
          <w:tcPr>
            <w:tcW w:w="0" w:type="auto"/>
          </w:tcPr>
          <w:p>
            <w:pPr>
              <w:spacing w:line="240" w:lineRule="auto" w:before="0" w:after="0"/>
              <w:pStyle w:val="Compact"/>
            </w:pPr>
            <w:r>
              <w:rPr>
                <w:sz w:val="20"/>
                <w:szCs w:val="20"/>
              </w:rPr>
              <w:t xml:space="preserve">SETI Allen Telescope Array 6.1 m offset-Gregorian dishes; US$50M to reach ATA-42 (en.wikipedia.org/wiki/Allen_Telescope_Array; skyandtelescope.org SETI next big step). Per-dish = 50/42 = US$1.19M (2007, includes early non-recurring) x ~1.27 US-CPI to 2020; documented total / documented count</w:t>
            </w:r>
          </w:p>
        </w:tc>
      </w:tr>
    </w:tbl>
    <w:bookmarkEnd w:id="212"/>
    <w:bookmarkStart w:id="21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cost_2020_musd</w:t>
            </w:r>
          </w:p>
        </w:tc>
        <w:tc>
          <w:tcPr>
            <w:tcW w:w="0" w:type="auto"/>
          </w:tcPr>
          <w:p>
            <w:pPr>
              <w:spacing w:line="240" w:lineRule="auto" w:before="0" w:after="0"/>
              <w:pStyle w:val="Compact"/>
            </w:pPr>
            <w:r>
              <w:rPr>
                <w:sz w:val="20"/>
                <w:szCs w:val="20"/>
              </w:rPr>
              <w:t xml:space="preserve">Constructed/recurring antenna capital cost expressed in millions of constant 2020 US dollars (outcome). For homogeneous arrays the per-element cost is documented total divided by documented antenna count.</w:t>
            </w:r>
          </w:p>
        </w:tc>
        <w:tc>
          <w:tcPr>
            <w:tcW w:w="0" w:type="auto"/>
          </w:tcPr>
          <w:p>
            <w:pPr>
              <w:spacing w:line="240" w:lineRule="auto" w:before="0" w:after="0"/>
              <w:pStyle w:val="Compact"/>
            </w:pPr>
            <w:r>
              <w:rPr>
                <w:sz w:val="20"/>
                <w:szCs w:val="20"/>
              </w:rPr>
              <w:t xml:space="preserve">Facility press kits, observatory fact sheets, and encyclopedic build records; then-year native cost converted by documented historical exchange rate and US Bureau of Labor Statistics CPI inflation to 2020</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reflector aperture diameter in meters (effective illuminated aperture for the spherical FAST design)</w:t>
            </w:r>
          </w:p>
        </w:tc>
        <w:tc>
          <w:tcPr>
            <w:tcW w:w="0" w:type="auto"/>
          </w:tcPr>
          <w:p>
            <w:pPr>
              <w:spacing w:line="240" w:lineRule="auto" w:before="0" w:after="0"/>
              <w:pStyle w:val="Compact"/>
            </w:pPr>
            <w:r>
              <w:rPr>
                <w:sz w:val="20"/>
                <w:szCs w:val="20"/>
              </w:rPr>
              <w:t xml:space="preserve">Observatory technical specifications and build records cited per row</w:t>
            </w:r>
          </w:p>
        </w:tc>
      </w:tr>
      <w:tr>
        <w:tc>
          <w:tcPr>
            <w:tcW w:w="0" w:type="auto"/>
          </w:tcPr>
          <w:p>
            <w:pPr>
              <w:spacing w:line="240" w:lineRule="auto" w:before="0" w:after="0"/>
              <w:pStyle w:val="Compact"/>
            </w:pPr>
            <w:r>
              <w:rPr>
                <w:sz w:val="20"/>
                <w:szCs w:val="20"/>
              </w:rPr>
              <w:t xml:space="preserve">unit_type</w:t>
            </w:r>
          </w:p>
        </w:tc>
        <w:tc>
          <w:tcPr>
            <w:tcW w:w="0" w:type="auto"/>
          </w:tcPr>
          <w:p>
            <w:pPr>
              <w:spacing w:line="240" w:lineRule="auto" w:before="0" w:after="0"/>
              <w:pStyle w:val="Compact"/>
            </w:pPr>
            <w:r>
              <w:rPr>
                <w:sz w:val="20"/>
                <w:szCs w:val="20"/>
              </w:rPr>
              <w:t xml:space="preserve">Whether the observation is a monolithic single dish or a per-element cost derived from a homogeneous array program (control/descriptor, not a regressor)</w:t>
            </w:r>
          </w:p>
        </w:tc>
        <w:tc>
          <w:tcPr>
            <w:tcW w:w="0" w:type="auto"/>
          </w:tcPr>
          <w:p>
            <w:pPr>
              <w:spacing w:line="240" w:lineRule="auto" w:before="0" w:after="0"/>
              <w:pStyle w:val="Compact"/>
            </w:pPr>
            <w:r>
              <w:rPr>
                <w:sz w:val="20"/>
                <w:szCs w:val="20"/>
              </w:rPr>
              <w:t xml:space="preserve">Classification by the analyst from the facility architecture documented per row</w:t>
            </w:r>
          </w:p>
        </w:tc>
      </w:tr>
      <w:tr>
        <w:tc>
          <w:tcPr>
            <w:tcW w:w="0" w:type="auto"/>
          </w:tcPr>
          <w:p>
            <w:pPr>
              <w:spacing w:line="240" w:lineRule="auto" w:before="0" w:after="0"/>
              <w:pStyle w:val="Compact"/>
            </w:pPr>
            <w:r>
              <w:rPr>
                <w:sz w:val="20"/>
                <w:szCs w:val="20"/>
              </w:rPr>
              <w:t xml:space="preserve">frequency_class</w:t>
            </w:r>
          </w:p>
        </w:tc>
        <w:tc>
          <w:tcPr>
            <w:tcW w:w="0" w:type="auto"/>
          </w:tcPr>
          <w:p>
            <w:pPr>
              <w:spacing w:line="240" w:lineRule="auto" w:before="0" w:after="0"/>
              <w:pStyle w:val="Compact"/>
            </w:pPr>
            <w:r>
              <w:rPr>
                <w:sz w:val="20"/>
                <w:szCs w:val="20"/>
              </w:rPr>
              <w:t xml:space="preserve">Operating band class: radio (cm-m), millimeter, or deep-space tracking antenna (descriptor, not a regressor)</w:t>
            </w:r>
          </w:p>
        </w:tc>
        <w:tc>
          <w:tcPr>
            <w:tcW w:w="0" w:type="auto"/>
          </w:tcPr>
          <w:p>
            <w:pPr>
              <w:spacing w:line="240" w:lineRule="auto" w:before="0" w:after="0"/>
              <w:pStyle w:val="Compact"/>
            </w:pPr>
            <w:r>
              <w:rPr>
                <w:sz w:val="20"/>
                <w:szCs w:val="20"/>
              </w:rPr>
              <w:t xml:space="preserve">Observatory documentation cited per row</w:t>
            </w:r>
          </w:p>
        </w:tc>
      </w:tr>
    </w:tbl>
    <w:bookmarkEnd w:id="213"/>
    <w:bookmarkEnd w:id="214"/>
    <w:bookmarkEnd w:id="21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0" Type="http://schemas.openxmlformats.org/officeDocument/2006/relationships/image" Target="media/rId200.png"/><Relationship Id="rId208" Type="http://schemas.openxmlformats.org/officeDocument/2006/relationships/image" Target="media/rId208.png"/><Relationship Id="rId163" Type="http://schemas.openxmlformats.org/officeDocument/2006/relationships/hyperlink" Target="https://doi.org/10.1007/s11214-008-9374-8" TargetMode="External"/><Relationship Id="rId188" Type="http://schemas.openxmlformats.org/officeDocument/2006/relationships/hyperlink" Target="https://doi.org/10.1016/j.actaastro.2018.03.011" TargetMode="External"/><Relationship Id="rId154" Type="http://schemas.openxmlformats.org/officeDocument/2006/relationships/hyperlink" Target="https://doi.org/10.1016/j.actaastro.2019.09.030" TargetMode="External"/><Relationship Id="rId194" Type="http://schemas.openxmlformats.org/officeDocument/2006/relationships/hyperlink" Target="https://doi.org/10.1016/j.actaastro.2023.01.040" TargetMode="External"/><Relationship Id="rId196" Type="http://schemas.openxmlformats.org/officeDocument/2006/relationships/hyperlink" Target="https://doi.org/10.1016/j.actaastro.2023.10.020" TargetMode="External"/><Relationship Id="rId190" Type="http://schemas.openxmlformats.org/officeDocument/2006/relationships/hyperlink" Target="https://doi.org/10.1016/j.actaastro.2024.07.030" TargetMode="External"/><Relationship Id="rId192" Type="http://schemas.openxmlformats.org/officeDocument/2006/relationships/hyperlink" Target="https://doi.org/10.1016/j.actaastro.2025.10.028" TargetMode="External"/><Relationship Id="rId186" Type="http://schemas.openxmlformats.org/officeDocument/2006/relationships/hyperlink" Target="https://doi.org/10.1016/j.actaastro.2025.12.055" TargetMode="External"/><Relationship Id="rId184" Type="http://schemas.openxmlformats.org/officeDocument/2006/relationships/hyperlink" Target="https://doi.org/10.1016/j.actaastro.2026.01.045" TargetMode="External"/><Relationship Id="rId182" Type="http://schemas.openxmlformats.org/officeDocument/2006/relationships/hyperlink" Target="https://doi.org/10.1016/j.actaastro.2026.05.056" TargetMode="External"/><Relationship Id="rId178" Type="http://schemas.openxmlformats.org/officeDocument/2006/relationships/hyperlink" Target="https://doi.org/10.1364/AO.410350" TargetMode="External"/><Relationship Id="rId173" Type="http://schemas.openxmlformats.org/officeDocument/2006/relationships/hyperlink" Target="https://doi.org/10.64861/EEGX8108" TargetMode="External"/></Relationships>
</file>

<file path=word/_rels/footnotes.xml.rels><?xml version='1.0' encoding='UTF-8' standalone='yes'?>
<Relationships xmlns="http://schemas.openxmlformats.org/package/2006/relationships"><Relationship Id="rId163" Type="http://schemas.openxmlformats.org/officeDocument/2006/relationships/hyperlink" Target="https://doi.org/10.1007/s11214-008-9374-8" TargetMode="External"/><Relationship Id="rId188" Type="http://schemas.openxmlformats.org/officeDocument/2006/relationships/hyperlink" Target="https://doi.org/10.1016/j.actaastro.2018.03.011" TargetMode="External"/><Relationship Id="rId154" Type="http://schemas.openxmlformats.org/officeDocument/2006/relationships/hyperlink" Target="https://doi.org/10.1016/j.actaastro.2019.09.030" TargetMode="External"/><Relationship Id="rId194" Type="http://schemas.openxmlformats.org/officeDocument/2006/relationships/hyperlink" Target="https://doi.org/10.1016/j.actaastro.2023.01.040" TargetMode="External"/><Relationship Id="rId196" Type="http://schemas.openxmlformats.org/officeDocument/2006/relationships/hyperlink" Target="https://doi.org/10.1016/j.actaastro.2023.10.020" TargetMode="External"/><Relationship Id="rId190" Type="http://schemas.openxmlformats.org/officeDocument/2006/relationships/hyperlink" Target="https://doi.org/10.1016/j.actaastro.2024.07.030" TargetMode="External"/><Relationship Id="rId192" Type="http://schemas.openxmlformats.org/officeDocument/2006/relationships/hyperlink" Target="https://doi.org/10.1016/j.actaastro.2025.10.028" TargetMode="External"/><Relationship Id="rId186" Type="http://schemas.openxmlformats.org/officeDocument/2006/relationships/hyperlink" Target="https://doi.org/10.1016/j.actaastro.2025.12.055" TargetMode="External"/><Relationship Id="rId184" Type="http://schemas.openxmlformats.org/officeDocument/2006/relationships/hyperlink" Target="https://doi.org/10.1016/j.actaastro.2026.01.045" TargetMode="External"/><Relationship Id="rId182" Type="http://schemas.openxmlformats.org/officeDocument/2006/relationships/hyperlink" Target="https://doi.org/10.1016/j.actaastro.2026.05.056" TargetMode="External"/><Relationship Id="rId178" Type="http://schemas.openxmlformats.org/officeDocument/2006/relationships/hyperlink" Target="https://doi.org/10.1364/AO.410350" TargetMode="External"/><Relationship Id="rId173" Type="http://schemas.openxmlformats.org/officeDocument/2006/relationships/hyperlink" Target="https://doi.org/10.64861/EEGX8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Aperture-Cadence Tradeoff: A Cost-Effectiveness Frontier for DSN Capacity Ex</dc:title>
  <dc:creator>Dimitri Marsh (1B-SCN-032)</dc:creator>
  <cp:keywords/>
  <dcterms:created xsi:type="dcterms:W3CDTF">2026-07-02T16:16:00Z</dcterms:created>
  <dcterms:modified xsi:type="dcterms:W3CDTF">2026-07-02T16:16:00Z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