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e33d088fe06f4ab518d87d8fd6f793b916f62a3"/>
    <w:p>
      <w:pPr>
        <w:pStyle w:val="Heading1"/>
      </w:pPr>
      <w:r>
        <w:t xml:space="preserve">Link-Budget Margin and Downlink Performance: An Econometric Regression of Achieved Deep-Space Data Rate on Transmitter Power, Antenna Aperture, Frequency Band, and Range</w:t>
      </w:r>
    </w:p>
    <w:bookmarkStart w:id="61" w:name="introduction"/>
    <w:p>
      <w:pPr>
        <w:pStyle w:val="Heading2"/>
      </w:pPr>
      <w:r>
        <w:t xml:space="preserve">1. Introduction</w:t>
      </w:r>
    </w:p>
    <w:p>
      <w:pPr>
        <w:pStyle w:val="FirstParagraph"/>
      </w:pPr>
      <w:r>
        <w:t xml:space="preserve">Every bit returned from a planetary spacecraft is the product of a telecommunications link budget that engineers close before launch and defend for the life of the mission. The link budget is an accounting identity: received signal power equals transmitted power, multiplied by the gains of the spacecraft and ground antennas, divided by the free-space path loss that grows with the square of distance, set against the noise of the receiving system. When the resulting margin is positive, the downlink carries telemetry at a chosen rate; when margin erodes, mission planners step the rate down until the link closes again. The achieved data rate is therefore not a free design choice but a quantity dictated by physical hardware and orbital geometry.</w:t>
      </w:r>
    </w:p>
    <w:p>
      <w:pPr>
        <w:pStyle w:val="BodyText"/>
      </w:pPr>
      <w:r>
        <w:t xml:space="preserve">This paper asks how much of the observed variation in achieved deep-space downlink rates can be explained by the handful of physical drivers that the link budget identifies as first order: transmitter radio-frequency power, high-gain antenna aperture, carrier frequency band, and Earth range. The question matters for mission design and for the economics of the Deep Space Network. If a small set of measurable hardware parameters accounts for most of the spread in delivered rate, then early trade studies can predict data return with confidence, and investment in any single driver, whether a larger reflector or a move to Ka-band, can be priced against its marginal contribution. The contribution of this paper is to treat the link budget not as a deterministic per-mission calculation but as an empirical relationship estimated across the historical fleet, so that the average elasticity of data rate with respect to each driver becomes visible.</w:t>
      </w:r>
    </w:p>
    <w:p>
      <w:pPr>
        <w:pStyle w:val="BodyText"/>
      </w:pPr>
      <w:r>
        <w:t xml:space="preserve">I assemble a cross-section of twenty-eight mission-phase observations spanning the planetary program from Pioneer through Europa Clipper, each carrying documented values for transmitter power, antenna diameter, band, range, and the data rate actually achieved, and I estimate an ordinary-least-squares regression of the log of rate on these drivers. The estimated relationship is strongly significant and recovers the signs that the physics predicts.</w:t>
      </w:r>
    </w:p>
    <w:bookmarkEnd w:id="61"/>
    <w:bookmarkStart w:id="62" w:name="theory-and-hypotheses"/>
    <w:p>
      <w:pPr>
        <w:pStyle w:val="Heading2"/>
      </w:pPr>
      <w:r>
        <w:t xml:space="preserve">2. Theory and Hypotheses</w:t>
      </w:r>
    </w:p>
    <w:p>
      <w:pPr>
        <w:pStyle w:val="FirstParagraph"/>
      </w:pPr>
      <w:r>
        <w:t xml:space="preserve">The deep-space link budget rests on the Friis transmission relation. Received power scales with the product of transmitter power and the gains of the transmitting and receiving antennas, and falls inversely with the square of the separation distance. Two of these terms are under the spacecraft designer’s control. Transmitter power enters linearly, so doubling the traveling-wave-tube amplifier output adds a fixed increment to the link in decibels. Antenna gain scales with the square of aperture diameter and with the square of carrier frequency, so a larger high-gain antenna and a higher band each raise the effective isotropic radiated power that the spacecraft presents to the ground. Range enters as an inverse square in power terms, which is the dominant penalty for outer-planet and interstellar operations</w:t>
      </w:r>
      <w:r>
        <w:t xml:space="preserve"> </w:t>
      </w:r>
      <w:hyperlink w:anchor="ref-1">
        <m:oMathPara>
          <m:oMathParaPr>
            <m:jc m:val="center"/>
          </m:oMathParaPr>
          <m:oMath>
            <m:r>
              <m:t>1</m:t>
            </m:r>
          </m:oMath>
        </m:oMathPara>
      </w:hyperlink>
      <w:r>
        <w:t xml:space="preserve">.</w:t>
      </w:r>
    </w:p>
    <w:p>
      <w:pPr>
        <w:pStyle w:val="FirstParagraph"/>
      </w:pPr>
      <w:r>
        <w:t xml:space="preserve">Because the achievable rate scales multiplicatively with these terms, the relationship linearizes on a logarithmic scale. This motivates regressing the base-ten logarithm of the achieved rate on the physical drivers. Three of the drivers, power, aperture, and band, should carry positive coefficients, and the range term should carry a negative coefficient. The magnitude of the range coefficient is itself a testable quantity: a pure inverse-square law with a fixed margin and fixed rate-selection policy would imply a coefficient near negative two on log range, while ground-station arraying, adaptive coding, and rate selection at shorter ranges should attenuate that penalty toward a smaller magnitude</w:t>
      </w:r>
      <w:r>
        <w:t xml:space="preserve"> </w:t>
      </w:r>
      <w:hyperlink w:anchor="ref-2">
        <m:oMathPara>
          <m:oMathParaPr>
            <m:jc m:val="center"/>
          </m:oMathParaPr>
          <m:oMath>
            <m:r>
              <m:t>2</m:t>
            </m:r>
          </m:oMath>
        </m:oMathPara>
      </w:hyperlink>
      <w:r>
        <w:t xml:space="preserve">.</w:t>
      </w:r>
    </w:p>
    <w:p>
      <w:pPr>
        <w:pStyle w:val="FirstParagraph"/>
      </w:pPr>
      <w:r>
        <w:t xml:space="preserve">The historical record gives qualitative support for each channel. Voyager’s interstellar floor near a few tens of bits per second, set by the same 3.66-meter antenna and 18-watt amplifier that returned 115 kilobits per second at Jupiter, isolates the range penalty across two decades of distance</w:t>
      </w:r>
      <w:r>
        <w:t xml:space="preserve"> </w:t>
      </w:r>
      <w:hyperlink w:anchor="ref-3">
        <m:oMathPara>
          <m:oMathParaPr>
            <m:jc m:val="center"/>
          </m:oMathParaPr>
          <m:oMath>
            <m:r>
              <m:t>3</m:t>
            </m:r>
          </m:oMath>
        </m:oMathPara>
      </w:hyperlink>
      <w:r>
        <w:t xml:space="preserve">. Galileo’s forced retreat from a 134-kilobit-per-second high-gain design to a 160-bit-per-second low-gain contingency after its antenna failed to deploy isolates the aperture term almost in a controlled experiment</w:t>
      </w:r>
      <w:r>
        <w:t xml:space="preserve"> </w:t>
      </w:r>
      <w:hyperlink w:anchor="ref-4">
        <m:oMathPara>
          <m:oMathParaPr>
            <m:jc m:val="center"/>
          </m:oMathParaPr>
          <m:oMath>
            <m:r>
              <m:t>4</m:t>
            </m:r>
          </m:oMath>
        </m:oMathPara>
      </w:hyperlink>
      <w:r>
        <w:t xml:space="preserve">. The Mars Reconnaissance Orbiter’s Ka-band demonstration, which returned six megabits per second where its X-band link delivered a few, isolates the frequency-band term</w:t>
      </w:r>
      <w:r>
        <w:t xml:space="preserve"> </w:t>
      </w:r>
      <w:hyperlink w:anchor="ref-5">
        <m:oMathPara>
          <m:oMathParaPr>
            <m:jc m:val="center"/>
          </m:oMathParaPr>
          <m:oMath>
            <m:r>
              <m:t>5</m:t>
            </m:r>
          </m:oMath>
        </m:oMathPara>
      </w:hyperlink>
      <w:r>
        <w:t xml:space="preserve">. These cases suggest the following hypotheses.</w:t>
      </w:r>
    </w:p>
    <w:p>
      <w:pPr>
        <w:pStyle w:val="FirstParagraph"/>
      </w:pPr>
      <w:r>
        <w:t xml:space="preserve">H1. The coefficient on transmitter power is positive: higher amplifier output raises the achievable rate.</w:t>
      </w:r>
    </w:p>
    <w:p>
      <w:pPr>
        <w:pStyle w:val="BodyText"/>
      </w:pPr>
      <w:r>
        <w:t xml:space="preserve">H2. The coefficient on antenna diameter is positive and economically large: aperture is the strongest spacecraft-side lever.</w:t>
      </w:r>
    </w:p>
    <w:p>
      <w:pPr>
        <w:pStyle w:val="BodyText"/>
      </w:pPr>
      <w:r>
        <w:t xml:space="preserve">H3. The Ka-band indicator carries a positive coefficient: operating near 32 gigahertz raises rate relative to X-band.</w:t>
      </w:r>
    </w:p>
    <w:p>
      <w:pPr>
        <w:pStyle w:val="BodyText"/>
      </w:pPr>
      <w:r>
        <w:t xml:space="preserve">H4. The coefficient on log range is negative, reflecting free-space path loss.</w:t>
      </w:r>
    </w:p>
    <w:bookmarkEnd w:id="62"/>
    <w:bookmarkStart w:id="63" w:name="data"/>
    <w:p>
      <w:pPr>
        <w:pStyle w:val="Heading2"/>
      </w:pPr>
      <w:r>
        <w:t xml:space="preserve">3. Data</w:t>
      </w:r>
    </w:p>
    <w:p>
      <w:pPr>
        <w:pStyle w:val="FirstParagraph"/>
      </w:pPr>
      <w:r>
        <w:t xml:space="preserve">The dataset comprises twenty-eight mission-phase observations. Each row records a spacecraft and operational phase, the achieved downlink telemetry rate in bits per second, the downlink transmitter RF output power in watts, the high-gain antenna reflector diameter in meters, an indicator for Ka-band operation, and the spacecraft-to-Earth range in astronomical units at which the rate applied. Rates and hardware parameters come from the Jet Propulsion Laboratory DESCANSO mission telecommunications summaries, which document each mission’s design control tables, supplemented by NASA and JPL mission references and press kits for missions without a published DESCANSO article. The dependent variable and the range regressor are entered in base-ten logarithms, matching the multiplicative structure of the link budget.</w:t>
      </w:r>
    </w:p>
    <w:p>
      <w:pPr>
        <w:pStyle w:val="BodyText"/>
      </w:pPr>
      <w:r>
        <w:t xml:space="preserve">The cross-section is deliberately wide. Transmitter power ranges from the 2.5-watt Ka translator that Juno uses for gravity science to the 100-watt amplifiers of the Mars Reconnaissance Orbiter, MAVEN, Psyche, and Lucy. Antenna diameters range from Parker Solar Probe’s 0.6-meter reflector to Cassini’s 4.0-meter dish, with a value of zero recorded where the documented rate was achieved through a low- or medium-gain antenna rather than the high-gain antenna, as in the Galileo and Psyche safe-mode cases. Range spans from sub-astronomical-unit Mars and Venus geometries to Voyager’s 160-astronomical-unit interstellar distance. Achieved rates span more than five orders of magnitude, from the 10-bit-per-second Psyche safe-mode floor to the 6-megabit-per-second Ka demonstration. Of the twenty-eight rows, a single rate value, the Mariner 10 figure, is marked as illustrative because a primary-source rate could not be confirmed; every other value is tied to a named NASA or JPL source in the data file. The final column of the data file cites the source for each observation.</w:t>
      </w:r>
    </w:p>
    <w:bookmarkEnd w:id="63"/>
    <w:bookmarkStart w:id="64" w:name="method"/>
    <w:p>
      <w:pPr>
        <w:pStyle w:val="Heading2"/>
      </w:pPr>
      <w:r>
        <w:t xml:space="preserve">4. Method</w:t>
      </w:r>
    </w:p>
    <w:p>
      <w:pPr>
        <w:pStyle w:val="FirstParagraph"/>
      </w:pPr>
      <w:r>
        <w:t xml:space="preserve">I estimate an ordinary-least-squares regression of the log of achieved rate on the four physical drivers, with heteroskedasticity-consistent standard errors. The specification regresses the base-ten logarithm of the achieved data rate on transmitter power in watts, antenna diameter in meters, the Ka-band indicator, and the base-ten logarithm of range in astronomical units, with an intercept. Because the dependent variable is logged while power, diameter, and the band indicator are in levels, the slope on each level regressor is a semi-elasticity: the coefficient multiplied by the natural-log conversion gives the proportional change in rate per unit change in the driver. The coefficient on log range is a direct elasticity and is comparable to the theoretical inverse-square exponent. Robust standard errors guard against the heteroskedasticity that the wide spread in rates and ranges would otherwise introduce. The estimator is deterministic and the full numerical output, including every input value, is preserved in the accompanying workbook so that any figure can be traced to its source.</w:t>
      </w:r>
    </w:p>
    <w:bookmarkEnd w:id="64"/>
    <w:bookmarkStart w:id="65" w:name="findings"/>
    <w:p>
      <w:pPr>
        <w:pStyle w:val="Heading2"/>
      </w:pPr>
      <w:r>
        <w:t xml:space="preserve">5. Findings</w:t>
      </w:r>
    </w:p>
    <w:p>
      <w:pPr>
        <w:pStyle w:val="FirstParagraph"/>
      </w:pPr>
      <w:r>
        <w:t xml:space="preserve">The model explains a substantial majority of the variation in achieved rate. Across the twenty-eight observations the regression returns an R-squared of 0.663 and an adjusted R-squared of 0.604, with an F-statistic of 16.4 and a model p-value of 1.7 times ten to the negative sixth, so the joint null that the physical drivers carry no information is decisively rejected. Each estimated coefficient carries the sign that the link budget predicts.</w:t>
      </w:r>
    </w:p>
    <w:p>
      <w:pPr>
        <w:pStyle w:val="BodyText"/>
      </w:pPr>
      <w:r>
        <w:t xml:space="preserve">Antenna aperture is the dominant spacecraft-side lever, confirming H2. The coefficient on diameter is 0.859 with a robust standard error of 0.181 and a p-value below 0.0001. On the base-ten log scale this implies that each additional meter of reflector diameter multiplies the achievable rate by roughly a factor of seven, holding power, band, and range fixed. The precision of this estimate, the tightest in the model, reflects the wide aperture range in the data and the near-controlled contrast that the Galileo high-gain and low-gain cases supply.</w:t>
      </w:r>
    </w:p>
    <w:p>
      <w:pPr>
        <w:pStyle w:val="BodyText"/>
      </w:pPr>
      <w:r>
        <w:t xml:space="preserve">Range carries the expected negative coefficient, confirming H4. The elasticity of rate with respect to range is -1.192 with a robust standard error of 0.383 and a p-value of 0.002. This is significantly different from zero and lies between zero and the theoretical inverse-square exponent of negative two. The attenuation away from negative two is itself informative: it indicates that the historical fleet did not pay the full geometric penalty of distance, because longer-range operations were systematically supported by larger ground apertures and antenna arraying, by stronger coding, and by mission planners who reserved the highest rates for the shortest ranges. The link budget penalty is real but partly bought back on the ground.</w:t>
      </w:r>
    </w:p>
    <w:p>
      <w:pPr>
        <w:pStyle w:val="BodyText"/>
      </w:pPr>
      <w:r>
        <w:t xml:space="preserve">Transmitter power is positive and significant at the five-percent level, confirming H1. Its coefficient is 0.0121 with a robust standard error of 0.0056 and a p-value of 0.031. The semi-elasticity implies that an additional ten watts of amplifier output raises the achievable rate by roughly thirty percent, other drivers held fixed. The coefficient is smaller in standardized terms than the aperture effect, which is consistent with the physics: power enters the link linearly while aperture enters as a square, so an investment in reflector area moves the budget more than an equal fractional investment in amplifier power.</w:t>
      </w:r>
    </w:p>
    <w:p>
      <w:pPr>
        <w:pStyle w:val="BodyText"/>
      </w:pPr>
      <w:r>
        <w:t xml:space="preserve">The Ka-band indicator is positive, as H3 predicts, but is estimated with less precision. Its coefficient is 0.842 with a robust standard error of 0.503 and a p-value of 0.094, significant at the ten-percent level but not the five-percent level. The point estimate implies that, holding aperture, power, and range fixed, a Ka-band downlink delivers on the order of seven times the rate of an X-band downlink, which is in line with the gain advantage that the higher frequency confers on a fixed aperture and the wider bandwidth that the band allocates. The wide standard error reflects the small number of Ka-band observations in the historical record, four of twenty-eight, and the fact that several of those observations are demonstration or gravity-science carriers rather than mature operational links. The sign and magnitude support the engineering case for Ka-band while signaling that the operational evidence base remains thin.</w:t>
      </w:r>
    </w:p>
    <w:bookmarkEnd w:id="65"/>
    <w:bookmarkStart w:id="66" w:name="discussion"/>
    <w:p>
      <w:pPr>
        <w:pStyle w:val="Heading2"/>
      </w:pPr>
      <w:r>
        <w:t xml:space="preserve">6. Discussion</w:t>
      </w:r>
    </w:p>
    <w:p>
      <w:pPr>
        <w:pStyle w:val="FirstParagraph"/>
      </w:pPr>
      <w:r>
        <w:t xml:space="preserve">The estimated relationship validates the link budget as an empirical, not merely deterministic, description of deep-space data return. Four measurable physical parameters account for roughly sixty percent of the adjusted variation in achieved rate across forty years of planetary missions, and the recovered coefficients rank the design levers in the order the physics implies: aperture first, then the frequency-band step, then transmitter power, against a range penalty that is large but softened by ground-segment investment.</w:t>
      </w:r>
    </w:p>
    <w:p>
      <w:pPr>
        <w:pStyle w:val="BodyText"/>
      </w:pPr>
      <w:r>
        <w:t xml:space="preserve">Three implications follow for mission design and Deep Space Network planning. First, the precision and magnitude of the aperture coefficient argue that reflector area remains the highest-return spacecraft-side investment for data return, which is consistent with the persistence of three- and four-meter high-gain antennas across the program. Second, the softened range elasticity quantifies the value of the ground segment: because arraying and coding buy back roughly two-fifths of the geometric distance penalty, the marginal data return from ground-aperture investment is largest precisely for the most distant missions, where it is most needed. Third, the positive but imprecisely estimated Ka-band effect indicates that the band’s promise is physically sound but statistically under-demonstrated; as Psyche, Europa Clipper, and future Ka-band operational links mature, the evidence base will tighten and the coefficient should sharpen.</w:t>
      </w:r>
    </w:p>
    <w:p>
      <w:pPr>
        <w:pStyle w:val="BodyText"/>
      </w:pPr>
      <w:r>
        <w:t xml:space="preserve">The analysis has limits. The cross-section is small and pools missions across four decades of evolving coding and modulation, so the coefficients are best read as long-run averages rather than as the marginal effects available to any single contemporary design. The aperture variable is set to zero for low-gain-antenna observations, which captures the absence of high-gain pointing but does not model low-gain antenna gain directly; a richer specification would enter antenna gain in decibels for every link. Optical communication, which changes the gain and path-loss scaling entirely, is outside the sample and represents the natural extension of this work as laser downlinks accumulate flight heritage. Within these limits, the regression offers a transparent, source-traceable estimate of how the physics of the link budget translates into delivered bits, and a baseline against which the next generation of high-rate links can be measured.</w:t>
      </w:r>
    </w:p>
    <w:bookmarkEnd w:id="66"/>
    <w:bookmarkStart w:id="79" w:name="references"/>
    <w:p>
      <w:pPr>
        <w:pStyle w:val="Heading2"/>
      </w:pPr>
      <w:r>
        <w:t xml:space="preserve">References</w:t>
      </w:r>
    </w:p>
    <w:p>
      <w:pPr>
        <w:pStyle w:val="FirstParagraph"/>
      </w:pPr>
      <w:bookmarkStart w:id="67" w:name="ref-1"/>
      <w:bookmarkEnd w:id="67"/>
      <w:r>
        <w:t xml:space="preserve">1. J. Taylor, Ed.,</w:t>
      </w:r>
      <w:r>
        <w:t xml:space="preserve"> </w:t>
      </w:r>
      <w:r>
        <w:rPr>
          <w:i/>
          <w:iCs/>
        </w:rPr>
        <w:t xml:space="preserve">Deep Space Communications</w:t>
      </w:r>
      <w:r>
        <w:t xml:space="preserve">, Deep Space Communications and Navigation Series, Jet Propulsion Laboratory, California Institute of Technology, 2016. descanso.jpl.nasa.gov/monograph/series13.</w:t>
      </w:r>
    </w:p>
    <w:p>
      <w:pPr>
        <w:pStyle w:val="BodyText"/>
      </w:pPr>
      <w:bookmarkStart w:id="68" w:name="ref-2"/>
      <w:bookmarkEnd w:id="68"/>
      <w:r>
        <w:t xml:space="preserve">2. G. Genova and others,</w:t>
      </w:r>
      <w:r>
        <w:t xml:space="preserve"> </w:t>
      </w:r>
      <w:r>
        <w:t xml:space="preserve">“An assessment of different relay network topologies to improve Earth-Mars communications,”</w:t>
      </w:r>
      <w:r>
        <w:t xml:space="preserve"> </w:t>
      </w:r>
      <w:r>
        <w:rPr>
          <w:i/>
          <w:iCs/>
        </w:rPr>
        <w:t xml:space="preserve">Acta Astronautica</w:t>
      </w:r>
      <w:r>
        <w:t xml:space="preserve">, vol. 204, 2023. doi:</w:t>
      </w:r>
      <w:r>
        <w:t xml:space="preserve"> </w:t>
      </w:r>
      <w:hyperlink r:id="rId69">
        <w:r>
          <w:rPr>
            <w:rStyle w:val="Hyperlink"/>
          </w:rPr>
          <w:t xml:space="preserve">10.1016/j.actaastro.2023.01.040</w:t>
        </w:r>
      </w:hyperlink>
    </w:p>
    <w:p>
      <w:pPr>
        <w:pStyle w:val="BodyText"/>
      </w:pPr>
      <w:bookmarkStart w:id="70" w:name="ref-3"/>
      <w:bookmarkEnd w:id="70"/>
      <w:r>
        <w:t xml:space="preserve">3. R. Ludwig and J. Taylor,</w:t>
      </w:r>
      <w:r>
        <w:t xml:space="preserve"> </w:t>
      </w:r>
      <w:r>
        <w:t xml:space="preserve">“Voyager Telecommunications,”</w:t>
      </w:r>
      <w:r>
        <w:t xml:space="preserve"> </w:t>
      </w:r>
      <w:r>
        <w:t xml:space="preserve">DESCANSO Design and Performance Summary Series, Article 4, Jet Propulsion Laboratory, 2002. descanso.jpl.nasa.gov/DPSummary/Descanso4–Voyager_ed.pdf.</w:t>
      </w:r>
    </w:p>
    <w:p>
      <w:pPr>
        <w:pStyle w:val="BodyText"/>
      </w:pPr>
      <w:bookmarkStart w:id="71" w:name="ref-4"/>
      <w:bookmarkEnd w:id="71"/>
      <w:r>
        <w:t xml:space="preserve">4. J. I. Statman and others,</w:t>
      </w:r>
      <w:r>
        <w:t xml:space="preserve"> </w:t>
      </w:r>
      <w:r>
        <w:t xml:space="preserve">“Galileo Telecommunications,”</w:t>
      </w:r>
      <w:r>
        <w:t xml:space="preserve"> </w:t>
      </w:r>
      <w:r>
        <w:t xml:space="preserve">DESCANSO Design and Performance Summary Series, Article 5, Jet Propulsion Laboratory. descanso.jpl.nasa.gov/DPSummary/Descanso5–Galileo_new.pdf.</w:t>
      </w:r>
    </w:p>
    <w:p>
      <w:pPr>
        <w:pStyle w:val="BodyText"/>
      </w:pPr>
      <w:bookmarkStart w:id="72" w:name="ref-5"/>
      <w:bookmarkEnd w:id="72"/>
      <w:r>
        <w:t xml:space="preserve">5. D. K. Shin and others,</w:t>
      </w:r>
      <w:r>
        <w:t xml:space="preserve"> </w:t>
      </w:r>
      <w:r>
        <w:t xml:space="preserve">“Mars Reconnaissance Orbiter Ka-Band (32 GHz) Demonstration: Cruise Phase Operations,”</w:t>
      </w:r>
      <w:r>
        <w:t xml:space="preserve"> </w:t>
      </w:r>
      <w:r>
        <w:t xml:space="preserve">NASA Technical Reports Server, 20060050766, 2006. ntrs.nasa.gov/citations/20060050766.</w:t>
      </w:r>
    </w:p>
    <w:p>
      <w:pPr>
        <w:pStyle w:val="BodyText"/>
      </w:pPr>
      <w:bookmarkStart w:id="73" w:name="ref-6"/>
      <w:bookmarkEnd w:id="73"/>
      <w:r>
        <w:t xml:space="preserve">6. J. Taylor, D. Lee, and S. Shambayati,</w:t>
      </w:r>
      <w:r>
        <w:t xml:space="preserve"> </w:t>
      </w:r>
      <w:r>
        <w:t xml:space="preserve">“Mars Reconnaissance Orbiter Telecommunications,”</w:t>
      </w:r>
      <w:r>
        <w:t xml:space="preserve"> </w:t>
      </w:r>
      <w:r>
        <w:t xml:space="preserve">DESCANSO Design and Performance Summary Series, Article 12, Jet Propulsion Laboratory, 2006. descanso.jpl.nasa.gov/DPSummary/MRO_092106.pdf.</w:t>
      </w:r>
    </w:p>
    <w:p>
      <w:pPr>
        <w:pStyle w:val="BodyText"/>
      </w:pPr>
      <w:bookmarkStart w:id="74" w:name="ref-7"/>
      <w:bookmarkEnd w:id="74"/>
      <w:r>
        <w:t xml:space="preserve">7. R. Mukai and others,</w:t>
      </w:r>
      <w:r>
        <w:t xml:space="preserve"> </w:t>
      </w:r>
      <w:r>
        <w:t xml:space="preserve">“Juno Telecommunications,”</w:t>
      </w:r>
      <w:r>
        <w:t xml:space="preserve"> </w:t>
      </w:r>
      <w:r>
        <w:t xml:space="preserve">DESCANSO Design and Performance Summary Series, Article 16, Jet Propulsion Laboratory. descanso.jpl.nasa.gov/DPSummary/Juno_DESCANSO_Post121106H–Compact.pdf.</w:t>
      </w:r>
    </w:p>
    <w:p>
      <w:pPr>
        <w:pStyle w:val="BodyText"/>
      </w:pPr>
      <w:bookmarkStart w:id="75" w:name="ref-8"/>
      <w:bookmarkEnd w:id="75"/>
      <w:r>
        <w:t xml:space="preserve">8. J. S. Border and others,</w:t>
      </w:r>
      <w:r>
        <w:t xml:space="preserve"> </w:t>
      </w:r>
      <w:r>
        <w:t xml:space="preserve">“Cassini Orbiter/Huygens Probe Telecommunications,”</w:t>
      </w:r>
      <w:r>
        <w:t xml:space="preserve"> </w:t>
      </w:r>
      <w:r>
        <w:t xml:space="preserve">DESCANSO Design and Performance Summary Series, Article 3, Jet Propulsion Laboratory. descanso.jpl.nasa.gov/DPSummary/Descanso3–Cassini2.pdf.</w:t>
      </w:r>
    </w:p>
    <w:p>
      <w:pPr>
        <w:pStyle w:val="BodyText"/>
      </w:pPr>
      <w:bookmarkStart w:id="76" w:name="ref-9"/>
      <w:bookmarkEnd w:id="76"/>
      <w:r>
        <w:t xml:space="preserve">9. C. C. DeBoy and others,</w:t>
      </w:r>
      <w:r>
        <w:t xml:space="preserve"> </w:t>
      </w:r>
      <w:r>
        <w:t xml:space="preserve">“The RF telecommunications system for the New Horizons mission to Pluto,”</w:t>
      </w:r>
      <w:r>
        <w:t xml:space="preserve"> </w:t>
      </w:r>
      <w:r>
        <w:t xml:space="preserve">in</w:t>
      </w:r>
      <w:r>
        <w:t xml:space="preserve"> </w:t>
      </w:r>
      <w:r>
        <w:rPr>
          <w:i/>
          <w:iCs/>
        </w:rPr>
        <w:t xml:space="preserve">Proc. IEEE Aerospace Conference</w:t>
      </w:r>
      <w:r>
        <w:t xml:space="preserve">, 2004. ieeexplore.ieee.org/document/1367922.</w:t>
      </w:r>
    </w:p>
    <w:p>
      <w:pPr>
        <w:pStyle w:val="BodyText"/>
      </w:pPr>
      <w:bookmarkStart w:id="77" w:name="ref-10"/>
      <w:bookmarkEnd w:id="77"/>
      <w:r>
        <w:t xml:space="preserve">10. L. T. Elkins-Tanton and others,</w:t>
      </w:r>
      <w:r>
        <w:t xml:space="preserve"> </w:t>
      </w:r>
      <w:r>
        <w:t xml:space="preserve">“Design and Development of the Psyche Spacecraft for NASA’s Discovery Program,”</w:t>
      </w:r>
      <w:r>
        <w:t xml:space="preserve"> </w:t>
      </w:r>
      <w:r>
        <w:rPr>
          <w:i/>
          <w:iCs/>
        </w:rPr>
        <w:t xml:space="preserve">Space Science Reviews</w:t>
      </w:r>
      <w:r>
        <w:t xml:space="preserve">, 2025. doi:</w:t>
      </w:r>
      <w:r>
        <w:t xml:space="preserve"> </w:t>
      </w:r>
      <w:hyperlink r:id="rId78">
        <w:r>
          <w:rPr>
            <w:rStyle w:val="Hyperlink"/>
          </w:rPr>
          <w:t xml:space="preserve">10.1007/s11214-025-01222-1</w:t>
        </w:r>
      </w:hyperlink>
    </w:p>
    <w:bookmarkEnd w:id="79"/>
    <w:bookmarkStart w:id="80" w:name="specification"/>
    <w:p>
      <w:pPr>
        <w:pStyle w:val="Heading2"/>
      </w:pPr>
      <w:r>
        <w:t xml:space="preserve">Specification</w:t>
      </w:r>
    </w:p>
    <w:p>
      <w:pPr>
        <w:pStyle w:val="FirstParagraph"/>
      </w:pPr>
      <m:oMathPara>
        <m:oMathParaPr>
          <m:jc m:val="center"/>
        </m:oMathParaPr>
        <m:oMath>
          <m:sSub>
            <m:e>
              <m:r>
                <m:rPr>
                  <m:sty m:val="p"/>
                </m:rPr>
                <m:t>log</m:t>
              </m:r>
            </m:e>
            <m:sub>
              <m:r>
                <m:t>10</m:t>
              </m:r>
            </m:sub>
          </m:sSub>
          <m:r>
            <m:rPr>
              <m:sty m:val="p"/>
            </m:rPr>
            <m:t>(</m:t>
          </m:r>
          <m:sSub>
            <m:e>
              <m:r>
                <m:t>R</m:t>
              </m:r>
            </m:e>
            <m:sub>
              <m:r>
                <m:t>i</m:t>
              </m:r>
            </m:sub>
          </m:sSub>
          <m:r>
            <m:rPr>
              <m:sty m:val="p"/>
            </m:rPr>
            <m:t>)</m:t>
          </m:r>
          <m:r>
            <m:rPr>
              <m:sty m:val="p"/>
            </m:rPr>
            <m:t>=</m:t>
          </m:r>
          <m:sSub>
            <m:e>
              <m:r>
                <m:t>β</m:t>
              </m:r>
            </m:e>
            <m:sub>
              <m:r>
                <m:t>0</m:t>
              </m:r>
            </m:sub>
          </m:sSub>
          <m:r>
            <m:rPr>
              <m:sty m:val="p"/>
            </m:rPr>
            <m:t>+</m:t>
          </m:r>
          <m:sSub>
            <m:e>
              <m:r>
                <m:t>β</m:t>
              </m:r>
            </m:e>
            <m:sub>
              <m:r>
                <m:t>1</m:t>
              </m:r>
            </m:sub>
          </m:sSub>
          <m:sSub>
            <m:e>
              <m:r>
                <m:t>P</m:t>
              </m:r>
            </m:e>
            <m:sub>
              <m:r>
                <m:t>i</m:t>
              </m:r>
            </m:sub>
          </m:sSub>
          <m:r>
            <m:rPr>
              <m:sty m:val="p"/>
            </m:rPr>
            <m:t>+</m:t>
          </m:r>
          <m:sSub>
            <m:e>
              <m:r>
                <m:t>β</m:t>
              </m:r>
            </m:e>
            <m:sub>
              <m:r>
                <m:t>2</m:t>
              </m:r>
            </m:sub>
          </m:sSub>
          <m:sSub>
            <m:e>
              <m:r>
                <m:t>D</m:t>
              </m:r>
            </m:e>
            <m:sub>
              <m:r>
                <m:t>i</m:t>
              </m:r>
            </m:sub>
          </m:sSub>
          <m:r>
            <m:rPr>
              <m:sty m:val="p"/>
            </m:rPr>
            <m:t>+</m:t>
          </m:r>
          <m:sSub>
            <m:e>
              <m:r>
                <m:t>β</m:t>
              </m:r>
            </m:e>
            <m:sub>
              <m:r>
                <m:t>3</m:t>
              </m:r>
            </m:sub>
          </m:sSub>
          <m:sSub>
            <m:e>
              <m:r>
                <m:t>K</m:t>
              </m:r>
            </m:e>
            <m:sub>
              <m:r>
                <m:t>i</m:t>
              </m:r>
            </m:sub>
          </m:sSub>
          <m:r>
            <m:rPr>
              <m:sty m:val="p"/>
            </m:rPr>
            <m:t>+</m:t>
          </m:r>
          <m:sSub>
            <m:e>
              <m:r>
                <m:t>β</m:t>
              </m:r>
            </m:e>
            <m:sub>
              <m:r>
                <m:t>4</m:t>
              </m:r>
            </m:sub>
          </m:sSub>
          <m:sSub>
            <m:e>
              <m:r>
                <m:rPr>
                  <m:sty m:val="p"/>
                </m:rPr>
                <m:t>log</m:t>
              </m:r>
            </m:e>
            <m:sub>
              <m:r>
                <m:t>10</m:t>
              </m:r>
            </m:sub>
          </m:sSub>
          <m:r>
            <m:rPr>
              <m:sty m:val="p"/>
            </m:rPr>
            <m:t>(</m:t>
          </m:r>
          <m:sSub>
            <m:e>
              <m:r>
                <m:t>ρ</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2.3688</w:t>
            </w:r>
          </w:p>
        </w:tc>
        <w:tc>
          <w:tcPr>
            <w:tcW w:w="0" w:type="auto"/>
          </w:tcPr>
          <w:p>
            <w:pPr>
              <w:spacing w:line="240" w:lineRule="auto" w:before="0" w:after="0"/>
              <w:pStyle w:val="Compact"/>
            </w:pPr>
            <w:r>
              <w:rPr>
                <w:sz w:val="20"/>
                <w:szCs w:val="20"/>
              </w:rPr>
              <w:t xml:space="preserve">0.6776</w:t>
            </w:r>
          </w:p>
        </w:tc>
        <w:tc>
          <w:tcPr>
            <w:tcW w:w="0" w:type="auto"/>
          </w:tcPr>
          <w:p>
            <w:pPr>
              <w:spacing w:line="240" w:lineRule="auto" w:before="0" w:after="0"/>
              <w:pStyle w:val="Compact"/>
            </w:pPr>
            <w:r>
              <w:rPr>
                <w:sz w:val="20"/>
                <w:szCs w:val="20"/>
              </w:rPr>
              <w:t xml:space="preserve">3.4957</w:t>
            </w:r>
          </w:p>
        </w:tc>
        <w:tc>
          <w:tcPr>
            <w:tcW w:w="0" w:type="auto"/>
          </w:tcPr>
          <w:p>
            <w:pPr>
              <w:spacing w:line="240" w:lineRule="auto" w:before="0" w:after="0"/>
              <w:pStyle w:val="Compact"/>
            </w:pPr>
            <w:r>
              <w:rPr>
                <w:sz w:val="20"/>
                <w:szCs w:val="20"/>
              </w:rPr>
              <w:t xml:space="preserve">0.0004729</w:t>
            </w:r>
          </w:p>
        </w:tc>
        <w:tc>
          <w:tcPr>
            <w:tcW w:w="0" w:type="auto"/>
          </w:tcPr>
          <w:p>
            <w:pPr>
              <w:spacing w:line="240" w:lineRule="auto" w:before="0" w:after="0"/>
              <w:pStyle w:val="Compact"/>
            </w:pPr>
            <w:r>
              <w:rPr>
                <w:sz w:val="20"/>
                <w:szCs w:val="20"/>
              </w:rPr>
              <w:t xml:space="preserve">[1.0406, 3.6969]</w:t>
            </w:r>
          </w:p>
        </w:tc>
      </w:tr>
      <w:tr>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2.1535</w:t>
            </w:r>
          </w:p>
        </w:tc>
        <w:tc>
          <w:tcPr>
            <w:tcW w:w="0" w:type="auto"/>
          </w:tcPr>
          <w:p>
            <w:pPr>
              <w:spacing w:line="240" w:lineRule="auto" w:before="0" w:after="0"/>
              <w:pStyle w:val="Compact"/>
            </w:pPr>
            <w:r>
              <w:rPr>
                <w:sz w:val="20"/>
                <w:szCs w:val="20"/>
              </w:rPr>
              <w:t xml:space="preserve">0.0313</w:t>
            </w:r>
          </w:p>
        </w:tc>
        <w:tc>
          <w:tcPr>
            <w:tcW w:w="0" w:type="auto"/>
          </w:tcPr>
          <w:p>
            <w:pPr>
              <w:spacing w:line="240" w:lineRule="auto" w:before="0" w:after="0"/>
              <w:pStyle w:val="Compact"/>
            </w:pPr>
            <w:r>
              <w:rPr>
                <w:sz w:val="20"/>
                <w:szCs w:val="20"/>
              </w:rPr>
              <w:t xml:space="preserve">[0.0011, 0.0232]</w:t>
            </w:r>
          </w:p>
        </w:tc>
      </w:tr>
      <w:tr>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0.8586</w:t>
            </w:r>
          </w:p>
        </w:tc>
        <w:tc>
          <w:tcPr>
            <w:tcW w:w="0" w:type="auto"/>
          </w:tcPr>
          <w:p>
            <w:pPr>
              <w:spacing w:line="240" w:lineRule="auto" w:before="0" w:after="0"/>
              <w:pStyle w:val="Compact"/>
            </w:pPr>
            <w:r>
              <w:rPr>
                <w:sz w:val="20"/>
                <w:szCs w:val="20"/>
              </w:rPr>
              <w:t xml:space="preserve">0.1814</w:t>
            </w:r>
          </w:p>
        </w:tc>
        <w:tc>
          <w:tcPr>
            <w:tcW w:w="0" w:type="auto"/>
          </w:tcPr>
          <w:p>
            <w:pPr>
              <w:spacing w:line="240" w:lineRule="auto" w:before="0" w:after="0"/>
              <w:pStyle w:val="Compact"/>
            </w:pPr>
            <w:r>
              <w:rPr>
                <w:sz w:val="20"/>
                <w:szCs w:val="20"/>
              </w:rPr>
              <w:t xml:space="preserve">4.7319</w:t>
            </w:r>
          </w:p>
        </w:tc>
        <w:tc>
          <w:tcPr>
            <w:tcW w:w="0" w:type="auto"/>
          </w:tcPr>
          <w:p>
            <w:pPr>
              <w:spacing w:line="240" w:lineRule="auto" w:before="0" w:after="0"/>
              <w:pStyle w:val="Compact"/>
            </w:pPr>
            <w:r>
              <w:rPr>
                <w:sz w:val="20"/>
                <w:szCs w:val="20"/>
              </w:rPr>
              <w:t xml:space="preserve">2.224e-06</w:t>
            </w:r>
          </w:p>
        </w:tc>
        <w:tc>
          <w:tcPr>
            <w:tcW w:w="0" w:type="auto"/>
          </w:tcPr>
          <w:p>
            <w:pPr>
              <w:spacing w:line="240" w:lineRule="auto" w:before="0" w:after="0"/>
              <w:pStyle w:val="Compact"/>
            </w:pPr>
            <w:r>
              <w:rPr>
                <w:sz w:val="20"/>
                <w:szCs w:val="20"/>
              </w:rPr>
              <w:t xml:space="preserve">[0.5029, 1.2142]</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0.5026</w:t>
            </w:r>
          </w:p>
        </w:tc>
        <w:tc>
          <w:tcPr>
            <w:tcW w:w="0" w:type="auto"/>
          </w:tcPr>
          <w:p>
            <w:pPr>
              <w:spacing w:line="240" w:lineRule="auto" w:before="0" w:after="0"/>
              <w:pStyle w:val="Compact"/>
            </w:pPr>
            <w:r>
              <w:rPr>
                <w:sz w:val="20"/>
                <w:szCs w:val="20"/>
              </w:rPr>
              <w:t xml:space="preserve">1.6761</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[-0.1427, 1.8273]</w:t>
            </w:r>
          </w:p>
        </w:tc>
      </w:tr>
      <w:tr>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-1.1923</w:t>
            </w:r>
          </w:p>
        </w:tc>
        <w:tc>
          <w:tcPr>
            <w:tcW w:w="0" w:type="auto"/>
          </w:tcPr>
          <w:p>
            <w:pPr>
              <w:spacing w:line="240" w:lineRule="auto" w:before="0" w:after="0"/>
              <w:pStyle w:val="Compact"/>
            </w:pPr>
            <w:r>
              <w:rPr>
                <w:sz w:val="20"/>
                <w:szCs w:val="20"/>
              </w:rPr>
              <w:t xml:space="preserve">0.3832</w:t>
            </w:r>
          </w:p>
        </w:tc>
        <w:tc>
          <w:tcPr>
            <w:tcW w:w="0" w:type="auto"/>
          </w:tcPr>
          <w:p>
            <w:pPr>
              <w:spacing w:line="240" w:lineRule="auto" w:before="0" w:after="0"/>
              <w:pStyle w:val="Compact"/>
            </w:pPr>
            <w:r>
              <w:rPr>
                <w:sz w:val="20"/>
                <w:szCs w:val="20"/>
              </w:rPr>
              <w:t xml:space="preserve">-3.1116</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[-1.9433, -0.4413]</w:t>
            </w:r>
          </w:p>
        </w:tc>
      </w:tr>
    </w:tbl>
    <w:p>
      <w:pPr>
        <w:pStyle w:val="BodyText"/>
      </w:pPr>
      <w:r>
        <w:t xml:space="preserve">Fit: N = 28 R2 = 0.6627 R2_adj = 0.6041 F = 16.4131 F_p = 1.737e-06</w:t>
      </w:r>
    </w:p>
    <w:p>
      <w:pPr>
        <w:pStyle w:val="CaptionedFigure"/>
      </w:pPr>
      <w:r>
        <w:drawing>
          <wp:inline>
            <wp:extent cx="5669280" cy="3657600"/>
            <wp:effectExtent b="0" l="0" r="0" t="0"/>
            <wp:docPr descr="Figure 1. Achieved deep-space downlink rate against Earth range across 28 NASA/JPL mission-phase observations. The negative slope reflects free-space path loss; vertical dispersion at a given range traces differences in transmitter power, antenna aperture, and frequency band." title="" id="82" name="Picture"/>
            <a:graphic>
              <a:graphicData uri="http://schemas.openxmlformats.org/drawingml/2006/picture">
                <pic:pic>
                  <pic:nvPicPr>
                    <pic:cNvPr descr="D:\Claude_Code\brain\collegium\candidates\dissertations\JPL_OPS_COMMS_DATA_06\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Achieved deep-space downlink rate against Earth range across 28 NASA/JPL mission-phase observations. The negative slope reflects free-space path loss; vertical dispersion at a given range traces differences in transmitter power, antenna aperture, and frequency band.</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phase_band</w:t>
            </w:r>
          </w:p>
        </w:tc>
        <w:tc>
          <w:tcPr>
            <w:tcW w:w="0" w:type="auto"/>
          </w:tcPr>
          <w:p>
            <w:pPr>
              <w:spacing w:line="240" w:lineRule="auto" w:before="0" w:after="0"/>
              <w:pStyle w:val="Compact"/>
            </w:pPr>
            <w:r>
              <w:rPr>
                <w:sz w:val="20"/>
                <w:szCs w:val="20"/>
              </w:rPr>
              <w:t xml:space="preserve">data_rate_bps</w:t>
            </w:r>
          </w:p>
        </w:tc>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range_au</w:t>
            </w:r>
          </w:p>
        </w:tc>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Voyager_1_Jupiter</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5.0615</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Voyager Telecommunications, DESCANSO Article 4 (Ludwig &amp; Taylor 2002), HGA 3.66 m, X-TWTA high-power 18 W, high-rate max 115.2 kbps: descanso.jpl.nasa.gov/DPSummary/Descanso4–Voyager_ed.pdf</w:t>
            </w:r>
          </w:p>
        </w:tc>
      </w:tr>
      <w:tr>
        <w:tc>
          <w:tcPr>
            <w:tcW w:w="0" w:type="auto"/>
          </w:tcPr>
          <w:p>
            <w:pPr>
              <w:spacing w:line="240" w:lineRule="auto" w:before="0" w:after="0"/>
              <w:pStyle w:val="Compact"/>
            </w:pPr>
            <w:r>
              <w:rPr>
                <w:sz w:val="20"/>
                <w:szCs w:val="20"/>
              </w:rPr>
              <w:t xml:space="preserve">Voyager_2_Saturn</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44800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4.6513</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Voyager DESCANSO Article 4; Jupiter 115.2 kbps halved by Saturn distance (NASA Voyager program): descanso.jpl.nasa.gov/DPSummary/Descanso4–Voyager_ed.pdf</w:t>
            </w:r>
          </w:p>
        </w:tc>
      </w:tr>
      <w:tr>
        <w:tc>
          <w:tcPr>
            <w:tcW w:w="0" w:type="auto"/>
          </w:tcPr>
          <w:p>
            <w:pPr>
              <w:spacing w:line="240" w:lineRule="auto" w:before="0" w:after="0"/>
              <w:pStyle w:val="Compact"/>
            </w:pPr>
            <w:r>
              <w:rPr>
                <w:sz w:val="20"/>
                <w:szCs w:val="20"/>
              </w:rPr>
              <w:t xml:space="preserve">Voyager_2_Neptune</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21600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4.3345</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Voyager 2 Neptune flyby 1989, 21.6 kbps with arrayed DSN (NASA 30 Years Ago: Voyager 2’s Historic Neptune Flyby): nasa.gov/solar-system/30-years-ago-voyager-2s-historic-neptune-flyby</w:t>
            </w:r>
          </w:p>
        </w:tc>
      </w:tr>
      <w:tr>
        <w:tc>
          <w:tcPr>
            <w:tcW w:w="0" w:type="auto"/>
          </w:tcPr>
          <w:p>
            <w:pPr>
              <w:spacing w:line="240" w:lineRule="auto" w:before="0" w:after="0"/>
              <w:pStyle w:val="Compact"/>
            </w:pPr>
            <w:r>
              <w:rPr>
                <w:sz w:val="20"/>
                <w:szCs w:val="20"/>
              </w:rPr>
              <w:t xml:space="preserve">Voyager_1_Interstellar</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Voyager DESCANSO Article 4, low-rate floor at interstellar range; high-rate range 10 bps-115.2 kbps: descanso.jpl.nasa.gov/DPSummary/Descanso4–Voyager_ed.pdf</w:t>
            </w:r>
          </w:p>
        </w:tc>
      </w:tr>
      <w:tr>
        <w:tc>
          <w:tcPr>
            <w:tcW w:w="0" w:type="auto"/>
          </w:tcPr>
          <w:p>
            <w:pPr>
              <w:spacing w:line="240" w:lineRule="auto" w:before="0" w:after="0"/>
              <w:pStyle w:val="Compact"/>
            </w:pPr>
            <w:r>
              <w:rPr>
                <w:sz w:val="20"/>
                <w:szCs w:val="20"/>
              </w:rPr>
              <w:t xml:space="preserve">Galileo_HGA_design</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134400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5.1284</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Galileo Telecommunications, DESCANSO Article 5; HGA design max 134.4 kbps (HGA failed to deploy): descanso.jpl.nasa.gov/DPSummary/Descanso5–Galileo_new.pdf</w:t>
            </w:r>
          </w:p>
        </w:tc>
      </w:tr>
      <w:tr>
        <w:tc>
          <w:tcPr>
            <w:tcW w:w="0" w:type="auto"/>
          </w:tcPr>
          <w:p>
            <w:pPr>
              <w:spacing w:line="240" w:lineRule="auto" w:before="0" w:after="0"/>
              <w:pStyle w:val="Compact"/>
            </w:pPr>
            <w:r>
              <w:rPr>
                <w:sz w:val="20"/>
                <w:szCs w:val="20"/>
              </w:rPr>
              <w:t xml:space="preserve">Galileo_LGA_actual</w:t>
            </w:r>
          </w:p>
        </w:tc>
        <w:tc>
          <w:tcPr>
            <w:tcW w:w="0" w:type="auto"/>
          </w:tcPr>
          <w:p>
            <w:pPr>
              <w:spacing w:line="240" w:lineRule="auto" w:before="0" w:after="0"/>
              <w:pStyle w:val="Compact"/>
            </w:pPr>
            <w:r>
              <w:rPr>
                <w:sz w:val="20"/>
                <w:szCs w:val="20"/>
              </w:rPr>
              <w:t xml:space="preserve">S-band</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Galileo S-band LGA contingency top rate 160 bps at Jupiter after HGA failure (NASA Galileo new telecom strategy): nasa.gov Galileo communication factsheet</w:t>
            </w:r>
          </w:p>
        </w:tc>
      </w:tr>
      <w:tr>
        <w:tc>
          <w:tcPr>
            <w:tcW w:w="0" w:type="auto"/>
          </w:tcPr>
          <w:p>
            <w:pPr>
              <w:spacing w:line="240" w:lineRule="auto" w:before="0" w:after="0"/>
              <w:pStyle w:val="Compact"/>
            </w:pPr>
            <w:r>
              <w:rPr>
                <w:sz w:val="20"/>
                <w:szCs w:val="20"/>
              </w:rPr>
              <w:t xml:space="preserve">Cassini_Saturn</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142000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5.1523</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Cassini Orbiter/Huygens Telecommunications, DESCANSO Article 3; 4 m HGA, 20 W TWTA, TCU rates 5 bps-249 kbps: descanso.jpl.nasa.gov/DPSummary/Descanso3–Cassini2.pdf</w:t>
            </w:r>
          </w:p>
        </w:tc>
      </w:tr>
      <w:tr>
        <w:tc>
          <w:tcPr>
            <w:tcW w:w="0" w:type="auto"/>
          </w:tcPr>
          <w:p>
            <w:pPr>
              <w:spacing w:line="240" w:lineRule="auto" w:before="0" w:after="0"/>
              <w:pStyle w:val="Compact"/>
            </w:pPr>
            <w:r>
              <w:rPr>
                <w:sz w:val="20"/>
                <w:szCs w:val="20"/>
              </w:rPr>
              <w:t xml:space="preserve">Cassini_max</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249000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5.3962</w:t>
            </w:r>
          </w:p>
        </w:tc>
        <w:tc>
          <w:tcPr>
            <w:tcW w:w="0" w:type="auto"/>
          </w:tcPr>
          <w:p>
            <w:pPr>
              <w:spacing w:line="240" w:lineRule="auto" w:before="0" w:after="0"/>
              <w:pStyle w:val="Compact"/>
            </w:pPr>
            <w:r>
              <w:rPr>
                <w:sz w:val="20"/>
                <w:szCs w:val="20"/>
              </w:rPr>
              <w:t xml:space="preserve">0.9294</w:t>
            </w:r>
          </w:p>
        </w:tc>
        <w:tc>
          <w:tcPr>
            <w:tcW w:w="0" w:type="auto"/>
          </w:tcPr>
          <w:p>
            <w:pPr>
              <w:spacing w:line="240" w:lineRule="auto" w:before="0" w:after="0"/>
              <w:pStyle w:val="Compact"/>
            </w:pPr>
            <w:r>
              <w:rPr>
                <w:sz w:val="20"/>
                <w:szCs w:val="20"/>
              </w:rPr>
              <w:t xml:space="preserve">Cassini DESCANSO Article 3; max telemetry 249 kbps: descanso.jpl.nasa.gov/DPSummary/Descanso3–Cassini2.pdf</w:t>
            </w:r>
          </w:p>
        </w:tc>
      </w:tr>
      <w:tr>
        <w:tc>
          <w:tcPr>
            <w:tcW w:w="0" w:type="auto"/>
          </w:tcPr>
          <w:p>
            <w:pPr>
              <w:spacing w:line="240" w:lineRule="auto" w:before="0" w:after="0"/>
              <w:pStyle w:val="Compact"/>
            </w:pPr>
            <w:r>
              <w:rPr>
                <w:sz w:val="20"/>
                <w:szCs w:val="20"/>
              </w:rPr>
              <w:t xml:space="preserve">Juno_Jupiter_orbit</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4.2553</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Juno Telecommunications, DESCANSO Article 16; 2.5 m HGA, 25 W TWTA, min 18 kbps to 34-m at max range 2016: descanso.jpl.nasa.gov/DPSummary/Juno_DESCANSO_Post121106H–Compact.pdf</w:t>
            </w:r>
          </w:p>
        </w:tc>
      </w:tr>
      <w:tr>
        <w:tc>
          <w:tcPr>
            <w:tcW w:w="0" w:type="auto"/>
          </w:tcPr>
          <w:p>
            <w:pPr>
              <w:spacing w:line="240" w:lineRule="auto" w:before="0" w:after="0"/>
              <w:pStyle w:val="Compact"/>
            </w:pPr>
            <w:r>
              <w:rPr>
                <w:sz w:val="20"/>
                <w:szCs w:val="20"/>
              </w:rPr>
              <w:t xml:space="preserve">Juno_initacq</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1745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3.2418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Juno DESCANSO Article 16; initial-acquisition 1745 bps via coupled LGAs: descanso.jpl.nasa.gov/DPSummary/Juno_DESCANSO_Post121106H–Compact.pdf</w:t>
            </w:r>
          </w:p>
        </w:tc>
      </w:tr>
      <w:tr>
        <w:tc>
          <w:tcPr>
            <w:tcW w:w="0" w:type="auto"/>
          </w:tcPr>
          <w:p>
            <w:pPr>
              <w:spacing w:line="240" w:lineRule="auto" w:before="0" w:after="0"/>
              <w:pStyle w:val="Compact"/>
            </w:pPr>
            <w:r>
              <w:rPr>
                <w:sz w:val="20"/>
                <w:szCs w:val="20"/>
              </w:rPr>
              <w:t xml:space="preserve">New_Horizons_Pluto</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New Horizons RF Telecom System (DeBoy et al., IEEE Aerospace 2004); 2.1 m HGA, 12 W TWTA, 8.438 GHz, ~600 bps min at 36 AU, dual-TWTA gain: web.pa.msu.edu/people/edmunds/Saturn/new_horizons_rf_system_2018.pdf</w:t>
            </w:r>
          </w:p>
        </w:tc>
      </w:tr>
      <w:tr>
        <w:tc>
          <w:tcPr>
            <w:tcW w:w="0" w:type="auto"/>
          </w:tcPr>
          <w:p>
            <w:pPr>
              <w:spacing w:line="240" w:lineRule="auto" w:before="0" w:after="0"/>
              <w:pStyle w:val="Compact"/>
            </w:pPr>
            <w:r>
              <w:rPr>
                <w:sz w:val="20"/>
                <w:szCs w:val="20"/>
              </w:rPr>
              <w:t xml:space="preserve">New_Horizons_max</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New Horizons RF Telecom System (DeBoy et al. 2004); commandable transmit rate ~6 bps-100 kbps: web.pa.msu.edu/people/edmunds/Saturn/new_horizons_rf_system_2018.pdf</w:t>
            </w:r>
          </w:p>
        </w:tc>
      </w:tr>
      <w:tr>
        <w:tc>
          <w:tcPr>
            <w:tcW w:w="0" w:type="auto"/>
          </w:tcPr>
          <w:p>
            <w:pPr>
              <w:spacing w:line="240" w:lineRule="auto" w:before="0" w:after="0"/>
              <w:pStyle w:val="Compact"/>
            </w:pPr>
            <w:r>
              <w:rPr>
                <w:sz w:val="20"/>
                <w:szCs w:val="20"/>
              </w:rPr>
              <w:t xml:space="preserve">Magellan_Venus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268800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5.4294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Magellan Mission at a Glance (NASA/JPL); 3.7 m HGA, X-band 268.8 kbps, highest planetary data rate of its era: www2.jpl.nasa.gov/magellan/fact.html</w:t>
            </w:r>
          </w:p>
        </w:tc>
      </w:tr>
      <w:tr>
        <w:tc>
          <w:tcPr>
            <w:tcW w:w="0" w:type="auto"/>
          </w:tcPr>
          <w:p>
            <w:pPr>
              <w:spacing w:line="240" w:lineRule="auto" w:before="0" w:after="0"/>
              <w:pStyle w:val="Compact"/>
            </w:pPr>
            <w:r>
              <w:rPr>
                <w:sz w:val="20"/>
                <w:szCs w:val="20"/>
              </w:rPr>
              <w:t xml:space="preserve">Pioneer_10_cruise</w:t>
            </w:r>
          </w:p>
        </w:tc>
        <w:tc>
          <w:tcPr>
            <w:tcW w:w="0" w:type="auto"/>
          </w:tcPr>
          <w:p>
            <w:pPr>
              <w:spacing w:line="240" w:lineRule="auto" w:before="0" w:after="0"/>
              <w:pStyle w:val="Compact"/>
            </w:pPr>
            <w:r>
              <w:rPr>
                <w:sz w:val="20"/>
                <w:szCs w:val="20"/>
              </w:rPr>
              <w:t xml:space="preserve">S-band</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3.3113</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Pioneer 10/11 (NSSDCA / Gunter’s Space Page); 2.74 m HGA, S-band up to 2048 bps en route to Jupiter, 16 bps near EOM: space.skyrocket.de/doc_sdat/pioneer-1011.htm</w:t>
            </w:r>
          </w:p>
        </w:tc>
      </w:tr>
      <w:tr>
        <w:tc>
          <w:tcPr>
            <w:tcW w:w="0" w:type="auto"/>
          </w:tcPr>
          <w:p>
            <w:pPr>
              <w:spacing w:line="240" w:lineRule="auto" w:before="0" w:after="0"/>
              <w:pStyle w:val="Compact"/>
            </w:pPr>
            <w:r>
              <w:rPr>
                <w:sz w:val="20"/>
                <w:szCs w:val="20"/>
              </w:rPr>
              <w:t xml:space="preserve">Pioneer_10_eom</w:t>
            </w:r>
          </w:p>
        </w:tc>
        <w:tc>
          <w:tcPr>
            <w:tcW w:w="0" w:type="auto"/>
          </w:tcPr>
          <w:p>
            <w:pPr>
              <w:spacing w:line="240" w:lineRule="auto" w:before="0" w:after="0"/>
              <w:pStyle w:val="Compact"/>
            </w:pPr>
            <w:r>
              <w:rPr>
                <w:sz w:val="20"/>
                <w:szCs w:val="20"/>
              </w:rPr>
              <w:t xml:space="preserve">S-band</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1.2041</w:t>
            </w:r>
          </w:p>
        </w:tc>
        <w:tc>
          <w:tcPr>
            <w:tcW w:w="0" w:type="auto"/>
          </w:tcPr>
          <w:p>
            <w:pPr>
              <w:spacing w:line="240" w:lineRule="auto" w:before="0" w:after="0"/>
              <w:pStyle w:val="Compact"/>
            </w:pPr>
            <w:r>
              <w:rPr>
                <w:sz w:val="20"/>
                <w:szCs w:val="20"/>
              </w:rPr>
              <w:t xml:space="preserve">1.8451</w:t>
            </w:r>
          </w:p>
        </w:tc>
        <w:tc>
          <w:tcPr>
            <w:tcW w:w="0" w:type="auto"/>
          </w:tcPr>
          <w:p>
            <w:pPr>
              <w:spacing w:line="240" w:lineRule="auto" w:before="0" w:after="0"/>
              <w:pStyle w:val="Compact"/>
            </w:pPr>
            <w:r>
              <w:rPr>
                <w:sz w:val="20"/>
                <w:szCs w:val="20"/>
              </w:rPr>
              <w:t xml:space="preserve">Pioneer 10 (NSSDCA); 16 bps near end of mission at far range: nssdc.gsfc.nasa.gov Pioneer fact sheet</w:t>
            </w:r>
          </w:p>
        </w:tc>
      </w:tr>
      <w:tr>
        <w:tc>
          <w:tcPr>
            <w:tcW w:w="0" w:type="auto"/>
          </w:tcPr>
          <w:p>
            <w:pPr>
              <w:spacing w:line="240" w:lineRule="auto" w:before="0" w:after="0"/>
              <w:pStyle w:val="Compact"/>
            </w:pPr>
            <w:r>
              <w:rPr>
                <w:sz w:val="20"/>
                <w:szCs w:val="20"/>
              </w:rPr>
              <w:t xml:space="preserve">MRO_X_band</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3500000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6.5441</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Mars Reconnaissance Orbiter Telecommunications, DESCANSO Article 12; 3 m HGA, 100 W X-band, 3-4 Mbps at ~60 Mmi (0.65 AU): mars.nasa.gov/mro/mission/communications/commxband</w:t>
            </w:r>
          </w:p>
        </w:tc>
      </w:tr>
      <w:tr>
        <w:tc>
          <w:tcPr>
            <w:tcW w:w="0" w:type="auto"/>
          </w:tcPr>
          <w:p>
            <w:pPr>
              <w:spacing w:line="240" w:lineRule="auto" w:before="0" w:after="0"/>
              <w:pStyle w:val="Compact"/>
            </w:pPr>
            <w:r>
              <w:rPr>
                <w:sz w:val="20"/>
                <w:szCs w:val="20"/>
              </w:rPr>
              <w:t xml:space="preserve">MRO_X_band_far</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500000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5.699</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MRO (NASA Mars MRO communications); &gt;=500 kbps at max ~250 Mmi (2.6 AU): mars.nasa.gov/mro/mission/communications/commxband</w:t>
            </w:r>
          </w:p>
        </w:tc>
      </w:tr>
      <w:tr>
        <w:tc>
          <w:tcPr>
            <w:tcW w:w="0" w:type="auto"/>
          </w:tcPr>
          <w:p>
            <w:pPr>
              <w:spacing w:line="240" w:lineRule="auto" w:before="0" w:after="0"/>
              <w:pStyle w:val="Compact"/>
            </w:pPr>
            <w:r>
              <w:rPr>
                <w:sz w:val="20"/>
                <w:szCs w:val="20"/>
              </w:rPr>
              <w:t xml:space="preserve">MRO_Ka_demo</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6.7782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MRO Ka-band Demonstration (NTRS 20060050766); Ka 35 W, 6 Mbps highest planetary rate, 32 GHz: ntrs.nasa.gov/citations/20060050766</w:t>
            </w:r>
          </w:p>
        </w:tc>
      </w:tr>
      <w:tr>
        <w:tc>
          <w:tcPr>
            <w:tcW w:w="0" w:type="auto"/>
          </w:tcPr>
          <w:p>
            <w:pPr>
              <w:spacing w:line="240" w:lineRule="auto" w:before="0" w:after="0"/>
              <w:pStyle w:val="Compact"/>
            </w:pPr>
            <w:r>
              <w:rPr>
                <w:sz w:val="20"/>
                <w:szCs w:val="20"/>
              </w:rPr>
              <w:t xml:space="preserve">MAVEN_Mars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550000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5.7404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MAVEN High-Gain Antenna (NASA Mars/Science); 2 m dual-reflector X-band, up to 550 kbps: science.nasa.gov/resource/maven-high-gain-antenna</w:t>
            </w:r>
          </w:p>
        </w:tc>
      </w:tr>
      <w:tr>
        <w:tc>
          <w:tcPr>
            <w:tcW w:w="0" w:type="auto"/>
          </w:tcPr>
          <w:p>
            <w:pPr>
              <w:spacing w:line="240" w:lineRule="auto" w:before="0" w:after="0"/>
              <w:pStyle w:val="Compact"/>
            </w:pPr>
            <w:r>
              <w:rPr>
                <w:sz w:val="20"/>
                <w:szCs w:val="20"/>
              </w:rPr>
              <w:t xml:space="preserve">Odyssey_Mars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5.0934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Mars Odyssey Telecommunications, DESCANSO Article 6; X-band direct-to-Earth, initial-acq RF 13.8 W (41.4 dBm): descanso.jpl.nasa.gov/DPSummary/odyssey_telecom.pdf</w:t>
            </w:r>
          </w:p>
        </w:tc>
      </w:tr>
      <w:tr>
        <w:tc>
          <w:tcPr>
            <w:tcW w:w="0" w:type="auto"/>
          </w:tcPr>
          <w:p>
            <w:pPr>
              <w:spacing w:line="240" w:lineRule="auto" w:before="0" w:after="0"/>
              <w:pStyle w:val="Compact"/>
            </w:pPr>
            <w:r>
              <w:rPr>
                <w:sz w:val="20"/>
                <w:szCs w:val="20"/>
              </w:rPr>
              <w:t xml:space="preserve">Psyche_cruise</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180000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5.2553</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Design and Development of the Psyche Spacecraft (Space Sci Rev 2025); 2 m HGA, 100 W TWTA, up to 180 kbps via HGA at &gt;4 AU: link.springer.com/article/10.1007/s11214-025-01222-1</w:t>
            </w:r>
          </w:p>
        </w:tc>
      </w:tr>
      <w:tr>
        <w:tc>
          <w:tcPr>
            <w:tcW w:w="0" w:type="auto"/>
          </w:tcPr>
          <w:p>
            <w:pPr>
              <w:spacing w:line="240" w:lineRule="auto" w:before="0" w:after="0"/>
              <w:pStyle w:val="Compact"/>
            </w:pPr>
            <w:r>
              <w:rPr>
                <w:sz w:val="20"/>
                <w:szCs w:val="20"/>
              </w:rPr>
              <w:t xml:space="preserve">Psyche_safe_lga</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Psyche (Space Sci Rev 2025); safe-mode LGA &gt;=10 bps to 70-m at &gt;4 AU: link.springer.com/article/10.1007/s11214-025-01222-1</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167000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5.2227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Parker Solar Probe (eoPortal / Solar Probe Plus Mission, Space Sci Rev 2016); 0.6 m HGA, 34 W Ka TWTA, 167 kbps at 1 AU: eoportal.org/satellite-missions/psp</w:t>
            </w:r>
          </w:p>
        </w:tc>
      </w:tr>
      <w:tr>
        <w:tc>
          <w:tcPr>
            <w:tcW w:w="0" w:type="auto"/>
          </w:tcPr>
          <w:p>
            <w:pPr>
              <w:spacing w:line="240" w:lineRule="auto" w:before="0" w:after="0"/>
              <w:pStyle w:val="Compact"/>
            </w:pPr>
            <w:r>
              <w:rPr>
                <w:sz w:val="20"/>
                <w:szCs w:val="20"/>
              </w:rPr>
              <w:t xml:space="preserve">Europa_Clipper_X</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4.2041</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Europa Clipper HGA (NASA Science 2024); 3 m X/Ka HGA, X-band ~16 kbps: science.nasa.gov/missions/europa-clipper/europa-clipper-resources/powerful-antenna-installed-on-europa-clipper</w:t>
            </w:r>
          </w:p>
        </w:tc>
      </w:tr>
      <w:tr>
        <w:tc>
          <w:tcPr>
            <w:tcW w:w="0" w:type="auto"/>
          </w:tcPr>
          <w:p>
            <w:pPr>
              <w:spacing w:line="240" w:lineRule="auto" w:before="0" w:after="0"/>
              <w:pStyle w:val="Compact"/>
            </w:pPr>
            <w:r>
              <w:rPr>
                <w:sz w:val="20"/>
                <w:szCs w:val="20"/>
              </w:rPr>
              <w:t xml:space="preserve">Europa_Clipper_Ka</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500000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5.699</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Europa Clipper HGA (NASA Science 2024); Ka-band up to 500 kbps under optimal conditions, 32 GHz: science.nasa.gov/missions/europa-clipper/europa-clipper-resources/powerful-antenna-installed-on-europa-clipper</w:t>
            </w:r>
          </w:p>
        </w:tc>
      </w:tr>
      <w:tr>
        <w:tc>
          <w:tcPr>
            <w:tcW w:w="0" w:type="auto"/>
          </w:tcPr>
          <w:p>
            <w:pPr>
              <w:spacing w:line="240" w:lineRule="auto" w:before="0" w:after="0"/>
              <w:pStyle w:val="Compact"/>
            </w:pPr>
            <w:r>
              <w:rPr>
                <w:sz w:val="20"/>
                <w:szCs w:val="20"/>
              </w:rPr>
              <w:t xml:space="preserve">Lucy_Trojans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120000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5.0792</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Lucy spacecraft (NASA Science / Estevez decoding 2021); 2 m HGA, X-band, ~120 kbaud after HGA switch: science.nasa.gov/mission/lucy/spacecraft</w:t>
            </w:r>
          </w:p>
        </w:tc>
      </w:tr>
      <w:tr>
        <w:tc>
          <w:tcPr>
            <w:tcW w:w="0" w:type="auto"/>
          </w:tcPr>
          <w:p>
            <w:pPr>
              <w:spacing w:line="240" w:lineRule="auto" w:before="0" w:after="0"/>
              <w:pStyle w:val="Compact"/>
            </w:pPr>
            <w:r>
              <w:rPr>
                <w:sz w:val="20"/>
                <w:szCs w:val="20"/>
              </w:rPr>
              <w:t xml:space="preserve">Juno_Ka_gravity</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3.3979</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Juno KaTS DESCANSO Article 16; Ka translator 2.5 W (34 dBm) 32 GHz carrier for gravity science: descanso.jpl.nasa.gov/DPSummary/Juno_DESCANSO_Post121106H–Compact.pdf</w:t>
            </w:r>
          </w:p>
        </w:tc>
      </w:tr>
      <w:tr>
        <w:tc>
          <w:tcPr>
            <w:tcW w:w="0" w:type="auto"/>
          </w:tcPr>
          <w:p>
            <w:pPr>
              <w:spacing w:line="240" w:lineRule="auto" w:before="0" w:after="0"/>
              <w:pStyle w:val="Compact"/>
            </w:pPr>
            <w:r>
              <w:rPr>
                <w:sz w:val="20"/>
                <w:szCs w:val="20"/>
              </w:rPr>
              <w:t xml:space="preserve">Mariner_10_Mercury</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117600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5.0704</w:t>
            </w:r>
          </w:p>
        </w:tc>
        <w:tc>
          <w:tcPr>
            <w:tcW w:w="0" w:type="auto"/>
          </w:tcPr>
          <w:p>
            <w:pPr>
              <w:spacing w:line="240" w:lineRule="auto" w:before="0" w:after="0"/>
              <w:pStyle w:val="Compact"/>
            </w:pPr>
            <w:r>
              <w:rPr>
                <w:sz w:val="20"/>
                <w:szCs w:val="20"/>
              </w:rPr>
              <w:t xml:space="preserve">-0.1549</w:t>
            </w:r>
          </w:p>
        </w:tc>
        <w:tc>
          <w:tcPr>
            <w:tcW w:w="0" w:type="auto"/>
          </w:tcPr>
          <w:p>
            <w:pPr>
              <w:spacing w:line="240" w:lineRule="auto" w:before="0" w:after="0"/>
              <w:pStyle w:val="Compact"/>
            </w:pPr>
            <w:r>
              <w:rPr>
                <w:sz w:val="20"/>
                <w:szCs w:val="20"/>
              </w:rPr>
              <w:t xml:space="preserve">Mariner 10 (NSSDCA); 1.37 m HGA, X-band added, up to 117.6 kbps at Mercury encounter [illustrative rate from era DSN tables]: nssdc.gsfc.nasa.gov</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Base-10 logarithm of the achieved downlink telemetry rate (bits per second). Dependent variable; the link equation predicts that achievable rate scales multiplicatively with effective isotropic radiated power and inversely with range squared, so a log scale linearizes the relationship.</w:t>
            </w:r>
          </w:p>
        </w:tc>
        <w:tc>
          <w:tcPr>
            <w:tcW w:w="0" w:type="auto"/>
          </w:tcPr>
          <w:p>
            <w:pPr>
              <w:spacing w:line="240" w:lineRule="auto" w:before="0" w:after="0"/>
              <w:pStyle w:val="Compact"/>
            </w:pPr>
            <w:r>
              <w:rPr>
                <w:sz w:val="20"/>
                <w:szCs w:val="20"/>
              </w:rPr>
              <w:t xml:space="preserve">Computed from data_rate_bps; rates drawn from DESCANSO mission telecom summaries and NASA/JPL mission references (see per-row source column)</w:t>
            </w:r>
          </w:p>
        </w:tc>
      </w:tr>
      <w:tr>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Spacecraft downlink transmitter RF output power in watts (traveling-wave-tube amplifier or solid-state amplifier high-power setting). A primary driver of effective isotropic radiated power.</w:t>
            </w:r>
          </w:p>
        </w:tc>
        <w:tc>
          <w:tcPr>
            <w:tcW w:w="0" w:type="auto"/>
          </w:tcPr>
          <w:p>
            <w:pPr>
              <w:spacing w:line="240" w:lineRule="auto" w:before="0" w:after="0"/>
              <w:pStyle w:val="Compact"/>
            </w:pPr>
            <w:r>
              <w:rPr>
                <w:sz w:val="20"/>
                <w:szCs w:val="20"/>
              </w:rPr>
              <w:t xml:space="preserve">DESCANSO summaries and mission press kits (Voyager 18 W X-TWTA; Cassini 20 W; Juno 25 W; MRO/MAVEN/Psyche/Lucy 100 W; New Horizons 12 W; Parker 34 W Ka)</w:t>
            </w:r>
          </w:p>
        </w:tc>
      </w:tr>
      <w:tr>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High-gain antenna reflector diameter in meters (0 where the documented rate was achieved through a low- or medium-gain antenna rather than the HGA). Larger aperture raises antenna gain and effective isotropic radiated power.</w:t>
            </w:r>
          </w:p>
        </w:tc>
        <w:tc>
          <w:tcPr>
            <w:tcW w:w="0" w:type="auto"/>
          </w:tcPr>
          <w:p>
            <w:pPr>
              <w:spacing w:line="240" w:lineRule="auto" w:before="0" w:after="0"/>
              <w:pStyle w:val="Compact"/>
            </w:pPr>
            <w:r>
              <w:rPr>
                <w:sz w:val="20"/>
                <w:szCs w:val="20"/>
              </w:rPr>
              <w:t xml:space="preserve">DESCANSO summaries and NASA mission pages (Voyager 3.66 m; Cassini 4.0 m; Magellan 3.7 m; Juno 2.5 m; New Horizons 2.1 m; MRO/Europa Clipper 3.0 m; Parker 0.6 m)</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Indicator equal to 1 when the downlink operated in Ka-band (about 32 GHz) and 0 for X-band or S-band. Higher carrier frequency yields higher antenna gain for a given aperture and wider allocated bandwidth.</w:t>
            </w:r>
          </w:p>
        </w:tc>
        <w:tc>
          <w:tcPr>
            <w:tcW w:w="0" w:type="auto"/>
          </w:tcPr>
          <w:p>
            <w:pPr>
              <w:spacing w:line="240" w:lineRule="auto" w:before="0" w:after="0"/>
              <w:pStyle w:val="Compact"/>
            </w:pPr>
            <w:r>
              <w:rPr>
                <w:sz w:val="20"/>
                <w:szCs w:val="20"/>
              </w:rPr>
              <w:t xml:space="preserve">DESCANSO and mission references (MRO Ka demo; Parker Solar Probe; Europa Clipper Ka; Juno KaTS gravity carrier)</w:t>
            </w:r>
          </w:p>
        </w:tc>
      </w:tr>
      <w:tr>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Base-10 logarithm of the spacecraft-to-Earth range in astronomical units at the time the rate was achieved. Free-space path loss rises with range squared, so distance is the dominant margin penalty.</w:t>
            </w:r>
          </w:p>
        </w:tc>
        <w:tc>
          <w:tcPr>
            <w:tcW w:w="0" w:type="auto"/>
          </w:tcPr>
          <w:p>
            <w:pPr>
              <w:spacing w:line="240" w:lineRule="auto" w:before="0" w:after="0"/>
              <w:pStyle w:val="Compact"/>
            </w:pPr>
            <w:r>
              <w:rPr>
                <w:sz w:val="20"/>
                <w:szCs w:val="20"/>
              </w:rPr>
              <w:t xml:space="preserve">Computed from range_au; encounter and cruise distances from NASA mission timelines and DESCANSO summaries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2.3688</w:t>
            </w:r>
          </w:p>
        </w:tc>
        <w:tc>
          <w:tcPr>
            <w:tcW w:w="0" w:type="auto"/>
          </w:tcPr>
          <w:p>
            <w:pPr>
              <w:spacing w:line="240" w:lineRule="auto" w:before="0" w:after="0"/>
              <w:pStyle w:val="Compact"/>
            </w:pPr>
            <w:r>
              <w:rPr>
                <w:sz w:val="20"/>
                <w:szCs w:val="20"/>
              </w:rPr>
              <w:t xml:space="preserve">0.6776</w:t>
            </w:r>
          </w:p>
        </w:tc>
        <w:tc>
          <w:tcPr>
            <w:tcW w:w="0" w:type="auto"/>
          </w:tcPr>
          <w:p>
            <w:pPr>
              <w:spacing w:line="240" w:lineRule="auto" w:before="0" w:after="0"/>
              <w:pStyle w:val="Compact"/>
            </w:pPr>
            <w:r>
              <w:rPr>
                <w:sz w:val="20"/>
                <w:szCs w:val="20"/>
              </w:rPr>
              <w:t xml:space="preserve">3.4957</w:t>
            </w:r>
          </w:p>
        </w:tc>
        <w:tc>
          <w:tcPr>
            <w:tcW w:w="0" w:type="auto"/>
          </w:tcPr>
          <w:p>
            <w:pPr>
              <w:spacing w:line="240" w:lineRule="auto" w:before="0" w:after="0"/>
              <w:pStyle w:val="Compact"/>
            </w:pPr>
            <w:r>
              <w:rPr>
                <w:sz w:val="20"/>
                <w:szCs w:val="20"/>
              </w:rPr>
              <w:t xml:space="preserve">0.0004729</w:t>
            </w:r>
          </w:p>
        </w:tc>
        <w:tc>
          <w:tcPr>
            <w:tcW w:w="0" w:type="auto"/>
          </w:tcPr>
          <w:p>
            <w:pPr>
              <w:spacing w:line="240" w:lineRule="auto" w:before="0" w:after="0"/>
              <w:pStyle w:val="Compact"/>
            </w:pPr>
            <w:r>
              <w:rPr>
                <w:sz w:val="20"/>
                <w:szCs w:val="20"/>
              </w:rPr>
              <w:t xml:space="preserve">[1.0406, 3.6969]</w:t>
            </w:r>
          </w:p>
        </w:tc>
      </w:tr>
      <w:tr>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2.1535</w:t>
            </w:r>
          </w:p>
        </w:tc>
        <w:tc>
          <w:tcPr>
            <w:tcW w:w="0" w:type="auto"/>
          </w:tcPr>
          <w:p>
            <w:pPr>
              <w:spacing w:line="240" w:lineRule="auto" w:before="0" w:after="0"/>
              <w:pStyle w:val="Compact"/>
            </w:pPr>
            <w:r>
              <w:rPr>
                <w:sz w:val="20"/>
                <w:szCs w:val="20"/>
              </w:rPr>
              <w:t xml:space="preserve">0.0313</w:t>
            </w:r>
          </w:p>
        </w:tc>
        <w:tc>
          <w:tcPr>
            <w:tcW w:w="0" w:type="auto"/>
          </w:tcPr>
          <w:p>
            <w:pPr>
              <w:spacing w:line="240" w:lineRule="auto" w:before="0" w:after="0"/>
              <w:pStyle w:val="Compact"/>
            </w:pPr>
            <w:r>
              <w:rPr>
                <w:sz w:val="20"/>
                <w:szCs w:val="20"/>
              </w:rPr>
              <w:t xml:space="preserve">[0.0011, 0.0232]</w:t>
            </w:r>
          </w:p>
        </w:tc>
      </w:tr>
      <w:tr>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0.8586</w:t>
            </w:r>
          </w:p>
        </w:tc>
        <w:tc>
          <w:tcPr>
            <w:tcW w:w="0" w:type="auto"/>
          </w:tcPr>
          <w:p>
            <w:pPr>
              <w:spacing w:line="240" w:lineRule="auto" w:before="0" w:after="0"/>
              <w:pStyle w:val="Compact"/>
            </w:pPr>
            <w:r>
              <w:rPr>
                <w:sz w:val="20"/>
                <w:szCs w:val="20"/>
              </w:rPr>
              <w:t xml:space="preserve">0.1814</w:t>
            </w:r>
          </w:p>
        </w:tc>
        <w:tc>
          <w:tcPr>
            <w:tcW w:w="0" w:type="auto"/>
          </w:tcPr>
          <w:p>
            <w:pPr>
              <w:spacing w:line="240" w:lineRule="auto" w:before="0" w:after="0"/>
              <w:pStyle w:val="Compact"/>
            </w:pPr>
            <w:r>
              <w:rPr>
                <w:sz w:val="20"/>
                <w:szCs w:val="20"/>
              </w:rPr>
              <w:t xml:space="preserve">4.7319</w:t>
            </w:r>
          </w:p>
        </w:tc>
        <w:tc>
          <w:tcPr>
            <w:tcW w:w="0" w:type="auto"/>
          </w:tcPr>
          <w:p>
            <w:pPr>
              <w:spacing w:line="240" w:lineRule="auto" w:before="0" w:after="0"/>
              <w:pStyle w:val="Compact"/>
            </w:pPr>
            <w:r>
              <w:rPr>
                <w:sz w:val="20"/>
                <w:szCs w:val="20"/>
              </w:rPr>
              <w:t xml:space="preserve">2.224e-06</w:t>
            </w:r>
          </w:p>
        </w:tc>
        <w:tc>
          <w:tcPr>
            <w:tcW w:w="0" w:type="auto"/>
          </w:tcPr>
          <w:p>
            <w:pPr>
              <w:spacing w:line="240" w:lineRule="auto" w:before="0" w:after="0"/>
              <w:pStyle w:val="Compact"/>
            </w:pPr>
            <w:r>
              <w:rPr>
                <w:sz w:val="20"/>
                <w:szCs w:val="20"/>
              </w:rPr>
              <w:t xml:space="preserve">[0.5029, 1.2142]</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0.5026</w:t>
            </w:r>
          </w:p>
        </w:tc>
        <w:tc>
          <w:tcPr>
            <w:tcW w:w="0" w:type="auto"/>
          </w:tcPr>
          <w:p>
            <w:pPr>
              <w:spacing w:line="240" w:lineRule="auto" w:before="0" w:after="0"/>
              <w:pStyle w:val="Compact"/>
            </w:pPr>
            <w:r>
              <w:rPr>
                <w:sz w:val="20"/>
                <w:szCs w:val="20"/>
              </w:rPr>
              <w:t xml:space="preserve">1.6761</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[-0.1427, 1.8273]</w:t>
            </w:r>
          </w:p>
        </w:tc>
      </w:tr>
      <w:tr>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-1.1923</w:t>
            </w:r>
          </w:p>
        </w:tc>
        <w:tc>
          <w:tcPr>
            <w:tcW w:w="0" w:type="auto"/>
          </w:tcPr>
          <w:p>
            <w:pPr>
              <w:spacing w:line="240" w:lineRule="auto" w:before="0" w:after="0"/>
              <w:pStyle w:val="Compact"/>
            </w:pPr>
            <w:r>
              <w:rPr>
                <w:sz w:val="20"/>
                <w:szCs w:val="20"/>
              </w:rPr>
              <w:t xml:space="preserve">0.3832</w:t>
            </w:r>
          </w:p>
        </w:tc>
        <w:tc>
          <w:tcPr>
            <w:tcW w:w="0" w:type="auto"/>
          </w:tcPr>
          <w:p>
            <w:pPr>
              <w:spacing w:line="240" w:lineRule="auto" w:before="0" w:after="0"/>
              <w:pStyle w:val="Compact"/>
            </w:pPr>
            <w:r>
              <w:rPr>
                <w:sz w:val="20"/>
                <w:szCs w:val="20"/>
              </w:rPr>
              <w:t xml:space="preserve">-3.1116</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[-1.9433, -0.4413]</w:t>
            </w:r>
          </w:p>
        </w:tc>
      </w:tr>
    </w:tbl>
    <w:p>
      <w:pPr>
        <w:pStyle w:val="BodyText"/>
      </w:pPr>
      <w:r>
        <w:t xml:space="preserve">Fit: N = 28 R2 = 0.6627 R2_adj = 0.6041 F = 16.4131 F_p = 1.737e-06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07/s11214-025-01222-1" TargetMode="External" /><Relationship Type="http://schemas.openxmlformats.org/officeDocument/2006/relationships/hyperlink" Id="rId69" Target="https://doi.org/10.1016/j.actaastro.2023.01.040"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07/s11214-025-01222-1" TargetMode="External" /><Relationship Type="http://schemas.openxmlformats.org/officeDocument/2006/relationships/hyperlink" Id="rId69" Target="https://doi.org/10.1016/j.actaastro.2023.01.04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2026-06-22T20:32:10Z</dcterms:created>
  <dcterms:modified xsi:type="dcterms:W3CDTF">2026-06-22T20:32:10Z</dcterms:modified>
</cp:coreProperties>
</file>

<file path=docProps/custom.xml><?xml version="1.0" encoding="utf-8"?>
<Properties xmlns="http://schemas.openxmlformats.org/officeDocument/2006/custom-properties" xmlns:vt="http://schemas.openxmlformats.org/officeDocument/2006/docPropsVTypes"/>
</file>