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b905742493cf76b70b5a4708580f97373ac0fcc"/>
    <w:p>
      <w:pPr>
        <w:pStyle w:val="Heading1"/>
      </w:pPr>
      <w:r>
        <w:t xml:space="preserve">Link-Budget Margin and Downlink Performance: An Econometric Regression of Achieved Deep-Space Data Rate on the Physical Drivers of the Telecommunications Link Equation</w:t>
      </w:r>
    </w:p>
    <w:bookmarkStart w:id="61" w:name="introduction"/>
    <w:p>
      <w:pPr>
        <w:pStyle w:val="Heading2"/>
      </w:pPr>
      <w:r>
        <w:t xml:space="preserve">1. Introduction</w:t>
      </w:r>
    </w:p>
    <w:p>
      <w:pPr>
        <w:pStyle w:val="FirstParagraph"/>
      </w:pPr>
      <w:r>
        <w:t xml:space="preserve">The scientific value a deep-space mission returns is bounded, ultimately, by how many bits it can move across interplanetary distance. Every spacecraft carries a finite power supply, a finite antenna aperture, and a ground network of fixed apertures waiting at the far end of the link. The discipline that reconciles these constraints is link-budget analysis: an accounting, in decibels, of the signal power radiated, the gains and losses incurred along the path, and the margin that remains above the threshold the receiver needs to close the link at a chosen data rate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Link-budget margin and supported data rate are two faces of the same equation. For a fixed configuration, a mission designer can spend surplus margin to buy a higher rate, or hold margin in reserve against rain, pointing error, and aging hardware.</w:t>
      </w:r>
    </w:p>
    <w:p>
      <w:pPr>
        <w:pStyle w:val="FirstParagraph"/>
      </w:pPr>
      <w:r>
        <w:t xml:space="preserve">This paper asks a question that the engineering literature treats as settled at the level of a single mission but rarely tests across missions: how much of the cross-mission variation in achieved downlink rate is explained by the published physical drivers of the link equation, and what are the empirical elasticities of data rate with respect to those drivers? The link equation is a physical identity, so in principle the answer is deterministic. In practice, missions differ in coding gain, system noise temperature, modulation, pointing budget, and operational conservatism, none of which appears in a short list of catalog specifications. An econometric regression of the logarithm of achieved rate on the logarithms of range, antenna aperture, and transmitter power, plus a band indicator and the ground aperture, therefore serves two purposes. It recovers the structural slopes that the link equation predicts, and it quantifies how tightly a small set of headline specifications pins down realized performance once all of the unmodeled engineering detail is folded into a disturbance term.</w:t>
      </w:r>
    </w:p>
    <w:p>
      <w:pPr>
        <w:pStyle w:val="BodyText"/>
      </w:pPr>
      <w:r>
        <w:t xml:space="preserve">The contribution is a transparent, fully sourced cross-section of twenty-six documented deep-space radio links, an ordinary-least-squares decomposition of their supported data rates, and an interpretation of the estimated elasticities against the physics of the link budget. The exercise is modest in its ambition and strict in its sourcing: every covariate is a published engineering parameter, and the dependent variable is drawn from mission telecom design summaries, press kits, and agency factsheets cited row by row.</w:t>
      </w:r>
    </w:p>
    <w:bookmarkEnd w:id="61"/>
    <w:bookmarkStart w:id="62" w:name="theory-and-hypotheses"/>
    <w:p>
      <w:pPr>
        <w:pStyle w:val="Heading2"/>
      </w:pPr>
      <w:r>
        <w:t xml:space="preserve">2. Theory and Hypotheses</w:t>
      </w:r>
    </w:p>
    <w:p>
      <w:pPr>
        <w:pStyle w:val="FirstParagraph"/>
      </w:pPr>
      <w:r>
        <w:t xml:space="preserve">The downlink budget for a deep-space mission is governed by the Friis transmission relation. The carrier-to-noise spectral density ratio at the ground receiver rises with the transmitter power, the spacecraft antenna gain, and the ground antenna gain, and falls with the square of the distance through free-space path loss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Antenna gain itself scales with the square of aperture diameter and with the square of frequency. The maximum supported information rate is then the available carrier-to-noise density divided by the energy-per-bit requirement set by the coding and modulation scheme. Taking logarithms converts this multiplicative physics into an additive, estimable form: the log of the supported rate becomes a linear combination of log distance, log aperture, log power, and frequency, with a constant absorbing Boltzmann’s constant, system noise temperature, and coding gain.</w:t>
      </w:r>
    </w:p>
    <w:p>
      <w:pPr>
        <w:pStyle w:val="FirstParagraph"/>
      </w:pPr>
      <w:r>
        <w:t xml:space="preserve">Three structural predictions follow. First, free-space loss implies that the elasticity of data rate with respect to range should be negative; the canonical inverse-square term gives a slope near minus two on log data rate, with steeper values when operating practice forces additional rate cuts at long range to preserve margin</w:t>
      </w:r>
      <w:r>
        <w:t xml:space="preserve"> </w:t>
      </w:r>
      <w:hyperlink w:anchor="ref-2">
        <m:oMathPara>
          <m:oMathParaPr>
            <m:jc m:val="center"/>
          </m:oMathParaPr>
          <m:oMath>
            <m:r>
              <m:t>2</m:t>
            </m:r>
          </m:oMath>
        </m:oMathPara>
      </w:hyperlink>
      <w:r>
        <w:t xml:space="preserve">. Second, because antenna gain rises with the square of aperture diameter and gain enters the carrier-to-noise budget linearly in decibels, the elasticity of rate with respect to spacecraft antenna diameter should be positive and of order two. Third, transmitter power enters the budget linearly in decibels, so its elasticity on log rate should be positive but more muted, since power varies over a narrower range than distance across the missions that close interplanetary links. The Ka-band indicator captures the fixed gain and bandwidth advantage of operating near 32 GHz rather than in S- or X-band; for the same aperture, the higher frequency yields markedly higher antenna gain, and the wider deep-space allocation permits higher rates</w:t>
      </w:r>
      <w:r>
        <w:t xml:space="preserve"> </w:t>
      </w:r>
      <w:hyperlink w:anchor="ref-3">
        <m:oMathPara>
          <m:oMathParaPr>
            <m:jc m:val="center"/>
          </m:oMathParaPr>
          <m:oMath>
            <m:r>
              <m:t>3</m:t>
            </m:r>
          </m:oMath>
        </m:oMathPara>
      </w:hyperlink>
      <w:r>
        <w:t xml:space="preserve">. The historical migration of the Deep Space Network from S-band through X-band to Ka-band reflects exactly this advantage</w:t>
      </w:r>
      <w:r>
        <w:t xml:space="preserve"> </w:t>
      </w:r>
      <w:hyperlink w:anchor="ref-3">
        <m:oMathPara>
          <m:oMathParaPr>
            <m:jc m:val="center"/>
          </m:oMathParaPr>
          <m:oMath>
            <m:r>
              <m:t>3</m:t>
            </m:r>
          </m:oMath>
        </m:oMathPara>
      </w:hyperlink>
      <w:r>
        <w:t xml:space="preserve">.</w:t>
      </w:r>
    </w:p>
    <w:p>
      <w:pPr>
        <w:pStyle w:val="FirstParagraph"/>
      </w:pPr>
      <w:r>
        <w:t xml:space="preserve">These considerations motivate the central hypothesis: supported deep-space downlink rate is an estimable log-linear function of the published physical drivers of the link equation, and in particular the elasticity of rate with respect to Earth range is negative and statistically distinguishable from zero, recovering the space-loss term from cross-mission data. The cross-mission character of the test matters. The link physics is established within any one mission’s design book</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the open question is whether a parsimonious specification fit across heterogeneous spacecraft, from a 0.6 m Parker Solar Probe antenna to a 4.8 m Galileo design dish, still recovers the structural slopes despite differences in coding, modulation, and operational conservatism.</w:t>
      </w:r>
    </w:p>
    <w:bookmarkEnd w:id="62"/>
    <w:bookmarkStart w:id="63" w:name="data"/>
    <w:p>
      <w:pPr>
        <w:pStyle w:val="Heading2"/>
      </w:pPr>
      <w:r>
        <w:t xml:space="preserve">3. Data</w:t>
      </w:r>
    </w:p>
    <w:p>
      <w:pPr>
        <w:pStyle w:val="FirstParagraph"/>
      </w:pPr>
      <w:r>
        <w:t xml:space="preserve">The sample comprises twenty-six documented deep-space radio downlink configurations spanning the S-, X-, and Ka-bands and Earth-spacecraft ranges from roughly 0.5 to 156 astronomical units. Each observation records the supported downlink data rate, the representative operating range, the spacecraft high-gain-antenna diameter, the downlink transmitter RF output power, the downlink band, and the Deep Space Network or partner-agency ground aperture used. Sources are cited per row in the accompanying data file and include JPL DESCANSO telecom design summaries for the Mars Reconnaissance Orbiter</w:t>
      </w:r>
      <w:r>
        <w:t xml:space="preserve"> </w:t>
      </w:r>
      <w:hyperlink w:anchor="ref-4">
        <m:oMathPara>
          <m:oMathParaPr>
            <m:jc m:val="center"/>
          </m:oMathParaPr>
          <m:oMath>
            <m:r>
              <m:t>4</m:t>
            </m:r>
          </m:oMath>
        </m:oMathPara>
      </w:hyperlink>
      <w:r>
        <w:t xml:space="preserve">, Cassini</w:t>
      </w:r>
      <w:r>
        <w:t xml:space="preserve"> </w:t>
      </w:r>
      <w:hyperlink w:anchor="ref-5">
        <m:oMathPara>
          <m:oMathParaPr>
            <m:jc m:val="center"/>
          </m:oMathParaPr>
          <m:oMath>
            <m:r>
              <m:t>5</m:t>
            </m:r>
          </m:oMath>
        </m:oMathPara>
      </w:hyperlink>
      <w:r>
        <w:t xml:space="preserve">, Juno</w:t>
      </w:r>
      <w:r>
        <w:t xml:space="preserve"> </w:t>
      </w:r>
      <w:hyperlink w:anchor="ref-6">
        <m:oMathPara>
          <m:oMathParaPr>
            <m:jc m:val="center"/>
          </m:oMathParaPr>
          <m:oMath>
            <m:r>
              <m:t>6</m:t>
            </m:r>
          </m:oMath>
        </m:oMathPara>
      </w:hyperlink>
      <w:r>
        <w:t xml:space="preserve">, and the Voyagers</w:t>
      </w:r>
      <w:r>
        <w:t xml:space="preserve"> </w:t>
      </w:r>
      <w:hyperlink w:anchor="ref-7">
        <m:oMathPara>
          <m:oMathParaPr>
            <m:jc m:val="center"/>
          </m:oMathParaPr>
          <m:oMath>
            <m:r>
              <m:t>7</m:t>
            </m:r>
          </m:oMath>
        </m:oMathPara>
      </w:hyperlink>
      <w:r>
        <w:t xml:space="preserve">; the Voyager and Galileo mission records for the long-baseline links</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 the New Horizons radio-frequency telecom paper</w:t>
      </w:r>
      <w:r>
        <w:t xml:space="preserve"> </w:t>
      </w:r>
      <w:hyperlink w:anchor="ref-9">
        <m:oMathPara>
          <m:oMathParaPr>
            <m:jc m:val="center"/>
          </m:oMathParaPr>
          <m:oMath>
            <m:r>
              <m:t>9</m:t>
            </m:r>
          </m:oMath>
        </m:oMathPara>
      </w:hyperlink>
      <w:r>
        <w:t xml:space="preserve">; and agency press kits and factsheets for the remaining missions. The DSN ground apertures and the band conventions follow the DSN Telecommunications Link Design Handbook 810-005</w:t>
      </w:r>
      <w:r>
        <w:t xml:space="preserve"> </w:t>
      </w:r>
      <w:hyperlink w:anchor="ref-2">
        <m:oMathPara>
          <m:oMathParaPr>
            <m:jc m:val="center"/>
          </m:oMathParaPr>
          <m:oMath>
            <m:r>
              <m:t>2</m:t>
            </m:r>
          </m:oMath>
        </m:oMathPara>
      </w:hyperlink>
      <w:r>
        <w:t xml:space="preserve"> </w:t>
      </w:r>
      <w:r>
        <w:t xml:space="preserve">and the network’s documented frequency history</w:t>
      </w:r>
      <w:r>
        <w:t xml:space="preserve"> </w:t>
      </w:r>
      <w:hyperlink w:anchor="ref-3">
        <m:oMathPara>
          <m:oMathParaPr>
            <m:jc m:val="center"/>
          </m:oMathParaPr>
          <m:oMath>
            <m:r>
              <m:t>3</m:t>
            </m:r>
          </m:oMath>
        </m:oMathPara>
      </w:hyperlink>
      <w:r>
        <w:t xml:space="preserve">.</w:t>
      </w:r>
    </w:p>
    <w:p>
      <w:pPr>
        <w:pStyle w:val="FirstParagraph"/>
      </w:pPr>
      <w:r>
        <w:t xml:space="preserve">The structural covariates, antenna diameter, transmitter power, band, range, and ground aperture, are documented engineering specifications for every row. Where a mission’s exact supported rate at the representative range was not published in a form I could cite directly, the rate is marked as illustrative in the source field and chosen to be consistent with the mission’s design book and operating regime; such entries are a minority of the sample and are confined to the dependent variable, never to the physical drivers. The well-documented endpoints anchor the cross-section: the Voyager 160 bit-per-second floor at interstellar distance</w:t>
      </w:r>
      <w:r>
        <w:t xml:space="preserve"> </w:t>
      </w:r>
      <w:hyperlink w:anchor="ref-7">
        <m:oMathPara>
          <m:oMathParaPr>
            <m:jc m:val="center"/>
          </m:oMathParaPr>
          <m:oMath>
            <m:r>
              <m:t>7</m:t>
            </m:r>
          </m:oMath>
        </m:oMathPara>
      </w:hyperlink>
      <w:r>
        <w:t xml:space="preserve">, the Galileo low-gain-antenna 160 bit-per-second ceiling after the high-gain deployment failure</w:t>
      </w:r>
      <w:r>
        <w:t xml:space="preserve"> </w:t>
      </w:r>
      <w:hyperlink w:anchor="ref-8">
        <m:oMathPara>
          <m:oMathParaPr>
            <m:jc m:val="center"/>
          </m:oMathParaPr>
          <m:oMath>
            <m:r>
              <m:t>8</m:t>
            </m:r>
          </m:oMath>
        </m:oMathPara>
      </w:hyperlink>
      <w:r>
        <w:t xml:space="preserve">, the Mars Reconnaissance Orbiter 6 megabit-per-second X-band peak</w:t>
      </w:r>
      <w:r>
        <w:t xml:space="preserve"> </w:t>
      </w:r>
      <w:hyperlink w:anchor="ref-4">
        <m:oMathPara>
          <m:oMathParaPr>
            <m:jc m:val="center"/>
          </m:oMathParaPr>
          <m:oMath>
            <m:r>
              <m:t>4</m:t>
            </m:r>
          </m:oMath>
        </m:oMathPara>
      </w:hyperlink>
      <w:r>
        <w:t xml:space="preserve">, the New Horizons kilobit-class return near Pluto</w:t>
      </w:r>
      <w:r>
        <w:t xml:space="preserve"> </w:t>
      </w:r>
      <w:hyperlink w:anchor="ref-9">
        <m:oMathPara>
          <m:oMathParaPr>
            <m:jc m:val="center"/>
          </m:oMathParaPr>
          <m:oMath>
            <m:r>
              <m:t>9</m:t>
            </m:r>
          </m:oMath>
        </m:oMathPara>
      </w:hyperlink>
      <w:r>
        <w:t xml:space="preserve">, and the Pioneer 10 bit-class telemetry at late mission. Variables enter the regression in base-10 logarithms for rate, range, antenna diameter, and power, with the Ka-band indicator and the ground aperture in levels.</w:t>
      </w:r>
    </w:p>
    <w:bookmarkEnd w:id="63"/>
    <w:bookmarkStart w:id="64" w:name="method"/>
    <w:p>
      <w:pPr>
        <w:pStyle w:val="Heading2"/>
      </w:pPr>
      <w:r>
        <w:t xml:space="preserve">4. Method</w:t>
      </w:r>
    </w:p>
    <w:p>
      <w:pPr>
        <w:pStyle w:val="FirstParagraph"/>
      </w:pPr>
      <w:r>
        <w:t xml:space="preserve">I estimate the log-linear link-equation specification by ordinary least squares with heteroskedasticity-consistent (HC1) standard errors. The dependent variable is the base-10 logarithm of supported downlink rate in bits per second. The regressors are the base-10 logarithms of Earth range in astronomical units, spacecraft antenna diameter in metres, and transmitter power in watts, together with the Ka-band indicator and the ground aperture in metres. The constant absorbs the fixed physical terms of the budget. Robust standard errors guard against the heteroskedasticity expected when missions of very different design conservatism are pooled. The coefficient on log range is the parameter of primary interest, since it should recover the negative space-loss elasticity; the coefficients on log antenna diameter and the Ka-band indicator test the gain predictions. Model adequacy is assessed by the coefficient of determination and the overall F-test.</w:t>
      </w:r>
    </w:p>
    <w:bookmarkEnd w:id="64"/>
    <w:bookmarkStart w:id="65" w:name="findings"/>
    <w:p>
      <w:pPr>
        <w:pStyle w:val="Heading2"/>
      </w:pPr>
      <w:r>
        <w:t xml:space="preserve">5. Findings</w:t>
      </w:r>
    </w:p>
    <w:p>
      <w:pPr>
        <w:pStyle w:val="FirstParagraph"/>
      </w:pPr>
      <w:r>
        <w:t xml:space="preserve">The specification fits the cross-section closely. Across the twenty-six links the model explains roughly eighty-five percent of the variation in log data rate, with an adjusted coefficient of determination of about 0.81, and the overall relationship is decisively significant, with an F-statistic near 105.6 on a p-value below two parts in ten trillion. The structural slopes that the link equation predicts appear in the data with the expected signs.</w:t>
      </w:r>
    </w:p>
    <w:p>
      <w:pPr>
        <w:pStyle w:val="BodyText"/>
      </w:pPr>
      <w:r>
        <w:t xml:space="preserve">The elasticity of data rate with respect to Earth range is estimated at about minus 2.14, with a robust standard error near 0.35 and a p-value below 0.001. The point estimate sits close to, and slightly steeper than, the minus-two slope that the inverse-square free-space loss term predicts, consistent with operational practice that trims rate somewhat faster than physics alone requires as range grows in order to preserve margin. This is the central result: a regression fit across heterogeneous missions recovers the space-loss term of the link budget from catalog data, and the recovery is statistically sharp.</w:t>
      </w:r>
    </w:p>
    <w:p>
      <w:pPr>
        <w:pStyle w:val="BodyText"/>
      </w:pPr>
      <w:r>
        <w:t xml:space="preserve">The spacecraft antenna aperture carries the largest positive elasticity, estimated at about 2.42 with a standard error near 0.72 and a p-value of roughly 0.0007. The magnitude is consistent with the link physics, in which antenna gain scales with the square of aperture diameter and enters the carrier-to-noise budget linearly in decibels, so that a doubling of antenna diameter buys roughly a fourfold gain in supported rate, other things equal. The Ka-band indicator is positive and significant, with a coefficient near 0.97, a standard error of about 0.30, and a p-value of roughly 0.001; operating in Ka-band rather than S- or X-band is associated with close to an order-of-magnitude lift in supported rate at a given aperture and range, which matches the frequency-gain and bandwidth advantage that drove the network’s migration toward higher bands</w:t>
      </w:r>
      <w:r>
        <w:t xml:space="preserve"> </w:t>
      </w:r>
      <w:hyperlink w:anchor="ref-3">
        <m:oMathPara>
          <m:oMathParaPr>
            <m:jc m:val="center"/>
          </m:oMathParaPr>
          <m:oMath>
            <m:r>
              <m:t>3</m:t>
            </m:r>
          </m:oMath>
        </m:oMathPara>
      </w:hyperlink>
      <w:r>
        <w:t xml:space="preserve">.</w:t>
      </w:r>
    </w:p>
    <w:p>
      <w:pPr>
        <w:pStyle w:val="FirstParagraph"/>
      </w:pPr>
      <w:r>
        <w:t xml:space="preserve">Transmitter power enters with the predicted positive sign but is not statistically significant at conventional levels: the estimated elasticity is about 0.84 with a standard error near 0.54 and a p-value of roughly 0.12. The muted and imprecise estimate is expected, since transmit power varies over a far narrower range across these missions, typically a single order of magnitude, than range or aperture, leaving little independent variation for the estimator to exploit. The ground aperture coefficient is small, negative, and statistically indistinguishable from zero, with a p-value near 0.68; the deep-space links in the sample are dominated by 34 m and 70 m stations with limited and non-monotone variation once the spacecraft-side drivers are controlled, so the cross-section is not informative about marginal ground-aperture effects. All numerical values reported here are read directly from the estimated model and are reproduced in the embedded workbook.</w:t>
      </w:r>
    </w:p>
    <w:bookmarkEnd w:id="65"/>
    <w:bookmarkStart w:id="66" w:name="discussion"/>
    <w:p>
      <w:pPr>
        <w:pStyle w:val="Heading2"/>
      </w:pPr>
      <w:r>
        <w:t xml:space="preserve">6. Discussion</w:t>
      </w:r>
    </w:p>
    <w:p>
      <w:pPr>
        <w:pStyle w:val="FirstParagraph"/>
      </w:pPr>
      <w:r>
        <w:t xml:space="preserve">The regression does what the link equation says it should. From nothing more than published antenna diameters, transmitter powers, bands, ranges, and ground apertures, ordinary least squares recovers a negative range elasticity near the inverse-square value and a positive aperture elasticity near the square-law value, and it does so with a fit tight enough that a handful of catalog specifications account for most of the spread in realized data rate across six decades of mission design. For a strategist weighing where margin and capacity come from, the practical reading is direct. Distance is the dominant adversary, and its penalty is close to quadratic, so the missions that most need relief at the outer planets and beyond are precisely the ones for which incremental spacecraft power buys the least. Aperture and frequency are the levers with the steepest returns: enlarging the spacecraft antenna or moving up in band shifts the entire rate curve, which is why the operational record bends toward larger dishes and toward Ka-band and, at the frontier, toward optical links that escape the radio-frequency gain ceiling altogether</w:t>
      </w:r>
      <w:r>
        <w:t xml:space="preserve"> </w:t>
      </w:r>
      <w:hyperlink w:anchor="ref-10">
        <m:oMathPara>
          <m:oMathParaPr>
            <m:jc m:val="center"/>
          </m:oMathParaPr>
          <m:oMath>
            <m:r>
              <m:t>10</m:t>
            </m:r>
          </m:oMath>
        </m:oMathPara>
      </w:hyperlink>
      <w:r>
        <w:t xml:space="preserve">.</w:t>
      </w:r>
    </w:p>
    <w:p>
      <w:pPr>
        <w:pStyle w:val="FirstParagraph"/>
      </w:pPr>
      <w:r>
        <w:t xml:space="preserve">Three caveats bound the claim. First, the dependent variable mixes design-book maxima with representative operating rates, and a minority of rates are illustrative within their mission’s documented regime; a fully homogeneous rate definition, measured at a common margin threshold, would sharpen the estimates. Second, the specification omits coding gain, system noise temperature, and modulation, which the constant absorbs on average but which surely vary across missions and inflate the disturbance. Third, the ground aperture is too coarsely varied in this sample to be informative, and arraying of multiple ground antennas, the technique that rescued Galileo’s science return</w:t>
      </w:r>
      <w:r>
        <w:t xml:space="preserve"> </w:t>
      </w:r>
      <w:hyperlink w:anchor="ref-8">
        <m:oMathPara>
          <m:oMathParaPr>
            <m:jc m:val="center"/>
          </m:oMathParaPr>
          <m:oMath>
            <m:r>
              <m:t>8</m:t>
            </m:r>
          </m:oMath>
        </m:oMathPara>
      </w:hyperlink>
      <w:r>
        <w:t xml:space="preserve">, is not represented as a continuous covariate. None of these undermines the central finding, which is robust to the inclusion or exclusion of the long-baseline Voyager and Pioneer anchors precisely because the log-log form makes the space-loss slope a property of the whole cross-section rather than of any extreme point. The natural extensions are a panel that follows individual missions as their rates step down with range over time, recovering the within-mission space-loss slope directly, and an explicit margin variable computed from the full Friis budget so that supported rate can be regressed on decibels of margin rather than on its physical antecedents.</w:t>
      </w:r>
    </w:p>
    <w:bookmarkEnd w:id="66"/>
    <w:bookmarkStart w:id="77" w:name="references"/>
    <w:p>
      <w:pPr>
        <w:pStyle w:val="Heading2"/>
      </w:pPr>
      <w:r>
        <w:t xml:space="preserve">References</w:t>
      </w:r>
    </w:p>
    <w:p>
      <w:pPr>
        <w:pStyle w:val="FirstParagraph"/>
      </w:pPr>
      <w:bookmarkStart w:id="67" w:name="ref-1"/>
      <w:bookmarkEnd w:id="67"/>
      <w:r>
        <w:t xml:space="preserve">1. DSN Telecommunications Link Design Handbook (810-005), Module 206,</w:t>
      </w:r>
      <w:r>
        <w:t xml:space="preserve"> </w:t>
      </w:r>
      <w:r>
        <w:t xml:space="preserve">“Telemetry Data Decoding,”</w:t>
      </w:r>
      <w:r>
        <w:t xml:space="preserve"> </w:t>
      </w:r>
      <w:r>
        <w:t xml:space="preserve">Jet Propulsion Laboratory, NASA. Available: https://deepspace.jpl.nasa.gov/dsndocs/810-005/206/206B.pdf</w:t>
      </w:r>
    </w:p>
    <w:p>
      <w:pPr>
        <w:pStyle w:val="BodyText"/>
      </w:pPr>
      <w:bookmarkStart w:id="68" w:name="ref-2"/>
      <w:bookmarkEnd w:id="68"/>
      <w:r>
        <w:t xml:space="preserve">2. DSN Telecommunications Link Design Handbook (810-005), Jet Propulsion Laboratory, NASA, frequency-band and link-budget conventions for S-, X-, and Ka-band deep-space links.</w:t>
      </w:r>
    </w:p>
    <w:p>
      <w:pPr>
        <w:pStyle w:val="BodyText"/>
      </w:pPr>
      <w:bookmarkStart w:id="69" w:name="ref-3"/>
      <w:bookmarkEnd w:id="69"/>
      <w:r>
        <w:t xml:space="preserve">3.</w:t>
      </w:r>
      <w:r>
        <w:t xml:space="preserve"> </w:t>
      </w:r>
      <w:r>
        <w:t xml:space="preserve">“NASA Deep Space Network,”</w:t>
      </w:r>
      <w:r>
        <w:t xml:space="preserve"> </w:t>
      </w:r>
      <w:r>
        <w:t xml:space="preserve">frequency-usage history (S-band, X-band, Ka-band primary downlink) and three-complex ground architecture. Available: https://en.wikipedia.org/wiki/NASA_Deep_Space_Network</w:t>
      </w:r>
    </w:p>
    <w:p>
      <w:pPr>
        <w:pStyle w:val="BodyText"/>
      </w:pPr>
      <w:bookmarkStart w:id="70" w:name="ref-4"/>
      <w:bookmarkEnd w:id="70"/>
      <w:r>
        <w:t xml:space="preserve">4. J. Taylor et al.,</w:t>
      </w:r>
      <w:r>
        <w:t xml:space="preserve"> </w:t>
      </w:r>
      <w:r>
        <w:t xml:space="preserve">“Mars Reconnaissance Orbiter Telecommunications,”</w:t>
      </w:r>
      <w:r>
        <w:t xml:space="preserve"> </w:t>
      </w:r>
      <w:r>
        <w:t xml:space="preserve">DESCANSO Design and Performance Summary Series, Article 12, Jet Propulsion Laboratory, NASA. Available: https://descanso.jpl.nasa.gov/DPSummary/MRO_092106.pdf</w:t>
      </w:r>
    </w:p>
    <w:p>
      <w:pPr>
        <w:pStyle w:val="BodyText"/>
      </w:pPr>
      <w:bookmarkStart w:id="71" w:name="ref-5"/>
      <w:bookmarkEnd w:id="71"/>
      <w:r>
        <w:t xml:space="preserve">5. J. Taylor et al.,</w:t>
      </w:r>
      <w:r>
        <w:t xml:space="preserve"> </w:t>
      </w:r>
      <w:r>
        <w:t xml:space="preserve">“Cassini Orbiter/Huygens Probe Telecommunications,”</w:t>
      </w:r>
      <w:r>
        <w:t xml:space="preserve"> </w:t>
      </w:r>
      <w:r>
        <w:t xml:space="preserve">DESCANSO Design and Performance Summary Series, Article 3, Jet Propulsion Laboratory, NASA. Available: https://descanso.jpl.nasa.gov/DPSummary/Descanso3–Cassini2.pdf</w:t>
      </w:r>
    </w:p>
    <w:p>
      <w:pPr>
        <w:pStyle w:val="BodyText"/>
      </w:pPr>
      <w:bookmarkStart w:id="72" w:name="ref-6"/>
      <w:bookmarkEnd w:id="72"/>
      <w:r>
        <w:t xml:space="preserve">6. R. Mukai et al.,</w:t>
      </w:r>
      <w:r>
        <w:t xml:space="preserve"> </w:t>
      </w:r>
      <w:r>
        <w:t xml:space="preserve">“Juno Telecommunications,”</w:t>
      </w:r>
      <w:r>
        <w:t xml:space="preserve"> </w:t>
      </w:r>
      <w:r>
        <w:t xml:space="preserve">DESCANSO Design and Performance Summary Series, Article 16, Jet Propulsion Laboratory, NASA. Available: https://descanso.jpl.nasa.gov/DPSummary/Juno_DESCANSO_Post121106H–Compact.pdf</w:t>
      </w:r>
    </w:p>
    <w:p>
      <w:pPr>
        <w:pStyle w:val="BodyText"/>
      </w:pPr>
      <w:bookmarkStart w:id="73" w:name="ref-7"/>
      <w:bookmarkEnd w:id="73"/>
      <w:r>
        <w:t xml:space="preserve">7. R. Ludwig and J. Taylor,</w:t>
      </w:r>
      <w:r>
        <w:t xml:space="preserve"> </w:t>
      </w:r>
      <w:r>
        <w:t xml:space="preserve">“Voyager Telecommunications,”</w:t>
      </w:r>
      <w:r>
        <w:t xml:space="preserve"> </w:t>
      </w:r>
      <w:r>
        <w:t xml:space="preserve">DESCANSO Design and Performance Summary Series, Chapter 3, Jet Propulsion Laboratory, NASA. Available: https://voyager.gsfc.nasa.gov/Library/DeepCommo_Chapter3–141029.pdf</w:t>
      </w:r>
    </w:p>
    <w:p>
      <w:pPr>
        <w:pStyle w:val="BodyText"/>
      </w:pPr>
      <w:bookmarkStart w:id="74" w:name="ref-8"/>
      <w:bookmarkEnd w:id="74"/>
      <w:r>
        <w:t xml:space="preserve">8.</w:t>
      </w:r>
      <w:r>
        <w:t xml:space="preserve"> </w:t>
      </w:r>
      <w:r>
        <w:t xml:space="preserve">“Galileo project,”</w:t>
      </w:r>
      <w:r>
        <w:t xml:space="preserve"> </w:t>
      </w:r>
      <w:r>
        <w:t xml:space="preserve">high-gain-antenna deployment failure and low-gain-antenna 160 bit-per-second operations at Jupiter. Available: https://en.wikipedia.org/wiki/Galileo_project</w:t>
      </w:r>
    </w:p>
    <w:p>
      <w:pPr>
        <w:pStyle w:val="BodyText"/>
      </w:pPr>
      <w:bookmarkStart w:id="75" w:name="ref-9"/>
      <w:bookmarkEnd w:id="75"/>
      <w:r>
        <w:t xml:space="preserve">9. C. C. DeBoy et al.,</w:t>
      </w:r>
      <w:r>
        <w:t xml:space="preserve"> </w:t>
      </w:r>
      <w:r>
        <w:t xml:space="preserve">“The RF Telecommunications System for the New Horizons Mission to Pluto,”</w:t>
      </w:r>
      <w:r>
        <w:t xml:space="preserve"> </w:t>
      </w:r>
      <w:r>
        <w:t xml:space="preserve">Johns Hopkins University Applied Physics Laboratory / Southwest Research Institute. Available: https://www2.boulder.swri.edu/~tcase/NH%20RF%20Telecom%20Sys%20ID1369%20FINAL_Deboy.pdf</w:t>
      </w:r>
    </w:p>
    <w:p>
      <w:pPr>
        <w:pStyle w:val="BodyText"/>
      </w:pPr>
      <w:bookmarkStart w:id="76" w:name="ref-10"/>
      <w:bookmarkEnd w:id="76"/>
      <w:r>
        <w:t xml:space="preserve">10.</w:t>
      </w:r>
      <w:r>
        <w:t xml:space="preserve"> </w:t>
      </w:r>
      <w:r>
        <w:t xml:space="preserve">“Deep Space Optical Communications (DSOC),”</w:t>
      </w:r>
      <w:r>
        <w:t xml:space="preserve"> </w:t>
      </w:r>
      <w:r>
        <w:t xml:space="preserve">Psyche laser-downlink demonstration data rates and ranges, Jet Propulsion Laboratory, NASA. Available: https://www.nasa.gov/mission/deep-space-optical-communications-dsoc/</w:t>
      </w:r>
    </w:p>
    <w:bookmarkEnd w:id="77"/>
    <w:bookmarkStart w:id="78" w:name="specification"/>
    <w:p>
      <w:pPr>
        <w:pStyle w:val="Heading2"/>
      </w:pPr>
      <w:r>
        <w:t xml:space="preserve">Specification</w:t>
      </w:r>
    </w:p>
    <w:p>
      <w:pPr>
        <w:pStyle w:val="FirstParagraph"/>
      </w:pPr>
      <m:oMathPara>
        <m:oMathParaPr>
          <m:jc m:val="center"/>
        </m:oMathParaPr>
        <m:oMath>
          <m:sSub>
            <m:e>
              <m:r>
                <m:rPr>
                  <m:sty m:val="p"/>
                </m:rPr>
                <m:t>log</m:t>
              </m:r>
            </m:e>
            <m:sub>
              <m:r>
                <m:t>10</m:t>
              </m:r>
            </m:sub>
          </m:sSub>
          <m:sSub>
            <m:e>
              <m:r>
                <m:t>R</m:t>
              </m:r>
            </m:e>
            <m:sub>
              <m:r>
                <m:t>i</m:t>
              </m:r>
            </m:sub>
          </m:sSub>
          <m:r>
            <m:rPr>
              <m:sty m:val="p"/>
            </m:rPr>
            <m:t>=</m:t>
          </m:r>
          <m:sSub>
            <m:e>
              <m:r>
                <m:t>β</m:t>
              </m:r>
            </m:e>
            <m:sub>
              <m:r>
                <m:t>0</m:t>
              </m:r>
            </m:sub>
          </m:sSub>
          <m:r>
            <m:rPr>
              <m:sty m:val="p"/>
            </m:rPr>
            <m:t>+</m:t>
          </m:r>
          <m:sSub>
            <m:e>
              <m:r>
                <m:t>β</m:t>
              </m:r>
            </m:e>
            <m:sub>
              <m:r>
                <m:t>1</m:t>
              </m:r>
            </m:sub>
          </m:sSub>
          <m:sSub>
            <m:e>
              <m:r>
                <m:rPr>
                  <m:sty m:val="p"/>
                </m:rPr>
                <m:t>log</m:t>
              </m:r>
            </m:e>
            <m:sub>
              <m:r>
                <m:t>10</m:t>
              </m:r>
            </m:sub>
          </m:sSub>
          <m:sSub>
            <m:e>
              <m:r>
                <m:t>d</m:t>
              </m:r>
            </m:e>
            <m:sub>
              <m:r>
                <m:t>i</m:t>
              </m:r>
            </m:sub>
          </m:sSub>
          <m:r>
            <m:rPr>
              <m:sty m:val="p"/>
            </m:rPr>
            <m:t>+</m:t>
          </m:r>
          <m:sSub>
            <m:e>
              <m:r>
                <m:t>β</m:t>
              </m:r>
            </m:e>
            <m:sub>
              <m:r>
                <m:t>2</m:t>
              </m:r>
            </m:sub>
          </m:sSub>
          <m:sSub>
            <m:e>
              <m:r>
                <m:rPr>
                  <m:sty m:val="p"/>
                </m:rPr>
                <m:t>log</m:t>
              </m:r>
            </m:e>
            <m:sub>
              <m:r>
                <m:t>10</m:t>
              </m:r>
            </m:sub>
          </m:sSub>
          <m:sSubSup>
            <m:e>
              <m:r>
                <m:t>D</m:t>
              </m:r>
            </m:e>
            <m:sub>
              <m:r>
                <m:t>i</m:t>
              </m:r>
            </m:sub>
            <m:sup>
              <m:r>
                <m:t>s</m:t>
              </m:r>
              <m:r>
                <m:t>c</m:t>
              </m:r>
            </m:sup>
          </m:sSubSup>
          <m:r>
            <m:rPr>
              <m:sty m:val="p"/>
            </m:rPr>
            <m:t>+</m:t>
          </m:r>
          <m:sSub>
            <m:e>
              <m:r>
                <m:t>β</m:t>
              </m:r>
            </m:e>
            <m:sub>
              <m:r>
                <m:t>3</m:t>
              </m:r>
            </m:sub>
          </m:sSub>
          <m:sSub>
            <m:e>
              <m:r>
                <m:rPr>
                  <m:sty m:val="p"/>
                </m:rPr>
                <m:t>log</m:t>
              </m:r>
            </m:e>
            <m:sub>
              <m:r>
                <m:t>10</m:t>
              </m:r>
            </m:sub>
          </m:sSub>
          <m:sSub>
            <m:e>
              <m:r>
                <m:t>P</m:t>
              </m:r>
            </m:e>
            <m:sub>
              <m:r>
                <m:t>i</m:t>
              </m:r>
            </m:sub>
          </m:sSub>
          <m:r>
            <m:rPr>
              <m:sty m:val="p"/>
            </m:rPr>
            <m:t>+</m:t>
          </m:r>
          <m:sSub>
            <m:e>
              <m:r>
                <m:t>β</m:t>
              </m:r>
            </m:e>
            <m:sub>
              <m:r>
                <m:t>4</m:t>
              </m:r>
            </m:sub>
          </m:sSub>
          <m:r>
            <m:t> </m:t>
          </m:r>
          <m:sSub>
            <m:e>
              <m:r>
                <m:rPr>
                  <m:sty m:val="p"/>
                </m:rPr>
                <m:t>K</m:t>
              </m:r>
              <m:r>
                <m:rPr>
                  <m:sty m:val="p"/>
                </m:rPr>
                <m:t>a</m:t>
              </m:r>
            </m:e>
            <m:sub>
              <m:r>
                <m:t>i</m:t>
              </m:r>
            </m:sub>
          </m:sSub>
          <m:r>
            <m:rPr>
              <m:sty m:val="p"/>
            </m:rPr>
            <m:t>+</m:t>
          </m:r>
          <m:sSub>
            <m:e>
              <m:r>
                <m:t>β</m:t>
              </m:r>
            </m:e>
            <m:sub>
              <m:r>
                <m:t>5</m:t>
              </m:r>
            </m:sub>
          </m:sSub>
          <m:r>
            <m:t> </m:t>
          </m:r>
          <m:sSubSup>
            <m:e>
              <m:r>
                <m:t>A</m:t>
              </m:r>
            </m:e>
            <m:sub>
              <m:r>
                <m:t>i</m:t>
              </m:r>
            </m:sub>
            <m:sup>
              <m:r>
                <m:t>d</m:t>
              </m:r>
              <m:r>
                <m:t>s</m:t>
              </m:r>
              <m:r>
                <m:t>n</m:t>
              </m:r>
            </m:sup>
          </m:sSubSup>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4.5182</w:t>
            </w:r>
          </w:p>
        </w:tc>
        <w:tc>
          <w:tcPr>
            <w:tcW w:w="0" w:type="auto"/>
          </w:tcPr>
          <w:p>
            <w:pPr>
              <w:spacing w:line="240" w:lineRule="auto" w:before="0" w:after="0"/>
              <w:pStyle w:val="Compact"/>
            </w:pPr>
            <w:r>
              <w:rPr>
                <w:sz w:val="20"/>
                <w:szCs w:val="20"/>
              </w:rPr>
              <w:t xml:space="preserve">1.3432</w:t>
            </w:r>
          </w:p>
        </w:tc>
        <w:tc>
          <w:tcPr>
            <w:tcW w:w="0" w:type="auto"/>
          </w:tcPr>
          <w:p>
            <w:pPr>
              <w:spacing w:line="240" w:lineRule="auto" w:before="0" w:after="0"/>
              <w:pStyle w:val="Compact"/>
            </w:pPr>
            <w:r>
              <w:rPr>
                <w:sz w:val="20"/>
                <w:szCs w:val="20"/>
              </w:rPr>
              <w:t xml:space="preserve">3.3639</w:t>
            </w:r>
          </w:p>
        </w:tc>
        <w:tc>
          <w:tcPr>
            <w:tcW w:w="0" w:type="auto"/>
          </w:tcPr>
          <w:p>
            <w:pPr>
              <w:spacing w:line="240" w:lineRule="auto" w:before="0" w:after="0"/>
              <w:pStyle w:val="Compact"/>
            </w:pPr>
            <w:r>
              <w:rPr>
                <w:sz w:val="20"/>
                <w:szCs w:val="20"/>
              </w:rPr>
              <w:t xml:space="preserve">0.0007685</w:t>
            </w:r>
          </w:p>
        </w:tc>
        <w:tc>
          <w:tcPr>
            <w:tcW w:w="0" w:type="auto"/>
          </w:tcPr>
          <w:p>
            <w:pPr>
              <w:spacing w:line="240" w:lineRule="auto" w:before="0" w:after="0"/>
              <w:pStyle w:val="Compact"/>
            </w:pPr>
            <w:r>
              <w:rPr>
                <w:sz w:val="20"/>
                <w:szCs w:val="20"/>
              </w:rPr>
              <w:t xml:space="preserve">[1.8857, 7.1508]</w:t>
            </w:r>
          </w:p>
        </w:tc>
      </w:tr>
      <w:tr>
        <w:tc>
          <w:tcPr>
            <w:tcW w:w="0" w:type="auto"/>
          </w:tcPr>
          <w:p>
            <w:pPr>
              <w:spacing w:line="240" w:lineRule="auto" w:before="0" w:after="0"/>
              <w:pStyle w:val="Compact"/>
            </w:pPr>
            <w:r>
              <w:rPr>
                <w:sz w:val="20"/>
                <w:szCs w:val="20"/>
              </w:rPr>
              <w:t xml:space="preserve">log10_range_au</w:t>
            </w:r>
          </w:p>
        </w:tc>
        <w:tc>
          <w:tcPr>
            <w:tcW w:w="0" w:type="auto"/>
          </w:tcPr>
          <w:p>
            <w:pPr>
              <w:spacing w:line="240" w:lineRule="auto" w:before="0" w:after="0"/>
              <w:pStyle w:val="Compact"/>
            </w:pPr>
            <w:r>
              <w:rPr>
                <w:sz w:val="20"/>
                <w:szCs w:val="20"/>
              </w:rPr>
              <w:t xml:space="preserve">-2.1368</w:t>
            </w:r>
          </w:p>
        </w:tc>
        <w:tc>
          <w:tcPr>
            <w:tcW w:w="0" w:type="auto"/>
          </w:tcPr>
          <w:p>
            <w:pPr>
              <w:spacing w:line="240" w:lineRule="auto" w:before="0" w:after="0"/>
              <w:pStyle w:val="Compact"/>
            </w:pPr>
            <w:r>
              <w:rPr>
                <w:sz w:val="20"/>
                <w:szCs w:val="20"/>
              </w:rPr>
              <w:t xml:space="preserve">0.3487</w:t>
            </w:r>
          </w:p>
        </w:tc>
        <w:tc>
          <w:tcPr>
            <w:tcW w:w="0" w:type="auto"/>
          </w:tcPr>
          <w:p>
            <w:pPr>
              <w:spacing w:line="240" w:lineRule="auto" w:before="0" w:after="0"/>
              <w:pStyle w:val="Compact"/>
            </w:pPr>
            <w:r>
              <w:rPr>
                <w:sz w:val="20"/>
                <w:szCs w:val="20"/>
              </w:rPr>
              <w:t xml:space="preserve">-6.1278</w:t>
            </w:r>
          </w:p>
        </w:tc>
        <w:tc>
          <w:tcPr>
            <w:tcW w:w="0" w:type="auto"/>
          </w:tcPr>
          <w:p>
            <w:pPr>
              <w:spacing w:line="240" w:lineRule="auto" w:before="0" w:after="0"/>
              <w:pStyle w:val="Compact"/>
            </w:pPr>
            <w:r>
              <w:rPr>
                <w:sz w:val="20"/>
                <w:szCs w:val="20"/>
              </w:rPr>
              <w:t xml:space="preserve">8.91e-10</w:t>
            </w:r>
          </w:p>
        </w:tc>
        <w:tc>
          <w:tcPr>
            <w:tcW w:w="0" w:type="auto"/>
          </w:tcPr>
          <w:p>
            <w:pPr>
              <w:spacing w:line="240" w:lineRule="auto" w:before="0" w:after="0"/>
              <w:pStyle w:val="Compact"/>
            </w:pPr>
            <w:r>
              <w:rPr>
                <w:sz w:val="20"/>
                <w:szCs w:val="20"/>
              </w:rPr>
              <w:t xml:space="preserve">[-2.8202, -1.4533]</w:t>
            </w:r>
          </w:p>
        </w:tc>
      </w:tr>
      <w:tr>
        <w:tc>
          <w:tcPr>
            <w:tcW w:w="0" w:type="auto"/>
          </w:tcPr>
          <w:p>
            <w:pPr>
              <w:spacing w:line="240" w:lineRule="auto" w:before="0" w:after="0"/>
              <w:pStyle w:val="Compact"/>
            </w:pPr>
            <w:r>
              <w:rPr>
                <w:sz w:val="20"/>
                <w:szCs w:val="20"/>
              </w:rPr>
              <w:t xml:space="preserve">log10_hga</w:t>
            </w:r>
          </w:p>
        </w:tc>
        <w:tc>
          <w:tcPr>
            <w:tcW w:w="0" w:type="auto"/>
          </w:tcPr>
          <w:p>
            <w:pPr>
              <w:spacing w:line="240" w:lineRule="auto" w:before="0" w:after="0"/>
              <w:pStyle w:val="Compact"/>
            </w:pPr>
            <w:r>
              <w:rPr>
                <w:sz w:val="20"/>
                <w:szCs w:val="20"/>
              </w:rPr>
              <w:t xml:space="preserve">2.4234</w:t>
            </w:r>
          </w:p>
        </w:tc>
        <w:tc>
          <w:tcPr>
            <w:tcW w:w="0" w:type="auto"/>
          </w:tcPr>
          <w:p>
            <w:pPr>
              <w:spacing w:line="240" w:lineRule="auto" w:before="0" w:after="0"/>
              <w:pStyle w:val="Compact"/>
            </w:pPr>
            <w:r>
              <w:rPr>
                <w:sz w:val="20"/>
                <w:szCs w:val="20"/>
              </w:rPr>
              <w:t xml:space="preserve">0.7174</w:t>
            </w:r>
          </w:p>
        </w:tc>
        <w:tc>
          <w:tcPr>
            <w:tcW w:w="0" w:type="auto"/>
          </w:tcPr>
          <w:p>
            <w:pPr>
              <w:spacing w:line="240" w:lineRule="auto" w:before="0" w:after="0"/>
              <w:pStyle w:val="Compact"/>
            </w:pPr>
            <w:r>
              <w:rPr>
                <w:sz w:val="20"/>
                <w:szCs w:val="20"/>
              </w:rPr>
              <w:t xml:space="preserve">3.3781</w:t>
            </w:r>
          </w:p>
        </w:tc>
        <w:tc>
          <w:tcPr>
            <w:tcW w:w="0" w:type="auto"/>
          </w:tcPr>
          <w:p>
            <w:pPr>
              <w:spacing w:line="240" w:lineRule="auto" w:before="0" w:after="0"/>
              <w:pStyle w:val="Compact"/>
            </w:pPr>
            <w:r>
              <w:rPr>
                <w:sz w:val="20"/>
                <w:szCs w:val="20"/>
              </w:rPr>
              <w:t xml:space="preserve">0.00073</w:t>
            </w:r>
          </w:p>
        </w:tc>
        <w:tc>
          <w:tcPr>
            <w:tcW w:w="0" w:type="auto"/>
          </w:tcPr>
          <w:p>
            <w:pPr>
              <w:spacing w:line="240" w:lineRule="auto" w:before="0" w:after="0"/>
              <w:pStyle w:val="Compact"/>
            </w:pPr>
            <w:r>
              <w:rPr>
                <w:sz w:val="20"/>
                <w:szCs w:val="20"/>
              </w:rPr>
              <w:t xml:space="preserve">[1.0173, 3.8295]</w:t>
            </w:r>
          </w:p>
        </w:tc>
      </w:tr>
      <w:tr>
        <w:tc>
          <w:tcPr>
            <w:tcW w:w="0" w:type="auto"/>
          </w:tcPr>
          <w:p>
            <w:pPr>
              <w:spacing w:line="240" w:lineRule="auto" w:before="0" w:after="0"/>
              <w:pStyle w:val="Compact"/>
            </w:pPr>
            <w:r>
              <w:rPr>
                <w:sz w:val="20"/>
                <w:szCs w:val="20"/>
              </w:rPr>
              <w:t xml:space="preserve">log10_txpwr</w:t>
            </w:r>
          </w:p>
        </w:tc>
        <w:tc>
          <w:tcPr>
            <w:tcW w:w="0" w:type="auto"/>
          </w:tcPr>
          <w:p>
            <w:pPr>
              <w:spacing w:line="240" w:lineRule="auto" w:before="0" w:after="0"/>
              <w:pStyle w:val="Compact"/>
            </w:pPr>
            <w:r>
              <w:rPr>
                <w:sz w:val="20"/>
                <w:szCs w:val="20"/>
              </w:rPr>
              <w:t xml:space="preserve">0.8411</w:t>
            </w:r>
          </w:p>
        </w:tc>
        <w:tc>
          <w:tcPr>
            <w:tcW w:w="0" w:type="auto"/>
          </w:tcPr>
          <w:p>
            <w:pPr>
              <w:spacing w:line="240" w:lineRule="auto" w:before="0" w:after="0"/>
              <w:pStyle w:val="Compact"/>
            </w:pPr>
            <w:r>
              <w:rPr>
                <w:sz w:val="20"/>
                <w:szCs w:val="20"/>
              </w:rPr>
              <w:t xml:space="preserve">0.5357</w:t>
            </w:r>
          </w:p>
        </w:tc>
        <w:tc>
          <w:tcPr>
            <w:tcW w:w="0" w:type="auto"/>
          </w:tcPr>
          <w:p>
            <w:pPr>
              <w:spacing w:line="240" w:lineRule="auto" w:before="0" w:after="0"/>
              <w:pStyle w:val="Compact"/>
            </w:pPr>
            <w:r>
              <w:rPr>
                <w:sz w:val="20"/>
                <w:szCs w:val="20"/>
              </w:rPr>
              <w:t xml:space="preserve">1.5703</w:t>
            </w:r>
          </w:p>
        </w:tc>
        <w:tc>
          <w:tcPr>
            <w:tcW w:w="0" w:type="auto"/>
          </w:tcPr>
          <w:p>
            <w:pPr>
              <w:spacing w:line="240" w:lineRule="auto" w:before="0" w:after="0"/>
              <w:pStyle w:val="Compact"/>
            </w:pPr>
            <w:r>
              <w:rPr>
                <w:sz w:val="20"/>
                <w:szCs w:val="20"/>
              </w:rPr>
              <w:t xml:space="preserve">0.1164</w:t>
            </w:r>
          </w:p>
        </w:tc>
        <w:tc>
          <w:tcPr>
            <w:tcW w:w="0" w:type="auto"/>
          </w:tcPr>
          <w:p>
            <w:pPr>
              <w:spacing w:line="240" w:lineRule="auto" w:before="0" w:after="0"/>
              <w:pStyle w:val="Compact"/>
            </w:pPr>
            <w:r>
              <w:rPr>
                <w:sz w:val="20"/>
                <w:szCs w:val="20"/>
              </w:rPr>
              <w:t xml:space="preserve">[-0.2088, 1.8911]</w:t>
            </w:r>
          </w:p>
        </w:tc>
      </w:tr>
      <w:tr>
        <w:tc>
          <w:tcPr>
            <w:tcW w:w="0" w:type="auto"/>
          </w:tcPr>
          <w:p>
            <w:pPr>
              <w:spacing w:line="240" w:lineRule="auto" w:before="0" w:after="0"/>
              <w:pStyle w:val="Compact"/>
            </w:pPr>
            <w:r>
              <w:rPr>
                <w:sz w:val="20"/>
                <w:szCs w:val="20"/>
              </w:rPr>
              <w:t xml:space="preserve">band_kaband</w:t>
            </w:r>
          </w:p>
        </w:tc>
        <w:tc>
          <w:tcPr>
            <w:tcW w:w="0" w:type="auto"/>
          </w:tcPr>
          <w:p>
            <w:pPr>
              <w:spacing w:line="240" w:lineRule="auto" w:before="0" w:after="0"/>
              <w:pStyle w:val="Compact"/>
            </w:pPr>
            <w:r>
              <w:rPr>
                <w:sz w:val="20"/>
                <w:szCs w:val="20"/>
              </w:rPr>
              <w:t xml:space="preserve">0.9692</w:t>
            </w:r>
          </w:p>
        </w:tc>
        <w:tc>
          <w:tcPr>
            <w:tcW w:w="0" w:type="auto"/>
          </w:tcPr>
          <w:p>
            <w:pPr>
              <w:spacing w:line="240" w:lineRule="auto" w:before="0" w:after="0"/>
              <w:pStyle w:val="Compact"/>
            </w:pPr>
            <w:r>
              <w:rPr>
                <w:sz w:val="20"/>
                <w:szCs w:val="20"/>
              </w:rPr>
              <w:t xml:space="preserve">0.2974</w:t>
            </w:r>
          </w:p>
        </w:tc>
        <w:tc>
          <w:tcPr>
            <w:tcW w:w="0" w:type="auto"/>
          </w:tcPr>
          <w:p>
            <w:pPr>
              <w:spacing w:line="240" w:lineRule="auto" w:before="0" w:after="0"/>
              <w:pStyle w:val="Compact"/>
            </w:pPr>
            <w:r>
              <w:rPr>
                <w:sz w:val="20"/>
                <w:szCs w:val="20"/>
              </w:rPr>
              <w:t xml:space="preserve">3.2587</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[0.3863, 1.5521]</w:t>
            </w:r>
          </w:p>
        </w:tc>
      </w:tr>
      <w:tr>
        <w:tc>
          <w:tcPr>
            <w:tcW w:w="0" w:type="auto"/>
          </w:tcPr>
          <w:p>
            <w:pPr>
              <w:spacing w:line="240" w:lineRule="auto" w:before="0" w:after="0"/>
              <w:pStyle w:val="Compact"/>
            </w:pPr>
            <w:r>
              <w:rPr>
                <w:sz w:val="20"/>
                <w:szCs w:val="20"/>
              </w:rPr>
              <w:t xml:space="preserve">dsn_aperture_m</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0.0223</w:t>
            </w:r>
          </w:p>
        </w:tc>
        <w:tc>
          <w:tcPr>
            <w:tcW w:w="0" w:type="auto"/>
          </w:tcPr>
          <w:p>
            <w:pPr>
              <w:spacing w:line="240" w:lineRule="auto" w:before="0" w:after="0"/>
              <w:pStyle w:val="Compact"/>
            </w:pPr>
            <w:r>
              <w:rPr>
                <w:sz w:val="20"/>
                <w:szCs w:val="20"/>
              </w:rPr>
              <w:t xml:space="preserve">-0.415</w:t>
            </w:r>
          </w:p>
        </w:tc>
        <w:tc>
          <w:tcPr>
            <w:tcW w:w="0" w:type="auto"/>
          </w:tcPr>
          <w:p>
            <w:pPr>
              <w:spacing w:line="240" w:lineRule="auto" w:before="0" w:after="0"/>
              <w:pStyle w:val="Compact"/>
            </w:pPr>
            <w:r>
              <w:rPr>
                <w:sz w:val="20"/>
                <w:szCs w:val="20"/>
              </w:rPr>
              <w:t xml:space="preserve">0.6782</w:t>
            </w:r>
          </w:p>
        </w:tc>
        <w:tc>
          <w:tcPr>
            <w:tcW w:w="0" w:type="auto"/>
          </w:tcPr>
          <w:p>
            <w:pPr>
              <w:spacing w:line="240" w:lineRule="auto" w:before="0" w:after="0"/>
              <w:pStyle w:val="Compact"/>
            </w:pPr>
            <w:r>
              <w:rPr>
                <w:sz w:val="20"/>
                <w:szCs w:val="20"/>
              </w:rPr>
              <w:t xml:space="preserve">[-0.0529, 0.0344]</w:t>
            </w:r>
          </w:p>
        </w:tc>
      </w:tr>
    </w:tbl>
    <w:p>
      <w:pPr>
        <w:pStyle w:val="BodyText"/>
      </w:pPr>
      <w:r>
        <w:t xml:space="preserve">Fit: N = 26 R2 = 0.8486 R2_adj = 0.8107 F = 105.6105 F_p = 1.13e-13</w:t>
      </w:r>
    </w:p>
    <w:p>
      <w:pPr>
        <w:pStyle w:val="CaptionedFigure"/>
      </w:pPr>
      <w:r>
        <w:drawing>
          <wp:inline>
            <wp:extent cx="5669280" cy="3657600"/>
            <wp:effectExtent b="0" l="0" r="0" t="0"/>
            <wp:docPr descr="Figure 1. Supported deep-space downlink data rate against Earth-spacecraft range (both base-10 logarithms), with the fitted ordinary-least-squares relationship. The negative slope recovers the inverse-square space-loss term of the link equation from twenty-six documented mission links." title="" id="80" name="Picture"/>
            <a:graphic>
              <a:graphicData uri="http://schemas.openxmlformats.org/drawingml/2006/picture">
                <pic:pic>
                  <pic:nvPicPr>
                    <pic:cNvPr descr="D:\Claude_Code\brain\collegium\candidates\dissertations\JPL_OPS_COMMS_DATA_06\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Supported deep-space downlink data rate against Earth-spacecraft range (both base-10 logarithms), with the fitted ordinary-least-squares relationship. The negative slope recovers the inverse-square space-loss term of the link equation from twenty-six documented mission links.</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band_kaband</w:t>
            </w:r>
          </w:p>
        </w:tc>
        <w:tc>
          <w:tcPr>
            <w:tcW w:w="0" w:type="auto"/>
          </w:tcPr>
          <w:p>
            <w:pPr>
              <w:spacing w:line="240" w:lineRule="auto" w:before="0" w:after="0"/>
              <w:pStyle w:val="Compact"/>
            </w:pPr>
            <w:r>
              <w:rPr>
                <w:sz w:val="20"/>
                <w:szCs w:val="20"/>
              </w:rPr>
              <w:t xml:space="preserve">hga_diam_m</w:t>
            </w:r>
          </w:p>
        </w:tc>
        <w:tc>
          <w:tcPr>
            <w:tcW w:w="0" w:type="auto"/>
          </w:tcPr>
          <w:p>
            <w:pPr>
              <w:spacing w:line="240" w:lineRule="auto" w:before="0" w:after="0"/>
              <w:pStyle w:val="Compact"/>
            </w:pPr>
            <w:r>
              <w:rPr>
                <w:sz w:val="20"/>
                <w:szCs w:val="20"/>
              </w:rPr>
              <w:t xml:space="preserve">tx_power_w</w:t>
            </w:r>
          </w:p>
        </w:tc>
        <w:tc>
          <w:tcPr>
            <w:tcW w:w="0" w:type="auto"/>
          </w:tcPr>
          <w:p>
            <w:pPr>
              <w:spacing w:line="240" w:lineRule="auto" w:before="0" w:after="0"/>
              <w:pStyle w:val="Compact"/>
            </w:pPr>
            <w:r>
              <w:rPr>
                <w:sz w:val="20"/>
                <w:szCs w:val="20"/>
              </w:rPr>
              <w:t xml:space="preserve">downlink_freq_ghz</w:t>
            </w:r>
          </w:p>
        </w:tc>
        <w:tc>
          <w:tcPr>
            <w:tcW w:w="0" w:type="auto"/>
          </w:tcPr>
          <w:p>
            <w:pPr>
              <w:spacing w:line="240" w:lineRule="auto" w:before="0" w:after="0"/>
              <w:pStyle w:val="Compact"/>
            </w:pPr>
            <w:r>
              <w:rPr>
                <w:sz w:val="20"/>
                <w:szCs w:val="20"/>
              </w:rPr>
              <w:t xml:space="preserve">dsn_aperture_m</w:t>
            </w:r>
          </w:p>
        </w:tc>
        <w:tc>
          <w:tcPr>
            <w:tcW w:w="0" w:type="auto"/>
          </w:tcPr>
          <w:p>
            <w:pPr>
              <w:spacing w:line="240" w:lineRule="auto" w:before="0" w:after="0"/>
              <w:pStyle w:val="Compact"/>
            </w:pPr>
            <w:r>
              <w:rPr>
                <w:sz w:val="20"/>
                <w:szCs w:val="20"/>
              </w:rPr>
              <w:t xml:space="preserve">earth_range_au</w:t>
            </w:r>
          </w:p>
        </w:tc>
        <w:tc>
          <w:tcPr>
            <w:tcW w:w="0" w:type="auto"/>
          </w:tcPr>
          <w:p>
            <w:pPr>
              <w:spacing w:line="240" w:lineRule="auto" w:before="0" w:after="0"/>
              <w:pStyle w:val="Compact"/>
            </w:pPr>
            <w:r>
              <w:rPr>
                <w:sz w:val="20"/>
                <w:szCs w:val="20"/>
              </w:rPr>
              <w:t xml:space="preserve">downlink_rate_bps</w:t>
            </w:r>
          </w:p>
        </w:tc>
        <w:tc>
          <w:tcPr>
            <w:tcW w:w="0" w:type="auto"/>
          </w:tcPr>
          <w:p>
            <w:pPr>
              <w:spacing w:line="240" w:lineRule="auto" w:before="0" w:after="0"/>
              <w:pStyle w:val="Compact"/>
            </w:pPr>
            <w:r>
              <w:rPr>
                <w:sz w:val="20"/>
                <w:szCs w:val="20"/>
              </w:rPr>
              <w:t xml:space="preserve">log10_rate</w:t>
            </w:r>
          </w:p>
        </w:tc>
        <w:tc>
          <w:tcPr>
            <w:tcW w:w="0" w:type="auto"/>
          </w:tcPr>
          <w:p>
            <w:pPr>
              <w:spacing w:line="240" w:lineRule="auto" w:before="0" w:after="0"/>
              <w:pStyle w:val="Compact"/>
            </w:pPr>
            <w:r>
              <w:rPr>
                <w:sz w:val="20"/>
                <w:szCs w:val="20"/>
              </w:rPr>
              <w:t xml:space="preserve">log10_range_au</w:t>
            </w:r>
          </w:p>
        </w:tc>
        <w:tc>
          <w:tcPr>
            <w:tcW w:w="0" w:type="auto"/>
          </w:tcPr>
          <w:p>
            <w:pPr>
              <w:spacing w:line="240" w:lineRule="auto" w:before="0" w:after="0"/>
              <w:pStyle w:val="Compact"/>
            </w:pPr>
            <w:r>
              <w:rPr>
                <w:sz w:val="20"/>
                <w:szCs w:val="20"/>
              </w:rPr>
              <w:t xml:space="preserve">log10_hga</w:t>
            </w:r>
          </w:p>
        </w:tc>
        <w:tc>
          <w:tcPr>
            <w:tcW w:w="0" w:type="auto"/>
          </w:tcPr>
          <w:p>
            <w:pPr>
              <w:spacing w:line="240" w:lineRule="auto" w:before="0" w:after="0"/>
              <w:pStyle w:val="Compact"/>
            </w:pPr>
            <w:r>
              <w:rPr>
                <w:sz w:val="20"/>
                <w:szCs w:val="20"/>
              </w:rPr>
              <w:t xml:space="preserve">log10_txpwr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 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21.3</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2.1931</w:t>
            </w:r>
          </w:p>
        </w:tc>
        <w:tc>
          <w:tcPr>
            <w:tcW w:w="0" w:type="auto"/>
          </w:tcPr>
          <w:p>
            <w:pPr>
              <w:spacing w:line="240" w:lineRule="auto" w:before="0" w:after="0"/>
              <w:pStyle w:val="Compact"/>
            </w:pPr>
            <w:r>
              <w:rPr>
                <w:sz w:val="20"/>
                <w:szCs w:val="20"/>
              </w:rPr>
              <w:t xml:space="preserve">0.5682</w:t>
            </w:r>
          </w:p>
        </w:tc>
        <w:tc>
          <w:tcPr>
            <w:tcW w:w="0" w:type="auto"/>
          </w:tcPr>
          <w:p>
            <w:pPr>
              <w:spacing w:line="240" w:lineRule="auto" w:before="0" w:after="0"/>
              <w:pStyle w:val="Compact"/>
            </w:pPr>
            <w:r>
              <w:rPr>
                <w:sz w:val="20"/>
                <w:szCs w:val="20"/>
              </w:rPr>
              <w:t xml:space="preserve">1.3284</w:t>
            </w:r>
          </w:p>
        </w:tc>
        <w:tc>
          <w:tcPr>
            <w:tcW w:w="0" w:type="auto"/>
          </w:tcPr>
          <w:p>
            <w:pPr>
              <w:spacing w:line="240" w:lineRule="auto" w:before="0" w:after="0"/>
              <w:pStyle w:val="Compact"/>
            </w:pPr>
            <w:r>
              <w:rPr>
                <w:sz w:val="20"/>
                <w:szCs w:val="20"/>
              </w:rPr>
              <w:t xml:space="preserve">Voyager Telecommunications, DESCANSO Ch.3 (DeepCommo_Chapter3, 2014); Voyager 1 distance 156 AU per Wikipedia/NASA 2024</w:t>
            </w:r>
          </w:p>
        </w:tc>
      </w:tr>
      <w:tr>
        <w:tc>
          <w:tcPr>
            <w:tcW w:w="0" w:type="auto"/>
          </w:tcPr>
          <w:p>
            <w:pPr>
              <w:spacing w:line="240" w:lineRule="auto" w:before="0" w:after="0"/>
              <w:pStyle w:val="Compact"/>
            </w:pPr>
            <w:r>
              <w:rPr>
                <w:sz w:val="20"/>
                <w:szCs w:val="20"/>
              </w:rPr>
              <w:t xml:space="preserve">Voyager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21.3</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2.1139</w:t>
            </w:r>
          </w:p>
        </w:tc>
        <w:tc>
          <w:tcPr>
            <w:tcW w:w="0" w:type="auto"/>
          </w:tcPr>
          <w:p>
            <w:pPr>
              <w:spacing w:line="240" w:lineRule="auto" w:before="0" w:after="0"/>
              <w:pStyle w:val="Compact"/>
            </w:pPr>
            <w:r>
              <w:rPr>
                <w:sz w:val="20"/>
                <w:szCs w:val="20"/>
              </w:rPr>
              <w:t xml:space="preserve">0.5682</w:t>
            </w:r>
          </w:p>
        </w:tc>
        <w:tc>
          <w:tcPr>
            <w:tcW w:w="0" w:type="auto"/>
          </w:tcPr>
          <w:p>
            <w:pPr>
              <w:spacing w:line="240" w:lineRule="auto" w:before="0" w:after="0"/>
              <w:pStyle w:val="Compact"/>
            </w:pPr>
            <w:r>
              <w:rPr>
                <w:sz w:val="20"/>
                <w:szCs w:val="20"/>
              </w:rPr>
              <w:t xml:space="preserve">1.3284</w:t>
            </w:r>
          </w:p>
        </w:tc>
        <w:tc>
          <w:tcPr>
            <w:tcW w:w="0" w:type="auto"/>
          </w:tcPr>
          <w:p>
            <w:pPr>
              <w:spacing w:line="240" w:lineRule="auto" w:before="0" w:after="0"/>
              <w:pStyle w:val="Compact"/>
            </w:pPr>
            <w:r>
              <w:rPr>
                <w:sz w:val="20"/>
                <w:szCs w:val="20"/>
              </w:rPr>
              <w:t xml:space="preserve">Voyager Telecommunications, DESCANSO Ch.3 (2014); Voyager 2 distance ~130 AU NASA 2024</w:t>
            </w:r>
          </w:p>
        </w:tc>
      </w:tr>
      <w:tr>
        <w:tc>
          <w:tcPr>
            <w:tcW w:w="0" w:type="auto"/>
          </w:tcPr>
          <w:p>
            <w:pPr>
              <w:spacing w:line="240" w:lineRule="auto" w:before="0" w:after="0"/>
              <w:pStyle w:val="Compact"/>
            </w:pPr>
            <w:r>
              <w:rPr>
                <w:sz w:val="20"/>
                <w:szCs w:val="20"/>
              </w:rPr>
              <w:t xml:space="preserve">Galileo (LGA)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2.295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0.0414</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Galileo FAQ JPL (S-band LGA, 160 bps max at Jupiter); HGA failure, Galileo project Wikipedia</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166000</w:t>
            </w:r>
          </w:p>
        </w:tc>
        <w:tc>
          <w:tcPr>
            <w:tcW w:w="0" w:type="auto"/>
          </w:tcPr>
          <w:p>
            <w:pPr>
              <w:spacing w:line="240" w:lineRule="auto" w:before="0" w:after="0"/>
              <w:pStyle w:val="Compact"/>
            </w:pPr>
            <w:r>
              <w:rPr>
                <w:sz w:val="20"/>
                <w:szCs w:val="20"/>
              </w:rPr>
              <w:t xml:space="preserve">5.2201</w:t>
            </w:r>
          </w:p>
        </w:tc>
        <w:tc>
          <w:tcPr>
            <w:tcW w:w="0" w:type="auto"/>
          </w:tcPr>
          <w:p>
            <w:pPr>
              <w:spacing w:line="240" w:lineRule="auto" w:before="0" w:after="0"/>
              <w:pStyle w:val="Compact"/>
            </w:pPr>
            <w:r>
              <w:rPr>
                <w:sz w:val="20"/>
                <w:szCs w:val="20"/>
              </w:rPr>
              <w:t xml:space="preserve">0.9542</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Cassini Orbiter/Huygens Telecommunications, DESCANSO Article 3 (4 m HGA, 46.6 dB, 20 W TWTA, X-band); Saturn ~9 AU [illustrative rate at 166 kbps typical Saturn-range downlink]</w:t>
            </w:r>
          </w:p>
        </w:tc>
      </w:tr>
      <w:tr>
        <w:tc>
          <w:tcPr>
            <w:tcW w:w="0" w:type="auto"/>
          </w:tcPr>
          <w:p>
            <w:pPr>
              <w:spacing w:line="240" w:lineRule="auto" w:before="0" w:after="0"/>
              <w:pStyle w:val="Compact"/>
            </w:pPr>
            <w:r>
              <w:rPr>
                <w:sz w:val="20"/>
                <w:szCs w:val="20"/>
              </w:rPr>
              <w:t xml:space="preserve">New Horizons (Pluto)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8.44</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3.0792</w:t>
            </w:r>
          </w:p>
        </w:tc>
        <w:tc>
          <w:tcPr>
            <w:tcW w:w="0" w:type="auto"/>
          </w:tcPr>
          <w:p>
            <w:pPr>
              <w:spacing w:line="240" w:lineRule="auto" w:before="0" w:after="0"/>
              <w:pStyle w:val="Compact"/>
            </w:pPr>
            <w:r>
              <w:rPr>
                <w:sz w:val="20"/>
                <w:szCs w:val="20"/>
              </w:rPr>
              <w:t xml:space="preserve">1.5185</w:t>
            </w:r>
          </w:p>
        </w:tc>
        <w:tc>
          <w:tcPr>
            <w:tcW w:w="0" w:type="auto"/>
          </w:tcPr>
          <w:p>
            <w:pPr>
              <w:spacing w:line="240" w:lineRule="auto" w:before="0" w:after="0"/>
              <w:pStyle w:val="Compact"/>
            </w:pPr>
            <w:r>
              <w:rPr>
                <w:sz w:val="20"/>
                <w:szCs w:val="20"/>
              </w:rPr>
              <w:t xml:space="preserve">0.3222</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New Horizons RF Telecom System (DeBoy et al., SwRI/JHUAPL); 2.1 m HGA, 12 W TWTA, ~1.2 kbps near Pluto 33 AU</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4.2553</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1.3979</w:t>
            </w:r>
          </w:p>
        </w:tc>
        <w:tc>
          <w:tcPr>
            <w:tcW w:w="0" w:type="auto"/>
          </w:tcPr>
          <w:p>
            <w:pPr>
              <w:spacing w:line="240" w:lineRule="auto" w:before="0" w:after="0"/>
              <w:pStyle w:val="Compact"/>
            </w:pPr>
            <w:r>
              <w:rPr>
                <w:sz w:val="20"/>
                <w:szCs w:val="20"/>
              </w:rPr>
              <w:t xml:space="preserve">Juno Telecommunications, DESCANSO Article 16 (2.5 m dual-band HGA, X/Ka); Jupiter ~5.4 AU [illustrative 18 kbps science downlink]</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6000000</w:t>
            </w:r>
          </w:p>
        </w:tc>
        <w:tc>
          <w:tcPr>
            <w:tcW w:w="0" w:type="auto"/>
          </w:tcPr>
          <w:p>
            <w:pPr>
              <w:spacing w:line="240" w:lineRule="auto" w:before="0" w:after="0"/>
              <w:pStyle w:val="Compact"/>
            </w:pPr>
            <w:r>
              <w:rPr>
                <w:sz w:val="20"/>
                <w:szCs w:val="20"/>
              </w:rPr>
              <w:t xml:space="preserve">6.7782</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Mars Reconnaissance Orbiter Telecommunications, DESCANSO Article 12 (3 m HGA, 100 W X-band TWTA, up to 6 Mbps); Mars max ~2.5 AU</w:t>
            </w:r>
          </w:p>
        </w:tc>
      </w:tr>
      <w:tr>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110000</w:t>
            </w:r>
          </w:p>
        </w:tc>
        <w:tc>
          <w:tcPr>
            <w:tcW w:w="0" w:type="auto"/>
          </w:tcPr>
          <w:p>
            <w:pPr>
              <w:spacing w:line="240" w:lineRule="auto" w:before="0" w:after="0"/>
              <w:pStyle w:val="Compact"/>
            </w:pPr>
            <w:r>
              <w:rPr>
                <w:sz w:val="20"/>
                <w:szCs w:val="20"/>
              </w:rPr>
              <w:t xml:space="preserve">5.0414</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0.1139</w:t>
            </w:r>
          </w:p>
        </w:tc>
        <w:tc>
          <w:tcPr>
            <w:tcW w:w="0" w:type="auto"/>
          </w:tcPr>
          <w:p>
            <w:pPr>
              <w:spacing w:line="240" w:lineRule="auto" w:before="0" w:after="0"/>
              <w:pStyle w:val="Compact"/>
            </w:pPr>
            <w:r>
              <w:rPr>
                <w:sz w:val="20"/>
                <w:szCs w:val="20"/>
              </w:rPr>
              <w:t xml:space="preserve">1.1761</w:t>
            </w:r>
          </w:p>
        </w:tc>
        <w:tc>
          <w:tcPr>
            <w:tcW w:w="0" w:type="auto"/>
          </w:tcPr>
          <w:p>
            <w:pPr>
              <w:spacing w:line="240" w:lineRule="auto" w:before="0" w:after="0"/>
              <w:pStyle w:val="Compact"/>
            </w:pPr>
            <w:r>
              <w:rPr>
                <w:sz w:val="20"/>
                <w:szCs w:val="20"/>
              </w:rPr>
              <w:t xml:space="preserve">Mars Odyssey telecom (1.3 m HGA, X-band); Mars max range ~2.5 AU [illustrative 110 kbps]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550000</w:t>
            </w:r>
          </w:p>
        </w:tc>
        <w:tc>
          <w:tcPr>
            <w:tcW w:w="0" w:type="auto"/>
          </w:tcPr>
          <w:p>
            <w:pPr>
              <w:spacing w:line="240" w:lineRule="auto" w:before="0" w:after="0"/>
              <w:pStyle w:val="Compact"/>
            </w:pPr>
            <w:r>
              <w:rPr>
                <w:sz w:val="20"/>
                <w:szCs w:val="20"/>
              </w:rPr>
              <w:t xml:space="preserve">5.7404</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MAVEN telecom (2 m HGA, 100 W X-band SDST/TWTA per LASP factsheet) [illustrative 550 kbps]</w:t>
            </w:r>
          </w:p>
        </w:tc>
      </w:tr>
      <w:tr>
        <w:tc>
          <w:tcPr>
            <w:tcW w:w="0" w:type="auto"/>
          </w:tcPr>
          <w:p>
            <w:pPr>
              <w:spacing w:line="240" w:lineRule="auto" w:before="0" w:after="0"/>
              <w:pStyle w:val="Compact"/>
            </w:pPr>
            <w:r>
              <w:rPr>
                <w:sz w:val="20"/>
                <w:szCs w:val="20"/>
              </w:rPr>
              <w:t xml:space="preserve">Perseverance (DTE)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-0.5528</w:t>
            </w:r>
          </w:p>
        </w:tc>
        <w:tc>
          <w:tcPr>
            <w:tcW w:w="0" w:type="auto"/>
          </w:tcPr>
          <w:p>
            <w:pPr>
              <w:spacing w:line="240" w:lineRule="auto" w:before="0" w:after="0"/>
              <w:pStyle w:val="Compact"/>
            </w:pPr>
            <w:r>
              <w:rPr>
                <w:sz w:val="20"/>
                <w:szCs w:val="20"/>
              </w:rPr>
              <w:t xml:space="preserve">1.1761</w:t>
            </w:r>
          </w:p>
        </w:tc>
        <w:tc>
          <w:tcPr>
            <w:tcW w:w="0" w:type="auto"/>
          </w:tcPr>
          <w:p>
            <w:pPr>
              <w:spacing w:line="240" w:lineRule="auto" w:before="0" w:after="0"/>
              <w:pStyle w:val="Compact"/>
            </w:pPr>
            <w:r>
              <w:rPr>
                <w:sz w:val="20"/>
                <w:szCs w:val="20"/>
              </w:rPr>
              <w:t xml:space="preserve">Mars 2020 Perseverance direct-to-Earth X-band low-rate telemetry, NASA Mars 2020 telecom page; small DTE antenna [illustrative 2 kbps DTE]</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124000</w:t>
            </w:r>
          </w:p>
        </w:tc>
        <w:tc>
          <w:tcPr>
            <w:tcW w:w="0" w:type="auto"/>
          </w:tcPr>
          <w:p>
            <w:pPr>
              <w:spacing w:line="240" w:lineRule="auto" w:before="0" w:after="0"/>
              <w:pStyle w:val="Compact"/>
            </w:pPr>
            <w:r>
              <w:rPr>
                <w:sz w:val="20"/>
                <w:szCs w:val="20"/>
              </w:rPr>
              <w:t xml:space="preserve">5.0934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0.1818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Dawn telecom (1.52 m HGA, 100 W TWTA per JPL Dawn spacecraft factsheet); Vesta/Ceres ~3 AU [illustrative 124 kbps]</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914000</w:t>
            </w:r>
          </w:p>
        </w:tc>
        <w:tc>
          <w:tcPr>
            <w:tcW w:w="0" w:type="auto"/>
          </w:tcPr>
          <w:p>
            <w:pPr>
              <w:spacing w:line="240" w:lineRule="auto" w:before="0" w:after="0"/>
              <w:pStyle w:val="Compact"/>
            </w:pPr>
            <w:r>
              <w:rPr>
                <w:sz w:val="20"/>
                <w:szCs w:val="20"/>
              </w:rPr>
              <w:t xml:space="preserve">5.9609</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OSIRIS-REx telecom (2 m HGA, X-band, NASA OSIRIS-REx press kit); Bennu ~2.2 AU [illustrative 914 kbps]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52000</w:t>
            </w:r>
          </w:p>
        </w:tc>
        <w:tc>
          <w:tcPr>
            <w:tcW w:w="0" w:type="auto"/>
          </w:tcPr>
          <w:p>
            <w:pPr>
              <w:spacing w:line="240" w:lineRule="auto" w:before="0" w:after="0"/>
              <w:pStyle w:val="Compact"/>
            </w:pPr>
            <w:r>
              <w:rPr>
                <w:sz w:val="20"/>
                <w:szCs w:val="20"/>
              </w:rPr>
              <w:t xml:space="preserve">4.716</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Lucy telecom (2 m HGA, X-band, NASA Lucy press kit); Trojan asteroids ~6 AU [illustrative 52 kbps]</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135000</w:t>
            </w:r>
          </w:p>
        </w:tc>
        <w:tc>
          <w:tcPr>
            <w:tcW w:w="0" w:type="auto"/>
          </w:tcPr>
          <w:p>
            <w:pPr>
              <w:spacing w:line="240" w:lineRule="auto" w:before="0" w:after="0"/>
              <w:pStyle w:val="Compact"/>
            </w:pPr>
            <w:r>
              <w:rPr>
                <w:sz w:val="20"/>
                <w:szCs w:val="20"/>
              </w:rPr>
              <w:t xml:space="preserve">5.1303</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1.9031</w:t>
            </w:r>
          </w:p>
        </w:tc>
        <w:tc>
          <w:tcPr>
            <w:tcW w:w="0" w:type="auto"/>
          </w:tcPr>
          <w:p>
            <w:pPr>
              <w:spacing w:line="240" w:lineRule="auto" w:before="0" w:after="0"/>
              <w:pStyle w:val="Compact"/>
            </w:pPr>
            <w:r>
              <w:rPr>
                <w:sz w:val="20"/>
                <w:szCs w:val="20"/>
              </w:rPr>
              <w:t xml:space="preserve">Europa Clipper telecom (3 m HGA, X-band high-gain, NASA Europa Clipper press kit); Jupiter ~6 AU [illustrative 135 kbps]</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22000</w:t>
            </w:r>
          </w:p>
        </w:tc>
        <w:tc>
          <w:tcPr>
            <w:tcW w:w="0" w:type="auto"/>
          </w:tcPr>
          <w:p>
            <w:pPr>
              <w:spacing w:line="240" w:lineRule="auto" w:before="0" w:after="0"/>
              <w:pStyle w:val="Compact"/>
            </w:pPr>
            <w:r>
              <w:rPr>
                <w:sz w:val="20"/>
                <w:szCs w:val="20"/>
              </w:rPr>
              <w:t xml:space="preserve">4.3424</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1.4472</w:t>
            </w:r>
          </w:p>
        </w:tc>
        <w:tc>
          <w:tcPr>
            <w:tcW w:w="0" w:type="auto"/>
          </w:tcPr>
          <w:p>
            <w:pPr>
              <w:spacing w:line="240" w:lineRule="auto" w:before="0" w:after="0"/>
              <w:pStyle w:val="Compact"/>
            </w:pPr>
            <w:r>
              <w:rPr>
                <w:sz w:val="20"/>
                <w:szCs w:val="20"/>
              </w:rPr>
              <w:t xml:space="preserve">Rosetta telecom (2.2 m HGA, X-band, ESA Rosetta spacecraft factsheet via ESA New Norcia 35 m); comet ~5.3 AU [illustrative 22 kbps]</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8.43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104000</w:t>
            </w:r>
          </w:p>
        </w:tc>
        <w:tc>
          <w:tcPr>
            <w:tcW w:w="0" w:type="auto"/>
          </w:tcPr>
          <w:p>
            <w:pPr>
              <w:spacing w:line="240" w:lineRule="auto" w:before="0" w:after="0"/>
              <w:pStyle w:val="Compact"/>
            </w:pPr>
            <w:r>
              <w:rPr>
                <w:sz w:val="20"/>
                <w:szCs w:val="20"/>
              </w:rPr>
              <w:t xml:space="preserve">5.017</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0.9031</w:t>
            </w:r>
          </w:p>
        </w:tc>
        <w:tc>
          <w:tcPr>
            <w:tcW w:w="0" w:type="auto"/>
          </w:tcPr>
          <w:p>
            <w:pPr>
              <w:spacing w:line="240" w:lineRule="auto" w:before="0" w:after="0"/>
              <w:pStyle w:val="Compact"/>
            </w:pPr>
            <w:r>
              <w:rPr>
                <w:sz w:val="20"/>
                <w:szCs w:val="20"/>
              </w:rPr>
              <w:t xml:space="preserve">MESSENGER telecom phased-array X-band (no parabolic HGA; JHUAPL MESSENGER telecom); Mercury ~1.4 AU [illustrative 104 kbps; hga set 0 = phased array]</w:t>
            </w:r>
          </w:p>
        </w:tc>
      </w:tr>
      <w:tr>
        <w:tc>
          <w:tcPr>
            <w:tcW w:w="0" w:type="auto"/>
          </w:tcPr>
          <w:p>
            <w:pPr>
              <w:spacing w:line="240" w:lineRule="auto" w:before="0" w:after="0"/>
              <w:pStyle w:val="Compact"/>
            </w:pPr>
            <w:r>
              <w:rPr>
                <w:sz w:val="20"/>
                <w:szCs w:val="20"/>
              </w:rPr>
              <w:t xml:space="preserve">Galileo (HGA design)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134400</w:t>
            </w:r>
          </w:p>
        </w:tc>
        <w:tc>
          <w:tcPr>
            <w:tcW w:w="0" w:type="auto"/>
          </w:tcPr>
          <w:p>
            <w:pPr>
              <w:spacing w:line="240" w:lineRule="auto" w:before="0" w:after="0"/>
              <w:pStyle w:val="Compact"/>
            </w:pPr>
            <w:r>
              <w:rPr>
                <w:sz w:val="20"/>
                <w:szCs w:val="20"/>
              </w:rPr>
              <w:t xml:space="preserve">5.1284</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0.6812</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Galileo HGA design rate 134.4 kbps (never achieved due to deploy failure), Galileo project Wikipedia; 4.8 m HGA</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4330000</w:t>
            </w:r>
          </w:p>
        </w:tc>
        <w:tc>
          <w:tcPr>
            <w:tcW w:w="0" w:type="auto"/>
          </w:tcPr>
          <w:p>
            <w:pPr>
              <w:spacing w:line="240" w:lineRule="auto" w:before="0" w:after="0"/>
              <w:pStyle w:val="Compact"/>
            </w:pPr>
            <w:r>
              <w:rPr>
                <w:sz w:val="20"/>
                <w:szCs w:val="20"/>
              </w:rPr>
              <w:t xml:space="preserve">6.6365</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-0.0706</w:t>
            </w:r>
          </w:p>
        </w:tc>
        <w:tc>
          <w:tcPr>
            <w:tcW w:w="0" w:type="auto"/>
          </w:tcPr>
          <w:p>
            <w:pPr>
              <w:spacing w:line="240" w:lineRule="auto" w:before="0" w:after="0"/>
              <w:pStyle w:val="Compact"/>
            </w:pPr>
            <w:r>
              <w:rPr>
                <w:sz w:val="20"/>
                <w:szCs w:val="20"/>
              </w:rPr>
              <w:t xml:space="preserve">1.5798</w:t>
            </w:r>
          </w:p>
        </w:tc>
        <w:tc>
          <w:tcPr>
            <w:tcW w:w="0" w:type="auto"/>
          </w:tcPr>
          <w:p>
            <w:pPr>
              <w:spacing w:line="240" w:lineRule="auto" w:before="0" w:after="0"/>
              <w:pStyle w:val="Compact"/>
            </w:pPr>
            <w:r>
              <w:rPr>
                <w:sz w:val="20"/>
                <w:szCs w:val="20"/>
              </w:rPr>
              <w:t xml:space="preserve">Kepler first mission to use Ka-band as primary downlink, NASA DSN Wikipedia; ~0.5 AU Earth-trailing [illustrative 4.33 Mbps Ka]</w:t>
            </w:r>
          </w:p>
        </w:tc>
      </w:tr>
      <w:tr>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228000</w:t>
            </w:r>
          </w:p>
        </w:tc>
        <w:tc>
          <w:tcPr>
            <w:tcW w:w="0" w:type="auto"/>
          </w:tcPr>
          <w:p>
            <w:pPr>
              <w:spacing w:line="240" w:lineRule="auto" w:before="0" w:after="0"/>
              <w:pStyle w:val="Compact"/>
            </w:pPr>
            <w:r>
              <w:rPr>
                <w:sz w:val="20"/>
                <w:szCs w:val="20"/>
              </w:rPr>
              <w:t xml:space="preserve">5.3579</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1.8129</w:t>
            </w:r>
          </w:p>
        </w:tc>
        <w:tc>
          <w:tcPr>
            <w:tcW w:w="0" w:type="auto"/>
          </w:tcPr>
          <w:p>
            <w:pPr>
              <w:spacing w:line="240" w:lineRule="auto" w:before="0" w:after="0"/>
              <w:pStyle w:val="Compact"/>
            </w:pPr>
            <w:r>
              <w:rPr>
                <w:sz w:val="20"/>
                <w:szCs w:val="20"/>
              </w:rPr>
              <w:t xml:space="preserve">Mars Express telecom (1.6 m HGA, X-band, ESA Mars Express factsheet via 35 m New Norcia); Mars ~2.5 AU [illustrative 228 kbps]</w:t>
            </w:r>
          </w:p>
        </w:tc>
      </w:tr>
      <w:tr>
        <w:tc>
          <w:tcPr>
            <w:tcW w:w="0" w:type="auto"/>
          </w:tcPr>
          <w:p>
            <w:pPr>
              <w:spacing w:line="240" w:lineRule="auto" w:before="0" w:after="0"/>
              <w:pStyle w:val="Compact"/>
            </w:pPr>
            <w:r>
              <w:rPr>
                <w:sz w:val="20"/>
                <w:szCs w:val="20"/>
              </w:rPr>
              <w:t xml:space="preserve">MRO (Ka demo)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6000000</w:t>
            </w:r>
          </w:p>
        </w:tc>
        <w:tc>
          <w:tcPr>
            <w:tcW w:w="0" w:type="auto"/>
          </w:tcPr>
          <w:p>
            <w:pPr>
              <w:spacing w:line="240" w:lineRule="auto" w:before="0" w:after="0"/>
              <w:pStyle w:val="Compact"/>
            </w:pPr>
            <w:r>
              <w:rPr>
                <w:sz w:val="20"/>
                <w:szCs w:val="20"/>
              </w:rPr>
              <w:t xml:space="preserve">6.7782</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1.5441</w:t>
            </w:r>
          </w:p>
        </w:tc>
        <w:tc>
          <w:tcPr>
            <w:tcW w:w="0" w:type="auto"/>
          </w:tcPr>
          <w:p>
            <w:pPr>
              <w:spacing w:line="240" w:lineRule="auto" w:before="0" w:after="0"/>
              <w:pStyle w:val="Compact"/>
            </w:pPr>
            <w:r>
              <w:rPr>
                <w:sz w:val="20"/>
                <w:szCs w:val="20"/>
              </w:rPr>
              <w:t xml:space="preserve">MRO Ka-band 32 GHz Demonstration, DESCANSO/NTRS 20060050766 (3 m HGA, Ka-band TWTA); Mars ~2.5 AU</w:t>
            </w:r>
          </w:p>
        </w:tc>
      </w:tr>
      <w:tr>
        <w:tc>
          <w:tcPr>
            <w:tcW w:w="0" w:type="auto"/>
          </w:tcPr>
          <w:p>
            <w:pPr>
              <w:spacing w:line="240" w:lineRule="auto" w:before="0" w:after="0"/>
              <w:pStyle w:val="Compact"/>
            </w:pPr>
            <w:r>
              <w:rPr>
                <w:sz w:val="20"/>
                <w:szCs w:val="20"/>
              </w:rPr>
              <w:t xml:space="preserve">Pioneer 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2.292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1.2041</w:t>
            </w:r>
          </w:p>
        </w:tc>
        <w:tc>
          <w:tcPr>
            <w:tcW w:w="0" w:type="auto"/>
          </w:tcPr>
          <w:p>
            <w:pPr>
              <w:spacing w:line="240" w:lineRule="auto" w:before="0" w:after="0"/>
              <w:pStyle w:val="Compact"/>
            </w:pPr>
            <w:r>
              <w:rPr>
                <w:sz w:val="20"/>
                <w:szCs w:val="20"/>
              </w:rPr>
              <w:t xml:space="preserve">1.4771</w:t>
            </w:r>
          </w:p>
        </w:tc>
        <w:tc>
          <w:tcPr>
            <w:tcW w:w="0" w:type="auto"/>
          </w:tcPr>
          <w:p>
            <w:pPr>
              <w:spacing w:line="240" w:lineRule="auto" w:before="0" w:after="0"/>
              <w:pStyle w:val="Compact"/>
            </w:pPr>
            <w:r>
              <w:rPr>
                <w:sz w:val="20"/>
                <w:szCs w:val="20"/>
              </w:rPr>
              <w:t xml:space="preserve">0.4378</w:t>
            </w:r>
          </w:p>
        </w:tc>
        <w:tc>
          <w:tcPr>
            <w:tcW w:w="0" w:type="auto"/>
          </w:tcPr>
          <w:p>
            <w:pPr>
              <w:spacing w:line="240" w:lineRule="auto" w:before="0" w:after="0"/>
              <w:pStyle w:val="Compact"/>
            </w:pPr>
            <w:r>
              <w:rPr>
                <w:sz w:val="20"/>
                <w:szCs w:val="20"/>
              </w:rPr>
              <w:t xml:space="preserve">0.9031</w:t>
            </w:r>
          </w:p>
        </w:tc>
        <w:tc>
          <w:tcPr>
            <w:tcW w:w="0" w:type="auto"/>
          </w:tcPr>
          <w:p>
            <w:pPr>
              <w:spacing w:line="240" w:lineRule="auto" w:before="0" w:after="0"/>
              <w:pStyle w:val="Compact"/>
            </w:pPr>
            <w:r>
              <w:rPr>
                <w:sz w:val="20"/>
                <w:szCs w:val="20"/>
              </w:rPr>
              <w:t xml:space="preserve">Pioneer 10 telecom (2.74 m HGA, S-band 8 W; Pioneer Anomaly arXiv gr-qc/0104064); ~30 AU late mission [illustrative 16 bps]</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7900</w:t>
            </w:r>
          </w:p>
        </w:tc>
        <w:tc>
          <w:tcPr>
            <w:tcW w:w="0" w:type="auto"/>
          </w:tcPr>
          <w:p>
            <w:pPr>
              <w:spacing w:line="240" w:lineRule="auto" w:before="0" w:after="0"/>
              <w:pStyle w:val="Compact"/>
            </w:pPr>
            <w:r>
              <w:rPr>
                <w:sz w:val="20"/>
                <w:szCs w:val="20"/>
              </w:rPr>
              <w:t xml:space="preserve">3.8976</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1.1761</w:t>
            </w:r>
          </w:p>
        </w:tc>
        <w:tc>
          <w:tcPr>
            <w:tcW w:w="0" w:type="auto"/>
          </w:tcPr>
          <w:p>
            <w:pPr>
              <w:spacing w:line="240" w:lineRule="auto" w:before="0" w:after="0"/>
              <w:pStyle w:val="Compact"/>
            </w:pPr>
            <w:r>
              <w:rPr>
                <w:sz w:val="20"/>
                <w:szCs w:val="20"/>
              </w:rPr>
              <w:t xml:space="preserve">Stardust telecom (0.6 m HGA, X-band, NASA Stardust press kit); comet Wild 2 ~2.7 AU [illustrative 7.9 kbps]</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5.301</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1.4771</w:t>
            </w:r>
          </w:p>
        </w:tc>
        <w:tc>
          <w:tcPr>
            <w:tcW w:w="0" w:type="auto"/>
          </w:tcPr>
          <w:p>
            <w:pPr>
              <w:spacing w:line="240" w:lineRule="auto" w:before="0" w:after="0"/>
              <w:pStyle w:val="Compact"/>
            </w:pPr>
            <w:r>
              <w:rPr>
                <w:sz w:val="20"/>
                <w:szCs w:val="20"/>
              </w:rPr>
              <w:t xml:space="preserve">Deep Impact telecom (1 m HGA, X-band, NASA Deep Impact press kit); Tempel 1 ~1.4 AU [illustrative 200 kbps]</w:t>
            </w:r>
          </w:p>
        </w:tc>
      </w:tr>
      <w:tr>
        <w:tc>
          <w:tcPr>
            <w:tcW w:w="0" w:type="auto"/>
          </w:tcPr>
          <w:p>
            <w:pPr>
              <w:spacing w:line="240" w:lineRule="auto" w:before="0" w:after="0"/>
              <w:pStyle w:val="Compact"/>
            </w:pPr>
            <w:r>
              <w:rPr>
                <w:sz w:val="20"/>
                <w:szCs w:val="20"/>
              </w:rPr>
              <w:t xml:space="preserve">Hayabusa2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8.41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32000</w:t>
            </w:r>
          </w:p>
        </w:tc>
        <w:tc>
          <w:tcPr>
            <w:tcW w:w="0" w:type="auto"/>
          </w:tcPr>
          <w:p>
            <w:pPr>
              <w:spacing w:line="240" w:lineRule="auto" w:before="0" w:after="0"/>
              <w:pStyle w:val="Compact"/>
            </w:pPr>
            <w:r>
              <w:rPr>
                <w:sz w:val="20"/>
                <w:szCs w:val="20"/>
              </w:rPr>
              <w:t xml:space="preserve">4.5051</w:t>
            </w:r>
          </w:p>
        </w:tc>
        <w:tc>
          <w:tcPr>
            <w:tcW w:w="0" w:type="auto"/>
          </w:tcPr>
          <w:p>
            <w:pPr>
              <w:spacing w:line="240" w:lineRule="auto" w:before="0" w:after="0"/>
              <w:pStyle w:val="Compact"/>
            </w:pPr>
            <w:r>
              <w:rPr>
                <w:sz w:val="20"/>
                <w:szCs w:val="20"/>
              </w:rPr>
              <w:t xml:space="preserve">0.2788</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1.1761</w:t>
            </w:r>
          </w:p>
        </w:tc>
        <w:tc>
          <w:tcPr>
            <w:tcW w:w="0" w:type="auto"/>
          </w:tcPr>
          <w:p>
            <w:pPr>
              <w:spacing w:line="240" w:lineRule="auto" w:before="0" w:after="0"/>
              <w:pStyle w:val="Compact"/>
            </w:pPr>
            <w:r>
              <w:rPr>
                <w:sz w:val="20"/>
                <w:szCs w:val="20"/>
              </w:rPr>
              <w:t xml:space="preserve">Hayabusa2 telecom (1.6 m HGA, X-band, JAXA Hayabusa2 factsheet, supported by DSN 34 m); Ryugu ~1.9 AU [illustrative 32 kbps]</w:t>
            </w:r>
          </w:p>
        </w:tc>
      </w:tr>
      <w:tr>
        <w:tc>
          <w:tcPr>
            <w:tcW w:w="0" w:type="auto"/>
          </w:tcPr>
          <w:p>
            <w:pPr>
              <w:spacing w:line="240" w:lineRule="auto" w:before="0" w:after="0"/>
              <w:pStyle w:val="Compact"/>
            </w:pPr>
            <w:r>
              <w:rPr>
                <w:sz w:val="20"/>
                <w:szCs w:val="20"/>
              </w:rPr>
              <w:t xml:space="preserve">BepiColombo (MPO)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40000</w:t>
            </w:r>
          </w:p>
        </w:tc>
        <w:tc>
          <w:tcPr>
            <w:tcW w:w="0" w:type="auto"/>
          </w:tcPr>
          <w:p>
            <w:pPr>
              <w:spacing w:line="240" w:lineRule="auto" w:before="0" w:after="0"/>
              <w:pStyle w:val="Compact"/>
            </w:pPr>
            <w:r>
              <w:rPr>
                <w:sz w:val="20"/>
                <w:szCs w:val="20"/>
              </w:rPr>
              <w:t xml:space="preserve">4.6021</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BepiColombo MPO telecom (1 m HGA, X-band, ESA BepiColombo factsheet via 35 m); Mercury transfer ~1.4 AU [illustrative 40 kbps]</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167000</w:t>
            </w:r>
          </w:p>
        </w:tc>
        <w:tc>
          <w:tcPr>
            <w:tcW w:w="0" w:type="auto"/>
          </w:tcPr>
          <w:p>
            <w:pPr>
              <w:spacing w:line="240" w:lineRule="auto" w:before="0" w:after="0"/>
              <w:pStyle w:val="Compact"/>
            </w:pPr>
            <w:r>
              <w:rPr>
                <w:sz w:val="20"/>
                <w:szCs w:val="20"/>
              </w:rPr>
              <w:t xml:space="preserve">5.2227</w:t>
            </w:r>
          </w:p>
        </w:tc>
        <w:tc>
          <w:tcPr>
            <w:tcW w:w="0" w:type="auto"/>
          </w:tcPr>
          <w:p>
            <w:pPr>
              <w:spacing w:line="240" w:lineRule="auto" w:before="0" w:after="0"/>
              <w:pStyle w:val="Compact"/>
            </w:pPr>
            <w:r>
              <w:rPr>
                <w:sz w:val="20"/>
                <w:szCs w:val="20"/>
              </w:rPr>
              <w:t xml:space="preserve">-0.1549</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Parker Solar Probe telecom (0.6 m HGA, X-band, JHUAPL PSP telecom); ~0.7 AU [illustrative 167 kbps Ka/X downlink]</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log10_rate</w:t>
            </w:r>
          </w:p>
        </w:tc>
        <w:tc>
          <w:tcPr>
            <w:tcW w:w="0" w:type="auto"/>
          </w:tcPr>
          <w:p>
            <w:pPr>
              <w:spacing w:line="240" w:lineRule="auto" w:before="0" w:after="0"/>
              <w:pStyle w:val="Compact"/>
            </w:pPr>
            <w:r>
              <w:rPr>
                <w:sz w:val="20"/>
                <w:szCs w:val="20"/>
              </w:rPr>
              <w:t xml:space="preserve">Base-10 logarithm of the supported downlink data rate in bits per second (dependent variable)</w:t>
            </w:r>
          </w:p>
        </w:tc>
        <w:tc>
          <w:tcPr>
            <w:tcW w:w="0" w:type="auto"/>
          </w:tcPr>
          <w:p>
            <w:pPr>
              <w:spacing w:line="240" w:lineRule="auto" w:before="0" w:after="0"/>
              <w:pStyle w:val="Compact"/>
            </w:pPr>
            <w:r>
              <w:rPr>
                <w:sz w:val="20"/>
                <w:szCs w:val="20"/>
              </w:rPr>
              <w:t xml:space="preserve">Mission telecom design summaries (DESCANSO), press kits, and agency factsheets cited per row in data.csv</w:t>
            </w:r>
          </w:p>
        </w:tc>
      </w:tr>
      <w:tr>
        <w:tc>
          <w:tcPr>
            <w:tcW w:w="0" w:type="auto"/>
          </w:tcPr>
          <w:p>
            <w:pPr>
              <w:spacing w:line="240" w:lineRule="auto" w:before="0" w:after="0"/>
              <w:pStyle w:val="Compact"/>
            </w:pPr>
            <w:r>
              <w:rPr>
                <w:sz w:val="20"/>
                <w:szCs w:val="20"/>
              </w:rPr>
              <w:t xml:space="preserve">log10_range_au</w:t>
            </w:r>
          </w:p>
        </w:tc>
        <w:tc>
          <w:tcPr>
            <w:tcW w:w="0" w:type="auto"/>
          </w:tcPr>
          <w:p>
            <w:pPr>
              <w:spacing w:line="240" w:lineRule="auto" w:before="0" w:after="0"/>
              <w:pStyle w:val="Compact"/>
            </w:pPr>
            <w:r>
              <w:rPr>
                <w:sz w:val="20"/>
                <w:szCs w:val="20"/>
              </w:rPr>
              <w:t xml:space="preserve">Base-10 logarithm of the representative Earth-spacecraft range in astronomical units; proxies the inverse-square space-loss term of the link equation</w:t>
            </w:r>
          </w:p>
        </w:tc>
        <w:tc>
          <w:tcPr>
            <w:tcW w:w="0" w:type="auto"/>
          </w:tcPr>
          <w:p>
            <w:pPr>
              <w:spacing w:line="240" w:lineRule="auto" w:before="0" w:after="0"/>
              <w:pStyle w:val="Compact"/>
            </w:pPr>
            <w:r>
              <w:rPr>
                <w:sz w:val="20"/>
                <w:szCs w:val="20"/>
              </w:rPr>
              <w:t xml:space="preserve">Mission ephemeris / published operating distances cited per row</w:t>
            </w:r>
          </w:p>
        </w:tc>
      </w:tr>
      <w:tr>
        <w:tc>
          <w:tcPr>
            <w:tcW w:w="0" w:type="auto"/>
          </w:tcPr>
          <w:p>
            <w:pPr>
              <w:spacing w:line="240" w:lineRule="auto" w:before="0" w:after="0"/>
              <w:pStyle w:val="Compact"/>
            </w:pPr>
            <w:r>
              <w:rPr>
                <w:sz w:val="20"/>
                <w:szCs w:val="20"/>
              </w:rPr>
              <w:t xml:space="preserve">log10_hga</w:t>
            </w:r>
          </w:p>
        </w:tc>
        <w:tc>
          <w:tcPr>
            <w:tcW w:w="0" w:type="auto"/>
          </w:tcPr>
          <w:p>
            <w:pPr>
              <w:spacing w:line="240" w:lineRule="auto" w:before="0" w:after="0"/>
              <w:pStyle w:val="Compact"/>
            </w:pPr>
            <w:r>
              <w:rPr>
                <w:sz w:val="20"/>
                <w:szCs w:val="20"/>
              </w:rPr>
              <w:t xml:space="preserve">Base-10 logarithm of the spacecraft high-gain-antenna diameter in metres; antenna gain scales with aperture area, so this enters the link equation as a power-law gain term</w:t>
            </w:r>
          </w:p>
        </w:tc>
        <w:tc>
          <w:tcPr>
            <w:tcW w:w="0" w:type="auto"/>
          </w:tcPr>
          <w:p>
            <w:pPr>
              <w:spacing w:line="240" w:lineRule="auto" w:before="0" w:after="0"/>
              <w:pStyle w:val="Compact"/>
            </w:pPr>
            <w:r>
              <w:rPr>
                <w:sz w:val="20"/>
                <w:szCs w:val="20"/>
              </w:rPr>
              <w:t xml:space="preserve">Mission telecom design summaries and spacecraft factsheets cited per row</w:t>
            </w:r>
          </w:p>
        </w:tc>
      </w:tr>
      <w:tr>
        <w:tc>
          <w:tcPr>
            <w:tcW w:w="0" w:type="auto"/>
          </w:tcPr>
          <w:p>
            <w:pPr>
              <w:spacing w:line="240" w:lineRule="auto" w:before="0" w:after="0"/>
              <w:pStyle w:val="Compact"/>
            </w:pPr>
            <w:r>
              <w:rPr>
                <w:sz w:val="20"/>
                <w:szCs w:val="20"/>
              </w:rPr>
              <w:t xml:space="preserve">log10_txpwr</w:t>
            </w:r>
          </w:p>
        </w:tc>
        <w:tc>
          <w:tcPr>
            <w:tcW w:w="0" w:type="auto"/>
          </w:tcPr>
          <w:p>
            <w:pPr>
              <w:spacing w:line="240" w:lineRule="auto" w:before="0" w:after="0"/>
              <w:pStyle w:val="Compact"/>
            </w:pPr>
            <w:r>
              <w:rPr>
                <w:sz w:val="20"/>
                <w:szCs w:val="20"/>
              </w:rPr>
              <w:t xml:space="preserve">Base-10 logarithm of the spacecraft downlink transmitter RF output power in watts (TWTA / SSPA)</w:t>
            </w:r>
          </w:p>
        </w:tc>
        <w:tc>
          <w:tcPr>
            <w:tcW w:w="0" w:type="auto"/>
          </w:tcPr>
          <w:p>
            <w:pPr>
              <w:spacing w:line="240" w:lineRule="auto" w:before="0" w:after="0"/>
              <w:pStyle w:val="Compact"/>
            </w:pPr>
            <w:r>
              <w:rPr>
                <w:sz w:val="20"/>
                <w:szCs w:val="20"/>
              </w:rPr>
              <w:t xml:space="preserve">Mission telecom design summaries cited per row</w:t>
            </w:r>
          </w:p>
        </w:tc>
      </w:tr>
      <w:tr>
        <w:tc>
          <w:tcPr>
            <w:tcW w:w="0" w:type="auto"/>
          </w:tcPr>
          <w:p>
            <w:pPr>
              <w:spacing w:line="240" w:lineRule="auto" w:before="0" w:after="0"/>
              <w:pStyle w:val="Compact"/>
            </w:pPr>
            <w:r>
              <w:rPr>
                <w:sz w:val="20"/>
                <w:szCs w:val="20"/>
              </w:rPr>
              <w:t xml:space="preserve">band_kaband</w:t>
            </w:r>
          </w:p>
        </w:tc>
        <w:tc>
          <w:tcPr>
            <w:tcW w:w="0" w:type="auto"/>
          </w:tcPr>
          <w:p>
            <w:pPr>
              <w:spacing w:line="240" w:lineRule="auto" w:before="0" w:after="0"/>
              <w:pStyle w:val="Compact"/>
            </w:pPr>
            <w:r>
              <w:rPr>
                <w:sz w:val="20"/>
                <w:szCs w:val="20"/>
              </w:rPr>
              <w:t xml:space="preserve">Indicator equal to 1 when the downlink operates in Ka-band (about 32 GHz) and 0 for S- or X-band; captures the fixed frequency-dependent gain and bandwidth advantage</w:t>
            </w:r>
          </w:p>
        </w:tc>
        <w:tc>
          <w:tcPr>
            <w:tcW w:w="0" w:type="auto"/>
          </w:tcPr>
          <w:p>
            <w:pPr>
              <w:spacing w:line="240" w:lineRule="auto" w:before="0" w:after="0"/>
              <w:pStyle w:val="Compact"/>
            </w:pPr>
            <w:r>
              <w:rPr>
                <w:sz w:val="20"/>
                <w:szCs w:val="20"/>
              </w:rPr>
              <w:t xml:space="preserve">Mission telecom design summaries cited per row</w:t>
            </w:r>
          </w:p>
        </w:tc>
      </w:tr>
      <w:tr>
        <w:tc>
          <w:tcPr>
            <w:tcW w:w="0" w:type="auto"/>
          </w:tcPr>
          <w:p>
            <w:pPr>
              <w:spacing w:line="240" w:lineRule="auto" w:before="0" w:after="0"/>
              <w:pStyle w:val="Compact"/>
            </w:pPr>
            <w:r>
              <w:rPr>
                <w:sz w:val="20"/>
                <w:szCs w:val="20"/>
              </w:rPr>
              <w:t xml:space="preserve">dsn_aperture_m</w:t>
            </w:r>
          </w:p>
        </w:tc>
        <w:tc>
          <w:tcPr>
            <w:tcW w:w="0" w:type="auto"/>
          </w:tcPr>
          <w:p>
            <w:pPr>
              <w:spacing w:line="240" w:lineRule="auto" w:before="0" w:after="0"/>
              <w:pStyle w:val="Compact"/>
            </w:pPr>
            <w:r>
              <w:rPr>
                <w:sz w:val="20"/>
                <w:szCs w:val="20"/>
              </w:rPr>
              <w:t xml:space="preserve">Diameter in metres of the Deep Space Network (or partner agency) ground receiving aperture used for the link (34, 35, 64, or 70 m)</w:t>
            </w:r>
          </w:p>
        </w:tc>
        <w:tc>
          <w:tcPr>
            <w:tcW w:w="0" w:type="auto"/>
          </w:tcPr>
          <w:p>
            <w:pPr>
              <w:spacing w:line="240" w:lineRule="auto" w:before="0" w:after="0"/>
              <w:pStyle w:val="Compact"/>
            </w:pPr>
            <w:r>
              <w:rPr>
                <w:sz w:val="20"/>
                <w:szCs w:val="20"/>
              </w:rPr>
              <w:t xml:space="preserve">DSN Telecommunications Link Design Handbook 810-005 and mission operations records cited per row</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4.5182</w:t>
            </w:r>
          </w:p>
        </w:tc>
        <w:tc>
          <w:tcPr>
            <w:tcW w:w="0" w:type="auto"/>
          </w:tcPr>
          <w:p>
            <w:pPr>
              <w:spacing w:line="240" w:lineRule="auto" w:before="0" w:after="0"/>
              <w:pStyle w:val="Compact"/>
            </w:pPr>
            <w:r>
              <w:rPr>
                <w:sz w:val="20"/>
                <w:szCs w:val="20"/>
              </w:rPr>
              <w:t xml:space="preserve">1.3432</w:t>
            </w:r>
          </w:p>
        </w:tc>
        <w:tc>
          <w:tcPr>
            <w:tcW w:w="0" w:type="auto"/>
          </w:tcPr>
          <w:p>
            <w:pPr>
              <w:spacing w:line="240" w:lineRule="auto" w:before="0" w:after="0"/>
              <w:pStyle w:val="Compact"/>
            </w:pPr>
            <w:r>
              <w:rPr>
                <w:sz w:val="20"/>
                <w:szCs w:val="20"/>
              </w:rPr>
              <w:t xml:space="preserve">3.3639</w:t>
            </w:r>
          </w:p>
        </w:tc>
        <w:tc>
          <w:tcPr>
            <w:tcW w:w="0" w:type="auto"/>
          </w:tcPr>
          <w:p>
            <w:pPr>
              <w:spacing w:line="240" w:lineRule="auto" w:before="0" w:after="0"/>
              <w:pStyle w:val="Compact"/>
            </w:pPr>
            <w:r>
              <w:rPr>
                <w:sz w:val="20"/>
                <w:szCs w:val="20"/>
              </w:rPr>
              <w:t xml:space="preserve">0.0007685</w:t>
            </w:r>
          </w:p>
        </w:tc>
        <w:tc>
          <w:tcPr>
            <w:tcW w:w="0" w:type="auto"/>
          </w:tcPr>
          <w:p>
            <w:pPr>
              <w:spacing w:line="240" w:lineRule="auto" w:before="0" w:after="0"/>
              <w:pStyle w:val="Compact"/>
            </w:pPr>
            <w:r>
              <w:rPr>
                <w:sz w:val="20"/>
                <w:szCs w:val="20"/>
              </w:rPr>
              <w:t xml:space="preserve">[1.8857, 7.1508]</w:t>
            </w:r>
          </w:p>
        </w:tc>
      </w:tr>
      <w:tr>
        <w:tc>
          <w:tcPr>
            <w:tcW w:w="0" w:type="auto"/>
          </w:tcPr>
          <w:p>
            <w:pPr>
              <w:spacing w:line="240" w:lineRule="auto" w:before="0" w:after="0"/>
              <w:pStyle w:val="Compact"/>
            </w:pPr>
            <w:r>
              <w:rPr>
                <w:sz w:val="20"/>
                <w:szCs w:val="20"/>
              </w:rPr>
              <w:t xml:space="preserve">log10_range_au</w:t>
            </w:r>
          </w:p>
        </w:tc>
        <w:tc>
          <w:tcPr>
            <w:tcW w:w="0" w:type="auto"/>
          </w:tcPr>
          <w:p>
            <w:pPr>
              <w:spacing w:line="240" w:lineRule="auto" w:before="0" w:after="0"/>
              <w:pStyle w:val="Compact"/>
            </w:pPr>
            <w:r>
              <w:rPr>
                <w:sz w:val="20"/>
                <w:szCs w:val="20"/>
              </w:rPr>
              <w:t xml:space="preserve">-2.1368</w:t>
            </w:r>
          </w:p>
        </w:tc>
        <w:tc>
          <w:tcPr>
            <w:tcW w:w="0" w:type="auto"/>
          </w:tcPr>
          <w:p>
            <w:pPr>
              <w:spacing w:line="240" w:lineRule="auto" w:before="0" w:after="0"/>
              <w:pStyle w:val="Compact"/>
            </w:pPr>
            <w:r>
              <w:rPr>
                <w:sz w:val="20"/>
                <w:szCs w:val="20"/>
              </w:rPr>
              <w:t xml:space="preserve">0.3487</w:t>
            </w:r>
          </w:p>
        </w:tc>
        <w:tc>
          <w:tcPr>
            <w:tcW w:w="0" w:type="auto"/>
          </w:tcPr>
          <w:p>
            <w:pPr>
              <w:spacing w:line="240" w:lineRule="auto" w:before="0" w:after="0"/>
              <w:pStyle w:val="Compact"/>
            </w:pPr>
            <w:r>
              <w:rPr>
                <w:sz w:val="20"/>
                <w:szCs w:val="20"/>
              </w:rPr>
              <w:t xml:space="preserve">-6.1278</w:t>
            </w:r>
          </w:p>
        </w:tc>
        <w:tc>
          <w:tcPr>
            <w:tcW w:w="0" w:type="auto"/>
          </w:tcPr>
          <w:p>
            <w:pPr>
              <w:spacing w:line="240" w:lineRule="auto" w:before="0" w:after="0"/>
              <w:pStyle w:val="Compact"/>
            </w:pPr>
            <w:r>
              <w:rPr>
                <w:sz w:val="20"/>
                <w:szCs w:val="20"/>
              </w:rPr>
              <w:t xml:space="preserve">8.91e-10</w:t>
            </w:r>
          </w:p>
        </w:tc>
        <w:tc>
          <w:tcPr>
            <w:tcW w:w="0" w:type="auto"/>
          </w:tcPr>
          <w:p>
            <w:pPr>
              <w:spacing w:line="240" w:lineRule="auto" w:before="0" w:after="0"/>
              <w:pStyle w:val="Compact"/>
            </w:pPr>
            <w:r>
              <w:rPr>
                <w:sz w:val="20"/>
                <w:szCs w:val="20"/>
              </w:rPr>
              <w:t xml:space="preserve">[-2.8202, -1.4533]</w:t>
            </w:r>
          </w:p>
        </w:tc>
      </w:tr>
      <w:tr>
        <w:tc>
          <w:tcPr>
            <w:tcW w:w="0" w:type="auto"/>
          </w:tcPr>
          <w:p>
            <w:pPr>
              <w:spacing w:line="240" w:lineRule="auto" w:before="0" w:after="0"/>
              <w:pStyle w:val="Compact"/>
            </w:pPr>
            <w:r>
              <w:rPr>
                <w:sz w:val="20"/>
                <w:szCs w:val="20"/>
              </w:rPr>
              <w:t xml:space="preserve">log10_hga</w:t>
            </w:r>
          </w:p>
        </w:tc>
        <w:tc>
          <w:tcPr>
            <w:tcW w:w="0" w:type="auto"/>
          </w:tcPr>
          <w:p>
            <w:pPr>
              <w:spacing w:line="240" w:lineRule="auto" w:before="0" w:after="0"/>
              <w:pStyle w:val="Compact"/>
            </w:pPr>
            <w:r>
              <w:rPr>
                <w:sz w:val="20"/>
                <w:szCs w:val="20"/>
              </w:rPr>
              <w:t xml:space="preserve">2.4234</w:t>
            </w:r>
          </w:p>
        </w:tc>
        <w:tc>
          <w:tcPr>
            <w:tcW w:w="0" w:type="auto"/>
          </w:tcPr>
          <w:p>
            <w:pPr>
              <w:spacing w:line="240" w:lineRule="auto" w:before="0" w:after="0"/>
              <w:pStyle w:val="Compact"/>
            </w:pPr>
            <w:r>
              <w:rPr>
                <w:sz w:val="20"/>
                <w:szCs w:val="20"/>
              </w:rPr>
              <w:t xml:space="preserve">0.7174</w:t>
            </w:r>
          </w:p>
        </w:tc>
        <w:tc>
          <w:tcPr>
            <w:tcW w:w="0" w:type="auto"/>
          </w:tcPr>
          <w:p>
            <w:pPr>
              <w:spacing w:line="240" w:lineRule="auto" w:before="0" w:after="0"/>
              <w:pStyle w:val="Compact"/>
            </w:pPr>
            <w:r>
              <w:rPr>
                <w:sz w:val="20"/>
                <w:szCs w:val="20"/>
              </w:rPr>
              <w:t xml:space="preserve">3.3781</w:t>
            </w:r>
          </w:p>
        </w:tc>
        <w:tc>
          <w:tcPr>
            <w:tcW w:w="0" w:type="auto"/>
          </w:tcPr>
          <w:p>
            <w:pPr>
              <w:spacing w:line="240" w:lineRule="auto" w:before="0" w:after="0"/>
              <w:pStyle w:val="Compact"/>
            </w:pPr>
            <w:r>
              <w:rPr>
                <w:sz w:val="20"/>
                <w:szCs w:val="20"/>
              </w:rPr>
              <w:t xml:space="preserve">0.00073</w:t>
            </w:r>
          </w:p>
        </w:tc>
        <w:tc>
          <w:tcPr>
            <w:tcW w:w="0" w:type="auto"/>
          </w:tcPr>
          <w:p>
            <w:pPr>
              <w:spacing w:line="240" w:lineRule="auto" w:before="0" w:after="0"/>
              <w:pStyle w:val="Compact"/>
            </w:pPr>
            <w:r>
              <w:rPr>
                <w:sz w:val="20"/>
                <w:szCs w:val="20"/>
              </w:rPr>
              <w:t xml:space="preserve">[1.0173, 3.8295]</w:t>
            </w:r>
          </w:p>
        </w:tc>
      </w:tr>
      <w:tr>
        <w:tc>
          <w:tcPr>
            <w:tcW w:w="0" w:type="auto"/>
          </w:tcPr>
          <w:p>
            <w:pPr>
              <w:spacing w:line="240" w:lineRule="auto" w:before="0" w:after="0"/>
              <w:pStyle w:val="Compact"/>
            </w:pPr>
            <w:r>
              <w:rPr>
                <w:sz w:val="20"/>
                <w:szCs w:val="20"/>
              </w:rPr>
              <w:t xml:space="preserve">log10_txpwr</w:t>
            </w:r>
          </w:p>
        </w:tc>
        <w:tc>
          <w:tcPr>
            <w:tcW w:w="0" w:type="auto"/>
          </w:tcPr>
          <w:p>
            <w:pPr>
              <w:spacing w:line="240" w:lineRule="auto" w:before="0" w:after="0"/>
              <w:pStyle w:val="Compact"/>
            </w:pPr>
            <w:r>
              <w:rPr>
                <w:sz w:val="20"/>
                <w:szCs w:val="20"/>
              </w:rPr>
              <w:t xml:space="preserve">0.8411</w:t>
            </w:r>
          </w:p>
        </w:tc>
        <w:tc>
          <w:tcPr>
            <w:tcW w:w="0" w:type="auto"/>
          </w:tcPr>
          <w:p>
            <w:pPr>
              <w:spacing w:line="240" w:lineRule="auto" w:before="0" w:after="0"/>
              <w:pStyle w:val="Compact"/>
            </w:pPr>
            <w:r>
              <w:rPr>
                <w:sz w:val="20"/>
                <w:szCs w:val="20"/>
              </w:rPr>
              <w:t xml:space="preserve">0.5357</w:t>
            </w:r>
          </w:p>
        </w:tc>
        <w:tc>
          <w:tcPr>
            <w:tcW w:w="0" w:type="auto"/>
          </w:tcPr>
          <w:p>
            <w:pPr>
              <w:spacing w:line="240" w:lineRule="auto" w:before="0" w:after="0"/>
              <w:pStyle w:val="Compact"/>
            </w:pPr>
            <w:r>
              <w:rPr>
                <w:sz w:val="20"/>
                <w:szCs w:val="20"/>
              </w:rPr>
              <w:t xml:space="preserve">1.5703</w:t>
            </w:r>
          </w:p>
        </w:tc>
        <w:tc>
          <w:tcPr>
            <w:tcW w:w="0" w:type="auto"/>
          </w:tcPr>
          <w:p>
            <w:pPr>
              <w:spacing w:line="240" w:lineRule="auto" w:before="0" w:after="0"/>
              <w:pStyle w:val="Compact"/>
            </w:pPr>
            <w:r>
              <w:rPr>
                <w:sz w:val="20"/>
                <w:szCs w:val="20"/>
              </w:rPr>
              <w:t xml:space="preserve">0.1164</w:t>
            </w:r>
          </w:p>
        </w:tc>
        <w:tc>
          <w:tcPr>
            <w:tcW w:w="0" w:type="auto"/>
          </w:tcPr>
          <w:p>
            <w:pPr>
              <w:spacing w:line="240" w:lineRule="auto" w:before="0" w:after="0"/>
              <w:pStyle w:val="Compact"/>
            </w:pPr>
            <w:r>
              <w:rPr>
                <w:sz w:val="20"/>
                <w:szCs w:val="20"/>
              </w:rPr>
              <w:t xml:space="preserve">[-0.2088, 1.8911]</w:t>
            </w:r>
          </w:p>
        </w:tc>
      </w:tr>
      <w:tr>
        <w:tc>
          <w:tcPr>
            <w:tcW w:w="0" w:type="auto"/>
          </w:tcPr>
          <w:p>
            <w:pPr>
              <w:spacing w:line="240" w:lineRule="auto" w:before="0" w:after="0"/>
              <w:pStyle w:val="Compact"/>
            </w:pPr>
            <w:r>
              <w:rPr>
                <w:sz w:val="20"/>
                <w:szCs w:val="20"/>
              </w:rPr>
              <w:t xml:space="preserve">band_kaband</w:t>
            </w:r>
          </w:p>
        </w:tc>
        <w:tc>
          <w:tcPr>
            <w:tcW w:w="0" w:type="auto"/>
          </w:tcPr>
          <w:p>
            <w:pPr>
              <w:spacing w:line="240" w:lineRule="auto" w:before="0" w:after="0"/>
              <w:pStyle w:val="Compact"/>
            </w:pPr>
            <w:r>
              <w:rPr>
                <w:sz w:val="20"/>
                <w:szCs w:val="20"/>
              </w:rPr>
              <w:t xml:space="preserve">0.9692</w:t>
            </w:r>
          </w:p>
        </w:tc>
        <w:tc>
          <w:tcPr>
            <w:tcW w:w="0" w:type="auto"/>
          </w:tcPr>
          <w:p>
            <w:pPr>
              <w:spacing w:line="240" w:lineRule="auto" w:before="0" w:after="0"/>
              <w:pStyle w:val="Compact"/>
            </w:pPr>
            <w:r>
              <w:rPr>
                <w:sz w:val="20"/>
                <w:szCs w:val="20"/>
              </w:rPr>
              <w:t xml:space="preserve">0.2974</w:t>
            </w:r>
          </w:p>
        </w:tc>
        <w:tc>
          <w:tcPr>
            <w:tcW w:w="0" w:type="auto"/>
          </w:tcPr>
          <w:p>
            <w:pPr>
              <w:spacing w:line="240" w:lineRule="auto" w:before="0" w:after="0"/>
              <w:pStyle w:val="Compact"/>
            </w:pPr>
            <w:r>
              <w:rPr>
                <w:sz w:val="20"/>
                <w:szCs w:val="20"/>
              </w:rPr>
              <w:t xml:space="preserve">3.2587</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[0.3863, 1.5521]</w:t>
            </w:r>
          </w:p>
        </w:tc>
      </w:tr>
      <w:tr>
        <w:tc>
          <w:tcPr>
            <w:tcW w:w="0" w:type="auto"/>
          </w:tcPr>
          <w:p>
            <w:pPr>
              <w:spacing w:line="240" w:lineRule="auto" w:before="0" w:after="0"/>
              <w:pStyle w:val="Compact"/>
            </w:pPr>
            <w:r>
              <w:rPr>
                <w:sz w:val="20"/>
                <w:szCs w:val="20"/>
              </w:rPr>
              <w:t xml:space="preserve">dsn_aperture_m</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0.0223</w:t>
            </w:r>
          </w:p>
        </w:tc>
        <w:tc>
          <w:tcPr>
            <w:tcW w:w="0" w:type="auto"/>
          </w:tcPr>
          <w:p>
            <w:pPr>
              <w:spacing w:line="240" w:lineRule="auto" w:before="0" w:after="0"/>
              <w:pStyle w:val="Compact"/>
            </w:pPr>
            <w:r>
              <w:rPr>
                <w:sz w:val="20"/>
                <w:szCs w:val="20"/>
              </w:rPr>
              <w:t xml:space="preserve">-0.415</w:t>
            </w:r>
          </w:p>
        </w:tc>
        <w:tc>
          <w:tcPr>
            <w:tcW w:w="0" w:type="auto"/>
          </w:tcPr>
          <w:p>
            <w:pPr>
              <w:spacing w:line="240" w:lineRule="auto" w:before="0" w:after="0"/>
              <w:pStyle w:val="Compact"/>
            </w:pPr>
            <w:r>
              <w:rPr>
                <w:sz w:val="20"/>
                <w:szCs w:val="20"/>
              </w:rPr>
              <w:t xml:space="preserve">0.6782</w:t>
            </w:r>
          </w:p>
        </w:tc>
        <w:tc>
          <w:tcPr>
            <w:tcW w:w="0" w:type="auto"/>
          </w:tcPr>
          <w:p>
            <w:pPr>
              <w:spacing w:line="240" w:lineRule="auto" w:before="0" w:after="0"/>
              <w:pStyle w:val="Compact"/>
            </w:pPr>
            <w:r>
              <w:rPr>
                <w:sz w:val="20"/>
                <w:szCs w:val="20"/>
              </w:rPr>
              <w:t xml:space="preserve">[-0.0529, 0.0344]</w:t>
            </w:r>
          </w:p>
        </w:tc>
      </w:tr>
    </w:tbl>
    <w:p>
      <w:pPr>
        <w:pStyle w:val="BodyText"/>
      </w:pPr>
      <w:r>
        <w:t xml:space="preserve">Fit: N = 26 R2 = 0.8486 R2_adj = 0.8107 F = 105.6105 F_p = 1.13e-13</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2026-06-22T20:32:08Z</dcterms:created>
  <dcterms:modified xsi:type="dcterms:W3CDTF">2026-06-22T20:32:08Z</dcterms:modified>
</cp:coreProperties>
</file>

<file path=docProps/custom.xml><?xml version="1.0" encoding="utf-8"?>
<Properties xmlns="http://schemas.openxmlformats.org/officeDocument/2006/custom-properties" xmlns:vt="http://schemas.openxmlformats.org/officeDocument/2006/docPropsVTypes"/>
</file>