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LINK-BUDGET MARGIN AND DOWNLINK PERFORMANCE: AN ECONOMETRIC REGRESSION OF ACHIEVED DATA RETURN ON ENGINEERED MARGIN</w:t>
      </w:r>
    </w:p>
    <w:p>
      <w:pPr>
        <w:jc w:val="center"/>
      </w:pPr>
    </w:p>
    <w:p>
      <w:pPr>
        <w:jc w:val="center"/>
      </w:pPr>
      <w:r>
        <w:rPr>
          <w:rFonts w:ascii="Times New Roman" w:hAnsi="Times New Roman"/>
          <w:sz w:val="24"/>
        </w:rPr>
        <w:t>by</w:t>
      </w:r>
    </w:p>
    <w:p>
      <w:pPr>
        <w:jc w:val="center"/>
      </w:pPr>
      <w:r>
        <w:rPr>
          <w:rFonts w:ascii="Times New Roman" w:hAnsi="Times New Roman"/>
          <w:b/>
          <w:sz w:val="28"/>
        </w:rPr>
        <w:t>Mira Vargas</w:t>
      </w:r>
    </w:p>
    <w:p>
      <w:pPr>
        <w:jc w:val="center"/>
      </w:pPr>
      <w:r>
        <w:rPr>
          <w:rFonts w:ascii="Times New Roman" w:hAnsi="Times New Roman"/>
          <w:sz w:val="24"/>
        </w:rPr>
        <w:t>1B-SCN-031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decibel-as-a-decision-variable"/>
    <w:p>
      <w:pPr>
        <w:pStyle w:val="Heading2"/>
        <w:spacing w:line="480" w:lineRule="auto"/>
      </w:pPr>
      <w:r>
        <w:t xml:space="preserve">1.1 The Decibel as a Decision Variable</w:t>
      </w:r>
    </w:p>
    <w:p>
      <w:pPr>
        <w:pStyle w:val="FirstParagraph"/>
        <w:spacing w:line="480" w:lineRule="auto"/>
      </w:pPr>
      <w:r>
        <w:t xml:space="preserve">Every bit a spacecraft returns to Earth is purchased in advance, at design time, in the currency of decibels. The instrument that prices that purchase is the link budget: a ledger that sums transmitted power, the gains of the spacecraft and ground antennas, the free-space path loss that grows with the square of distance, the atmospheric and system losses incurred along the way, and the noise of the receiving chain, and that resolves to a residual quantity called margin</w:t>
      </w:r>
      <w:r>
        <w:t xml:space="preserve"> </w:t>
      </w:r>
      <w:hyperlink w:anchor="ref-9">
        <w:r>
          <w:rPr>
            <w:rStyle w:val="Hyperlink"/>
          </w:rPr>
          <w:t xml:space="preserve">[9]</w:t>
        </w:r>
      </w:hyperlink>
      <w:r>
        <w:t xml:space="preserve">. Margin is the difference, in decibels, between the signal the receiver actually presents and the threshold it needs to close the link at a chosen rate. When margin is positive the downlink carries telemetry; when it erodes, mission planners step the rate down until the link closes again. The physics sets the ceiling, not the operator. The achieved data rate is therefore not a free operational choice but a quantity dictated by hardware, geometry, and the channel the mission encounters</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p>
    <w:p>
      <w:pPr>
        <w:pStyle w:val="BodyText"/>
        <w:spacing w:line="480" w:lineRule="auto"/>
        <w:ind w:firstLine="720"/>
      </w:pPr>
      <w:r>
        <w:t xml:space="preserve">The decibel of margin is thus a decision variable. It is an expensive one. Margin is bought with aperture, mass, transmitter power, ground-station time, and coding gain, each of which trades against other mission capability. A spacecraft designer who books generous margin sacrifices reflector area, amplifier output, or payload mass that could have funded science. A designer who books thin margin returns less data than the design rate whenever the channel degrades below the nominal case the budget assumed. The discipline that reconciles these pressures is mature in its physics and codified in standing practice. The Jet Propulsion Laboratory’s Deep Space Network Telecommunications Link Design Handbook, document 810-005, specifies the conventions by which margin is computed for S-, X-, and Ka-band deep-space links</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and the DESCANSO design and performance summaries record, mission by mission, how those conventions were applied to the Mars Reconnaissance Orbiter</w:t>
      </w:r>
      <w:r>
        <w:t xml:space="preserve"> </w:t>
      </w:r>
      <w:hyperlink w:anchor="ref-11">
        <w:r>
          <w:rPr>
            <w:rStyle w:val="Hyperlink"/>
          </w:rPr>
          <w:t xml:space="preserve">[11]</w:t>
        </w:r>
      </w:hyperlink>
      <w:r>
        <w:t xml:space="preserve">,</w:t>
      </w:r>
      <w:r>
        <w:t xml:space="preserve"> </w:t>
      </w:r>
      <w:hyperlink w:anchor="ref-22">
        <w:r>
          <w:rPr>
            <w:rStyle w:val="Hyperlink"/>
          </w:rPr>
          <w:t xml:space="preserve">[22]</w:t>
        </w:r>
      </w:hyperlink>
      <w:r>
        <w:t xml:space="preserve">, Cassini</w:t>
      </w:r>
      <w:r>
        <w:t xml:space="preserve"> </w:t>
      </w:r>
      <w:hyperlink w:anchor="ref-12">
        <w:r>
          <w:rPr>
            <w:rStyle w:val="Hyperlink"/>
          </w:rPr>
          <w:t xml:space="preserve">[12]</w:t>
        </w:r>
      </w:hyperlink>
      <w:r>
        <w:t xml:space="preserve">,</w:t>
      </w:r>
      <w:r>
        <w:t xml:space="preserve"> </w:t>
      </w:r>
      <w:hyperlink w:anchor="ref-24">
        <w:r>
          <w:rPr>
            <w:rStyle w:val="Hyperlink"/>
          </w:rPr>
          <w:t xml:space="preserve">[24]</w:t>
        </w:r>
      </w:hyperlink>
      <w:r>
        <w:t xml:space="preserve">, Juno</w:t>
      </w:r>
      <w:r>
        <w:t xml:space="preserve"> </w:t>
      </w:r>
      <w:hyperlink w:anchor="ref-13">
        <w:r>
          <w:rPr>
            <w:rStyle w:val="Hyperlink"/>
          </w:rPr>
          <w:t xml:space="preserve">[13]</w:t>
        </w:r>
      </w:hyperlink>
      <w:r>
        <w:t xml:space="preserve">,</w:t>
      </w:r>
      <w:r>
        <w:t xml:space="preserve"> </w:t>
      </w:r>
      <w:hyperlink w:anchor="ref-23">
        <w:r>
          <w:rPr>
            <w:rStyle w:val="Hyperlink"/>
          </w:rPr>
          <w:t xml:space="preserve">[23]</w:t>
        </w:r>
      </w:hyperlink>
      <w:r>
        <w:t xml:space="preserve">, the Voyagers</w:t>
      </w:r>
      <w:r>
        <w:t xml:space="preserve"> </w:t>
      </w:r>
      <w:hyperlink w:anchor="ref-14">
        <w:r>
          <w:rPr>
            <w:rStyle w:val="Hyperlink"/>
          </w:rPr>
          <w:t xml:space="preserve">[14]</w:t>
        </w:r>
      </w:hyperlink>
      <w:r>
        <w:t xml:space="preserve">, and Galileo</w:t>
      </w:r>
      <w:r>
        <w:t xml:space="preserve"> </w:t>
      </w:r>
      <w:hyperlink w:anchor="ref-20">
        <w:r>
          <w:rPr>
            <w:rStyle w:val="Hyperlink"/>
          </w:rPr>
          <w:t xml:space="preserve">[20]</w:t>
        </w:r>
      </w:hyperlink>
      <w:r>
        <w:t xml:space="preserve">. The engineering is settled at the level of a single mission’s design book.</w:t>
      </w:r>
    </w:p>
    <w:p>
      <w:pPr>
        <w:pStyle w:val="BodyText"/>
        <w:spacing w:line="480" w:lineRule="auto"/>
        <w:ind w:firstLine="720"/>
      </w:pPr>
      <w:r>
        <w:t xml:space="preserve">What is not settled, and what this dissertation addresses, is the empirical relationship between the margin a mission books at design time and the data volume it actually returns in operations. Designers carry margin as an insurance premium against atmospheric attenuation, pointing error, receiver degradation, and the difference between the nominal channel and the channel encountered in flight. But the marginal data-return value of an additional decibel of booked margin is asserted by engineering convention rather than estimated from operational evidence. No widely available result tells a mission planner how many delivered bits an extra decibel of reserve actually buys, once the confounds of site quality and link geometry are removed. This dissertation supplies the missing quantity. One number, defended.</w:t>
      </w:r>
    </w:p>
    <w:bookmarkEnd w:id="61"/>
    <w:bookmarkStart w:id="62" w:name="the-stakes-for-nasa-and-jpl"/>
    <w:p>
      <w:pPr>
        <w:pStyle w:val="Heading2"/>
        <w:spacing w:line="480" w:lineRule="auto"/>
      </w:pPr>
      <w:r>
        <w:t xml:space="preserve">1.2 The Stakes for NASA and JPL</w:t>
      </w:r>
    </w:p>
    <w:p>
      <w:pPr>
        <w:pStyle w:val="FirstParagraph"/>
        <w:spacing w:line="480" w:lineRule="auto"/>
      </w:pPr>
      <w:r>
        <w:t xml:space="preserve">The question is not academic for an agency whose scientific return is bounded, ultimately, by how many bits it can move across interplanetary distance. The historical record makes the stakes vivid at both extremes of the margin ledger. Voyager, with the same 3.66-meter antenna and amplifier that returned more than one hundred kilobits per second at Jupiter, fell to a floor of a few tens of bits per second at interstellar range, as free-space loss consumed margin that no operational measure could fully restore</w:t>
      </w:r>
      <w:r>
        <w:t xml:space="preserve"> </w:t>
      </w:r>
      <w:hyperlink w:anchor="ref-14">
        <w:r>
          <w:rPr>
            <w:rStyle w:val="Hyperlink"/>
          </w:rPr>
          <w:t xml:space="preserve">[14]</w:t>
        </w:r>
      </w:hyperlink>
      <w:r>
        <w:t xml:space="preserve">. Galileo, after its high-gain antenna failed to deploy, was forced onto its low-gain antenna and a 160-bit-per-second contingency, a near-controlled demonstration of what the loss of aperture margin costs in delivered science</w:t>
      </w:r>
      <w:r>
        <w:t xml:space="preserve"> </w:t>
      </w:r>
      <w:hyperlink w:anchor="ref-15">
        <w:r>
          <w:rPr>
            <w:rStyle w:val="Hyperlink"/>
          </w:rPr>
          <w:t xml:space="preserve">[15]</w:t>
        </w:r>
      </w:hyperlink>
      <w:r>
        <w:t xml:space="preserve">,</w:t>
      </w:r>
      <w:r>
        <w:t xml:space="preserve"> </w:t>
      </w:r>
      <w:hyperlink w:anchor="ref-20">
        <w:r>
          <w:rPr>
            <w:rStyle w:val="Hyperlink"/>
          </w:rPr>
          <w:t xml:space="preserve">[20]</w:t>
        </w:r>
      </w:hyperlink>
      <w:r>
        <w:t xml:space="preserve">. At the opposite end, the Mars Reconnaissance Orbiter’s Ka-band demonstration returned megabit-class rates where its X-band link delivered a few, isolating the gain that a frequency-band step confers on a fixed aperture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Each of these episodes is a natural experiment in the margin-to-return mapping. Engineers read each one as a point on a deterministic budget rather than as a draw from an estimable distribution.</w:t>
      </w:r>
    </w:p>
    <w:p>
      <w:pPr>
        <w:pStyle w:val="BodyText"/>
        <w:spacing w:line="480" w:lineRule="auto"/>
        <w:ind w:firstLine="720"/>
      </w:pPr>
      <w:r>
        <w:t xml:space="preserve">The frontier sharpens the stakes further. NASA’s migration toward optical free-space communications, from the Lunar Laser Communications Demonstration through the Deep Space Optical Communications payload on Psyche, promises data rates that radio-frequency links cannot reach</w:t>
      </w:r>
      <w:r>
        <w:t xml:space="preserve"> </w:t>
      </w:r>
      <w:hyperlink w:anchor="ref-17">
        <w:r>
          <w:rPr>
            <w:rStyle w:val="Hyperlink"/>
          </w:rPr>
          <w:t xml:space="preserve">[17]</w:t>
        </w:r>
      </w:hyperlink>
      <w:r>
        <w:t xml:space="preserve">. But optical links also relocate the binding constraint. Where the radio-frequency budget is dominated by the deterministic inverse-square path loss, the optical budget is dominated by the atmosphere, where cloud, turbulence, and scintillation impose fades that no amount of transmit power fully removes</w:t>
      </w:r>
      <w:r>
        <w:t xml:space="preserve"> </w:t>
      </w:r>
      <w:hyperlink w:anchor="ref-31">
        <w:r>
          <w:rPr>
            <w:rStyle w:val="Hyperlink"/>
          </w:rPr>
          <w:t xml:space="preserve">[31]</w:t>
        </w:r>
      </w:hyperlink>
      <w:r>
        <w:t xml:space="preserve">,</w:t>
      </w:r>
      <w:r>
        <w:t xml:space="preserve"> </w:t>
      </w:r>
      <w:hyperlink w:anchor="ref-32">
        <w:r>
          <w:rPr>
            <w:rStyle w:val="Hyperlink"/>
          </w:rPr>
          <w:t xml:space="preserve">[32]</w:t>
        </w:r>
      </w:hyperlink>
      <w:r>
        <w:t xml:space="preserve">. Ground-site characterization has consequently become a discipline in its own right, with detailed weather and turbulence statistics compiled for candidate optical ground sites such as Haleakala</w:t>
      </w:r>
      <w:r>
        <w:t xml:space="preserve"> </w:t>
      </w:r>
      <w:hyperlink w:anchor="ref-1">
        <w:r>
          <w:rPr>
            <w:rStyle w:val="Hyperlink"/>
          </w:rPr>
          <w:t xml:space="preserve">[1]</w:t>
        </w:r>
      </w:hyperlink>
      <w:r>
        <w:t xml:space="preserve">,</w:t>
      </w:r>
      <w:r>
        <w:t xml:space="preserve"> </w:t>
      </w:r>
      <w:hyperlink w:anchor="ref-31">
        <w:r>
          <w:rPr>
            <w:rStyle w:val="Hyperlink"/>
          </w:rPr>
          <w:t xml:space="preserve">[31]</w:t>
        </w:r>
      </w:hyperlink>
      <w:r>
        <w:t xml:space="preserve">, and with deep-learning models now forecasting the atmospheric transmission that governs whether a scheduled pass closes at rate</w:t>
      </w:r>
      <w:r>
        <w:t xml:space="preserve"> </w:t>
      </w:r>
      <w:hyperlink w:anchor="ref-2">
        <w:r>
          <w:rPr>
            <w:rStyle w:val="Hyperlink"/>
          </w:rPr>
          <w:t xml:space="preserve">[2]</w:t>
        </w:r>
      </w:hyperlink>
      <w:r>
        <w:t xml:space="preserve">,</w:t>
      </w:r>
      <w:r>
        <w:t xml:space="preserve"> </w:t>
      </w:r>
      <w:hyperlink w:anchor="ref-32">
        <w:r>
          <w:rPr>
            <w:rStyle w:val="Hyperlink"/>
          </w:rPr>
          <w:t xml:space="preserve">[32]</w:t>
        </w:r>
      </w:hyperlink>
      <w:r>
        <w:t xml:space="preserve">. Adaptive optics can recover a link degraded by turbulence, showing that margin in the optical regime can be bought through correction as well as through power</w:t>
      </w:r>
      <w:r>
        <w:t xml:space="preserve"> </w:t>
      </w:r>
      <w:hyperlink w:anchor="ref-4">
        <w:r>
          <w:rPr>
            <w:rStyle w:val="Hyperlink"/>
          </w:rPr>
          <w:t xml:space="preserve">[4]</w:t>
        </w:r>
      </w:hyperlink>
      <w:r>
        <w:t xml:space="preserve">. The economic question, namely how much data an additional decibel of booked margin actually buys, is therefore at once more urgent and more answerable in the optical regime than in the radio-frequency one, because atmospheric variability makes the margin-to-return mapping both steep and observable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p>
    <w:p>
      <w:pPr>
        <w:pStyle w:val="BodyText"/>
        <w:spacing w:line="480" w:lineRule="auto"/>
        <w:ind w:firstLine="720"/>
      </w:pPr>
      <w:r>
        <w:t xml:space="preserve">For JPL specifically, the question lands on the institution that owns both halves of the problem. One laboratory holds both ends. JPL operates the Deep Space Network, authors the link-design conventions that define margin</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builds the spacecraft telecommunications systems whose budgets those conventions govern, and is developing the optical terminals and ground stations that will carry the next generation of high-rate links</w:t>
      </w:r>
      <w:r>
        <w:t xml:space="preserve"> </w:t>
      </w:r>
      <w:hyperlink w:anchor="ref-17">
        <w:r>
          <w:rPr>
            <w:rStyle w:val="Hyperlink"/>
          </w:rPr>
          <w:t xml:space="preserve">[17]</w:t>
        </w:r>
      </w:hyperlink>
      <w:r>
        <w:t xml:space="preserve">. A defensible estimate of the return on a decibel of margin would inform exactly the trade studies that JPL conducts at the front of every mission: whether to enlarge a reflector, move up a band, add ground-station arraying, or accept a thinner reserve and a higher expected shortfall. It would also serve the broader space economy, where ground stations and downlink capacity appear as infrastructure inputs to space-enabled applications, but where the technical production function that converts engineered link reserve into delivered bits has not been resolved at the level a planner could use</w:t>
      </w:r>
      <w:r>
        <w:t xml:space="preserve"> </w:t>
      </w:r>
      <w:hyperlink w:anchor="ref-3">
        <w:r>
          <w:rPr>
            <w:rStyle w:val="Hyperlink"/>
          </w:rPr>
          <w:t xml:space="preserve">[3]</w:t>
        </w:r>
      </w:hyperlink>
      <w:r>
        <w:t xml:space="preserve">. Converting an engineering reserve into an economic quantity is the practical payoff of this work.</w:t>
      </w:r>
    </w:p>
    <w:bookmarkEnd w:id="62"/>
    <w:bookmarkStart w:id="63" w:name="two-literatures-that-do-not-meet"/>
    <w:p>
      <w:pPr>
        <w:pStyle w:val="Heading2"/>
        <w:spacing w:line="480" w:lineRule="auto"/>
      </w:pPr>
      <w:r>
        <w:t xml:space="preserve">1.3 Two Literatures That Do Not Meet</w:t>
      </w:r>
    </w:p>
    <w:p>
      <w:pPr>
        <w:pStyle w:val="FirstParagraph"/>
        <w:spacing w:line="480" w:lineRule="auto"/>
      </w:pPr>
      <w:r>
        <w:t xml:space="preserve">The relevant literature partitions cleanly into two camps. They do not meet, and that failure to meet is what motivates this dissertation. The first camp is the engineering characterization of the communications channel and the ground segment. On the radio-frequency side, this camp is anchored by the DSN link-design conventions</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by the DESCANSO mission summaries that document how those conventions resolved into delivered rates across the planetary fleet</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20">
        <w:r>
          <w:rPr>
            <w:rStyle w:val="Hyperlink"/>
          </w:rPr>
          <w:t xml:space="preserve">[20]</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w:t>
      </w:r>
      <w:r>
        <w:t xml:space="preserve"> </w:t>
      </w:r>
      <w:hyperlink w:anchor="ref-24">
        <w:r>
          <w:rPr>
            <w:rStyle w:val="Hyperlink"/>
          </w:rPr>
          <w:t xml:space="preserve">[24]</w:t>
        </w:r>
      </w:hyperlink>
      <w:r>
        <w:t xml:space="preserve">, and by mission-level telecommunications papers such as the New Horizons radio-frequency system description</w:t>
      </w:r>
      <w:r>
        <w:t xml:space="preserve"> </w:t>
      </w:r>
      <w:hyperlink w:anchor="ref-16">
        <w:r>
          <w:rPr>
            <w:rStyle w:val="Hyperlink"/>
          </w:rPr>
          <w:t xml:space="preserve">[16]</w:t>
        </w:r>
      </w:hyperlink>
      <w:r>
        <w:t xml:space="preserve">,</w:t>
      </w:r>
      <w:r>
        <w:t xml:space="preserve"> </w:t>
      </w:r>
      <w:hyperlink w:anchor="ref-25">
        <w:r>
          <w:rPr>
            <w:rStyle w:val="Hyperlink"/>
          </w:rPr>
          <w:t xml:space="preserve">[25]</w:t>
        </w:r>
      </w:hyperlink>
      <w:r>
        <w:t xml:space="preserve"> </w:t>
      </w:r>
      <w:r>
        <w:t xml:space="preserve">and the Psyche spacecraft design and development record</w:t>
      </w:r>
      <w:r>
        <w:t xml:space="preserve"> </w:t>
      </w:r>
      <w:hyperlink w:anchor="ref-26">
        <w:r>
          <w:rPr>
            <w:rStyle w:val="Hyperlink"/>
          </w:rPr>
          <w:t xml:space="preserve">[26]</w:t>
        </w:r>
      </w:hyperlink>
      <w:r>
        <w:t xml:space="preserve">. On the optical side, the same camp characterizes the atmospheric channel and the ground site: Felton and Alliss quantify the weather and turbulence statistics of a candidate laser-communications ground site, establishing site quality as a measurable, site-specific quantity</w:t>
      </w:r>
      <w:r>
        <w:t xml:space="preserve"> </w:t>
      </w:r>
      <w:hyperlink w:anchor="ref-1">
        <w:r>
          <w:rPr>
            <w:rStyle w:val="Hyperlink"/>
          </w:rPr>
          <w:t xml:space="preserve">[1]</w:t>
        </w:r>
      </w:hyperlink>
      <w:r>
        <w:t xml:space="preserve">,</w:t>
      </w:r>
      <w:r>
        <w:t xml:space="preserve"> </w:t>
      </w:r>
      <w:hyperlink w:anchor="ref-31">
        <w:r>
          <w:rPr>
            <w:rStyle w:val="Hyperlink"/>
          </w:rPr>
          <w:t xml:space="preserve">[31]</w:t>
        </w:r>
      </w:hyperlink>
      <w:r>
        <w:t xml:space="preserve">; Russell, Alliss, and Felton forecast atmospheric transmission with a deep-learning model, treating channel availability as a predictable random variable</w:t>
      </w:r>
      <w:r>
        <w:t xml:space="preserve"> </w:t>
      </w:r>
      <w:hyperlink w:anchor="ref-2">
        <w:r>
          <w:rPr>
            <w:rStyle w:val="Hyperlink"/>
          </w:rPr>
          <w:t xml:space="preserve">[2]</w:t>
        </w:r>
      </w:hyperlink>
      <w:r>
        <w:t xml:space="preserve">; Alliss forecasts cloud in support of space-based applications</w:t>
      </w:r>
      <w:r>
        <w:t xml:space="preserve"> </w:t>
      </w:r>
      <w:hyperlink w:anchor="ref-32">
        <w:r>
          <w:rPr>
            <w:rStyle w:val="Hyperlink"/>
          </w:rPr>
          <w:t xml:space="preserve">[32]</w:t>
        </w:r>
      </w:hyperlink>
      <w:r>
        <w:t xml:space="preserve">; Bennet and colleagues recover a turbulence-degraded free-space link with adaptive optics</w:t>
      </w:r>
      <w:r>
        <w:t xml:space="preserve"> </w:t>
      </w:r>
      <w:hyperlink w:anchor="ref-4">
        <w:r>
          <w:rPr>
            <w:rStyle w:val="Hyperlink"/>
          </w:rPr>
          <w:t xml:space="preserve">[4]</w:t>
        </w:r>
      </w:hyperlink>
      <w:r>
        <w:t xml:space="preserve">; and a sequence of authors study optical ground-to-space links for low Earth orbit</w:t>
      </w:r>
      <w:r>
        <w:t xml:space="preserve"> </w:t>
      </w:r>
      <w:hyperlink w:anchor="ref-5">
        <w:r>
          <w:rPr>
            <w:rStyle w:val="Hyperlink"/>
          </w:rPr>
          <w:t xml:space="preserve">[5]</w:t>
        </w:r>
      </w:hyperlink>
      <w:r>
        <w:t xml:space="preserve">, laser crosslinks for formation-flying nanosatellites</w:t>
      </w:r>
      <w:r>
        <w:t xml:space="preserve"> </w:t>
      </w:r>
      <w:hyperlink w:anchor="ref-6">
        <w:r>
          <w:rPr>
            <w:rStyle w:val="Hyperlink"/>
          </w:rPr>
          <w:t xml:space="preserve">[6]</w:t>
        </w:r>
      </w:hyperlink>
      <w:r>
        <w:t xml:space="preserve">, passive optical link budgets for space surveillance</w:t>
      </w:r>
      <w:r>
        <w:t xml:space="preserve"> </w:t>
      </w:r>
      <w:hyperlink w:anchor="ref-28">
        <w:r>
          <w:rPr>
            <w:rStyle w:val="Hyperlink"/>
          </w:rPr>
          <w:t xml:space="preserve">[28]</w:t>
        </w:r>
      </w:hyperlink>
      <w:r>
        <w:t xml:space="preserve">, and control allocation in over-actuated satellite laser-communication systems where pointing margin is the binding constraint</w:t>
      </w:r>
      <w:r>
        <w:t xml:space="preserve"> </w:t>
      </w:r>
      <w:hyperlink w:anchor="ref-7">
        <w:r>
          <w:rPr>
            <w:rStyle w:val="Hyperlink"/>
          </w:rPr>
          <w:t xml:space="preserve">[7]</w:t>
        </w:r>
      </w:hyperlink>
      <w:r>
        <w:t xml:space="preserve">. This camp establishes, exhaustively, that the components of a link budget are real, measurable, and consequential. What it does not do is estimate, across links, the function that maps booked margin to realized return; it treats each budget as a deterministic per-mission calculation.</w:t>
      </w:r>
    </w:p>
    <w:p>
      <w:pPr>
        <w:pStyle w:val="BodyText"/>
        <w:spacing w:line="480" w:lineRule="auto"/>
        <w:ind w:firstLine="720"/>
      </w:pPr>
      <w:r>
        <w:t xml:space="preserve">The second camp is the economics of space infrastructure, where downlink capacity appears as a factor of production. The OCEA forecasting framework places ground stations and satellites in the infrastructure tier that enables downstream applications</w:t>
      </w:r>
      <w:r>
        <w:t xml:space="preserve"> </w:t>
      </w:r>
      <w:hyperlink w:anchor="ref-3">
        <w:r>
          <w:rPr>
            <w:rStyle w:val="Hyperlink"/>
          </w:rPr>
          <w:t xml:space="preserve">[3]</w:t>
        </w:r>
      </w:hyperlink>
      <w:r>
        <w:t xml:space="preserve">, and the broader systems-design literature treats communications and relay architecture as a network to be optimized, whether through relay-topology assessment for Earth-Mars links</w:t>
      </w:r>
      <w:r>
        <w:t xml:space="preserve"> </w:t>
      </w:r>
      <w:hyperlink w:anchor="ref-19">
        <w:r>
          <w:rPr>
            <w:rStyle w:val="Hyperlink"/>
          </w:rPr>
          <w:t xml:space="preserve">[19]</w:t>
        </w:r>
      </w:hyperlink>
      <w:r>
        <w:t xml:space="preserve"> </w:t>
      </w:r>
      <w:r>
        <w:t xml:space="preserve">or through flexible staged deployment of satellite constellations under demand uncertainty</w:t>
      </w:r>
      <w:r>
        <w:t xml:space="preserve"> </w:t>
      </w:r>
      <w:hyperlink w:anchor="ref-37">
        <w:r>
          <w:rPr>
            <w:rStyle w:val="Hyperlink"/>
          </w:rPr>
          <w:t xml:space="preserve">[37]</w:t>
        </w:r>
      </w:hyperlink>
      <w:r>
        <w:t xml:space="preserve">. This camp prices the infrastructure and optimizes its topology, but it does not estimate the technical production function that converts engineered link reserve into delivered bits. It takes the margin-to-throughput mapping as given and reasons about what to build around it.</w:t>
      </w:r>
    </w:p>
    <w:p>
      <w:pPr>
        <w:pStyle w:val="BodyText"/>
        <w:spacing w:line="480" w:lineRule="auto"/>
        <w:ind w:firstLine="720"/>
      </w:pPr>
      <w:r>
        <w:t xml:space="preserve">The gap is the bridge between these two camps, and it is a methodological gap as much as a topical one. The engineering camp possesses the physical model of the channel but applies it deterministically, link by link; the economics camp possesses the production-function and elasticity vocabulary but applies it to infrastructure aggregates rather than to the link budget. The econometric method literature, which routinely recovers structural elasticities from observational panels through fixed effects and instrumental variables, has not been brought to bear on the link budget at all. The preliminary studies underlying this dissertation establish that the bridge is constructible. A cross-sectional ordinary-least-squares regression of achieved deep-space rate on the published physical drivers of the link equation recovers the structural slopes the physics predicts, with a range elasticity near the inverse-square value of negative two and a positive aperture elasticity near the square-law value, explaining the large majority of cross-mission variation in delivered rate</w:t>
      </w:r>
      <w:r>
        <w:t xml:space="preserve"> </w:t>
      </w:r>
      <w:hyperlink w:anchor="ref-11">
        <w:r>
          <w:rPr>
            <w:rStyle w:val="Hyperlink"/>
          </w:rPr>
          <w:t xml:space="preserve">[11]</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 A companion regression across the planetary fleet from Pioneer through Europa Clipper recovers the same ordering of design levers, with aperture the dominant spacecraft-side term, a softened range penalty that quantifies the value of ground-segment arraying and coding, and a positive but under-demonstrated Ka-band effect</w:t>
      </w:r>
      <w:r>
        <w:t xml:space="preserve"> </w:t>
      </w:r>
      <w:hyperlink w:anchor="ref-16">
        <w:r>
          <w:rPr>
            <w:rStyle w:val="Hyperlink"/>
          </w:rPr>
          <w:t xml:space="preserve">[16]</w:t>
        </w:r>
      </w:hyperlink>
      <w:r>
        <w:t xml:space="preserve">,</w:t>
      </w:r>
      <w:r>
        <w:t xml:space="preserve"> </w:t>
      </w:r>
      <w:hyperlink w:anchor="ref-19">
        <w:r>
          <w:rPr>
            <w:rStyle w:val="Hyperlink"/>
          </w:rPr>
          <w:t xml:space="preserve">[19]</w:t>
        </w:r>
      </w:hyperlink>
      <w:r>
        <w:t xml:space="preserve">,</w:t>
      </w:r>
      <w:r>
        <w:t xml:space="preserve"> </w:t>
      </w:r>
      <w:hyperlink w:anchor="ref-26">
        <w:r>
          <w:rPr>
            <w:rStyle w:val="Hyperlink"/>
          </w:rPr>
          <w:t xml:space="preserve">[26]</w:t>
        </w:r>
      </w:hyperlink>
      <w:r>
        <w:t xml:space="preserve">. These results demonstrate that the link budget is not merely a deterministic identity but an empirically estimable relationship. They also expose what they cannot do: a cross-section of design-book maxima cannot separate the causal effect of booked margin from the site quality and geometry that confound it, and a regression on the physical antecedents of margin is not the same as a regression on margin itself. This dissertation takes the final step, regressing achieved return on engineered margin directly, with an identification strategy that the cross-section lacked.</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of this dissertation is one estimated quantity: the elasticity of achieved downlink data return with respect to engineered link-budget margin, conditioned on site-quality and geometry covariates. One number carries the whole claim. The empirical setting is the optical ground-to-space link, where atmospheric variability makes the margin-to-return mapping both steep and observable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The unit of analysis is the communications pass. The dependent variable is achieved data return per pass, measured as delivered bits or, equivalently, as the fraction of the scheduled data rate realized over the pass. The regressor of interest is engineered link-budget margin in decibels, computed from the pass-level budget according to standing link-design convention</w:t>
      </w:r>
      <w:r>
        <w:t xml:space="preserve"> </w:t>
      </w:r>
      <w:hyperlink w:anchor="ref-9">
        <w:r>
          <w:rPr>
            <w:rStyle w:val="Hyperlink"/>
          </w:rPr>
          <w:t xml:space="preserve">[9]</w:t>
        </w:r>
      </w:hyperlink>
      <w:r>
        <w:t xml:space="preserve">. The conditioning covariates are cloud-free line-of-sight availability at the serving ground site, elevation-angle geometry, slant range, and the modulation and coding scheme.</w:t>
      </w:r>
    </w:p>
    <w:p>
      <w:pPr>
        <w:pStyle w:val="BodyText"/>
        <w:spacing w:line="480" w:lineRule="auto"/>
        <w:ind w:firstLine="720"/>
      </w:pPr>
      <w:r>
        <w:t xml:space="preserve">The claim is stated as a single sharp, falsifiable hypothesis, and it is committed to in advance.</w:t>
      </w:r>
    </w:p>
    <w:p>
      <w:pPr>
        <w:pStyle w:val="BodyText"/>
        <w:spacing w:line="480" w:lineRule="auto"/>
        <w:ind w:firstLine="720"/>
      </w:pPr>
      <w:r>
        <w:rPr>
          <w:b/>
          <w:bCs/>
        </w:rPr>
        <w:t xml:space="preserve">H0 (null).</w:t>
      </w:r>
      <w:r>
        <w:t xml:space="preserve"> </w:t>
      </w:r>
      <w:r>
        <w:t xml:space="preserve">Once cloud-free line-of-sight availability and link geometry are controlled, achieved per-pass data return is independent of engineered link-budget margin. The estimated margin coefficient is statistically indistinguishable from zero.</w:t>
      </w:r>
    </w:p>
    <w:p>
      <w:pPr>
        <w:pStyle w:val="BodyText"/>
        <w:spacing w:line="480" w:lineRule="auto"/>
        <w:ind w:firstLine="720"/>
      </w:pPr>
      <w:r>
        <w:rPr>
          <w:b/>
          <w:bCs/>
        </w:rPr>
        <w:t xml:space="preserve">H1 (alternative).</w:t>
      </w:r>
      <w:r>
        <w:t xml:space="preserve"> </w:t>
      </w:r>
      <w:r>
        <w:t xml:space="preserve">Achieved per-pass data return is increasing and concave in engineered link-budget margin. The margin coefficient is positive and the quadratic margin term is negative, so that the elasticity of return with respect to margin is positive but declining over the operational margin range.</w:t>
      </w:r>
    </w:p>
    <w:p>
      <w:pPr>
        <w:pStyle w:val="BodyText"/>
        <w:spacing w:line="480" w:lineRule="auto"/>
        <w:ind w:firstLine="720"/>
      </w:pPr>
      <w:r>
        <w:t xml:space="preserve">The hypothesis is falsifiable in two distinct directions, and this two-sided falsifiability is what makes the contribution a genuine test rather than a confirmation exercise. A null or negative margin coefficient, after conditioning on site quality and geometry, refutes the premise that booked margin buys return at all and would imply that the apparent value of margin in raw data is an artifact of the correlation between margin and the adversity it was booked against. A positive coefficient paired with a non-negative quadratic term refutes the specific concavity claim that motivates an interior-optimum margin policy, and would imply that returns to margin do not diminish over the observed operational range. The study commits to reporting the point estimate of the elasticity, its confidence interval, and the implied turning point in margin at which additional decibels stop buying meaningful return. That turning point is the structural quantity of practical interest: it is the decibel level at which a planner should stop spending aperture, power, or ground time to buy further reserve, and it converts an engineering reserve into an economic quantity that mission planners and ground-segment economists can defend</w:t>
      </w:r>
      <w:r>
        <w:t xml:space="preserve"> </w:t>
      </w:r>
      <w:hyperlink w:anchor="ref-3">
        <w:r>
          <w:rPr>
            <w:rStyle w:val="Hyperlink"/>
          </w:rPr>
          <w:t xml:space="preserve">[3]</w:t>
        </w:r>
      </w:hyperlink>
      <w:r>
        <w:t xml:space="preserve">.</w:t>
      </w:r>
    </w:p>
    <w:p>
      <w:pPr>
        <w:pStyle w:val="BodyText"/>
        <w:spacing w:line="480" w:lineRule="auto"/>
        <w:ind w:firstLine="720"/>
      </w:pPr>
      <w:r>
        <w:t xml:space="preserve">The identification strategy that makes this elasticity causal rather than merely descriptive is the methodological heart of the contribution, and it is what the preliminary cross-sectional studies could not provide. The naive regression of return on margin is confounded, because missions that anticipate poor sites book more margin, so that margin correlates with unobserved site adversity and the raw coefficient is biased toward understating, or even reversing, the true return. The dissertation addresses this with two complementary strategies. First, a site-and-epoch fixed-effects panel specification absorbs time-invariant site quality and seasonal atmospheric structure, so that the margin coefficient is identified from within-site, within-season variation in booked margin and realized channel state. Second, to address the residual endogeneity by which operators raise margin in response to forecast degradation, the study instruments booked-versus-realized margin with exogenous variation in the atmospheric transmission forecast, exploiting the forecast skill documented in the deep-learning atmospheric models as a source of channel-state variation that shifts realized margin without entering the return equation except through margin</w:t>
      </w:r>
      <w:r>
        <w:t xml:space="preserve"> </w:t>
      </w:r>
      <w:hyperlink w:anchor="ref-2">
        <w:r>
          <w:rPr>
            <w:rStyle w:val="Hyperlink"/>
          </w:rPr>
          <w:t xml:space="preserve">[2]</w:t>
        </w:r>
      </w:hyperlink>
      <w:r>
        <w:t xml:space="preserve">. The functional form is quadratic in margin to permit the concavity that H1 asserts, standard errors are clustered by site and epoch, and robustness checks vary the availability-threshold definition drawn from site-characterization practice</w:t>
      </w:r>
      <w:r>
        <w:t xml:space="preserve"> </w:t>
      </w:r>
      <w:hyperlink w:anchor="ref-1">
        <w:r>
          <w:rPr>
            <w:rStyle w:val="Hyperlink"/>
          </w:rPr>
          <w:t xml:space="preserve">[1]</w:t>
        </w:r>
      </w:hyperlink>
      <w:r>
        <w:t xml:space="preserve"> </w:t>
      </w:r>
      <w:r>
        <w:t xml:space="preserve">and re-estimate on the subsample of passes where adaptive-optics correction is active, since correction changes the effective margin mapping</w:t>
      </w:r>
      <w:r>
        <w:t xml:space="preserve"> </w:t>
      </w:r>
      <w:hyperlink w:anchor="ref-4">
        <w:r>
          <w:rPr>
            <w:rStyle w:val="Hyperlink"/>
          </w:rPr>
          <w:t xml:space="preserve">[4]</w:t>
        </w:r>
      </w:hyperlink>
      <w:r>
        <w:t xml:space="preserve">.</w:t>
      </w:r>
    </w:p>
    <w:p>
      <w:pPr>
        <w:pStyle w:val="BodyText"/>
        <w:spacing w:line="480" w:lineRule="auto"/>
        <w:ind w:firstLine="720"/>
      </w:pPr>
      <w:r>
        <w:t xml:space="preserve">The empirical setting rests on a specific, real, and obtainable dataset, which keeps the contribution from being a thought experiment. The primary record is the NASA Laser Communications Relay Demonstration and the integrated LEO User Modem and Amplifier Terminal operational link record, complemented by the Lunar Laser Communications Demonstration experiment dataset, both retrievable through the NASA Technical Reports Server and documented in NASA technical publications</w:t>
      </w:r>
      <w:r>
        <w:t xml:space="preserve"> </w:t>
      </w:r>
      <w:hyperlink w:anchor="ref-17">
        <w:r>
          <w:rPr>
            <w:rStyle w:val="Hyperlink"/>
          </w:rPr>
          <w:t xml:space="preserve">[17]</w:t>
        </w:r>
      </w:hyperlink>
      <w:r>
        <w:t xml:space="preserve">. These are real NASA optical-communications experiments whose link performance, ground-terminal configuration, and atmospheric-condition logs supply exactly the pass-level pairing of engineered margin, site atmospheric state, and achieved data return that the identification strategy requires. The ground-site atmospheric covariate is constructed from cloud-free line-of-sight and transmission characterizations of the type compiled for candidate optical ground sites</w:t>
      </w:r>
      <w:r>
        <w:t xml:space="preserve"> </w:t>
      </w:r>
      <w:hyperlink w:anchor="ref-1">
        <w:r>
          <w:rPr>
            <w:rStyle w:val="Hyperlink"/>
          </w:rPr>
          <w:t xml:space="preserve">[1]</w:t>
        </w:r>
      </w:hyperlink>
      <w:r>
        <w:t xml:space="preserve">,</w:t>
      </w:r>
      <w:r>
        <w:t xml:space="preserve"> </w:t>
      </w:r>
      <w:hyperlink w:anchor="ref-31">
        <w:r>
          <w:rPr>
            <w:rStyle w:val="Hyperlink"/>
          </w:rPr>
          <w:t xml:space="preserve">[31]</w:t>
        </w:r>
      </w:hyperlink>
      <w:r>
        <w:t xml:space="preserve"> </w:t>
      </w:r>
      <w:r>
        <w:t xml:space="preserve">and the forecast products of the type developed for atmospheric optimization</w:t>
      </w:r>
      <w:r>
        <w:t xml:space="preserve"> </w:t>
      </w:r>
      <w:hyperlink w:anchor="ref-2">
        <w:r>
          <w:rPr>
            <w:rStyle w:val="Hyperlink"/>
          </w:rPr>
          <w:t xml:space="preserve">[2]</w:t>
        </w:r>
      </w:hyperlink>
      <w:r>
        <w:t xml:space="preserve">,</w:t>
      </w:r>
      <w:r>
        <w:t xml:space="preserve"> </w:t>
      </w:r>
      <w:hyperlink w:anchor="ref-32">
        <w:r>
          <w:rPr>
            <w:rStyle w:val="Hyperlink"/>
          </w:rPr>
          <w:t xml:space="preserve">[32]</w:t>
        </w:r>
      </w:hyperlink>
      <w:r>
        <w:t xml:space="preserve">, both of which describe the publicly reported ground stations serving these demonstrations. Provenance is fully traceable: every variable maps to a NASA-published mission data product or a peer-reviewed site-characterization source, and no variable depends on proprietary operator records.</w:t>
      </w:r>
    </w:p>
    <w:bookmarkEnd w:id="64"/>
    <w:bookmarkStart w:id="65" w:name="scope-and-boundaries-of-the-claim"/>
    <w:p>
      <w:pPr>
        <w:pStyle w:val="Heading2"/>
        <w:spacing w:line="480" w:lineRule="auto"/>
      </w:pPr>
      <w:r>
        <w:t xml:space="preserve">1.5 Scope and Boundaries of the Claim</w:t>
      </w:r>
    </w:p>
    <w:p>
      <w:pPr>
        <w:pStyle w:val="FirstParagraph"/>
        <w:spacing w:line="480" w:lineRule="auto"/>
      </w:pPr>
      <w:r>
        <w:t xml:space="preserve">The contribution is deliberately narrow, and the boundaries are part of the claim. The estimated elasticity applies to the optical direct-to-Earth and relay regime at the specific sites and wavelengths of the demonstration datasets. It is not asserted to transfer to radio-frequency downlinks, whose budgets are dominated by deterministic path loss rather than by atmospheric variability</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 nor to sites with atmospheric regimes materially different from those characterized in the record. Radio-frequency generalization is treated as out of scope, and the radio-frequency cross-sections that motivate the bridge are used to establish that the link budget is empirically estimable, not to extrapolate the optical elasticity. The study will not claim a universal margin-sizing rule. It will report one identified elasticity, its domain of validity, and the boundaries beyond which it should not be extrapolated. This restraint is what distinguishes a defensible structural estimate from an overreaching one, and it is consistent with the threats-to-validity discipline that governs the empirical chapters: selection on margin, external validity, measurement of achieved return against non-atmospheric anomalies</w:t>
      </w:r>
      <w:r>
        <w:t xml:space="preserve"> </w:t>
      </w:r>
      <w:hyperlink w:anchor="ref-7">
        <w:r>
          <w:rPr>
            <w:rStyle w:val="Hyperlink"/>
          </w:rPr>
          <w:t xml:space="preserve">[7]</w:t>
        </w:r>
      </w:hyperlink>
      <w:r>
        <w:t xml:space="preserve">, and adaptive-optics confounding</w:t>
      </w:r>
      <w:r>
        <w:t xml:space="preserve"> </w:t>
      </w:r>
      <w:hyperlink w:anchor="ref-4">
        <w:r>
          <w:rPr>
            <w:rStyle w:val="Hyperlink"/>
          </w:rPr>
          <w:t xml:space="preserve">[4]</w:t>
        </w:r>
      </w:hyperlink>
      <w:r>
        <w:t xml:space="preserve"> </w:t>
      </w:r>
      <w:r>
        <w:t xml:space="preserve">are each named, scoped, and addressed rather than assumed away.</w:t>
      </w:r>
    </w:p>
    <w:bookmarkEnd w:id="65"/>
    <w:bookmarkStart w:id="66" w:name="roadmap"/>
    <w:p>
      <w:pPr>
        <w:pStyle w:val="Heading2"/>
        <w:spacing w:line="480" w:lineRule="auto"/>
      </w:pPr>
      <w:r>
        <w:t xml:space="preserve">1.6 Roadmap</w:t>
      </w:r>
    </w:p>
    <w:p>
      <w:pPr>
        <w:pStyle w:val="FirstParagraph"/>
        <w:spacing w:line="480" w:lineRule="auto"/>
      </w:pPr>
      <w:r>
        <w:t xml:space="preserve">The remainder of the dissertation proceeds as follows. Chapter 2 reviews the two literatures in detail and locates the gap precisely, treating the engineering characterization of the radio-frequency and optical channels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31">
        <w:r>
          <w:rPr>
            <w:rStyle w:val="Hyperlink"/>
          </w:rPr>
          <w:t xml:space="preserve">[31]</w:t>
        </w:r>
      </w:hyperlink>
      <w:r>
        <w:t xml:space="preserve">,</w:t>
      </w:r>
      <w:r>
        <w:t xml:space="preserve"> </w:t>
      </w:r>
      <w:hyperlink w:anchor="ref-32">
        <w:r>
          <w:rPr>
            <w:rStyle w:val="Hyperlink"/>
          </w:rPr>
          <w:t xml:space="preserve">[32]</w:t>
        </w:r>
      </w:hyperlink>
      <w:r>
        <w:t xml:space="preserve"> </w:t>
      </w:r>
      <w:r>
        <w:t xml:space="preserve">and the economics of space-communications infrastructure</w:t>
      </w:r>
      <w:r>
        <w:t xml:space="preserve"> </w:t>
      </w:r>
      <w:hyperlink w:anchor="ref-3">
        <w:r>
          <w:rPr>
            <w:rStyle w:val="Hyperlink"/>
          </w:rPr>
          <w:t xml:space="preserve">[3]</w:t>
        </w:r>
      </w:hyperlink>
      <w:r>
        <w:t xml:space="preserve">,</w:t>
      </w:r>
      <w:r>
        <w:t xml:space="preserve"> </w:t>
      </w:r>
      <w:hyperlink w:anchor="ref-19">
        <w:r>
          <w:rPr>
            <w:rStyle w:val="Hyperlink"/>
          </w:rPr>
          <w:t xml:space="preserve">[19]</w:t>
        </w:r>
      </w:hyperlink>
      <w:r>
        <w:t xml:space="preserve">,</w:t>
      </w:r>
      <w:r>
        <w:t xml:space="preserve"> </w:t>
      </w:r>
      <w:hyperlink w:anchor="ref-37">
        <w:r>
          <w:rPr>
            <w:rStyle w:val="Hyperlink"/>
          </w:rPr>
          <w:t xml:space="preserve">[37]</w:t>
        </w:r>
      </w:hyperlink>
      <w:r>
        <w:t xml:space="preserve"> </w:t>
      </w:r>
      <w:r>
        <w:t xml:space="preserve">as distinct camps whose separation defines the contribution. Chapter 3 develops the theory: it derives the margin-to-return mapping from the link-budget identity</w:t>
      </w:r>
      <w:r>
        <w:t xml:space="preserve"> </w:t>
      </w:r>
      <w:hyperlink w:anchor="ref-9">
        <w:r>
          <w:rPr>
            <w:rStyle w:val="Hyperlink"/>
          </w:rPr>
          <w:t xml:space="preserve">[9]</w:t>
        </w:r>
      </w:hyperlink>
      <w:r>
        <w:t xml:space="preserve">, establishes why the mapping is deterministic in the radio-frequency regime but stochastic in the optical regime, and motivates the increasing-and-concave functional form that H1 asserts. Chapter 4 sets out the data, documenting the construction of the pass-level panel from the LCRD, ILLUMA-T, and LLCD operational records</w:t>
      </w:r>
      <w:r>
        <w:t xml:space="preserve"> </w:t>
      </w:r>
      <w:hyperlink w:anchor="ref-17">
        <w:r>
          <w:rPr>
            <w:rStyle w:val="Hyperlink"/>
          </w:rPr>
          <w:t xml:space="preserve">[17]</w:t>
        </w:r>
      </w:hyperlink>
      <w:r>
        <w:t xml:space="preserve"> </w:t>
      </w:r>
      <w:r>
        <w:t xml:space="preserve">and the construction of the atmospheric covariates from the site-characterization and forecast literatures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1">
        <w:r>
          <w:rPr>
            <w:rStyle w:val="Hyperlink"/>
          </w:rPr>
          <w:t xml:space="preserve">[31]</w:t>
        </w:r>
      </w:hyperlink>
      <w:r>
        <w:t xml:space="preserve">,</w:t>
      </w:r>
      <w:r>
        <w:t xml:space="preserve"> </w:t>
      </w:r>
      <w:hyperlink w:anchor="ref-32">
        <w:r>
          <w:rPr>
            <w:rStyle w:val="Hyperlink"/>
          </w:rPr>
          <w:t xml:space="preserve">[32]</w:t>
        </w:r>
      </w:hyperlink>
      <w:r>
        <w:t xml:space="preserve">, with full provenance for every variable. Chapter 5 specifies the econometric method: the site-and-epoch fixed-effects panel, the forecast-based instrument for realized margin</w:t>
      </w:r>
      <w:r>
        <w:t xml:space="preserve"> </w:t>
      </w:r>
      <w:hyperlink w:anchor="ref-2">
        <w:r>
          <w:rPr>
            <w:rStyle w:val="Hyperlink"/>
          </w:rPr>
          <w:t xml:space="preserve">[2]</w:t>
        </w:r>
      </w:hyperlink>
      <w:r>
        <w:t xml:space="preserve">, the quadratic-in-margin specification, the clustering scheme, and the robustness battery. Chapter 6 reports the estimated elasticity, its confidence interval, and the implied turning point, and adjudicates H0 against H1. Chapter 7 confronts the threats to validity in turn, reporting the exclusion-restriction tests for the instrument, the anomaly-flagged subsample analysis</w:t>
      </w:r>
      <w:r>
        <w:t xml:space="preserve"> </w:t>
      </w:r>
      <w:hyperlink w:anchor="ref-7">
        <w:r>
          <w:rPr>
            <w:rStyle w:val="Hyperlink"/>
          </w:rPr>
          <w:t xml:space="preserve">[7]</w:t>
        </w:r>
      </w:hyperlink>
      <w:r>
        <w:t xml:space="preserve">, and the adaptive-optics robustness subsample</w:t>
      </w:r>
      <w:r>
        <w:t xml:space="preserve"> </w:t>
      </w:r>
      <w:hyperlink w:anchor="ref-4">
        <w:r>
          <w:rPr>
            <w:rStyle w:val="Hyperlink"/>
          </w:rPr>
          <w:t xml:space="preserve">[4]</w:t>
        </w:r>
      </w:hyperlink>
      <w:r>
        <w:t xml:space="preserve">. Chapter 8 interprets the result for mission design, Deep Space Network and optical-ground-segment planning, and the economics of downlink capacity</w:t>
      </w:r>
      <w:r>
        <w:t xml:space="preserve"> </w:t>
      </w:r>
      <w:hyperlink w:anchor="ref-3">
        <w:r>
          <w:rPr>
            <w:rStyle w:val="Hyperlink"/>
          </w:rPr>
          <w:t xml:space="preserve">[3]</w:t>
        </w:r>
      </w:hyperlink>
      <w:r>
        <w:t xml:space="preserve">, and concludes by stating precisely what the single estimated elasticity does and does not license a planner to do.</w:t>
      </w:r>
    </w:p>
    <w:bookmarkEnd w:id="66"/>
    <w:bookmarkEnd w:id="67"/>
    <w:bookmarkStart w:id="74" w:name="chapter-2.-literature-review"/>
    <w:p>
      <w:pPr>
        <w:pStyle w:val="Heading1"/>
        <w:spacing w:line="480" w:lineRule="auto"/>
      </w:pPr>
      <w:r>
        <w:t xml:space="preserve">Chapter 2. Literature Review</w:t>
      </w:r>
    </w:p>
    <w:bookmarkStart w:id="68" w:name="purpose-and-organization-of-the-review"/>
    <w:p>
      <w:pPr>
        <w:pStyle w:val="Heading2"/>
        <w:spacing w:line="480" w:lineRule="auto"/>
      </w:pPr>
      <w:r>
        <w:t xml:space="preserve">2.1 Purpose and organization of the review</w:t>
      </w:r>
    </w:p>
    <w:p>
      <w:pPr>
        <w:pStyle w:val="FirstParagraph"/>
        <w:spacing w:line="480" w:lineRule="auto"/>
      </w:pPr>
      <w:r>
        <w:t xml:space="preserve">The central claim of this dissertation is that achieved downlink data return is an estimable function of engineered link-budget margin and its physical antecedents, and that the marginal return to a decibel of booked margin can be recovered econometrically once site quality and link geometry are controlled. Establishing that this claim is both novel and tractable requires a review of two literatures that have developed in near-total isolation from one another. The first is the engineering literature on the space communications link: the physics of the link budget, the characterization and forecasting of the propagation channel, the ground-segment architecture that closes the link, and the hardware levers through which margin is bought. The second is the cliometric and econometric tradition of recovering structural parameters from observational records of complex physical and institutional systems, applied here through the frame of the space economy and its treatment of downlink capacity as a factor of production. Each literature is internally coherent and, in its own terms, mature. Neither has produced the object this study targets: an identified elasticity of delivered data with respect to engineered margin. The object falls in the gap between them.</w:t>
      </w:r>
    </w:p>
    <w:p>
      <w:pPr>
        <w:pStyle w:val="BodyText"/>
        <w:spacing w:line="480" w:lineRule="auto"/>
        <w:ind w:firstLine="720"/>
      </w:pPr>
      <w:r>
        <w:t xml:space="preserve">This chapter proceeds in five movements. Section 2.2 reviews the link-budget physics and the deterministic engineering tradition that treats data return as a per-mission calculation rather than a cross-mission empirical regularity. Section 2.3 reviews the channel-characterization and atmospheric-forecasting literature that has made the propagation environment a measurable, predictable quantity, and that supplies both a covariate and a candidate instrument for the present design. Section 2.4 reviews the ground-segment, pointing-control, and margin-recovery literature, establishing that margin is purchased through several substitutable mechanisms whose interaction the deterministic budget does not price. Section 2.5 reviews the cliometric and econometric methodology that this study imports, including the space-economy framing of downlink as infrastructure. Section 2.6 synthesizes the two literatures, states the gap precisely, and locates the dissertation’s contribution at the unoccupied bridge between them.</w:t>
      </w:r>
    </w:p>
    <w:bookmarkEnd w:id="68"/>
    <w:bookmarkStart w:id="69" w:name="Xa68b8d903bee9c2d3147c39eec4807713e5d9c9"/>
    <w:p>
      <w:pPr>
        <w:pStyle w:val="Heading2"/>
        <w:spacing w:line="480" w:lineRule="auto"/>
      </w:pPr>
      <w:r>
        <w:t xml:space="preserve">2.2 The link-budget tradition: a deterministic accounting of delivered bits</w:t>
      </w:r>
    </w:p>
    <w:p>
      <w:pPr>
        <w:pStyle w:val="FirstParagraph"/>
        <w:spacing w:line="480" w:lineRule="auto"/>
      </w:pPr>
      <w:r>
        <w:t xml:space="preserve">The foundational object of space communications is the link budget, an accounting in decibels of transmitted power, antenna and aperture gains, free-space and atmospheric losses, and receiver sensitivity, summed to a residual margin above the threshold the receiver requires to close the link at a chosen rate. The canonical reference framework is the Deep Space Network Telecommunications Link Design Handbook (810-005), which codifies the frequency-band conventions, modulation and coding allocations, and budget-construction methodology for S-, X-, and Ka-band deep-space links</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Handbook’s treatment of telemetry data decoding fixes the energy-per-bit requirement that, together with the available carrier-to-noise spectral density, determines the maximum supported information rate</w:t>
      </w:r>
      <w:r>
        <w:t xml:space="preserve"> </w:t>
      </w:r>
      <w:hyperlink w:anchor="ref-8">
        <w:r>
          <w:rPr>
            <w:rStyle w:val="Hyperlink"/>
          </w:rPr>
          <w:t xml:space="preserve">[8]</w:t>
        </w:r>
      </w:hyperlink>
      <w:r>
        <w:t xml:space="preserve">. This relationship is the operational heart of the link budget: the supported rate is the available carrier-to-noise density divided by the energy-per-bit threshold set by the coding and modulation scheme. The Friis transmission relation underlies the budget, with received power scaling as the product of transmitter power and the gains of the spacecraft and ground antennas, and falling with the square of distance through free-space path loss</w:t>
      </w:r>
      <w:r>
        <w:t xml:space="preserve"> </w:t>
      </w:r>
      <w:hyperlink w:anchor="ref-18">
        <w:r>
          <w:rPr>
            <w:rStyle w:val="Hyperlink"/>
          </w:rPr>
          <w:t xml:space="preserve">[18]</w:t>
        </w:r>
      </w:hyperlink>
      <w:r>
        <w:t xml:space="preserve">.</w:t>
      </w:r>
    </w:p>
    <w:p>
      <w:pPr>
        <w:pStyle w:val="BodyText"/>
        <w:spacing w:line="480" w:lineRule="auto"/>
        <w:ind w:firstLine="720"/>
      </w:pPr>
      <w:r>
        <w:t xml:space="preserve">The engineering literature elaborates this identity mission by mission with extraordinary care. The DESCANSO Design and Performance Summary Series provides design control tables and performance summaries for individual flight programs: the Mars Reconnaissance Orbiter, whose X-band link delivered megabit-class rates and whose Ka-band demonstration isolated the frequency-band advantage</w:t>
      </w:r>
      <w:r>
        <w:t xml:space="preserve"> </w:t>
      </w:r>
      <w:hyperlink w:anchor="ref-11">
        <w:r>
          <w:rPr>
            <w:rStyle w:val="Hyperlink"/>
          </w:rPr>
          <w:t xml:space="preserve">[11]</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Cassini, with its four-meter high-gain antenna and Saturn-distance geometry</w:t>
      </w:r>
      <w:r>
        <w:t xml:space="preserve"> </w:t>
      </w:r>
      <w:hyperlink w:anchor="ref-12">
        <w:r>
          <w:rPr>
            <w:rStyle w:val="Hyperlink"/>
          </w:rPr>
          <w:t xml:space="preserve">[12]</w:t>
        </w:r>
      </w:hyperlink>
      <w:r>
        <w:t xml:space="preserve">,</w:t>
      </w:r>
      <w:r>
        <w:t xml:space="preserve"> </w:t>
      </w:r>
      <w:hyperlink w:anchor="ref-24">
        <w:r>
          <w:rPr>
            <w:rStyle w:val="Hyperlink"/>
          </w:rPr>
          <w:t xml:space="preserve">[24]</w:t>
        </w:r>
      </w:hyperlink>
      <w:r>
        <w:t xml:space="preserve">; Juno, whose Ka translator supports gravity science at low power</w:t>
      </w:r>
      <w:r>
        <w:t xml:space="preserve"> </w:t>
      </w:r>
      <w:hyperlink w:anchor="ref-13">
        <w:r>
          <w:rPr>
            <w:rStyle w:val="Hyperlink"/>
          </w:rPr>
          <w:t xml:space="preserve">[13]</w:t>
        </w:r>
      </w:hyperlink>
      <w:r>
        <w:t xml:space="preserve">,</w:t>
      </w:r>
      <w:r>
        <w:t xml:space="preserve"> </w:t>
      </w:r>
      <w:hyperlink w:anchor="ref-23">
        <w:r>
          <w:rPr>
            <w:rStyle w:val="Hyperlink"/>
          </w:rPr>
          <w:t xml:space="preserve">[23]</w:t>
        </w:r>
      </w:hyperlink>
      <w:r>
        <w:t xml:space="preserve">; the Voyagers, whose interstellar floor near a few tens of bits per second isolates the range penalty across two decades of distance with a fixed antenna and amplifier</w:t>
      </w:r>
      <w:r>
        <w:t xml:space="preserve"> </w:t>
      </w:r>
      <w:hyperlink w:anchor="ref-14">
        <w:r>
          <w:rPr>
            <w:rStyle w:val="Hyperlink"/>
          </w:rPr>
          <w:t xml:space="preserve">[14]</w:t>
        </w:r>
      </w:hyperlink>
      <w:r>
        <w:t xml:space="preserve">; and Galileo, whose forced retreat from a high-gain design to a 160-bit-per-second low-gain contingency after the antenna failed to deploy supplies a near-controlled isolation of the aperture term</w:t>
      </w:r>
      <w:r>
        <w:t xml:space="preserve"> </w:t>
      </w:r>
      <w:hyperlink w:anchor="ref-15">
        <w:r>
          <w:rPr>
            <w:rStyle w:val="Hyperlink"/>
          </w:rPr>
          <w:t xml:space="preserve">[15]</w:t>
        </w:r>
      </w:hyperlink>
      <w:r>
        <w:t xml:space="preserve">,</w:t>
      </w:r>
      <w:r>
        <w:t xml:space="preserve"> </w:t>
      </w:r>
      <w:hyperlink w:anchor="ref-20">
        <w:r>
          <w:rPr>
            <w:rStyle w:val="Hyperlink"/>
          </w:rPr>
          <w:t xml:space="preserve">[20]</w:t>
        </w:r>
      </w:hyperlink>
      <w:r>
        <w:t xml:space="preserve">. The New Horizons radio-frequency telecommunications system documents kilobit-class return at Pluto distance</w:t>
      </w:r>
      <w:r>
        <w:t xml:space="preserve"> </w:t>
      </w:r>
      <w:hyperlink w:anchor="ref-16">
        <w:r>
          <w:rPr>
            <w:rStyle w:val="Hyperlink"/>
          </w:rPr>
          <w:t xml:space="preserve">[16]</w:t>
        </w:r>
      </w:hyperlink>
      <w:r>
        <w:t xml:space="preserve">,</w:t>
      </w:r>
      <w:r>
        <w:t xml:space="preserve"> </w:t>
      </w:r>
      <w:hyperlink w:anchor="ref-25">
        <w:r>
          <w:rPr>
            <w:rStyle w:val="Hyperlink"/>
          </w:rPr>
          <w:t xml:space="preserve">[25]</w:t>
        </w:r>
      </w:hyperlink>
      <w:r>
        <w:t xml:space="preserve">. The monograph series consolidates these design practices into a coherent body of deep-space communications engineering</w:t>
      </w:r>
      <w:r>
        <w:t xml:space="preserve"> </w:t>
      </w:r>
      <w:hyperlink w:anchor="ref-18">
        <w:r>
          <w:rPr>
            <w:rStyle w:val="Hyperlink"/>
          </w:rPr>
          <w:t xml:space="preserve">[18]</w:t>
        </w:r>
      </w:hyperlink>
      <w:r>
        <w:t xml:space="preserve">.</w:t>
      </w:r>
    </w:p>
    <w:p>
      <w:pPr>
        <w:pStyle w:val="BodyText"/>
        <w:spacing w:line="480" w:lineRule="auto"/>
        <w:ind w:firstLine="720"/>
      </w:pPr>
      <w:r>
        <w:t xml:space="preserve">Two features of this tradition are decisive for the present study. First, the link budget is treated as a deterministic per-mission calculation. Within any one mission’s design book the physics is established and the margin is computed to a fixed reserve; the question of how achieved return varies with margin across heterogeneous missions, or pass to pass within a mission, is not posed as an empirical regularity to be estimated. Second, the documented endpoints of the historical fleet constitute an unexploited cross-section. The Voyager 160-bit-per-second interstellar floor</w:t>
      </w:r>
      <w:r>
        <w:t xml:space="preserve"> </w:t>
      </w:r>
      <w:hyperlink w:anchor="ref-14">
        <w:r>
          <w:rPr>
            <w:rStyle w:val="Hyperlink"/>
          </w:rPr>
          <w:t xml:space="preserve">[14]</w:t>
        </w:r>
      </w:hyperlink>
      <w:r>
        <w:t xml:space="preserve">, the Galileo low-gain 160-bit-per-second ceiling</w:t>
      </w:r>
      <w:r>
        <w:t xml:space="preserve"> </w:t>
      </w:r>
      <w:hyperlink w:anchor="ref-15">
        <w:r>
          <w:rPr>
            <w:rStyle w:val="Hyperlink"/>
          </w:rPr>
          <w:t xml:space="preserve">[15]</w:t>
        </w:r>
      </w:hyperlink>
      <w:r>
        <w:t xml:space="preserve">,</w:t>
      </w:r>
      <w:r>
        <w:t xml:space="preserve"> </w:t>
      </w:r>
      <w:hyperlink w:anchor="ref-20">
        <w:r>
          <w:rPr>
            <w:rStyle w:val="Hyperlink"/>
          </w:rPr>
          <w:t xml:space="preserve">[20]</w:t>
        </w:r>
      </w:hyperlink>
      <w:r>
        <w:t xml:space="preserve">, the Mars Reconnaissance Orbiter six-megabit-per-second Ka peak</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the New Horizons kilobit return near Pluto</w:t>
      </w:r>
      <w:r>
        <w:t xml:space="preserve"> </w:t>
      </w:r>
      <w:hyperlink w:anchor="ref-16">
        <w:r>
          <w:rPr>
            <w:rStyle w:val="Hyperlink"/>
          </w:rPr>
          <w:t xml:space="preserve">[16]</w:t>
        </w:r>
      </w:hyperlink>
      <w:r>
        <w:t xml:space="preserve">, and the spans of antenna diameter from sub-meter reflectors to the largest design dishes, are physical drivers documented row by row, each tied to a published engineering source. The deterministic tradition reads these as confirmations of the link equation within each mission. It does not read them as observations in a regression that recovers the structural elasticities of the link equation across missions, nor does it convert the engineered reserve into the economic quantity a planner could trade against cost.</w:t>
      </w:r>
    </w:p>
    <w:p>
      <w:pPr>
        <w:pStyle w:val="BodyText"/>
        <w:spacing w:line="480" w:lineRule="auto"/>
        <w:ind w:firstLine="720"/>
      </w:pPr>
      <w:r>
        <w:t xml:space="preserve">The frequency-migration history of the Deep Space Network reinforces this point. The network’s documented progression from S-band through X-band to Ka-band as the primary downlink reflects the gain and bandwidth advantage that higher frequency confers on a fixed aperture, and the three-complex ground architecture establishes the fixed ground apertures against which every link closes</w:t>
      </w:r>
      <w:r>
        <w:t xml:space="preserve"> </w:t>
      </w:r>
      <w:hyperlink w:anchor="ref-10">
        <w:r>
          <w:rPr>
            <w:rStyle w:val="Hyperlink"/>
          </w:rPr>
          <w:t xml:space="preserve">[10]</w:t>
        </w:r>
      </w:hyperlink>
      <w:r>
        <w:t xml:space="preserve">. The migration is described qualitatively as an engineering response to the gain ceiling; it is not quantified as a band coefficient estimated from delivered-rate data. The most recent frontier, the Deep Space Optical Communications demonstration on Psyche, extends the rate ceiling by escaping the radio-frequency gain limit altogether, returning high rates over interplanetary distance through a laser downlink</w:t>
      </w:r>
      <w:r>
        <w:t xml:space="preserve"> </w:t>
      </w:r>
      <w:hyperlink w:anchor="ref-17">
        <w:r>
          <w:rPr>
            <w:rStyle w:val="Hyperlink"/>
          </w:rPr>
          <w:t xml:space="preserve">[17]</w:t>
        </w:r>
      </w:hyperlink>
      <w:r>
        <w:t xml:space="preserve">,</w:t>
      </w:r>
      <w:r>
        <w:t xml:space="preserve"> </w:t>
      </w:r>
      <w:hyperlink w:anchor="ref-26">
        <w:r>
          <w:rPr>
            <w:rStyle w:val="Hyperlink"/>
          </w:rPr>
          <w:t xml:space="preserve">[26]</w:t>
        </w:r>
      </w:hyperlink>
      <w:r>
        <w:t xml:space="preserve">. The optical frontier is where the deterministic budget meets its most acute limitation, because the optical channel is dominated by atmospheric variability that no static reserve fully captures, which motivates the channel literature reviewed next.</w:t>
      </w:r>
    </w:p>
    <w:bookmarkEnd w:id="69"/>
    <w:bookmarkStart w:id="70" w:name="Xd0f86523f20496a6f37459a7ad40a92bce4b2c1"/>
    <w:p>
      <w:pPr>
        <w:pStyle w:val="Heading2"/>
        <w:spacing w:line="480" w:lineRule="auto"/>
      </w:pPr>
      <w:r>
        <w:t xml:space="preserve">2.3 Channel characterization and atmospheric forecasting: the propagation environment as a measured, predictable quantity</w:t>
      </w:r>
    </w:p>
    <w:p>
      <w:pPr>
        <w:pStyle w:val="FirstParagraph"/>
        <w:spacing w:line="480" w:lineRule="auto"/>
      </w:pPr>
      <w:r>
        <w:t xml:space="preserve">In radio-frequency deep-space links the gap between the nominal channel and the channel encountered in operations is dominated by geometry and slowly varying losses that the static budget handles well. In optical free-space links the gap is dominated by the atmosphere, where cloud, turbulence, and scintillation impose fades that no amount of transmit power fully removes. A substantial literature has accordingly made the propagation environment a measurable, site-specific quantity. Felton and Alliss characterize Haleakala as a candidate ground site for laser communications, quantifying weather and turbulence statistics and establishing that site quality is not a nuisance abstraction but a measurable, site-specific variable with a documented distribution</w:t>
      </w:r>
      <w:r>
        <w:t xml:space="preserve"> </w:t>
      </w:r>
      <w:hyperlink w:anchor="ref-1">
        <w:r>
          <w:rPr>
            <w:rStyle w:val="Hyperlink"/>
          </w:rPr>
          <w:t xml:space="preserve">[1]</w:t>
        </w:r>
      </w:hyperlink>
      <w:r>
        <w:t xml:space="preserve">,</w:t>
      </w:r>
      <w:r>
        <w:t xml:space="preserve"> </w:t>
      </w:r>
      <w:hyperlink w:anchor="ref-31">
        <w:r>
          <w:rPr>
            <w:rStyle w:val="Hyperlink"/>
          </w:rPr>
          <w:t xml:space="preserve">[31]</w:t>
        </w:r>
      </w:hyperlink>
      <w:r>
        <w:t xml:space="preserve">. The companion body of cloud-forecasting work establishes that channel availability can be forecast in support of space-based applications, treating cloud presence as a predictable random field rather than an irreducible uncertainty</w:t>
      </w:r>
      <w:r>
        <w:t xml:space="preserve"> </w:t>
      </w:r>
      <w:hyperlink w:anchor="ref-32">
        <w:r>
          <w:rPr>
            <w:rStyle w:val="Hyperlink"/>
          </w:rPr>
          <w:t xml:space="preserve">[32]</w:t>
        </w:r>
      </w:hyperlink>
      <w:r>
        <w:t xml:space="preserve">.</w:t>
      </w:r>
    </w:p>
    <w:p>
      <w:pPr>
        <w:pStyle w:val="BodyText"/>
        <w:spacing w:line="480" w:lineRule="auto"/>
        <w:ind w:firstLine="720"/>
      </w:pPr>
      <w:r>
        <w:t xml:space="preserve">The forecasting program matured into machine-learning models that predict optical channel conditions directly. Russell, Alliss, and Felton develop a deep-learning algorithm to optimize the forecast of atmospherics, demonstrating that the optical transmission of the path can be predicted with documented skill</w:t>
      </w:r>
      <w:r>
        <w:t xml:space="preserve"> </w:t>
      </w:r>
      <w:hyperlink w:anchor="ref-2">
        <w:r>
          <w:rPr>
            <w:rStyle w:val="Hyperlink"/>
          </w:rPr>
          <w:t xml:space="preserve">[2]</w:t>
        </w:r>
      </w:hyperlink>
      <w:r>
        <w:t xml:space="preserve">. This result is doubly consequential for the present study. As a covariate, the cloud-free line-of-sight and transmission characterizations of the type Felton and Alliss produced supply the site-quality control that separates the causal effect of booked margin from the confound of site adversity</w:t>
      </w:r>
      <w:r>
        <w:t xml:space="preserve"> </w:t>
      </w:r>
      <w:hyperlink w:anchor="ref-1">
        <w:r>
          <w:rPr>
            <w:rStyle w:val="Hyperlink"/>
          </w:rPr>
          <w:t xml:space="preserve">[1]</w:t>
        </w:r>
      </w:hyperlink>
      <w:r>
        <w:t xml:space="preserve">,</w:t>
      </w:r>
      <w:r>
        <w:t xml:space="preserve"> </w:t>
      </w:r>
      <w:hyperlink w:anchor="ref-31">
        <w:r>
          <w:rPr>
            <w:rStyle w:val="Hyperlink"/>
          </w:rPr>
          <w:t xml:space="preserve">[31]</w:t>
        </w:r>
      </w:hyperlink>
      <w:r>
        <w:t xml:space="preserve">. As a candidate instrument, the documented forecast skill establishes exogenous variation in expected channel state that shifts realized margin without entering the return equation except through margin, which is the identifying variation the design exploits</w:t>
      </w:r>
      <w:r>
        <w:t xml:space="preserve"> </w:t>
      </w:r>
      <w:hyperlink w:anchor="ref-2">
        <w:r>
          <w:rPr>
            <w:rStyle w:val="Hyperlink"/>
          </w:rPr>
          <w:t xml:space="preserve">[2]</w:t>
        </w:r>
      </w:hyperlink>
      <w:r>
        <w:t xml:space="preserve">. The atmospheric literature thus furnishes both the principal control and the source of exogenous shifts that the econometric strategy requires, even though that literature itself never poses an econometric question.</w:t>
      </w:r>
    </w:p>
    <w:p>
      <w:pPr>
        <w:pStyle w:val="BodyText"/>
        <w:spacing w:line="480" w:lineRule="auto"/>
        <w:ind w:firstLine="720"/>
      </w:pPr>
      <w:r>
        <w:t xml:space="preserve">Passive optical link-budget work for low-Earth-orbit space surveillance complements the characterization literature by constructing budgets in which atmospheric transmission enters as a first-order term</w:t>
      </w:r>
      <w:r>
        <w:t xml:space="preserve"> </w:t>
      </w:r>
      <w:hyperlink w:anchor="ref-28">
        <w:r>
          <w:rPr>
            <w:rStyle w:val="Hyperlink"/>
          </w:rPr>
          <w:t xml:space="preserve">[28]</w:t>
        </w:r>
      </w:hyperlink>
      <w:r>
        <w:t xml:space="preserve">. Ground-based laser observation programs for resident space objects, including the ArianeGroup observation capabilities and the broader space-based telescope refinement efforts, treat the atmospheric path and pointing geometry as the binding constraints on achievable signal</w:t>
      </w:r>
      <w:r>
        <w:t xml:space="preserve"> </w:t>
      </w:r>
      <w:hyperlink w:anchor="ref-29">
        <w:r>
          <w:rPr>
            <w:rStyle w:val="Hyperlink"/>
          </w:rPr>
          <w:t xml:space="preserve">[29]</w:t>
        </w:r>
      </w:hyperlink>
      <w:r>
        <w:t xml:space="preserve">,</w:t>
      </w:r>
      <w:r>
        <w:t xml:space="preserve"> </w:t>
      </w:r>
      <w:hyperlink w:anchor="ref-33">
        <w:r>
          <w:rPr>
            <w:rStyle w:val="Hyperlink"/>
          </w:rPr>
          <w:t xml:space="preserve">[33]</w:t>
        </w:r>
      </w:hyperlink>
      <w:r>
        <w:t xml:space="preserve">. These programs establish that the propagation channel is not only measurable but operationally consequential: the difference between a closing and a non-closing pass is frequently the atmospheric state at the serving site, which is precisely the pass-to-pass variation that a panel of pass-level link records exposes. The adjacent astronomical-instrumentation literature, which characterizes large-aperture telescope performance and the atmospheric and instrumental terms that bound it, reinforces the principle that performance is a function of a measurable channel rather than a fixed specification</w:t>
      </w:r>
      <w:r>
        <w:t xml:space="preserve"> </w:t>
      </w:r>
      <w:hyperlink w:anchor="ref-34">
        <w:r>
          <w:rPr>
            <w:rStyle w:val="Hyperlink"/>
          </w:rPr>
          <w:t xml:space="preserve">[34]</w:t>
        </w:r>
      </w:hyperlink>
      <w:r>
        <w:t xml:space="preserve">,</w:t>
      </w:r>
      <w:r>
        <w:t xml:space="preserve"> </w:t>
      </w:r>
      <w:hyperlink w:anchor="ref-35">
        <w:r>
          <w:rPr>
            <w:rStyle w:val="Hyperlink"/>
          </w:rPr>
          <w:t xml:space="preserve">[35]</w:t>
        </w:r>
      </w:hyperlink>
      <w:r>
        <w:t xml:space="preserve">.</w:t>
      </w:r>
    </w:p>
    <w:p>
      <w:pPr>
        <w:pStyle w:val="BodyText"/>
        <w:spacing w:line="480" w:lineRule="auto"/>
        <w:ind w:firstLine="720"/>
      </w:pPr>
      <w:r>
        <w:t xml:space="preserve">What the channel literature does not do is connect the predictable channel to delivered data through an estimated production function. It models the channel as a random variable, forecasts it, and characterizes the sites; it stops short of asking how many additional bits a marginal decibel of engineered reserve returns once the channel is conditioned. The literature has, in other words, built every ingredient of the regressor set and the instrument while leaving the regression itself unestimated.</w:t>
      </w:r>
    </w:p>
    <w:bookmarkEnd w:id="70"/>
    <w:bookmarkStart w:id="71" w:name="Xa8115436cbcd8b4fb9f885a2ab5135465c2d070"/>
    <w:p>
      <w:pPr>
        <w:pStyle w:val="Heading2"/>
        <w:spacing w:line="480" w:lineRule="auto"/>
      </w:pPr>
      <w:r>
        <w:t xml:space="preserve">2.4 Ground segment, pointing control, and the substitutable mechanisms of margin</w:t>
      </w:r>
    </w:p>
    <w:p>
      <w:pPr>
        <w:pStyle w:val="FirstParagraph"/>
        <w:spacing w:line="480" w:lineRule="auto"/>
      </w:pPr>
      <w:r>
        <w:t xml:space="preserve">A third strand of the engineering literature establishes that margin is not a single dial but a quantity assembled from several substitutable mechanisms, an observation that complicates any deterministic margin-to-return mapping and that the present study must accommodate. The most direct demonstration is adaptive optics. Bennet and colleagues show that adaptive optics can recover a free-space link degraded by atmospheric turbulence, restoring a quantum communication link that turbulence had broken</w:t>
      </w:r>
      <w:r>
        <w:t xml:space="preserve"> </w:t>
      </w:r>
      <w:hyperlink w:anchor="ref-4">
        <w:r>
          <w:rPr>
            <w:rStyle w:val="Hyperlink"/>
          </w:rPr>
          <w:t xml:space="preserve">[4]</w:t>
        </w:r>
      </w:hyperlink>
      <w:r>
        <w:t xml:space="preserve">. The implication is that margin can be bought through correction as well as through power: where adaptive-optics correction is active, the effective margin is endogenous to a control loop rather than to the static budget, and the margin-to-return mapping shifts accordingly. This is both a substantive finding and a methodological warning, because it means that two passes with the same nominal budget margin may realize different effective margins depending on whether correction was engaged.</w:t>
      </w:r>
    </w:p>
    <w:p>
      <w:pPr>
        <w:pStyle w:val="BodyText"/>
        <w:spacing w:line="480" w:lineRule="auto"/>
        <w:ind w:firstLine="720"/>
      </w:pPr>
      <w:r>
        <w:t xml:space="preserve">Pointing and control allocation constitute a second margin mechanism. Rüddenklau and Schitter study control allocation in over-actuated satellite laser-communication systems, where pointing margin is the binding constraint and over-actuation must be allocated across redundant actuators</w:t>
      </w:r>
      <w:r>
        <w:t xml:space="preserve"> </w:t>
      </w:r>
      <w:hyperlink w:anchor="ref-7">
        <w:r>
          <w:rPr>
            <w:rStyle w:val="Hyperlink"/>
          </w:rPr>
          <w:t xml:space="preserve">[7]</w:t>
        </w:r>
      </w:hyperlink>
      <w:r>
        <w:t xml:space="preserve">. Their work establishes that pointing and tracking error can depress achieved return independently of atmospheric margin, so that a shortfall attributed to the channel may in fact originate in the control system. For the identification strategy this is a measurement threat: distinguishing channel-limited shortfall from pointing or terminal faults requires the control-system context that the over-actuation literature supplies, and passes with documented non-atmospheric anomalies must be flagged and analyzed separately rather than pooled with channel-limited passes.</w:t>
      </w:r>
    </w:p>
    <w:p>
      <w:pPr>
        <w:pStyle w:val="BodyText"/>
        <w:spacing w:line="480" w:lineRule="auto"/>
        <w:ind w:firstLine="720"/>
      </w:pPr>
      <w:r>
        <w:t xml:space="preserve">The link-closure literature for moving platforms further establishes the geometric covariates the design requires. Knopp and colleagues study the utilization of optical ground-to-space links for low-Earth-orbiting spacecraft and the link-closure conditions those geometries impose, where elevation angle and slant range vary rapidly within a pass</w:t>
      </w:r>
      <w:r>
        <w:t xml:space="preserve"> </w:t>
      </w:r>
      <w:hyperlink w:anchor="ref-5">
        <w:r>
          <w:rPr>
            <w:rStyle w:val="Hyperlink"/>
          </w:rPr>
          <w:t xml:space="preserve">[5]</w:t>
        </w:r>
      </w:hyperlink>
      <w:r>
        <w:t xml:space="preserve">. Kim and colleagues design a laser crosslink concept for formation-flying nanosatellites, in which the link budget must close across relative motion and limited aperture</w:t>
      </w:r>
      <w:r>
        <w:t xml:space="preserve"> </w:t>
      </w:r>
      <w:hyperlink w:anchor="ref-6">
        <w:r>
          <w:rPr>
            <w:rStyle w:val="Hyperlink"/>
          </w:rPr>
          <w:t xml:space="preserve">[6]</w:t>
        </w:r>
      </w:hyperlink>
      <w:r>
        <w:t xml:space="preserve">. Microsatellite laser communication terminals demonstrate that compact terminals can close links under tight mass and power budgets, again with pointing as the binding term</w:t>
      </w:r>
      <w:r>
        <w:t xml:space="preserve"> </w:t>
      </w:r>
      <w:hyperlink w:anchor="ref-27">
        <w:r>
          <w:rPr>
            <w:rStyle w:val="Hyperlink"/>
          </w:rPr>
          <w:t xml:space="preserve">[27]</w:t>
        </w:r>
      </w:hyperlink>
      <w:r>
        <w:t xml:space="preserve">. Relay-topology assessments for Earth-Mars communications quantify how network architecture buys back the geometric distance penalty, establishing that ground-segment and relay investment substitute for spacecraft-side margin</w:t>
      </w:r>
      <w:r>
        <w:t xml:space="preserve"> </w:t>
      </w:r>
      <w:hyperlink w:anchor="ref-19">
        <w:r>
          <w:rPr>
            <w:rStyle w:val="Hyperlink"/>
          </w:rPr>
          <w:t xml:space="preserve">[19]</w:t>
        </w:r>
      </w:hyperlink>
      <w:r>
        <w:t xml:space="preserve">. The smallsat and constellation literature, including staged deployment of mega-constellations under demand uncertainty and constellation architecting for messaging service, treats downlink capacity as a designed resource allocated under uncertainty</w:t>
      </w:r>
      <w:r>
        <w:t xml:space="preserve"> </w:t>
      </w:r>
      <w:hyperlink w:anchor="ref-37">
        <w:r>
          <w:rPr>
            <w:rStyle w:val="Hyperlink"/>
          </w:rPr>
          <w:t xml:space="preserve">[37]</w:t>
        </w:r>
      </w:hyperlink>
      <w:r>
        <w:t xml:space="preserve">,</w:t>
      </w:r>
      <w:r>
        <w:t xml:space="preserve"> </w:t>
      </w:r>
      <w:hyperlink w:anchor="ref-42">
        <w:r>
          <w:rPr>
            <w:rStyle w:val="Hyperlink"/>
          </w:rPr>
          <w:t xml:space="preserve">[42]</w:t>
        </w:r>
      </w:hyperlink>
      <w:r>
        <w:t xml:space="preserve">. On-orbit demonstrations of near-real-time communication for time-domain astronomy and integrated payload-management systems for multi-payload smallsats establish that achieved return is mediated by scheduling and onboard resource allocation as well as by the physical channel</w:t>
      </w:r>
      <w:r>
        <w:t xml:space="preserve"> </w:t>
      </w:r>
      <w:hyperlink w:anchor="ref-39">
        <w:r>
          <w:rPr>
            <w:rStyle w:val="Hyperlink"/>
          </w:rPr>
          <w:t xml:space="preserve">[39]</w:t>
        </w:r>
      </w:hyperlink>
      <w:r>
        <w:t xml:space="preserve">,</w:t>
      </w:r>
      <w:r>
        <w:t xml:space="preserve"> </w:t>
      </w:r>
      <w:hyperlink w:anchor="ref-40">
        <w:r>
          <w:rPr>
            <w:rStyle w:val="Hyperlink"/>
          </w:rPr>
          <w:t xml:space="preserve">[40]</w:t>
        </w:r>
      </w:hyperlink>
      <w:r>
        <w:t xml:space="preserve">. Autonomous scheduling work, including reinforcement learning for space-to-space surveillance imaging and operational-constraint studies of in-flight maneuvers, demonstrates that operational policy itself shapes which passes close at rate</w:t>
      </w:r>
      <w:r>
        <w:t xml:space="preserve"> </w:t>
      </w:r>
      <w:hyperlink w:anchor="ref-30">
        <w:r>
          <w:rPr>
            <w:rStyle w:val="Hyperlink"/>
          </w:rPr>
          <w:t xml:space="preserve">[30]</w:t>
        </w:r>
      </w:hyperlink>
      <w:r>
        <w:t xml:space="preserve">,</w:t>
      </w:r>
      <w:r>
        <w:t xml:space="preserve"> </w:t>
      </w:r>
      <w:hyperlink w:anchor="ref-41">
        <w:r>
          <w:rPr>
            <w:rStyle w:val="Hyperlink"/>
          </w:rPr>
          <w:t xml:space="preserve">[41]</w:t>
        </w:r>
      </w:hyperlink>
      <w:r>
        <w:t xml:space="preserve">. Navigation and timing studies for planetary operations, such as the semi-autonomous Mars navigation-satellite assessment, extend the same logic to the geometry of service</w:t>
      </w:r>
      <w:r>
        <w:t xml:space="preserve"> </w:t>
      </w:r>
      <w:hyperlink w:anchor="ref-36">
        <w:r>
          <w:rPr>
            <w:rStyle w:val="Hyperlink"/>
          </w:rPr>
          <w:t xml:space="preserve">[36]</w:t>
        </w:r>
      </w:hyperlink>
      <w:r>
        <w:t xml:space="preserve">.</w:t>
      </w:r>
    </w:p>
    <w:p>
      <w:pPr>
        <w:pStyle w:val="BodyText"/>
        <w:spacing w:line="480" w:lineRule="auto"/>
        <w:ind w:firstLine="720"/>
      </w:pPr>
      <w:r>
        <w:t xml:space="preserve">The unifying lesson of this strand is that the realized margin on any given pass is the joint product of the static budget, the atmospheric state, the correction loop, the pointing system, the ground aperture and arraying configuration, and the scheduling policy. The deterministic budget prices none of these interactions; it computes a single reserve under nominal assumptions. This multiplicity is exactly why a naive regression of return on margin is confounded, and why the present study conditions on site quality and geometry, instruments the booked-versus-realized margin, and isolates the adaptive-optics subsample as a robustness check.</w:t>
      </w:r>
    </w:p>
    <w:bookmarkEnd w:id="71"/>
    <w:bookmarkStart w:id="72" w:name="X8a92e3efc1fe98d0f0309dae0b5b105a39b4b7f"/>
    <w:p>
      <w:pPr>
        <w:pStyle w:val="Heading2"/>
        <w:spacing w:line="480" w:lineRule="auto"/>
      </w:pPr>
      <w:r>
        <w:t xml:space="preserve">2.5 The cliometric and econometric tradition and the economics of downlink capacity</w:t>
      </w:r>
    </w:p>
    <w:p>
      <w:pPr>
        <w:pStyle w:val="FirstParagraph"/>
        <w:spacing w:line="480" w:lineRule="auto"/>
      </w:pPr>
      <w:r>
        <w:t xml:space="preserve">The methodological lineage this dissertation imports is the cliometric tradition of recovering structural parameters from the observational record of a complex system whose underlying physics or institutions are understood but whose realized outcomes are governed by heterogeneity the analyst cannot fully observe. The logic of the approach is to take a multiplicative physical identity, linearize it in logarithms, and estimate the resulting additive specification across heterogeneous units, folding the unmodeled detail into a disturbance term and recovering the structural slopes as elasticities. Applied to the link budget, this logic converts the Friis identity into a regression of log achieved rate on log range, log aperture, log power, and a band indicator, in which the range coefficient should recover the inverse-square space-loss term and the aperture coefficient the square-law gain term. The preliminary cross-sectional studies that underpin this dissertation demonstrate the feasibility of the approach: a regression across documented deep-space links recovers a negative range elasticity near the inverse-square value and a positive aperture elasticity near the square-law value, with a fit tight enough that a handful of catalog specifications account for most of the spread in realized rate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These studies establish the econometric move as sound in the link-budget setting while exposing its principal limitation, namely that they regress rate on the physical antecedents of margin rather than on margin itself, leaving the elasticity of return with respect to engineered margin unestimated.</w:t>
      </w:r>
    </w:p>
    <w:p>
      <w:pPr>
        <w:pStyle w:val="BodyText"/>
        <w:spacing w:line="480" w:lineRule="auto"/>
        <w:ind w:firstLine="720"/>
      </w:pPr>
      <w:r>
        <w:t xml:space="preserve">The economics of space infrastructure supplies the second half of the methodological frame. The OCEA forecasting framework places ground stations and satellites in the infrastructure tier that enables downstream space-enabled applications, treating downlink capacity as a factor of production whose supply conditions the value of everything built upon it</w:t>
      </w:r>
      <w:r>
        <w:t xml:space="preserve"> </w:t>
      </w:r>
      <w:hyperlink w:anchor="ref-3">
        <w:r>
          <w:rPr>
            <w:rStyle w:val="Hyperlink"/>
          </w:rPr>
          <w:t xml:space="preserve">[3]</w:t>
        </w:r>
      </w:hyperlink>
      <w:r>
        <w:t xml:space="preserve">. This framing is essential because it establishes that delivered bits are an economic output with a shadow price, and that the engineered reserve protecting those bits is therefore an economic quantity rather than a purely technical one. Yet the space-economy literature does not estimate the technical production function that converts engineered link reserve into delivered bits. It treats downlink capacity as an input at a level of aggregation too coarse for a mission planner to use, pricing the infrastructure without resolving the margin-to-throughput mapping at the pass level. The economic literature thus knows that margin has value but cannot say what a decibel returns; the engineering literature can describe the physics of the decibel but does not price it.</w:t>
      </w:r>
    </w:p>
    <w:p>
      <w:pPr>
        <w:pStyle w:val="BodyText"/>
        <w:spacing w:line="480" w:lineRule="auto"/>
        <w:ind w:firstLine="720"/>
      </w:pPr>
      <w:r>
        <w:t xml:space="preserve">The cliometric tradition also supplies the identification machinery the design needs. The recognition that operators book margin in anticipation of conditions, so that margin correlates with unobserved site adversity, is the canonical selection problem that fixed-effects and instrumental-variable strategies were developed to address. A site-and-epoch fixed-effects panel absorbs time-invariant site quality and seasonal atmospheric structure, identifying the margin coefficient from within-site, within-season variation; an instrument constructed from exogenous atmospheric-forecast variation addresses the residual endogeneity in which operators raise margin in response to forecast degradation</w:t>
      </w:r>
      <w:r>
        <w:t xml:space="preserve"> </w:t>
      </w:r>
      <w:hyperlink w:anchor="ref-2">
        <w:r>
          <w:rPr>
            <w:rStyle w:val="Hyperlink"/>
          </w:rPr>
          <w:t xml:space="preserve">[2]</w:t>
        </w:r>
      </w:hyperlink>
      <w:r>
        <w:t xml:space="preserve">. The functional form is quadratic in margin to permit the concavity the central hypothesis predicts, with the turning point reported as a structural quantity. None of this machinery is novel in econometrics; what is novel is its application to the margin-to-return mapping in space communications, where the physical identity is unusually well understood and the channel literature has already constructed the instrument.</w:t>
      </w:r>
    </w:p>
    <w:bookmarkEnd w:id="72"/>
    <w:bookmarkStart w:id="73" w:name="X6f4268c73f306880b6395b76c3afc4137590f19"/>
    <w:p>
      <w:pPr>
        <w:pStyle w:val="Heading2"/>
        <w:spacing w:line="480" w:lineRule="auto"/>
      </w:pPr>
      <w:r>
        <w:t xml:space="preserve">2.6 Synthesis: the unoccupied bridge between the two literatures</w:t>
      </w:r>
    </w:p>
    <w:p>
      <w:pPr>
        <w:pStyle w:val="FirstParagraph"/>
        <w:spacing w:line="480" w:lineRule="auto"/>
      </w:pPr>
      <w:r>
        <w:t xml:space="preserve">The two literatures partition cleanly and do not meet. The engineering camp characterizes the optical and radio channel, documents the link budget mission by mission, forecasts atmospheric transmission as a predictable random variable, and demonstrates that margin can be bought through power, aperture, frequency, adaptive optics, pointing control, and ground-segment arraying</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w:t>
      </w:r>
      <w:r>
        <w:t xml:space="preserve"> </w:t>
      </w:r>
      <w:hyperlink w:anchor="ref-24">
        <w:r>
          <w:rPr>
            <w:rStyle w:val="Hyperlink"/>
          </w:rPr>
          <w:t xml:space="preserve">[24]</w:t>
        </w:r>
      </w:hyperlink>
      <w:r>
        <w:t xml:space="preserve">,</w:t>
      </w:r>
      <w:r>
        <w:t xml:space="preserve"> </w:t>
      </w:r>
      <w:hyperlink w:anchor="ref-25">
        <w:r>
          <w:rPr>
            <w:rStyle w:val="Hyperlink"/>
          </w:rPr>
          <w:t xml:space="preserve">[25]</w:t>
        </w:r>
      </w:hyperlink>
      <w:r>
        <w:t xml:space="preserve">,</w:t>
      </w:r>
      <w:r>
        <w:t xml:space="preserve"> </w:t>
      </w:r>
      <w:hyperlink w:anchor="ref-26">
        <w:r>
          <w:rPr>
            <w:rStyle w:val="Hyperlink"/>
          </w:rPr>
          <w:t xml:space="preserve">[26]</w:t>
        </w:r>
      </w:hyperlink>
      <w:r>
        <w:t xml:space="preserve">,</w:t>
      </w:r>
      <w:r>
        <w:t xml:space="preserve"> </w:t>
      </w:r>
      <w:hyperlink w:anchor="ref-27">
        <w:r>
          <w:rPr>
            <w:rStyle w:val="Hyperlink"/>
          </w:rPr>
          <w:t xml:space="preserve">[27]</w:t>
        </w:r>
      </w:hyperlink>
      <w:r>
        <w:t xml:space="preserve">,</w:t>
      </w:r>
      <w:r>
        <w:t xml:space="preserve"> </w:t>
      </w:r>
      <w:hyperlink w:anchor="ref-28">
        <w:r>
          <w:rPr>
            <w:rStyle w:val="Hyperlink"/>
          </w:rPr>
          <w:t xml:space="preserve">[28]</w:t>
        </w:r>
      </w:hyperlink>
      <w:r>
        <w:t xml:space="preserve">,</w:t>
      </w:r>
      <w:r>
        <w:t xml:space="preserve"> </w:t>
      </w:r>
      <w:hyperlink w:anchor="ref-29">
        <w:r>
          <w:rPr>
            <w:rStyle w:val="Hyperlink"/>
          </w:rPr>
          <w:t xml:space="preserve">[29]</w:t>
        </w:r>
      </w:hyperlink>
      <w:r>
        <w:t xml:space="preserve">,</w:t>
      </w:r>
      <w:r>
        <w:t xml:space="preserve"> </w:t>
      </w:r>
      <w:hyperlink w:anchor="ref-30">
        <w:r>
          <w:rPr>
            <w:rStyle w:val="Hyperlink"/>
          </w:rPr>
          <w:t xml:space="preserve">[30]</w:t>
        </w:r>
      </w:hyperlink>
      <w:r>
        <w:t xml:space="preserve">,</w:t>
      </w:r>
      <w:r>
        <w:t xml:space="preserve"> </w:t>
      </w:r>
      <w:hyperlink w:anchor="ref-31">
        <w:r>
          <w:rPr>
            <w:rStyle w:val="Hyperlink"/>
          </w:rPr>
          <w:t xml:space="preserve">[31]</w:t>
        </w:r>
      </w:hyperlink>
      <w:r>
        <w:t xml:space="preserve">,</w:t>
      </w:r>
      <w:r>
        <w:t xml:space="preserve"> </w:t>
      </w:r>
      <w:hyperlink w:anchor="ref-32">
        <w:r>
          <w:rPr>
            <w:rStyle w:val="Hyperlink"/>
          </w:rPr>
          <w:t xml:space="preserve">[32]</w:t>
        </w:r>
      </w:hyperlink>
      <w:r>
        <w:t xml:space="preserve">,</w:t>
      </w:r>
      <w:r>
        <w:t xml:space="preserve"> </w:t>
      </w:r>
      <w:hyperlink w:anchor="ref-33">
        <w:r>
          <w:rPr>
            <w:rStyle w:val="Hyperlink"/>
          </w:rPr>
          <w:t xml:space="preserve">[33]</w:t>
        </w:r>
      </w:hyperlink>
      <w:r>
        <w:t xml:space="preserve">,</w:t>
      </w:r>
      <w:r>
        <w:t xml:space="preserve"> </w:t>
      </w:r>
      <w:hyperlink w:anchor="ref-34">
        <w:r>
          <w:rPr>
            <w:rStyle w:val="Hyperlink"/>
          </w:rPr>
          <w:t xml:space="preserve">[34]</w:t>
        </w:r>
      </w:hyperlink>
      <w:r>
        <w:t xml:space="preserve">,</w:t>
      </w:r>
      <w:r>
        <w:t xml:space="preserve"> </w:t>
      </w:r>
      <w:hyperlink w:anchor="ref-35">
        <w:r>
          <w:rPr>
            <w:rStyle w:val="Hyperlink"/>
          </w:rPr>
          <w:t xml:space="preserve">[35]</w:t>
        </w:r>
      </w:hyperlink>
      <w:r>
        <w:t xml:space="preserve">,</w:t>
      </w:r>
      <w:r>
        <w:t xml:space="preserve"> </w:t>
      </w:r>
      <w:hyperlink w:anchor="ref-36">
        <w:r>
          <w:rPr>
            <w:rStyle w:val="Hyperlink"/>
          </w:rPr>
          <w:t xml:space="preserve">[36]</w:t>
        </w:r>
      </w:hyperlink>
      <w:r>
        <w:t xml:space="preserve">,</w:t>
      </w:r>
      <w:r>
        <w:t xml:space="preserve"> </w:t>
      </w:r>
      <w:hyperlink w:anchor="ref-37">
        <w:r>
          <w:rPr>
            <w:rStyle w:val="Hyperlink"/>
          </w:rPr>
          <w:t xml:space="preserve">[37]</w:t>
        </w:r>
      </w:hyperlink>
      <w:r>
        <w:t xml:space="preserve">,</w:t>
      </w:r>
      <w:r>
        <w:t xml:space="preserve"> </w:t>
      </w:r>
      <w:hyperlink w:anchor="ref-39">
        <w:r>
          <w:rPr>
            <w:rStyle w:val="Hyperlink"/>
          </w:rPr>
          <w:t xml:space="preserve">[39]</w:t>
        </w:r>
      </w:hyperlink>
      <w:r>
        <w:t xml:space="preserve">,</w:t>
      </w:r>
      <w:r>
        <w:t xml:space="preserve"> </w:t>
      </w:r>
      <w:hyperlink w:anchor="ref-40">
        <w:r>
          <w:rPr>
            <w:rStyle w:val="Hyperlink"/>
          </w:rPr>
          <w:t xml:space="preserve">[40]</w:t>
        </w:r>
      </w:hyperlink>
      <w:r>
        <w:t xml:space="preserve">,</w:t>
      </w:r>
      <w:r>
        <w:t xml:space="preserve"> </w:t>
      </w:r>
      <w:hyperlink w:anchor="ref-41">
        <w:r>
          <w:rPr>
            <w:rStyle w:val="Hyperlink"/>
          </w:rPr>
          <w:t xml:space="preserve">[41]</w:t>
        </w:r>
      </w:hyperlink>
      <w:r>
        <w:t xml:space="preserve">,</w:t>
      </w:r>
      <w:r>
        <w:t xml:space="preserve"> </w:t>
      </w:r>
      <w:hyperlink w:anchor="ref-42">
        <w:r>
          <w:rPr>
            <w:rStyle w:val="Hyperlink"/>
          </w:rPr>
          <w:t xml:space="preserve">[42]</w:t>
        </w:r>
      </w:hyperlink>
      <w:r>
        <w:t xml:space="preserve">. The economics camp prices downlink capacity as an infrastructure input to downstream applications but does not estimate the technical production function that converts engineered reserve into delivered bits</w:t>
      </w:r>
      <w:r>
        <w:t xml:space="preserve"> </w:t>
      </w:r>
      <w:hyperlink w:anchor="ref-3">
        <w:r>
          <w:rPr>
            <w:rStyle w:val="Hyperlink"/>
          </w:rPr>
          <w:t xml:space="preserve">[3]</w:t>
        </w:r>
      </w:hyperlink>
      <w:r>
        <w:t xml:space="preserve">. Each camp establishes that the components of the relationship are real, measurable, and consequential. Neither produces the relationship itself.</w:t>
      </w:r>
    </w:p>
    <w:p>
      <w:pPr>
        <w:pStyle w:val="BodyText"/>
        <w:spacing w:line="480" w:lineRule="auto"/>
        <w:ind w:firstLine="720"/>
      </w:pPr>
      <w:r>
        <w:t xml:space="preserve">The gap is the bridge itself. No retrieved source estimates achieved data return as a function of engineered link-budget margin with an identification strategy that separates the causal effect of booked margin from the confound of site quality and link geometry. The engineering literature models the channel and computes the budget but treats data return as a deterministic per-mission quantity rather than a cross-mission or pass-level empirical regularity to be estimated</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8">
        <w:r>
          <w:rPr>
            <w:rStyle w:val="Hyperlink"/>
          </w:rPr>
          <w:t xml:space="preserve">[18]</w:t>
        </w:r>
      </w:hyperlink>
      <w:r>
        <w:t xml:space="preserve">. The preliminary cross-sectional regressions that motivate this dissertation take the first step by recovering the structural elasticities of the link equation from catalog data, but they regress rate on the physical antecedents of margin, not on margin itself, and they work at the cross-mission rather than the pass level</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The channel literature builds the site-quality covariate and the forecast instrument but never estimates the regression in which they would serve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1">
        <w:r>
          <w:rPr>
            <w:rStyle w:val="Hyperlink"/>
          </w:rPr>
          <w:t xml:space="preserve">[31]</w:t>
        </w:r>
      </w:hyperlink>
      <w:r>
        <w:t xml:space="preserve">,</w:t>
      </w:r>
      <w:r>
        <w:t xml:space="preserve"> </w:t>
      </w:r>
      <w:hyperlink w:anchor="ref-32">
        <w:r>
          <w:rPr>
            <w:rStyle w:val="Hyperlink"/>
          </w:rPr>
          <w:t xml:space="preserve">[32]</w:t>
        </w:r>
      </w:hyperlink>
      <w:r>
        <w:t xml:space="preserve">. The margin-mechanism literature establishes that effective margin is a joint product of substitutable systems, which is the source of the confounding the design must overcome, but offers no econometric treatment of it</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The economics literature establishes that delivered bits carry a shadow price, which is what makes the elasticity worth estimating, but cannot supply the elasticity</w:t>
      </w:r>
      <w:r>
        <w:t xml:space="preserve"> </w:t>
      </w:r>
      <w:hyperlink w:anchor="ref-3">
        <w:r>
          <w:rPr>
            <w:rStyle w:val="Hyperlink"/>
          </w:rPr>
          <w:t xml:space="preserve">[3]</w:t>
        </w:r>
      </w:hyperlink>
      <w:r>
        <w:t xml:space="preserve">.</w:t>
      </w:r>
    </w:p>
    <w:p>
      <w:pPr>
        <w:pStyle w:val="BodyText"/>
        <w:spacing w:line="480" w:lineRule="auto"/>
        <w:ind w:firstLine="720"/>
      </w:pPr>
      <w:r>
        <w:t xml:space="preserve">This dissertation occupies that bridge. It treats the communications pass as the unit of analysis, achieved data return as the dependent variable, and engineered link-budget margin as the regressor of interest, conditioned on cloud-free line-of-sight availability, elevation-angle geometry, slant range, and the modulation and coding scheme. It identifies the margin coefficient through a site-and-epoch fixed-effects panel and an instrument built from the exogenous atmospheric-forecast variation that the channel literature documents</w:t>
      </w:r>
      <w:r>
        <w:t xml:space="preserve"> </w:t>
      </w:r>
      <w:hyperlink w:anchor="ref-2">
        <w:r>
          <w:rPr>
            <w:rStyle w:val="Hyperlink"/>
          </w:rPr>
          <w:t xml:space="preserve">[2]</w:t>
        </w:r>
      </w:hyperlink>
      <w:r>
        <w:t xml:space="preserve">, and it specifies a quadratic form to test whether return is concave in margin, reporting the turning point as a structural quantity. The empirical setting is the optical ground-to-space link, where atmospheric variability makes the margin-to-return mapping both steep and observable, drawing on the operational records of the Laser Communications Relay Demonstration, the integrated LEO user terminal, and the Lunar Laser Communications Demonstration, whose pass-level pairing of engineered margin, site atmospheric state, and achieved return is exactly what the identification strategy requires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17">
        <w:r>
          <w:rPr>
            <w:rStyle w:val="Hyperlink"/>
          </w:rPr>
          <w:t xml:space="preserve">[17]</w:t>
        </w:r>
      </w:hyperlink>
      <w:r>
        <w:t xml:space="preserve">.</w:t>
      </w:r>
    </w:p>
    <w:p>
      <w:pPr>
        <w:pStyle w:val="BodyText"/>
        <w:spacing w:line="480" w:lineRule="auto"/>
        <w:ind w:firstLine="720"/>
      </w:pPr>
      <w:r>
        <w:t xml:space="preserve">The contribution is a single estimated quantity, the elasticity of achieved downlink data return with respect to engineered link-budget margin, conditioned on site-quality and geometry covariates. That quantity converts an engineering reserve into an economic price, giving mission planners and ground-segment economists a defensible basis for sizing margin against the cost of the data it protects</w:t>
      </w:r>
      <w:r>
        <w:t xml:space="preserve"> </w:t>
      </w:r>
      <w:hyperlink w:anchor="ref-3">
        <w:r>
          <w:rPr>
            <w:rStyle w:val="Hyperlink"/>
          </w:rPr>
          <w:t xml:space="preserve">[3]</w:t>
        </w:r>
      </w:hyperlink>
      <w:r>
        <w:t xml:space="preserve">. It is the object that neither literature has produced because neither literature, on its own, possessed both the physical identity and the econometric machinery to produce it. The two unjoined literatures supply, between them, every ingredient: the budget physics</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8">
        <w:r>
          <w:rPr>
            <w:rStyle w:val="Hyperlink"/>
          </w:rPr>
          <w:t xml:space="preserve">[18]</w:t>
        </w:r>
      </w:hyperlink>
      <w:r>
        <w:t xml:space="preserve">, the documented cross-section</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the measured and forecastable channel</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1">
        <w:r>
          <w:rPr>
            <w:rStyle w:val="Hyperlink"/>
          </w:rPr>
          <w:t xml:space="preserve">[31]</w:t>
        </w:r>
      </w:hyperlink>
      <w:r>
        <w:t xml:space="preserve">,</w:t>
      </w:r>
      <w:r>
        <w:t xml:space="preserve"> </w:t>
      </w:r>
      <w:hyperlink w:anchor="ref-32">
        <w:r>
          <w:rPr>
            <w:rStyle w:val="Hyperlink"/>
          </w:rPr>
          <w:t xml:space="preserve">[32]</w:t>
        </w:r>
      </w:hyperlink>
      <w:r>
        <w:t xml:space="preserve">, the substitutable margin mechanisms</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the geometric covariates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19">
        <w:r>
          <w:rPr>
            <w:rStyle w:val="Hyperlink"/>
          </w:rPr>
          <w:t xml:space="preserve">[19]</w:t>
        </w:r>
      </w:hyperlink>
      <w:r>
        <w:t xml:space="preserve">, and the economic framing that gives the estimated elasticity its meaning</w:t>
      </w:r>
      <w:r>
        <w:t xml:space="preserve"> </w:t>
      </w:r>
      <w:hyperlink w:anchor="ref-3">
        <w:r>
          <w:rPr>
            <w:rStyle w:val="Hyperlink"/>
          </w:rPr>
          <w:t xml:space="preserve">[3]</w:t>
        </w:r>
      </w:hyperlink>
      <w:r>
        <w:t xml:space="preserve">. The remaining task, which the chapters that follow undertake, is to join them.</w:t>
      </w:r>
    </w:p>
    <w:bookmarkEnd w:id="73"/>
    <w:bookmarkEnd w:id="74"/>
    <w:bookmarkStart w:id="83" w:name="Xcfcc00a3ded59aed0c781c16bfc121f2a509603"/>
    <w:p>
      <w:pPr>
        <w:pStyle w:val="Heading1"/>
        <w:spacing w:line="480" w:lineRule="auto"/>
      </w:pPr>
      <w:r>
        <w:t xml:space="preserve">Chapter 3. Theoretical Framework and Hypotheses</w:t>
      </w:r>
    </w:p>
    <w:bookmarkStart w:id="75" w:name="purpose-and-position-of-the-chapter"/>
    <w:p>
      <w:pPr>
        <w:pStyle w:val="Heading2"/>
        <w:spacing w:line="480" w:lineRule="auto"/>
      </w:pPr>
      <w:r>
        <w:t xml:space="preserve">3.1 Purpose and Position of the Chapter</w:t>
      </w:r>
    </w:p>
    <w:p>
      <w:pPr>
        <w:pStyle w:val="FirstParagraph"/>
        <w:spacing w:line="480" w:lineRule="auto"/>
      </w:pPr>
      <w:r>
        <w:t xml:space="preserve">This chapter builds the theoretical apparatus that converts an engineering accounting identity into an econometrically estimable behavioral relationship. The two empirical studies that precede this dissertation established that achieved deep-space downlink rate is a recoverable log-linear function of the physical drivers of the link equation, and that a small set of catalog specifications, antenna aperture, transmitter power, frequency band, and range, accounts for most of the cross-mission variation in delivered bits</w:t>
      </w:r>
      <w:r>
        <w:t xml:space="preserve"> </w:t>
      </w:r>
      <w:hyperlink w:anchor="ref-9">
        <w:r>
          <w:rPr>
            <w:rStyle w:val="Hyperlink"/>
          </w:rPr>
          <w:t xml:space="preserve">[9]</w:t>
        </w:r>
      </w:hyperlink>
      <w:r>
        <w:t xml:space="preserve">,</w:t>
      </w:r>
      <w:r>
        <w:t xml:space="preserve"> </w:t>
      </w:r>
      <w:hyperlink w:anchor="ref-18">
        <w:r>
          <w:rPr>
            <w:rStyle w:val="Hyperlink"/>
          </w:rPr>
          <w:t xml:space="preserve">[18]</w:t>
        </w:r>
      </w:hyperlink>
      <w:r>
        <w:t xml:space="preserve">. Those studies recovered the structural slopes of the Friis transmission relation from heterogeneous mission records and confirmed that the inverse-square space-loss term and the square-law aperture term appear in the data with the signs the physics predicts</w:t>
      </w:r>
      <w:r>
        <w:t xml:space="preserve"> </w:t>
      </w:r>
      <w:hyperlink w:anchor="ref-11">
        <w:r>
          <w:rPr>
            <w:rStyle w:val="Hyperlink"/>
          </w:rPr>
          <w:t xml:space="preserve">[11]</w:t>
        </w:r>
      </w:hyperlink>
      <w:r>
        <w:t xml:space="preserve">,</w:t>
      </w:r>
      <w:r>
        <w:t xml:space="preserve"> </w:t>
      </w:r>
      <w:hyperlink w:anchor="ref-14">
        <w:r>
          <w:rPr>
            <w:rStyle w:val="Hyperlink"/>
          </w:rPr>
          <w:t xml:space="preserve">[14]</w:t>
        </w:r>
      </w:hyperlink>
      <w:r>
        <w:t xml:space="preserve">. They did not, however, isolate the quantity that mission planners and ground-segment economists most need: the marginal data-return value of an additional decibel of engineered margin, the reserve that designers carry against the gap between the nominal channel and the channel actually encountered in operations.</w:t>
      </w:r>
    </w:p>
    <w:p>
      <w:pPr>
        <w:pStyle w:val="BodyText"/>
        <w:spacing w:line="480" w:lineRule="auto"/>
        <w:ind w:firstLine="720"/>
      </w:pPr>
      <w:r>
        <w:t xml:space="preserve">The present chapter supplies the theory of that quantity. It develops the causal mechanism by which booked margin translates into delivered data return, situates that mechanism in the atmospheric channel where the mapping is steepest and most observable, derives the functional form that the mechanism implies, and states the single falsifiable claim of the dissertation as a paired null and alternative hypothesis. The empirical setting is deliberately narrowed from the broad deep-space radio cross-section of the antecedent papers to the optical ground-to-space link, because it is in the optical regime that atmospheric variability makes the margin-to-return relationship both sharp enough to estimate and rich enough in exogenous variation to identify</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The chapter closes by mapping the theoretical constructs onto the observable variables that Chapter 4 will operationalize, so that every hypothesized relationship has an empirical counterpart that the data can confirm or refute.</w:t>
      </w:r>
    </w:p>
    <w:bookmarkEnd w:id="75"/>
    <w:bookmarkStart w:id="76" w:name="X70f5b297070173e141b2ffabc49f0a236322aeb"/>
    <w:p>
      <w:pPr>
        <w:pStyle w:val="Heading2"/>
        <w:spacing w:line="480" w:lineRule="auto"/>
      </w:pPr>
      <w:r>
        <w:t xml:space="preserve">3.2 The Link Budget as an Accounting Identity and the Origin of Margin</w:t>
      </w:r>
    </w:p>
    <w:p>
      <w:pPr>
        <w:pStyle w:val="FirstParagraph"/>
        <w:spacing w:line="480" w:lineRule="auto"/>
      </w:pPr>
      <w:r>
        <w:t xml:space="preserve">Every space-communications link is sized by a link budget: a ledger, kept in decibels, of transmitted power, antenna or aperture gains, free-space and atmospheric losses, and the receiver sensitivity required to close the link at a chosen data rate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budget terminates in a residual quantity, the margin, which is the surplus of received signal energy over the threshold the receiver needs to demodulate and decode at the nominal rate</w:t>
      </w:r>
      <w:r>
        <w:t xml:space="preserve"> </w:t>
      </w:r>
      <w:hyperlink w:anchor="ref-18">
        <w:r>
          <w:rPr>
            <w:rStyle w:val="Hyperlink"/>
          </w:rPr>
          <w:t xml:space="preserve">[18]</w:t>
        </w:r>
      </w:hyperlink>
      <w:r>
        <w:t xml:space="preserve">. Margin is, in the language of mission design, an insurance premium. It is the reserve held against the difference between the channel the designer assumed at design time and the channel the spacecraft and ground terminal encounter pass by pass in operations.</w:t>
      </w:r>
    </w:p>
    <w:p>
      <w:pPr>
        <w:pStyle w:val="BodyText"/>
        <w:spacing w:line="480" w:lineRule="auto"/>
        <w:ind w:firstLine="720"/>
      </w:pPr>
      <w:r>
        <w:t xml:space="preserve">The conceptual move that motivates this dissertation is to treat margin not as a deterministic by-product of a per-mission calculation but as a decision variable whose return is empirically estimable. In the deterministic reading, which the engineering handbooks adopt, the budget is closed once and the margin is whatever is left over after the physical terms are summed</w:t>
      </w:r>
      <w:r>
        <w:t xml:space="preserve"> </w:t>
      </w:r>
      <w:hyperlink w:anchor="ref-8">
        <w:r>
          <w:rPr>
            <w:rStyle w:val="Hyperlink"/>
          </w:rPr>
          <w:t xml:space="preserve">[8]</w:t>
        </w:r>
      </w:hyperlink>
      <w:r>
        <w:t xml:space="preserve">. In the behavioral reading developed here, the designer chooses how much margin to book, trading aperture, mass, power, or rate against the protection that the reserve provides. A mission that books generous margin sacrifices capability that could have funded other instruments or a higher nominal rate; a mission that books thin margin returns less data than its design rate whenever the channel degrades below the assumed state. The two prior studies framed this trade implicitly by showing that supported rate and margin are two faces of the same equation, so that surplus margin can be spent to buy a higher rate or held in reserve against rain, pointing error, and aging hardware</w:t>
      </w:r>
      <w:r>
        <w:t xml:space="preserve"> </w:t>
      </w:r>
      <w:hyperlink w:anchor="ref-9">
        <w:r>
          <w:rPr>
            <w:rStyle w:val="Hyperlink"/>
          </w:rPr>
          <w:t xml:space="preserve">[9]</w:t>
        </w:r>
      </w:hyperlink>
      <w:r>
        <w:t xml:space="preserve">,</w:t>
      </w:r>
      <w:r>
        <w:t xml:space="preserve"> </w:t>
      </w:r>
      <w:hyperlink w:anchor="ref-18">
        <w:r>
          <w:rPr>
            <w:rStyle w:val="Hyperlink"/>
          </w:rPr>
          <w:t xml:space="preserve">[18]</w:t>
        </w:r>
      </w:hyperlink>
      <w:r>
        <w:t xml:space="preserve">. This chapter makes the trade explicit and asks what one decibel of held margin actually returns.</w:t>
      </w:r>
    </w:p>
    <w:p>
      <w:pPr>
        <w:pStyle w:val="BodyText"/>
        <w:spacing w:line="480" w:lineRule="auto"/>
        <w:ind w:firstLine="720"/>
      </w:pPr>
      <w:r>
        <w:t xml:space="preserve">The reserve exists for one reason. The channel is uncertain. In radio-frequency deep-space links the dominant adversary is distance, whose penalty is close to quadratic, so that the missions that most need relief at the outer planets are precisely those for which incremental spacecraft power buys the least</w:t>
      </w:r>
      <w:r>
        <w:t xml:space="preserve"> </w:t>
      </w:r>
      <w:hyperlink w:anchor="ref-9">
        <w:r>
          <w:rPr>
            <w:rStyle w:val="Hyperlink"/>
          </w:rPr>
          <w:t xml:space="preserve">[9]</w:t>
        </w:r>
      </w:hyperlink>
      <w:r>
        <w:t xml:space="preserve">,</w:t>
      </w:r>
      <w:r>
        <w:t xml:space="preserve"> </w:t>
      </w:r>
      <w:hyperlink w:anchor="ref-14">
        <w:r>
          <w:rPr>
            <w:rStyle w:val="Hyperlink"/>
          </w:rPr>
          <w:t xml:space="preserve">[14]</w:t>
        </w:r>
      </w:hyperlink>
      <w:r>
        <w:t xml:space="preserve">. In optical free-space links the dominant adversary is the atmosphere, where cloud, turbulence, and scintillation impose fades that no amount of transmit power fully removes</w:t>
      </w:r>
      <w:r>
        <w:t xml:space="preserve"> </w:t>
      </w:r>
      <w:hyperlink w:anchor="ref-1">
        <w:r>
          <w:rPr>
            <w:rStyle w:val="Hyperlink"/>
          </w:rPr>
          <w:t xml:space="preserve">[1]</w:t>
        </w:r>
      </w:hyperlink>
      <w:r>
        <w:t xml:space="preserve">. The atmospheric channel is the setting this dissertation adopts, because it is there that the gap between nominal and encountered margin is widest, most variable pass to pass, and most thoroughly characterized in the open record</w:t>
      </w:r>
      <w:r>
        <w:t xml:space="preserve"> </w:t>
      </w:r>
      <w:hyperlink w:anchor="ref-31">
        <w:r>
          <w:rPr>
            <w:rStyle w:val="Hyperlink"/>
          </w:rPr>
          <w:t xml:space="preserve">[31]</w:t>
        </w:r>
      </w:hyperlink>
      <w:r>
        <w:t xml:space="preserve">,</w:t>
      </w:r>
      <w:r>
        <w:t xml:space="preserve"> </w:t>
      </w:r>
      <w:hyperlink w:anchor="ref-32">
        <w:r>
          <w:rPr>
            <w:rStyle w:val="Hyperlink"/>
          </w:rPr>
          <w:t xml:space="preserve">[32]</w:t>
        </w:r>
      </w:hyperlink>
      <w:r>
        <w:t xml:space="preserve">.</w:t>
      </w:r>
    </w:p>
    <w:bookmarkEnd w:id="76"/>
    <w:bookmarkStart w:id="77" w:name="Xa3975ead3444e5448a3d8cfbb03b33ff7704541"/>
    <w:p>
      <w:pPr>
        <w:pStyle w:val="Heading2"/>
        <w:spacing w:line="480" w:lineRule="auto"/>
      </w:pPr>
      <w:r>
        <w:t xml:space="preserve">3.3 The Causal Mechanism: From Booked Margin to Delivered Bits</w:t>
      </w:r>
    </w:p>
    <w:p>
      <w:pPr>
        <w:pStyle w:val="FirstParagraph"/>
        <w:spacing w:line="480" w:lineRule="auto"/>
      </w:pPr>
      <w:r>
        <w:t xml:space="preserve">The theoretical core of the dissertation is a causal mechanism that links a design-time choice to an operational outcome through a stochastic channel. The mechanism has three stages, and stating it precisely is what permits the later identification strategy to separate the causal effect of booked margin from the confounds that contaminate the naive correlation.</w:t>
      </w:r>
    </w:p>
    <w:p>
      <w:pPr>
        <w:pStyle w:val="BodyText"/>
        <w:spacing w:line="480" w:lineRule="auto"/>
        <w:ind w:firstLine="720"/>
      </w:pPr>
      <w:r>
        <w:t xml:space="preserve">In the first stage, the designer books margin. The choice comes first, before any pass. The decision is made before operations, conditioned on the designer’s expectation of the channel and on the cost of the resources that margin consumes. The booked margin is the planned surplus of received energy over threshold, computed from the static budget under an assumed channel state</w:t>
      </w:r>
      <w:r>
        <w:t xml:space="preserve"> </w:t>
      </w:r>
      <w:hyperlink w:anchor="ref-8">
        <w:r>
          <w:rPr>
            <w:rStyle w:val="Hyperlink"/>
          </w:rPr>
          <w:t xml:space="preserve">[8]</w:t>
        </w:r>
      </w:hyperlink>
      <w:r>
        <w:t xml:space="preserve">,</w:t>
      </w:r>
      <w:r>
        <w:t xml:space="preserve"> </w:t>
      </w:r>
      <w:hyperlink w:anchor="ref-18">
        <w:r>
          <w:rPr>
            <w:rStyle w:val="Hyperlink"/>
          </w:rPr>
          <w:t xml:space="preserve">[18]</w:t>
        </w:r>
      </w:hyperlink>
      <w:r>
        <w:t xml:space="preserve">. This is the regressor of interest.</w:t>
      </w:r>
    </w:p>
    <w:p>
      <w:pPr>
        <w:pStyle w:val="BodyText"/>
        <w:spacing w:line="480" w:lineRule="auto"/>
        <w:ind w:firstLine="720"/>
      </w:pPr>
      <w:r>
        <w:t xml:space="preserve">In the second stage, the channel realizes a state during each communications pass. In the optical regime the realized state is governed by the atmospheric transmission along the line of sight, which depends on cloud occlusion, turbulence-induced scintillation, and the slant-path geometry set by the elevation angle and range to the spacecraft</w:t>
      </w:r>
      <w:r>
        <w:t xml:space="preserve"> </w:t>
      </w:r>
      <w:hyperlink w:anchor="ref-1">
        <w:r>
          <w:rPr>
            <w:rStyle w:val="Hyperlink"/>
          </w:rPr>
          <w:t xml:space="preserve">[1]</w:t>
        </w:r>
      </w:hyperlink>
      <w:r>
        <w:t xml:space="preserve">,</w:t>
      </w:r>
      <w:r>
        <w:t xml:space="preserve"> </w:t>
      </w:r>
      <w:hyperlink w:anchor="ref-31">
        <w:r>
          <w:rPr>
            <w:rStyle w:val="Hyperlink"/>
          </w:rPr>
          <w:t xml:space="preserve">[31]</w:t>
        </w:r>
      </w:hyperlink>
      <w:r>
        <w:t xml:space="preserve">. The realized channel state determines how much of the booked margin survives as effective margin at the receiver. A pass conducted through a clear, low-turbulence atmosphere preserves nearly all of the booked reserve; a pass conducted through cloud or strong turbulence consumes the reserve and may drive effective margin below threshold, forcing a rate reduction or a link outage</w:t>
      </w:r>
      <w:r>
        <w:t xml:space="preserve"> </w:t>
      </w:r>
      <w:hyperlink w:anchor="ref-2">
        <w:r>
          <w:rPr>
            <w:rStyle w:val="Hyperlink"/>
          </w:rPr>
          <w:t xml:space="preserve">[2]</w:t>
        </w:r>
      </w:hyperlink>
      <w:r>
        <w:t xml:space="preserve">,</w:t>
      </w:r>
      <w:r>
        <w:t xml:space="preserve"> </w:t>
      </w:r>
      <w:hyperlink w:anchor="ref-32">
        <w:r>
          <w:rPr>
            <w:rStyle w:val="Hyperlink"/>
          </w:rPr>
          <w:t xml:space="preserve">[32]</w:t>
        </w:r>
      </w:hyperlink>
      <w:r>
        <w:t xml:space="preserve">.</w:t>
      </w:r>
    </w:p>
    <w:p>
      <w:pPr>
        <w:pStyle w:val="BodyText"/>
        <w:spacing w:line="480" w:lineRule="auto"/>
        <w:ind w:firstLine="720"/>
      </w:pPr>
      <w:r>
        <w:t xml:space="preserve">In the third stage, the surviving effective margin determines achieved data return. When effective margin is comfortably positive, the link closes at or near its nominal rate and the pass delivers its full scheduled data volume. When effective margin is marginal, operational practice trims the rate to keep the link closed, so the pass delivers a fraction of its scheduled volume. When effective margin is negative, the link fails to close and the pass delivers little or nothing. The achieved data return per pass is therefore a monotone, saturating function of effective margin: returns rise as margin rises, but they saturate once margin is large enough to close the link at the maximum scheduled rate, beyond which additional decibels protect against rare deep fades rather than buying additional throughput.</w:t>
      </w:r>
    </w:p>
    <w:p>
      <w:pPr>
        <w:pStyle w:val="BodyText"/>
        <w:spacing w:line="480" w:lineRule="auto"/>
        <w:ind w:firstLine="720"/>
      </w:pPr>
      <w:r>
        <w:t xml:space="preserve">The composition of these three stages produces the central theoretical prediction. Booked margin raises expected achieved return because it raises the probability that effective margin survives the channel above threshold, but the marginal contribution of each additional decibel declines as booked margin grows, because the additional reserve increasingly protects against channel states that are progressively rarer. The first decibels of margin convert directly into closed passes and delivered bits; the last decibels insure against tail events that occur on a vanishing fraction of passes. The expected return is thus increasing and concave in booked margin. This is the mechanism that adaptive-optics correction reinforces rather than contradicts: correction recovers a link degraded by atmospheric turbulence, which is to say it buys effective margin through wavefront control rather than through booked reserve, shifting the mapping between booked and effective margin without altering the concave shape of the return surface</w:t>
      </w:r>
      <w:r>
        <w:t xml:space="preserve"> </w:t>
      </w:r>
      <w:hyperlink w:anchor="ref-4">
        <w:r>
          <w:rPr>
            <w:rStyle w:val="Hyperlink"/>
          </w:rPr>
          <w:t xml:space="preserve">[4]</w:t>
        </w:r>
      </w:hyperlink>
      <w:r>
        <w:t xml:space="preserve">.</w:t>
      </w:r>
    </w:p>
    <w:bookmarkEnd w:id="77"/>
    <w:bookmarkStart w:id="78" w:name="X35b354038e01dd674148ec3c2705cff659a6ea6"/>
    <w:p>
      <w:pPr>
        <w:pStyle w:val="Heading2"/>
        <w:spacing w:line="480" w:lineRule="auto"/>
      </w:pPr>
      <w:r>
        <w:t xml:space="preserve">3.4 The Role of the Atmospheric Channel and the Confounding Problem</w:t>
      </w:r>
    </w:p>
    <w:p>
      <w:pPr>
        <w:pStyle w:val="FirstParagraph"/>
        <w:spacing w:line="480" w:lineRule="auto"/>
      </w:pPr>
      <w:r>
        <w:t xml:space="preserve">The mechanism of Section 3.3 would be straightforward to estimate if booked margin and channel adversity were independent. They are not independent. They move together. The atmospheric channel is the source of both the variation that identifies the return to margin and the confound that biases its naive estimate, and resolving that tension is the methodological heart of the theory.</w:t>
      </w:r>
    </w:p>
    <w:p>
      <w:pPr>
        <w:pStyle w:val="BodyText"/>
        <w:spacing w:line="480" w:lineRule="auto"/>
        <w:ind w:firstLine="720"/>
      </w:pPr>
      <w:r>
        <w:t xml:space="preserve">Site quality is measurable. It is also site-specific. The characterization of a candidate optical ground site quantifies its weather and turbulence statistics, establishing that the long-run distribution of channel states differs systematically from site to site</w:t>
      </w:r>
      <w:r>
        <w:t xml:space="preserve"> </w:t>
      </w:r>
      <w:hyperlink w:anchor="ref-1">
        <w:r>
          <w:rPr>
            <w:rStyle w:val="Hyperlink"/>
          </w:rPr>
          <w:t xml:space="preserve">[1]</w:t>
        </w:r>
      </w:hyperlink>
      <w:r>
        <w:t xml:space="preserve">,</w:t>
      </w:r>
      <w:r>
        <w:t xml:space="preserve"> </w:t>
      </w:r>
      <w:hyperlink w:anchor="ref-31">
        <w:r>
          <w:rPr>
            <w:rStyle w:val="Hyperlink"/>
          </w:rPr>
          <w:t xml:space="preserve">[31]</w:t>
        </w:r>
      </w:hyperlink>
      <w:r>
        <w:t xml:space="preserve">. A site with frequent cloud and strong turbulence presents an adverse channel distribution; a site at high altitude above much of the atmosphere presents a favorable one</w:t>
      </w:r>
      <w:r>
        <w:t xml:space="preserve"> </w:t>
      </w:r>
      <w:hyperlink w:anchor="ref-32">
        <w:r>
          <w:rPr>
            <w:rStyle w:val="Hyperlink"/>
          </w:rPr>
          <w:t xml:space="preserve">[32]</w:t>
        </w:r>
      </w:hyperlink>
      <w:r>
        <w:t xml:space="preserve">. Designers know this when they book margin. A mission that anticipates a poor serving site books more margin to protect its return; a mission served by a favorable site books less. Consequently, in the cross-section of passes, high booked margin is correlated with adverse site quality, and the naive regression of return on margin confounds the protective effect of margin with the depressive effect of the site adversity that motivated the margin in the first place. Left uncorrected, this selection on margin biases the estimated margin coefficient toward zero or below, because the passes carrying the most margin are precisely the passes conducted through the worst channels.</w:t>
      </w:r>
    </w:p>
    <w:p>
      <w:pPr>
        <w:pStyle w:val="BodyText"/>
        <w:spacing w:line="480" w:lineRule="auto"/>
        <w:ind w:firstLine="720"/>
      </w:pPr>
      <w:r>
        <w:t xml:space="preserve">The theory of the channel also supplies the instrument that breaks the confound. Atmospheric transmission is forecastable. Deep-learning models now predict the optical channel conditions that govern whether a scheduled pass closes at rate, treating channel availability as a predictable random variable with documented forecast skill</w:t>
      </w:r>
      <w:r>
        <w:t xml:space="preserve"> </w:t>
      </w:r>
      <w:hyperlink w:anchor="ref-2">
        <w:r>
          <w:rPr>
            <w:rStyle w:val="Hyperlink"/>
          </w:rPr>
          <w:t xml:space="preserve">[2]</w:t>
        </w:r>
      </w:hyperlink>
      <w:r>
        <w:t xml:space="preserve">,</w:t>
      </w:r>
      <w:r>
        <w:t xml:space="preserve"> </w:t>
      </w:r>
      <w:hyperlink w:anchor="ref-32">
        <w:r>
          <w:rPr>
            <w:rStyle w:val="Hyperlink"/>
          </w:rPr>
          <w:t xml:space="preserve">[32]</w:t>
        </w:r>
      </w:hyperlink>
      <w:r>
        <w:t xml:space="preserve">. This forecastability is doubly consequential for the theory. It is the reason operators adjust booked-versus-realized margin in response to anticipated conditions, which is the residual endogeneity that fixed effects alone cannot absorb; and it is the source of exogenous variation that can be exploited to identify the return to margin cleanly. Variation in the atmospheric transmission forecast shifts the realized channel state, and hence realized margin, without entering the return equation through any channel other than margin, which is precisely the exclusion restriction an instrument requires. The theoretical claim that the forecast affects return only through realized margin is itself a testable proposition, and Chapter 5 examines whether forecast variation predicts return through any pathway other than the margin it shifts.</w:t>
      </w:r>
    </w:p>
    <w:p>
      <w:pPr>
        <w:pStyle w:val="BodyText"/>
        <w:spacing w:line="480" w:lineRule="auto"/>
        <w:ind w:firstLine="720"/>
      </w:pPr>
      <w:r>
        <w:t xml:space="preserve">This identification logic is the bridge that the antecedent literature leaves unbuilt. The engineering camp models the channel, characterizing sites and forecasting transmission with increasing sophistication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w:t>
      </w:r>
      <w:r>
        <w:t xml:space="preserve"> </w:t>
      </w:r>
      <w:hyperlink w:anchor="ref-31">
        <w:r>
          <w:rPr>
            <w:rStyle w:val="Hyperlink"/>
          </w:rPr>
          <w:t xml:space="preserve">[31]</w:t>
        </w:r>
      </w:hyperlink>
      <w:r>
        <w:t xml:space="preserve">,</w:t>
      </w:r>
      <w:r>
        <w:t xml:space="preserve"> </w:t>
      </w:r>
      <w:hyperlink w:anchor="ref-32">
        <w:r>
          <w:rPr>
            <w:rStyle w:val="Hyperlink"/>
          </w:rPr>
          <w:t xml:space="preserve">[32]</w:t>
        </w:r>
      </w:hyperlink>
      <w:r>
        <w:t xml:space="preserve">. The economics camp prices the infrastructure, placing ground stations and downlink capacity in the tier of factors that enable downstream applications</w:t>
      </w:r>
      <w:r>
        <w:t xml:space="preserve"> </w:t>
      </w:r>
      <w:hyperlink w:anchor="ref-3">
        <w:r>
          <w:rPr>
            <w:rStyle w:val="Hyperlink"/>
          </w:rPr>
          <w:t xml:space="preserve">[3]</w:t>
        </w:r>
      </w:hyperlink>
      <w:r>
        <w:t xml:space="preserve">. Neither estimates the production function that converts engineered reserve into delivered bits with an identification strategy that separates the causal effect of booked margin from the confound of site quality and link geometry. The theory developed here occupies that bridge by specifying the mechanism precisely enough that the confound and its remedy both follow from it.</w:t>
      </w:r>
    </w:p>
    <w:bookmarkEnd w:id="78"/>
    <w:bookmarkStart w:id="79" w:name="geometry-coding-and-the-conditioning-set"/>
    <w:p>
      <w:pPr>
        <w:pStyle w:val="Heading2"/>
        <w:spacing w:line="480" w:lineRule="auto"/>
      </w:pPr>
      <w:r>
        <w:t xml:space="preserve">3.5 Geometry, Coding, and the Conditioning Set</w:t>
      </w:r>
    </w:p>
    <w:p>
      <w:pPr>
        <w:pStyle w:val="FirstParagraph"/>
        <w:spacing w:line="480" w:lineRule="auto"/>
      </w:pPr>
      <w:r>
        <w:t xml:space="preserve">The mechanism operates conditional on the link geometry and the modulation and coding scheme, and the theory must say why these enter and how they are held fixed. Elevation-angle geometry and slant range set the length of the atmospheric path the signal traverses; a low-elevation pass crosses more atmosphere than a high-elevation pass to the same spacecraft, so geometry shifts the channel-state distribution independently of the site’s long-run quality</w:t>
      </w:r>
      <w:r>
        <w:t xml:space="preserve"> </w:t>
      </w:r>
      <w:hyperlink w:anchor="ref-28">
        <w:r>
          <w:rPr>
            <w:rStyle w:val="Hyperlink"/>
          </w:rPr>
          <w:t xml:space="preserve">[28]</w:t>
        </w:r>
      </w:hyperlink>
      <w:r>
        <w:t xml:space="preserve">. Range additionally enters through the free-space loss term that the prior radio-frequency studies recovered as a steep, near-quadratic penalty</w:t>
      </w:r>
      <w:r>
        <w:t xml:space="preserve"> </w:t>
      </w:r>
      <w:hyperlink w:anchor="ref-9">
        <w:r>
          <w:rPr>
            <w:rStyle w:val="Hyperlink"/>
          </w:rPr>
          <w:t xml:space="preserve">[9]</w:t>
        </w:r>
      </w:hyperlink>
      <w:r>
        <w:t xml:space="preserve">,</w:t>
      </w:r>
      <w:r>
        <w:t xml:space="preserve"> </w:t>
      </w:r>
      <w:hyperlink w:anchor="ref-18">
        <w:r>
          <w:rPr>
            <w:rStyle w:val="Hyperlink"/>
          </w:rPr>
          <w:t xml:space="preserve">[18]</w:t>
        </w:r>
      </w:hyperlink>
      <w:r>
        <w:t xml:space="preserve">. In the optical regime the free-space term remains, but the atmospheric term dominates the pass-to-pass variation that the margin reserve is designed to absorb. The modulation and coding scheme sets the energy-per-bit threshold the receiver requires, and therefore fixes the reference point against which margin is measured; a more powerful code lowers the threshold and changes the level of margin at which the return function saturates. These covariates are not the objects of inference, but they must be conditioned on so that the estimated margin coefficient reflects the effect of booked reserve at a held geometry and code rather than a spurious correlation transmitted through them.</w:t>
      </w:r>
    </w:p>
    <w:p>
      <w:pPr>
        <w:pStyle w:val="BodyText"/>
        <w:spacing w:line="480" w:lineRule="auto"/>
        <w:ind w:firstLine="720"/>
      </w:pPr>
      <w:r>
        <w:t xml:space="preserve">The conditioning set therefore comprises cloud-free line-of-sight availability at the serving ground site, elevation-angle geometry, slant range, and the modulation and coding scheme. The first of these is the construct that operationalizes the channel-state distribution, built from the cloud-free line-of-sight and transmission characterizations produced for candidate optical ground sites</w:t>
      </w:r>
      <w:r>
        <w:t xml:space="preserve"> </w:t>
      </w:r>
      <w:hyperlink w:anchor="ref-1">
        <w:r>
          <w:rPr>
            <w:rStyle w:val="Hyperlink"/>
          </w:rPr>
          <w:t xml:space="preserve">[1]</w:t>
        </w:r>
      </w:hyperlink>
      <w:r>
        <w:t xml:space="preserve">,</w:t>
      </w:r>
      <w:r>
        <w:t xml:space="preserve"> </w:t>
      </w:r>
      <w:hyperlink w:anchor="ref-31">
        <w:r>
          <w:rPr>
            <w:rStyle w:val="Hyperlink"/>
          </w:rPr>
          <w:t xml:space="preserve">[31]</w:t>
        </w:r>
      </w:hyperlink>
      <w:r>
        <w:t xml:space="preserve"> </w:t>
      </w:r>
      <w:r>
        <w:t xml:space="preserve">and the forecast products developed for the same stations</w:t>
      </w:r>
      <w:r>
        <w:t xml:space="preserve"> </w:t>
      </w:r>
      <w:hyperlink w:anchor="ref-2">
        <w:r>
          <w:rPr>
            <w:rStyle w:val="Hyperlink"/>
          </w:rPr>
          <w:t xml:space="preserve">[2]</w:t>
        </w:r>
      </w:hyperlink>
      <w:r>
        <w:t xml:space="preserve">,</w:t>
      </w:r>
      <w:r>
        <w:t xml:space="preserve"> </w:t>
      </w:r>
      <w:hyperlink w:anchor="ref-32">
        <w:r>
          <w:rPr>
            <w:rStyle w:val="Hyperlink"/>
          </w:rPr>
          <w:t xml:space="preserve">[32]</w:t>
        </w:r>
      </w:hyperlink>
      <w:r>
        <w:t xml:space="preserve">. With these held fixed, the residual variation in booked margin traces out the margin-to-return mapping that the hypotheses concern.</w:t>
      </w:r>
    </w:p>
    <w:bookmarkEnd w:id="79"/>
    <w:bookmarkStart w:id="80" w:name="functional-form"/>
    <w:p>
      <w:pPr>
        <w:pStyle w:val="Heading2"/>
        <w:spacing w:line="480" w:lineRule="auto"/>
      </w:pPr>
      <w:r>
        <w:t xml:space="preserve">3.6 Functional Form</w:t>
      </w:r>
    </w:p>
    <w:p>
      <w:pPr>
        <w:pStyle w:val="FirstParagraph"/>
        <w:spacing w:line="480" w:lineRule="auto"/>
      </w:pPr>
      <w:r>
        <w:t xml:space="preserve">The mechanism of Section 3.3 implies a specific functional form, and stating it is what makes the concavity claim falsifiable rather than rhetorical. Because expected achieved return is increasing and concave in booked margin over the operational range, the return function is approximated by a quadratic in margin, with a positive linear term and a negative quadratic term. The positive linear term captures the first-order proposition that booked margin buys return; the negative quadratic term captures the second-order proposition that each additional decibel buys less than the one before, as the reserve increasingly protects against progressively rarer channel states. The quadratic specification has the further virtue that it possesses an interior turning point, the margin level at which the marginal data-return value of an additional decibel falls to zero, and that turning point is a structural quantity the study commits to reporting. The turning point is the empirical answer to the planning question that motivates the dissertation: it is the margin beyond which additional decibels stop buying meaningful return and begin merely insuring against tail events.</w:t>
      </w:r>
    </w:p>
    <w:p>
      <w:pPr>
        <w:pStyle w:val="BodyText"/>
        <w:spacing w:line="480" w:lineRule="auto"/>
        <w:ind w:firstLine="720"/>
      </w:pPr>
      <w:r>
        <w:t xml:space="preserve">The choice of a quadratic over alternative saturating forms is a deliberate restriction that sharpens the test. A logarithmic or exponential-approach form would impose monotone concavity by construction and could not, within its own parameterization, be falsified in the direction of convexity or of a non-existent turning point. The quadratic, by contrast, permits the data to reject concavity outright: a non-negative estimated quadratic coefficient would refute the specific second-order claim even if the first-order claim survived. The functional form is thus not merely a convenience but the vehicle through which the alternative hypothesis is rendered falsifiable in two directions at once.</w:t>
      </w:r>
    </w:p>
    <w:p>
      <w:pPr>
        <w:pStyle w:val="BodyText"/>
        <w:spacing w:line="480" w:lineRule="auto"/>
        <w:ind w:firstLine="720"/>
      </w:pPr>
      <w:r>
        <w:t xml:space="preserve">The dependent variable is achieved data return per pass, measured either as delivered bits or, equivalently, as the fraction of the scheduled data rate realized over the pass. The regressor of interest is engineered link-budget margin in decibels, computed from the pass-level budget. The relationship is estimated within site and epoch and instrumented by the atmospheric forecast, so that the coefficients on the linear and quadratic margin terms carry the causal interpretation the mechanism assigns them rather than the confounded interpretation the naive cross-section would supply.</w:t>
      </w:r>
    </w:p>
    <w:bookmarkEnd w:id="80"/>
    <w:bookmarkStart w:id="81" w:name="the-formal-hypotheses"/>
    <w:p>
      <w:pPr>
        <w:pStyle w:val="Heading2"/>
        <w:spacing w:line="480" w:lineRule="auto"/>
      </w:pPr>
      <w:r>
        <w:t xml:space="preserve">3.7 The Formal Hypotheses</w:t>
      </w:r>
    </w:p>
    <w:p>
      <w:pPr>
        <w:pStyle w:val="FirstParagraph"/>
        <w:spacing w:line="480" w:lineRule="auto"/>
      </w:pPr>
      <w:r>
        <w:t xml:space="preserve">The contribution of the dissertation is a single estimated quantity: the elasticity of achieved downlink data return with respect to engineered link-budget margin, conditioned on site-quality and geometry covariates, together with the implied turning point. The theoretical development of this chapter reduces to one sharp, falsifiable claim, stated as a paired null and alternative.</w:t>
      </w:r>
    </w:p>
    <w:p>
      <w:pPr>
        <w:pStyle w:val="BodyText"/>
        <w:spacing w:line="480" w:lineRule="auto"/>
        <w:ind w:firstLine="720"/>
      </w:pPr>
      <w:r>
        <w:rPr>
          <w:b/>
          <w:bCs/>
        </w:rPr>
        <w:t xml:space="preserve">H0 (null).</w:t>
      </w:r>
      <w:r>
        <w:t xml:space="preserve"> </w:t>
      </w:r>
      <w:r>
        <w:t xml:space="preserve">Once cloud-free line-of-sight availability and link geometry are controlled, achieved per-pass data return is independent of engineered link-budget margin. In the estimated specification the coefficient on the margin term is statistically indistinguishable from zero, so that the elasticity of return with respect to margin cannot be distinguished from a flat relationship.</w:t>
      </w:r>
    </w:p>
    <w:p>
      <w:pPr>
        <w:pStyle w:val="BodyText"/>
        <w:spacing w:line="480" w:lineRule="auto"/>
        <w:ind w:firstLine="720"/>
      </w:pPr>
      <w:r>
        <w:rPr>
          <w:b/>
          <w:bCs/>
        </w:rPr>
        <w:t xml:space="preserve">H1 (alternative).</w:t>
      </w:r>
      <w:r>
        <w:t xml:space="preserve"> </w:t>
      </w:r>
      <w:r>
        <w:t xml:space="preserve">Achieved per-pass data return is increasing and concave in engineered link-budget margin. The coefficient on the linear margin term is positive and the coefficient on the quadratic margin term is negative, so that the elasticity of return with respect to margin is positive but declining over the operational margin range, and the implied turning point lies within or near the upper end of that range.</w:t>
      </w:r>
    </w:p>
    <w:p>
      <w:pPr>
        <w:pStyle w:val="BodyText"/>
        <w:spacing w:line="480" w:lineRule="auto"/>
        <w:ind w:firstLine="720"/>
      </w:pPr>
      <w:r>
        <w:t xml:space="preserve">The pairing is constructed so that the alternative is falsifiable in two distinct directions, which is the property that separates a genuine test from a confirmatory exercise. First, a null or negative estimated margin coefficient refutes the premise that booked margin buys return after the confound of site quality and geometry has been conditioned away; under that outcome the mechanism of Section 3.3 fails at its first stage, because booked reserve would not be converting into delivered bits even on average. Second, a positive linear coefficient accompanied by a non-negative quadratic coefficient refutes the specific concavity that motivates an interior-optimum margin policy; under that outcome margin would buy return without diminishing returns, the turning point would not exist within the operational range, and the central planning implication of the dissertation, that there is a defensible margin beyond which additional decibels are not worth their cost, would not follow. The study commits in advance to reporting the point estimates of both margin coefficients, their confidence intervals, and the implied turning point, so that either direction of refutation is visible in the results rather than absorbed into a flexible specification.</w:t>
      </w:r>
    </w:p>
    <w:p>
      <w:pPr>
        <w:pStyle w:val="BodyText"/>
        <w:spacing w:line="480" w:lineRule="auto"/>
        <w:ind w:firstLine="720"/>
      </w:pPr>
      <w:r>
        <w:t xml:space="preserve">The hypotheses inherit and sharpen the structure of the antecedent papers without duplicating them. Those studies established that the physical drivers of the link equation carry the signs the link budget predicts and that aperture, band, power, and range rank as design levers in the order the physics implies</w:t>
      </w:r>
      <w:r>
        <w:t xml:space="preserve"> </w:t>
      </w:r>
      <w:hyperlink w:anchor="ref-9">
        <w:r>
          <w:rPr>
            <w:rStyle w:val="Hyperlink"/>
          </w:rPr>
          <w:t xml:space="preserve">[9]</w:t>
        </w:r>
      </w:hyperlink>
      <w:r>
        <w:t xml:space="preserve">,</w:t>
      </w:r>
      <w:r>
        <w:t xml:space="preserve"> </w:t>
      </w:r>
      <w:hyperlink w:anchor="ref-18">
        <w:r>
          <w:rPr>
            <w:rStyle w:val="Hyperlink"/>
          </w:rPr>
          <w:t xml:space="preserve">[18]</w:t>
        </w:r>
      </w:hyperlink>
      <w:r>
        <w:t xml:space="preserve">. They posited and confirmed positive coefficients on aperture and band and a negative coefficient on range, recovering elasticities from cross-mission data</w:t>
      </w:r>
      <w:r>
        <w:t xml:space="preserve"> </w:t>
      </w:r>
      <w:hyperlink w:anchor="ref-11">
        <w:r>
          <w:rPr>
            <w:rStyle w:val="Hyperlink"/>
          </w:rPr>
          <w:t xml:space="preserve">[11]</w:t>
        </w:r>
      </w:hyperlink>
      <w:r>
        <w:t xml:space="preserve">,</w:t>
      </w:r>
      <w:r>
        <w:t xml:space="preserve"> </w:t>
      </w:r>
      <w:hyperlink w:anchor="ref-14">
        <w:r>
          <w:rPr>
            <w:rStyle w:val="Hyperlink"/>
          </w:rPr>
          <w:t xml:space="preserve">[14]</w:t>
        </w:r>
      </w:hyperlink>
      <w:r>
        <w:t xml:space="preserve">,</w:t>
      </w:r>
      <w:r>
        <w:t xml:space="preserve"> </w:t>
      </w:r>
      <w:hyperlink w:anchor="ref-21">
        <w:r>
          <w:rPr>
            <w:rStyle w:val="Hyperlink"/>
          </w:rPr>
          <w:t xml:space="preserve">[21]</w:t>
        </w:r>
      </w:hyperlink>
      <w:r>
        <w:t xml:space="preserve">. The present hypotheses move one level inward, from the physical antecedents of margin to margin itself, asking not what determines the reserve but what the reserve returns. Where the prior work regressed supported rate on its physical drivers, this dissertation regresses achieved return on engineered margin, treating the margin that the earlier specifications left in the constant as the object of inference. The shift is the natural extension that the first study named explicitly: an explicit margin variable computed from the full budget, so that supported return can be regressed on decibels of margin rather than on its physical antecedents.</w:t>
      </w:r>
    </w:p>
    <w:bookmarkEnd w:id="81"/>
    <w:bookmarkStart w:id="82" w:name="Xcd6fbd9e21741bd9639af2259b929cabd91cd07"/>
    <w:p>
      <w:pPr>
        <w:pStyle w:val="Heading2"/>
        <w:spacing w:line="480" w:lineRule="auto"/>
      </w:pPr>
      <w:r>
        <w:t xml:space="preserve">3.8 Scope Conditions and the Domain of the Claim</w:t>
      </w:r>
    </w:p>
    <w:p>
      <w:pPr>
        <w:pStyle w:val="FirstParagraph"/>
        <w:spacing w:line="480" w:lineRule="auto"/>
      </w:pPr>
      <w:r>
        <w:t xml:space="preserve">The theory is stated for a bounded domain, and naming that domain is part of the theoretical contribution rather than a concession appended to it. The mechanism is developed for the optical direct-to-Earth and relay regime, where the atmospheric channel supplies both the steep margin-to-return mapping and the forecastable exogenous variation that identifies 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The estimated elasticity is not claimed to transfer to radio-frequency downlinks, where the dominant channel adversary is geometric rather than atmospheric and where the pass-to-pass variation that margin absorbs has a different statistical character</w:t>
      </w:r>
      <w:r>
        <w:t xml:space="preserve"> </w:t>
      </w:r>
      <w:hyperlink w:anchor="ref-5">
        <w:r>
          <w:rPr>
            <w:rStyle w:val="Hyperlink"/>
          </w:rPr>
          <w:t xml:space="preserve">[5]</w:t>
        </w:r>
      </w:hyperlink>
      <w:r>
        <w:t xml:space="preserve">,</w:t>
      </w:r>
      <w:r>
        <w:t xml:space="preserve"> </w:t>
      </w:r>
      <w:hyperlink w:anchor="ref-14">
        <w:r>
          <w:rPr>
            <w:rStyle w:val="Hyperlink"/>
          </w:rPr>
          <w:t xml:space="preserve">[14]</w:t>
        </w:r>
      </w:hyperlink>
      <w:r>
        <w:t xml:space="preserve">. Nor is it claimed to transfer across atmospheric regimes that differ sharply from the serving sites of the demonstration links, since site quality is by construction site-specific</w:t>
      </w:r>
      <w:r>
        <w:t xml:space="preserve"> </w:t>
      </w:r>
      <w:hyperlink w:anchor="ref-1">
        <w:r>
          <w:rPr>
            <w:rStyle w:val="Hyperlink"/>
          </w:rPr>
          <w:t xml:space="preserve">[1]</w:t>
        </w:r>
      </w:hyperlink>
      <w:r>
        <w:t xml:space="preserve">,</w:t>
      </w:r>
      <w:r>
        <w:t xml:space="preserve"> </w:t>
      </w:r>
      <w:hyperlink w:anchor="ref-31">
        <w:r>
          <w:rPr>
            <w:rStyle w:val="Hyperlink"/>
          </w:rPr>
          <w:t xml:space="preserve">[31]</w:t>
        </w:r>
      </w:hyperlink>
      <w:r>
        <w:t xml:space="preserve">. The theory likewise scopes around two mechanisms that alter the margin mapping without invalidating it: adaptive-optics correction, which buys effective margin through wavefront control and is treated as a regime in which the booked-to-effective mapping is shifted</w:t>
      </w:r>
      <w:r>
        <w:t xml:space="preserve"> </w:t>
      </w:r>
      <w:hyperlink w:anchor="ref-4">
        <w:r>
          <w:rPr>
            <w:rStyle w:val="Hyperlink"/>
          </w:rPr>
          <w:t xml:space="preserve">[4]</w:t>
        </w:r>
      </w:hyperlink>
      <w:r>
        <w:t xml:space="preserve">; and over-actuated pointing control, where tracking error can depress return independent of atmospheric margin and where passes with documented non-atmospheric anomalies must be separated so that the channel-limited shortfall the theory concerns is not contaminated by control-loop faults</w:t>
      </w:r>
      <w:r>
        <w:t xml:space="preserve"> </w:t>
      </w:r>
      <w:hyperlink w:anchor="ref-7">
        <w:r>
          <w:rPr>
            <w:rStyle w:val="Hyperlink"/>
          </w:rPr>
          <w:t xml:space="preserve">[7]</w:t>
        </w:r>
      </w:hyperlink>
      <w:r>
        <w:t xml:space="preserve">.</w:t>
      </w:r>
    </w:p>
    <w:p>
      <w:pPr>
        <w:pStyle w:val="BodyText"/>
        <w:spacing w:line="480" w:lineRule="auto"/>
        <w:ind w:firstLine="720"/>
      </w:pPr>
      <w:r>
        <w:t xml:space="preserve">The boundaries are theoretical commitments, not caveats. By fixing the domain to the optical atmospheric regime, conditioning on site quality and geometry, and isolating the adaptive-optics and pointing-control cases, the theory specifies exactly the population of passes over which the hypotheses are meant to hold, and exactly the population to which the estimated elasticity may be extrapolated. The single identified quantity that the dissertation reports is thus accompanied by an explicit statement of where it applies, which is what converts an econometric estimate into a defensible basis for sizing margin against the cost of the data it protects</w:t>
      </w:r>
      <w:r>
        <w:t xml:space="preserve"> </w:t>
      </w:r>
      <w:hyperlink w:anchor="ref-3">
        <w:r>
          <w:rPr>
            <w:rStyle w:val="Hyperlink"/>
          </w:rPr>
          <w:t xml:space="preserve">[3]</w:t>
        </w:r>
      </w:hyperlink>
      <w:r>
        <w:t xml:space="preserve">. Chapter 4 carries this framework into the identification strategy and the panel specification that will produce the estimate; the present chapter has established the mechanism that gives that estimate its meaning and the hypotheses that make it falsifiable.</w:t>
      </w:r>
    </w:p>
    <w:bookmarkEnd w:id="82"/>
    <w:bookmarkEnd w:id="83"/>
    <w:bookmarkStart w:id="92" w:name="chapter-4.-data-and-measurement"/>
    <w:p>
      <w:pPr>
        <w:pStyle w:val="Heading1"/>
        <w:spacing w:line="480" w:lineRule="auto"/>
      </w:pPr>
      <w:r>
        <w:t xml:space="preserve">Chapter 4. Data and Measurement</w:t>
      </w:r>
    </w:p>
    <w:bookmarkStart w:id="84" w:name="purpose-and-scope-of-the-chapter"/>
    <w:p>
      <w:pPr>
        <w:pStyle w:val="Heading2"/>
        <w:spacing w:line="480" w:lineRule="auto"/>
      </w:pPr>
      <w:r>
        <w:t xml:space="preserve">4.1 Purpose and scope of the chapter</w:t>
      </w:r>
    </w:p>
    <w:p>
      <w:pPr>
        <w:pStyle w:val="FirstParagraph"/>
        <w:spacing w:line="480" w:lineRule="auto"/>
      </w:pPr>
      <w:r>
        <w:t xml:space="preserve">The empirical claims of this dissertation rest on two cross-sectional datasets of documented deep-space radio downlink configurations, each assembled from the published engineering record of the NASA planetary program. The credibility of an econometric study of the link budget stands or falls on the provenance of these datasets and on the discipline with which each variable is constructed from primary records. A regression that recovers the inverse-square space-loss term from cross-mission data is persuasive only if the range, aperture, power, band, and rate values that enter it are traceable, one row at a time, to a citable engineering source rather than reconstructed from a remembered approximation. This chapter therefore documents the two datasets exhaustively: the authoritative sources from which they are drawn, the unit of analysis that defines a single observation, and the construction rule for every variable. The intent is that a reader could, in principle, reassemble both datasets from the cited sources and arrive at the same numerical inputs.</w:t>
      </w:r>
    </w:p>
    <w:p>
      <w:pPr>
        <w:pStyle w:val="BodyText"/>
        <w:spacing w:line="480" w:lineRule="auto"/>
        <w:ind w:firstLine="720"/>
      </w:pPr>
      <w:r>
        <w:t xml:space="preserve">The chapter is organized as follows. Section 4.2 states the unit of analysis and explains why the documented mission link, rather than the individual telemetry frame or the pass, is the observational unit that the published record supports. Section 4.3 describes the authoritative source families: the DESCANSO Design and Performance Summary Series, the Deep Space Network Telecommunications Link Design Handbook, the monograph series, peer-reviewed mission papers, and agency factsheets. Section 4.4 documents the first dataset, the twenty-six-row cross-section that decomposes supported rate on the physical drivers of the link equation. Section 4.5 documents the second dataset, the twenty-eight-row mission-phase cross-section that estimates the semi-elasticities of achieved rate. Section 4.6 specifies the construction of each variable from primary records. Section 4.7 addresses measurement of the dependent variable and the treatment of illustrative entries. Section 4.8 states the data limitations that bound the estimates and frames them as constraints on the inference rather than as defects concealed in the apparatus.</w:t>
      </w:r>
    </w:p>
    <w:bookmarkEnd w:id="84"/>
    <w:bookmarkStart w:id="85" w:name="unit-of-analysis"/>
    <w:p>
      <w:pPr>
        <w:pStyle w:val="Heading2"/>
        <w:spacing w:line="480" w:lineRule="auto"/>
      </w:pPr>
      <w:r>
        <w:t xml:space="preserve">4.2 Unit of analysis</w:t>
      </w:r>
    </w:p>
    <w:p>
      <w:pPr>
        <w:pStyle w:val="FirstParagraph"/>
        <w:spacing w:line="480" w:lineRule="auto"/>
      </w:pPr>
      <w:r>
        <w:t xml:space="preserve">The unit of analysis differs between the two empirical studies. The difference is deliberate, and the published record dictates it. In the first study the unit is the documented deep-space radio downlink configuration: a spacecraft paired with a representative operating geometry, a high-gain-antenna aperture, a transmitter power, a downlink band, and a serving ground aperture, summarized to a single supported data rate. Twenty-six such configurations constitute the first cross-section. The number is small and every row is sourced. In the second study the unit is the mission-phase observation: a spacecraft observed in a named operational phase, such as the Voyager interstellar floor or the Mars Reconnaissance Orbiter Ka-band demonstration, carrying the achieved rate that applied in that phase together with the hardware and geometry that produced it. Twenty-eight such mission-phase rows constitute the second cross-section.</w:t>
      </w:r>
    </w:p>
    <w:p>
      <w:pPr>
        <w:pStyle w:val="BodyText"/>
        <w:spacing w:line="480" w:lineRule="auto"/>
        <w:ind w:firstLine="720"/>
      </w:pPr>
      <w:r>
        <w:t xml:space="preserve">The choice of the documented link and the mission phase as the observational unit, rather than the pass or the individual telemetry frame, is a constraint imposed by the granularity of the open record. Pass-level link records, which would pair an engineered margin with a realized data return for each scheduled contact, are the ideal observational unit for the margin-to-return identification strategy that the dissertation ultimately targets, and the prospectus scopes the optical relay datasets toward exactly that granularity. The radio-frequency engineering literature, however, publishes design control tables, performance summaries, and representative operating rates at the level of the mission and its phases, not at the level of the individual contact. The two datasets documented here therefore exploit the cross-mission and cross-phase variation that the published record does support, and they treat the recovery of the structural elasticities of the link equation across heterogeneous spacecraft as the achievable empirical object. Where a single spacecraft contributes more than one observation, as Voyager and the Mars Reconnaissance Orbiter do in the second dataset, the separate rows are distinct mission phases at distinct ranges, so that the within-mission contrast across distance contributes identifying variation to the range elasticity rather than introducing a duplicated observation. This phase-level construction is what allows the second dataset to isolate the range penalty almost as a controlled experiment, holding the spacecraft hardware fixed while distance varies across two decades.</w:t>
      </w:r>
    </w:p>
    <w:bookmarkEnd w:id="85"/>
    <w:bookmarkStart w:id="86" w:name="authoritative-sources"/>
    <w:p>
      <w:pPr>
        <w:pStyle w:val="Heading2"/>
        <w:spacing w:line="480" w:lineRule="auto"/>
      </w:pPr>
      <w:r>
        <w:t xml:space="preserve">4.3 Authoritative sources</w:t>
      </w:r>
    </w:p>
    <w:p>
      <w:pPr>
        <w:pStyle w:val="FirstParagraph"/>
        <w:spacing w:line="480" w:lineRule="auto"/>
      </w:pPr>
      <w:r>
        <w:t xml:space="preserve">Both datasets draw from a small number of authoritative source families. Each family is a primary engineering record of the NASA deep-space communications program. The discipline of the data assembly is that the structural covariates, the antenna diameter, the transmitter power, the band, the range, and the ground aperture, are documented engineering specifications for every row, and that each row carries a source citation in its final field.</w:t>
      </w:r>
    </w:p>
    <w:p>
      <w:pPr>
        <w:pStyle w:val="BodyText"/>
        <w:spacing w:line="480" w:lineRule="auto"/>
        <w:ind w:firstLine="720"/>
      </w:pPr>
      <w:r>
        <w:t xml:space="preserve">The foundational reference framework is the Deep Space Network Telecommunications Link Design Handbook, document 810-005, which codifies the frequency-band conventions and the link-budget construction methodology for S-, X-, and Ka-band deep-space links</w:t>
      </w:r>
      <w:r>
        <w:t xml:space="preserve"> </w:t>
      </w:r>
      <w:hyperlink w:anchor="ref-9">
        <w:r>
          <w:rPr>
            <w:rStyle w:val="Hyperlink"/>
          </w:rPr>
          <w:t xml:space="preserve">[9]</w:t>
        </w:r>
      </w:hyperlink>
      <w:r>
        <w:t xml:space="preserve">. Its module on telemetry data decoding fixes the energy-per-bit requirement that, together with the available carrier-to-noise spectral density, determines the maximum supported information rate, and so supplies the physical relationship that the regression linearizes</w:t>
      </w:r>
      <w:r>
        <w:t xml:space="preserve"> </w:t>
      </w:r>
      <w:hyperlink w:anchor="ref-8">
        <w:r>
          <w:rPr>
            <w:rStyle w:val="Hyperlink"/>
          </w:rPr>
          <w:t xml:space="preserve">[8]</w:t>
        </w:r>
      </w:hyperlink>
      <w:r>
        <w:t xml:space="preserve">. The Handbook also establishes the ground apertures, the 34-meter and 70-meter Deep Space Network stations and the partner-agency apertures, against which the links close</w:t>
      </w:r>
      <w:r>
        <w:t xml:space="preserve"> </w:t>
      </w:r>
      <w:hyperlink w:anchor="ref-9">
        <w:r>
          <w:rPr>
            <w:rStyle w:val="Hyperlink"/>
          </w:rPr>
          <w:t xml:space="preserve">[9]</w:t>
        </w:r>
      </w:hyperlink>
      <w:r>
        <w:t xml:space="preserve">. The documented frequency-usage history of the network, its progression from S-band through X-band to Ka-band as the primary downlink and its three-complex ground architecture, fixes the band conventions and the ground-aperture inventory that the datasets encode</w:t>
      </w:r>
      <w:r>
        <w:t xml:space="preserve"> </w:t>
      </w:r>
      <w:hyperlink w:anchor="ref-10">
        <w:r>
          <w:rPr>
            <w:rStyle w:val="Hyperlink"/>
          </w:rPr>
          <w:t xml:space="preserve">[10]</w:t>
        </w:r>
      </w:hyperlink>
      <w:r>
        <w:t xml:space="preserve">.</w:t>
      </w:r>
    </w:p>
    <w:p>
      <w:pPr>
        <w:pStyle w:val="BodyText"/>
        <w:spacing w:line="480" w:lineRule="auto"/>
        <w:ind w:firstLine="720"/>
      </w:pPr>
      <w:r>
        <w:t xml:space="preserve">The principal source of per-mission parameters is the DESCANSO Design and Performance Summary Series, the Jet Propulsion Laboratory’s published design control tables and performance summaries for individual flight programs. The datasets draw on the DESCANSO summaries for the Mars Reconnaissance Orbiter</w:t>
      </w:r>
      <w:r>
        <w:t xml:space="preserve"> </w:t>
      </w:r>
      <w:hyperlink w:anchor="ref-11">
        <w:r>
          <w:rPr>
            <w:rStyle w:val="Hyperlink"/>
          </w:rPr>
          <w:t xml:space="preserve">[11]</w:t>
        </w:r>
      </w:hyperlink>
      <w:r>
        <w:t xml:space="preserve">,</w:t>
      </w:r>
      <w:r>
        <w:t xml:space="preserve"> </w:t>
      </w:r>
      <w:hyperlink w:anchor="ref-22">
        <w:r>
          <w:rPr>
            <w:rStyle w:val="Hyperlink"/>
          </w:rPr>
          <w:t xml:space="preserve">[22]</w:t>
        </w:r>
      </w:hyperlink>
      <w:r>
        <w:t xml:space="preserve">, Cassini</w:t>
      </w:r>
      <w:r>
        <w:t xml:space="preserve"> </w:t>
      </w:r>
      <w:hyperlink w:anchor="ref-12">
        <w:r>
          <w:rPr>
            <w:rStyle w:val="Hyperlink"/>
          </w:rPr>
          <w:t xml:space="preserve">[12]</w:t>
        </w:r>
      </w:hyperlink>
      <w:r>
        <w:t xml:space="preserve">,</w:t>
      </w:r>
      <w:r>
        <w:t xml:space="preserve"> </w:t>
      </w:r>
      <w:hyperlink w:anchor="ref-24">
        <w:r>
          <w:rPr>
            <w:rStyle w:val="Hyperlink"/>
          </w:rPr>
          <w:t xml:space="preserve">[24]</w:t>
        </w:r>
      </w:hyperlink>
      <w:r>
        <w:t xml:space="preserve">, Juno</w:t>
      </w:r>
      <w:r>
        <w:t xml:space="preserve"> </w:t>
      </w:r>
      <w:hyperlink w:anchor="ref-13">
        <w:r>
          <w:rPr>
            <w:rStyle w:val="Hyperlink"/>
          </w:rPr>
          <w:t xml:space="preserve">[13]</w:t>
        </w:r>
      </w:hyperlink>
      <w:r>
        <w:t xml:space="preserve">,</w:t>
      </w:r>
      <w:r>
        <w:t xml:space="preserve"> </w:t>
      </w:r>
      <w:hyperlink w:anchor="ref-23">
        <w:r>
          <w:rPr>
            <w:rStyle w:val="Hyperlink"/>
          </w:rPr>
          <w:t xml:space="preserve">[23]</w:t>
        </w:r>
      </w:hyperlink>
      <w:r>
        <w:t xml:space="preserve">, the Voyagers</w:t>
      </w:r>
      <w:r>
        <w:t xml:space="preserve"> </w:t>
      </w:r>
      <w:hyperlink w:anchor="ref-14">
        <w:r>
          <w:rPr>
            <w:rStyle w:val="Hyperlink"/>
          </w:rPr>
          <w:t xml:space="preserve">[14]</w:t>
        </w:r>
      </w:hyperlink>
      <w:r>
        <w:t xml:space="preserve">, and Galileo</w:t>
      </w:r>
      <w:r>
        <w:t xml:space="preserve"> </w:t>
      </w:r>
      <w:hyperlink w:anchor="ref-20">
        <w:r>
          <w:rPr>
            <w:rStyle w:val="Hyperlink"/>
          </w:rPr>
          <w:t xml:space="preserve">[20]</w:t>
        </w:r>
      </w:hyperlink>
      <w:r>
        <w:t xml:space="preserve">, each of which documents the antenna aperture, transmitter power, band, and supported rates for its mission. The Mars Reconnaissance Orbiter Ka-band demonstration, which isolates the frequency-band term, is documented in a NASA Technical Reports Server record of the 32-gigahertz cruise-phase operations</w:t>
      </w:r>
      <w:r>
        <w:t xml:space="preserve"> </w:t>
      </w:r>
      <w:hyperlink w:anchor="ref-21">
        <w:r>
          <w:rPr>
            <w:rStyle w:val="Hyperlink"/>
          </w:rPr>
          <w:t xml:space="preserve">[21]</w:t>
        </w:r>
      </w:hyperlink>
      <w:r>
        <w:t xml:space="preserve">. The monograph of the Deep Space Communications and Navigation Series consolidates these per-mission design practices into the coherent body of link-budget engineering on which the theoretical specification rests</w:t>
      </w:r>
      <w:r>
        <w:t xml:space="preserve"> </w:t>
      </w:r>
      <w:hyperlink w:anchor="ref-18">
        <w:r>
          <w:rPr>
            <w:rStyle w:val="Hyperlink"/>
          </w:rPr>
          <w:t xml:space="preserve">[18]</w:t>
        </w:r>
      </w:hyperlink>
      <w:r>
        <w:t xml:space="preserve">.</w:t>
      </w:r>
    </w:p>
    <w:p>
      <w:pPr>
        <w:pStyle w:val="BodyText"/>
        <w:spacing w:line="480" w:lineRule="auto"/>
        <w:ind w:firstLine="720"/>
      </w:pPr>
      <w:r>
        <w:t xml:space="preserve">Peer-reviewed mission papers and conference papers supply the parameters for missions documented outside the DESCANSO series. The New Horizons radio-frequency telecommunications system, which documents the kilobit-class return near Pluto, is drawn from the design paper for that mission</w:t>
      </w:r>
      <w:r>
        <w:t xml:space="preserve"> </w:t>
      </w:r>
      <w:hyperlink w:anchor="ref-16">
        <w:r>
          <w:rPr>
            <w:rStyle w:val="Hyperlink"/>
          </w:rPr>
          <w:t xml:space="preserve">[16]</w:t>
        </w:r>
      </w:hyperlink>
      <w:r>
        <w:t xml:space="preserve">,</w:t>
      </w:r>
      <w:r>
        <w:t xml:space="preserve"> </w:t>
      </w:r>
      <w:hyperlink w:anchor="ref-25">
        <w:r>
          <w:rPr>
            <w:rStyle w:val="Hyperlink"/>
          </w:rPr>
          <w:t xml:space="preserve">[25]</w:t>
        </w:r>
      </w:hyperlink>
      <w:r>
        <w:t xml:space="preserve">. The Psyche spacecraft design paper documents the high-gain and safe-mode low-gain rates that anchor the low end of the second dataset</w:t>
      </w:r>
      <w:r>
        <w:t xml:space="preserve"> </w:t>
      </w:r>
      <w:hyperlink w:anchor="ref-26">
        <w:r>
          <w:rPr>
            <w:rStyle w:val="Hyperlink"/>
          </w:rPr>
          <w:t xml:space="preserve">[26]</w:t>
        </w:r>
      </w:hyperlink>
      <w:r>
        <w:t xml:space="preserve">. Relay-topology assessment for Earth-Mars communications informs the interpretation of the softened range elasticity, establishing that ground-segment and relay architecture buys back part of the geometric distance penalty</w:t>
      </w:r>
      <w:r>
        <w:t xml:space="preserve"> </w:t>
      </w:r>
      <w:hyperlink w:anchor="ref-19">
        <w:r>
          <w:rPr>
            <w:rStyle w:val="Hyperlink"/>
          </w:rPr>
          <w:t xml:space="preserve">[19]</w:t>
        </w:r>
      </w:hyperlink>
      <w:r>
        <w:t xml:space="preserve">. For the small number of missions without a published DESCANSO article or peer-reviewed telecom paper, the datasets fall back on NASA and Jet Propulsion Laboratory factsheets, mission press kits, and agency mission pages, each cited per row. The terminal anchors of the historical fleet, the Voyager interstellar floor and the Galileo low-gain contingency, are documented both in the DESCANSO series and in the mission program records</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This source discipline yields full provenance: every covariate maps to a published engineering parameter, and the dependent variable is drawn from mission telecom design summaries, peer-reviewed papers, or agency factsheets cited row by row. No variable in either dataset depends on a proprietary operator record, and no structural driver depends on an unsourced figure.</w:t>
      </w:r>
    </w:p>
    <w:bookmarkEnd w:id="86"/>
    <w:bookmarkStart w:id="87" w:name="X8ef326ac1eac5f50cbfe59347016aa97da59204"/>
    <w:p>
      <w:pPr>
        <w:pStyle w:val="Heading2"/>
        <w:spacing w:line="480" w:lineRule="auto"/>
      </w:pPr>
      <w:r>
        <w:t xml:space="preserve">4.4 The first dataset: the link-equation cross-section</w:t>
      </w:r>
    </w:p>
    <w:p>
      <w:pPr>
        <w:pStyle w:val="FirstParagraph"/>
        <w:spacing w:line="480" w:lineRule="auto"/>
      </w:pPr>
      <w:r>
        <w:t xml:space="preserve">The first dataset comprises twenty-six documented deep-space radio downlink configurations spanning the S-, X-, and Ka-bands and Earth-spacecraft ranges from roughly half an astronomical unit to about 156 astronomical units. Each observation records the supported downlink data rate, the representative operating range, the spacecraft high-gain-antenna diameter, the downlink transmitter radio-frequency output power, the downlink band, the downlink carrier frequency, and the Deep Space Network or partner-agency ground aperture used. The dataset is constructed at the level of the documented link, so that a single row corresponds to a single spacecraft observed at a representative operating geometry.</w:t>
      </w:r>
    </w:p>
    <w:p>
      <w:pPr>
        <w:pStyle w:val="BodyText"/>
        <w:spacing w:line="480" w:lineRule="auto"/>
        <w:ind w:firstLine="720"/>
      </w:pPr>
      <w:r>
        <w:t xml:space="preserve">The cross-section is anchored by the well-documented endpoints of the historical fleet, which fix the extremes of the rate and range distributions. The Voyager 160-bit-per-second floor at interstellar distance, with its 3.7-meter antenna and 21.3-watt amplifier observed at 156 and 130 astronomical units for the two spacecraft, anchors the long-range, low-rate corner</w:t>
      </w:r>
      <w:r>
        <w:t xml:space="preserve"> </w:t>
      </w:r>
      <w:hyperlink w:anchor="ref-14">
        <w:r>
          <w:rPr>
            <w:rStyle w:val="Hyperlink"/>
          </w:rPr>
          <w:t xml:space="preserve">[14]</w:t>
        </w:r>
      </w:hyperlink>
      <w:r>
        <w:t xml:space="preserve">. The Galileo low-gain-antenna 160-bit-per-second ceiling, the contingency rate after the high-gain antenna failed to deploy, anchors the aperture-starved corner, and the Galileo high-gain design rate of 134.4 kilobits per second from its 4.8-meter design dish enters as the never-achieved design counterfactual</w:t>
      </w:r>
      <w:r>
        <w:t xml:space="preserve"> </w:t>
      </w:r>
      <w:hyperlink w:anchor="ref-15">
        <w:r>
          <w:rPr>
            <w:rStyle w:val="Hyperlink"/>
          </w:rPr>
          <w:t xml:space="preserve">[15]</w:t>
        </w:r>
      </w:hyperlink>
      <w:r>
        <w:t xml:space="preserve">,</w:t>
      </w:r>
      <w:r>
        <w:t xml:space="preserve"> </w:t>
      </w:r>
      <w:hyperlink w:anchor="ref-20">
        <w:r>
          <w:rPr>
            <w:rStyle w:val="Hyperlink"/>
          </w:rPr>
          <w:t xml:space="preserve">[20]</w:t>
        </w:r>
      </w:hyperlink>
      <w:r>
        <w:t xml:space="preserve">. The Mars Reconnaissance Orbiter six-megabit-per-second peak from its 3-meter antenna and 100-watt X-band amplifier anchors the high-rate corner</w:t>
      </w:r>
      <w:r>
        <w:t xml:space="preserve"> </w:t>
      </w:r>
      <w:hyperlink w:anchor="ref-11">
        <w:r>
          <w:rPr>
            <w:rStyle w:val="Hyperlink"/>
          </w:rPr>
          <w:t xml:space="preserve">[11]</w:t>
        </w:r>
      </w:hyperlink>
      <w:r>
        <w:t xml:space="preserve">,</w:t>
      </w:r>
      <w:r>
        <w:t xml:space="preserve"> </w:t>
      </w:r>
      <w:hyperlink w:anchor="ref-22">
        <w:r>
          <w:rPr>
            <w:rStyle w:val="Hyperlink"/>
          </w:rPr>
          <w:t xml:space="preserve">[22]</w:t>
        </w:r>
      </w:hyperlink>
      <w:r>
        <w:t xml:space="preserve">, and the same orbiter’s Ka-band demonstration, which returned six megabits per second from a 35-watt Ka amplifier, supplies the single Ka-band observation in this cross-section</w:t>
      </w:r>
      <w:r>
        <w:t xml:space="preserve"> </w:t>
      </w:r>
      <w:hyperlink w:anchor="ref-21">
        <w:r>
          <w:rPr>
            <w:rStyle w:val="Hyperlink"/>
          </w:rPr>
          <w:t xml:space="preserve">[21]</w:t>
        </w:r>
      </w:hyperlink>
      <w:r>
        <w:t xml:space="preserve">. The New Horizons kilobit-class return near Pluto, at 1,200 bits per second from a 2.1-meter antenna and 12-watt amplifier at 33 astronomical units, anchors the deep-but-not-interstellar regime</w:t>
      </w:r>
      <w:r>
        <w:t xml:space="preserve"> </w:t>
      </w:r>
      <w:hyperlink w:anchor="ref-16">
        <w:r>
          <w:rPr>
            <w:rStyle w:val="Hyperlink"/>
          </w:rPr>
          <w:t xml:space="preserve">[16]</w:t>
        </w:r>
      </w:hyperlink>
      <w:r>
        <w:t xml:space="preserve">. Pioneer 10 contributes a 16-bit-per-second late-mission telemetry observation at roughly 30 astronomical units, extending the low-rate anchor to the S-band era. Between these endpoints the cross-section is filled by the Mars and small-body fleet, including Cassini, Juno, Mars Odyssey, MAVEN, Dawn, OSIRIS-REx, Lucy, Europa Clipper, Stardust, Deep Impact, and Parker Solar Probe, together with the partner-agency missions Rosetta, Mars Express, BepiColombo, and Hayabusa2 supported through the European and Japanese deep-space apertures.</w:t>
      </w:r>
    </w:p>
    <w:p>
      <w:pPr>
        <w:pStyle w:val="BodyText"/>
        <w:spacing w:line="480" w:lineRule="auto"/>
        <w:ind w:firstLine="720"/>
      </w:pPr>
      <w:r>
        <w:t xml:space="preserve">The band indicator in this dataset is set to one only for the Mars Reconnaissance Orbiter Ka-band demonstration, the single configuration coded as Ka-band among the twenty-six. The Kepler observation, although the source record describes it as the first mission to use Ka-band as its primary downlink, is recorded with the band indicator at zero in the assembled data; this is a coding choice preserved faithfully from the assembled dataset rather than a claim that Kepler operated in a lower band, and Section 4.8 treats it as a limitation on the band-coefficient interpretation. The MESSENGER observation records an antenna diameter of zero because that mission used a phased-array antenna rather than a parabolic high-gain reflector, and the zero entry encodes the absence of a documented parabolic aperture rather than a measured zero gain.</w:t>
      </w:r>
    </w:p>
    <w:bookmarkEnd w:id="87"/>
    <w:bookmarkStart w:id="88" w:name="Xd20d216394aede120ba0b593a514f254899ea0c"/>
    <w:p>
      <w:pPr>
        <w:pStyle w:val="Heading2"/>
        <w:spacing w:line="480" w:lineRule="auto"/>
      </w:pPr>
      <w:r>
        <w:t xml:space="preserve">4.5 The second dataset: the mission-phase cross-section</w:t>
      </w:r>
    </w:p>
    <w:p>
      <w:pPr>
        <w:pStyle w:val="FirstParagraph"/>
        <w:spacing w:line="480" w:lineRule="auto"/>
      </w:pPr>
      <w:r>
        <w:t xml:space="preserve">The second dataset comprises twenty-eight mission-phase observations spanning the planetary program from Pioneer through Europa Clipper. Each row records a spacecraft and a named operational phase, the achieved downlink telemetry rate in bits per second, the downlink transmitter radio-frequency output power in watts, the high-gain-antenna reflector diameter in meters, an indicator for Ka-band operation, the spacecraft-to-Earth range in astronomical units at which the rate applied, and the serving ground aperture. The unit of analysis is the mission phase rather than the mission, which is the construction that allows a single spacecraft to contribute several observations at several ranges.</w:t>
      </w:r>
    </w:p>
    <w:p>
      <w:pPr>
        <w:pStyle w:val="BodyText"/>
        <w:spacing w:line="480" w:lineRule="auto"/>
        <w:ind w:firstLine="720"/>
      </w:pPr>
      <w:r>
        <w:t xml:space="preserve">The mission-phase construction is what gives this dataset its near-experimental contrasts. Voyager contributes four phase observations: the Jupiter encounter at 115.2 kilobits per second, the Saturn encounter at 44.8 kilobits per second, the Neptune flyby at 21.6 kilobits per second with arrayed ground stations, and the interstellar floor at 160 bits per second, all returned by the same 3.66-meter antenna and 18-watt amplifier</w:t>
      </w:r>
      <w:r>
        <w:t xml:space="preserve"> </w:t>
      </w:r>
      <w:hyperlink w:anchor="ref-14">
        <w:r>
          <w:rPr>
            <w:rStyle w:val="Hyperlink"/>
          </w:rPr>
          <w:t xml:space="preserve">[14]</w:t>
        </w:r>
      </w:hyperlink>
      <w:r>
        <w:t xml:space="preserve">. Holding the spacecraft hardware fixed while distance varies across two decades isolates the range penalty almost as a controlled experiment. Galileo contributes the high-gain design rate of 134.4 kilobits per second and the low-gain actual rate of 160 bits per second, a near-controlled contrast on the aperture term in which the only material change between the two rows is the loss of the high-gain reflector</w:t>
      </w:r>
      <w:r>
        <w:t xml:space="preserve"> </w:t>
      </w:r>
      <w:hyperlink w:anchor="ref-15">
        <w:r>
          <w:rPr>
            <w:rStyle w:val="Hyperlink"/>
          </w:rPr>
          <w:t xml:space="preserve">[15]</w:t>
        </w:r>
      </w:hyperlink>
      <w:r>
        <w:t xml:space="preserve">,</w:t>
      </w:r>
      <w:r>
        <w:t xml:space="preserve"> </w:t>
      </w:r>
      <w:hyperlink w:anchor="ref-20">
        <w:r>
          <w:rPr>
            <w:rStyle w:val="Hyperlink"/>
          </w:rPr>
          <w:t xml:space="preserve">[20]</w:t>
        </w:r>
      </w:hyperlink>
      <w:r>
        <w:t xml:space="preserve">. The Mars Reconnaissance Orbiter contributes three phases, the near-Earth and far X-band rates and the Ka-band demonstration, which isolates the frequency-band term against an otherwise fixed configuration</w:t>
      </w:r>
      <w:r>
        <w:t xml:space="preserve"> </w:t>
      </w:r>
      <w:hyperlink w:anchor="ref-11">
        <w:r>
          <w:rPr>
            <w:rStyle w:val="Hyperlink"/>
          </w:rPr>
          <w:t xml:space="preserve">[11]</w:t>
        </w:r>
      </w:hyperlink>
      <w:r>
        <w:t xml:space="preserve">,</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Cassini, Juno, New Horizons, Pioneer 10, and Psyche likewise contribute multiple phases that pair a high-gain operational rate with a low-gain or extreme-range contingency.</w:t>
      </w:r>
    </w:p>
    <w:p>
      <w:pPr>
        <w:pStyle w:val="BodyText"/>
        <w:spacing w:line="480" w:lineRule="auto"/>
        <w:ind w:firstLine="720"/>
      </w:pPr>
      <w:r>
        <w:t xml:space="preserve">The transmitter-power range in this dataset is deliberately wide, spanning from the 2.5-watt Ka translator that Juno uses for gravity science to the 100-watt amplifiers of the Mars Reconnaissance Orbiter, MAVEN, Psyche, and Lucy. Antenna diameters span from the 0.6-meter Parker Solar Probe reflector to the 4.0-meter Cassini dish, with a value of zero recorded where the documented rate was achieved through a low- or medium-gain antenna rather than the high-gain antenna, as in the Galileo low-gain contingency, the Juno initial-acquisition phase, and the Psyche safe-mode case. Range spans from sub-astronomical-unit Mars and Venus geometries to Voyager’s interstellar distance, and achieved rates span more than five orders of magnitude, from the 10-bit-per-second Psyche safe-mode floor to the 6-megabit-per-second Ka demonstration. Four of the twenty-eight rows are coded as Ka-band: the Mars Reconnaissance Orbiter Ka demonstration, Parker Solar Probe, the Europa Clipper Ka link, and the Juno Ka gravity-science carrier. The small Ka-band count, four observations of twenty-eight, is a feature of the historical record rather than a sampling choice, and it bounds the precision with which the band coefficient can be estimated.</w:t>
      </w:r>
    </w:p>
    <w:bookmarkEnd w:id="88"/>
    <w:bookmarkStart w:id="89" w:name="X4d68ae530fb50ff27d1ffe4ee4ca61bfe9c6755"/>
    <w:p>
      <w:pPr>
        <w:pStyle w:val="Heading2"/>
        <w:spacing w:line="480" w:lineRule="auto"/>
      </w:pPr>
      <w:r>
        <w:t xml:space="preserve">4.6 Variable construction from primary records</w:t>
      </w:r>
    </w:p>
    <w:p>
      <w:pPr>
        <w:pStyle w:val="FirstParagraph"/>
        <w:spacing w:line="480" w:lineRule="auto"/>
      </w:pPr>
      <w:r>
        <w:t xml:space="preserve">Each variable is constructed from the primary records according to a fixed rule, and the construction is identical in spirit across the two datasets even where the column names differ.</w:t>
      </w:r>
    </w:p>
    <w:p>
      <w:pPr>
        <w:pStyle w:val="BodyText"/>
        <w:spacing w:line="480" w:lineRule="auto"/>
        <w:ind w:firstLine="720"/>
      </w:pPr>
      <w:r>
        <w:t xml:space="preserve">The dependent variable is the base-ten logarithm of the downlink data rate in bits per second. In the first dataset this is the supported rate drawn from mission telecom design summaries, press kits, and agency factsheets; in the second it is the achieved telemetry rate that applied in the named phase. The logarithmic transform is dictated by the physics: the link equation predicts that achievable rate scales multiplicatively with effective isotropic radiated power and inversely with range squared, so taking logarithms converts the multiplicative budget into the additive, estimable form that the regression requires. The rate is the only variable whose entries are, for a minority of rows, illustrative rather than primary-sourced, a treatment documented in Section 4.7.</w:t>
      </w:r>
    </w:p>
    <w:p>
      <w:pPr>
        <w:pStyle w:val="BodyText"/>
        <w:spacing w:line="480" w:lineRule="auto"/>
        <w:ind w:firstLine="720"/>
      </w:pPr>
      <w:r>
        <w:t xml:space="preserve">The range variable is the base-ten logarithm of the Earth-spacecraft range in astronomical units, entered logarithmically because free-space path loss rises with the square of distance, making distance the dominant margin penalty and its logarithm the natural regressor. The range is the representative operating distance in the first dataset and the distance at which the achieved rate applied in the second, drawn from mission ephemeris, encounter and cruise distances in NASA mission timelines, and the DESCANSO summaries. The logarithmic range coefficient is directly comparable to the theoretical inverse-square exponent of negative two, which is the structural quantity the regression is designed to recover.</w:t>
      </w:r>
    </w:p>
    <w:p>
      <w:pPr>
        <w:pStyle w:val="BodyText"/>
        <w:spacing w:line="480" w:lineRule="auto"/>
        <w:ind w:firstLine="720"/>
      </w:pPr>
      <w:r>
        <w:t xml:space="preserve">The high-gain-antenna diameter is the reflector diameter in meters, drawn from the DESCANSO summaries and spacecraft factsheets. Antenna gain scales with the square of aperture diameter, so in the first dataset the variable enters as its base-ten logarithm, encoding a power-law gain term whose elasticity the regression estimates; in the second dataset the diameter enters in levels as a semi-elasticity. The variable is set to zero where the documented rate was achieved through a low- or medium-gain antenna or a phased array rather than a parabolic high-gain reflector. This zero entry captures the absence of high-gain pointing rather than a measured zero gain, a modeling simplification whose limitation Section 4.8 records.</w:t>
      </w:r>
    </w:p>
    <w:p>
      <w:pPr>
        <w:pStyle w:val="BodyText"/>
        <w:spacing w:line="480" w:lineRule="auto"/>
        <w:ind w:firstLine="720"/>
      </w:pPr>
      <w:r>
        <w:t xml:space="preserve">The transmitter power is the spacecraft downlink radio-frequency output power in watts, the high-power setting of the traveling-wave-tube amplifier or solid-state amplifier, drawn from the DESCANSO summaries and mission references. Power is a primary driver of effective isotropic radiated power and enters the link budget linearly in decibels. In the first dataset it enters as its base-ten logarithm; in the second it enters in levels as a semi-elasticity, so that the coefficient multiplied by the natural-logarithm conversion gives the proportional change in rate per watt of additional amplifier output.</w:t>
      </w:r>
    </w:p>
    <w:p>
      <w:pPr>
        <w:pStyle w:val="BodyText"/>
        <w:spacing w:line="480" w:lineRule="auto"/>
        <w:ind w:firstLine="720"/>
      </w:pPr>
      <w:r>
        <w:t xml:space="preserve">The Ka-band indicator equals one when the downlink operated near 32 gigahertz and zero for S- or X-band, capturing the fixed frequency-dependent gain and bandwidth advantage that the higher carrier confers on a given aperture. It is drawn from the DESCANSO and mission references. The ground aperture is the diameter in meters of the Deep Space Network or partner-agency receiving aperture, taking the documented values of 34, 35, 64, or 70 meters, drawn from the Handbook and from mission operations records. In the first dataset the ground aperture enters the regression directly in levels; in the second it is recorded for each observation but is dominated by the 34-meter and 70-meter stations with limited independent variation. The first dataset additionally records the downlink carrier frequency in gigahertz as a documented parameter, which corroborates the band coding without entering the regression as a separate regressor.</w:t>
      </w:r>
    </w:p>
    <w:bookmarkEnd w:id="89"/>
    <w:bookmarkStart w:id="90" w:name="X7ab42868c31066c35e4372801ea8dbcf2e88689"/>
    <w:p>
      <w:pPr>
        <w:pStyle w:val="Heading2"/>
        <w:spacing w:line="480" w:lineRule="auto"/>
      </w:pPr>
      <w:r>
        <w:t xml:space="preserve">4.7 Measurement of the dependent variable and illustrative entries</w:t>
      </w:r>
    </w:p>
    <w:p>
      <w:pPr>
        <w:pStyle w:val="FirstParagraph"/>
        <w:spacing w:line="480" w:lineRule="auto"/>
      </w:pPr>
      <w:r>
        <w:t xml:space="preserve">The structural covariates, antenna diameter, transmitter power, band, range, and ground aperture, are documented engineering specifications for every row in both datasets, and no structural driver is illustrative. The dependent variable is treated with explicit transparency where a primary-source rate could not be cited directly. In the first dataset, where a mission’s exact supported rate at the representative range was not published in a citable form, the rate is marked as illustrative in the source field and chosen to be consistent with the mission’s design book and operating regime; such entries are a minority of the sample and are confined to the dependent variable, never to the physical drivers. The well-documented endpoints, the Voyager and Galileo floors, the Mars Reconnaissance Orbiter peak, the New Horizons return, and the Pioneer 10 telemetry, are primary-sourced and anchor the cross-section, so the log-log form makes the structural slopes a property of the whole cross-section rather than of any illustrative interior point.</w:t>
      </w:r>
    </w:p>
    <w:p>
      <w:pPr>
        <w:pStyle w:val="BodyText"/>
        <w:spacing w:line="480" w:lineRule="auto"/>
        <w:ind w:firstLine="720"/>
      </w:pPr>
      <w:r>
        <w:t xml:space="preserve">In the second dataset the discipline is the same and the illustrative set is smaller still: of the twenty-eight rows, a single rate value, the Mariner 10 figure, is marked as illustrative because a primary-source rate could not be confirmed, and every other rate value is tied to a named NASA or Jet Propulsion Laboratory source in the data file. The final column of each dataset cites the source for the observation, so that any figure can be traced to its origin and the illustrative entries are identifiable rather than concealed. This explicit flagging is the mechanism by which the study keeps the illustrative rates out of the structural drivers and confines whatever measurement error they introduce to the disturbance term of the rate equation.</w:t>
      </w:r>
    </w:p>
    <w:p>
      <w:pPr>
        <w:pStyle w:val="BodyText"/>
        <w:spacing w:line="480" w:lineRule="auto"/>
        <w:ind w:firstLine="720"/>
      </w:pPr>
      <w:r>
        <w:t xml:space="preserve">The distinction between channel-limited and operationally limited rate is material to the measurement of the dependent variable. Achieved rate can fall short of the channel-supported maximum through scheduling, pointing, or terminal faults rather than through the physical budget, and the over-actuation and control-allocation literature establishes that tracking error can depress return independently of the link budget</w:t>
      </w:r>
      <w:r>
        <w:t xml:space="preserve"> </w:t>
      </w:r>
      <w:hyperlink w:anchor="ref-7">
        <w:r>
          <w:rPr>
            <w:rStyle w:val="Hyperlink"/>
          </w:rPr>
          <w:t xml:space="preserve">[7]</w:t>
        </w:r>
      </w:hyperlink>
      <w:r>
        <w:t xml:space="preserve">. The datasets address this at the level of phase definition: where a documented contingency phase, such as the Galileo low-gain operation or the Psyche safe-mode floor, reflects a hardware state rather than a channel state, the phase is recorded as its own observation with the appropriate hardware coding, so that the contrast it supplies is between configurations rather than between a nominal and a faulted version of the same configuration.</w:t>
      </w:r>
    </w:p>
    <w:bookmarkEnd w:id="90"/>
    <w:bookmarkStart w:id="91" w:name="data-limitations"/>
    <w:p>
      <w:pPr>
        <w:pStyle w:val="Heading2"/>
        <w:spacing w:line="480" w:lineRule="auto"/>
      </w:pPr>
      <w:r>
        <w:t xml:space="preserve">4.8 Data limitations</w:t>
      </w:r>
    </w:p>
    <w:p>
      <w:pPr>
        <w:pStyle w:val="FirstParagraph"/>
        <w:spacing w:line="480" w:lineRule="auto"/>
      </w:pPr>
      <w:r>
        <w:t xml:space="preserve">Four limitations bound the inferences drawn from these datasets, and each is a constraint on the interpretation rather than a defect concealed in the construction. First, the unit of analysis is the documented link and the mission phase, not the pass. The radio-frequency record does not publish pass-level pairings of engineered margin and realized return, so the present datasets recover the structural elasticities of the link equation across missions and phases rather than the pass-level margin-to-return elasticity that the dissertation’s identification strategy ultimately targets. The within-mission range contrast that the Voyager and Mars Reconnaissance Orbiter phases supply is the closest the radio-frequency record comes to the within-unit variation that a panel of passes would provide.</w:t>
      </w:r>
    </w:p>
    <w:p>
      <w:pPr>
        <w:pStyle w:val="BodyText"/>
        <w:spacing w:line="480" w:lineRule="auto"/>
        <w:ind w:firstLine="720"/>
      </w:pPr>
      <w:r>
        <w:t xml:space="preserve">Second, the dependent variable mixes design-book maxima with representative operating rates, and a minority of rates are illustrative within their mission’s documented regime. A fully homogeneous rate definition, measured at a common margin threshold across all rows, would sharpen the estimates; the present definition trades some homogeneity for the breadth of the cross-section, and the trade is made transparent through the per-row source field.</w:t>
      </w:r>
    </w:p>
    <w:p>
      <w:pPr>
        <w:pStyle w:val="BodyText"/>
        <w:spacing w:line="480" w:lineRule="auto"/>
        <w:ind w:firstLine="720"/>
      </w:pPr>
      <w:r>
        <w:t xml:space="preserve">Third, the specifications omit coding gain, system noise temperature, and modulation, which the regression constant absorbs on average but which vary across missions and inflate the disturbance term. This omission is intrinsic to a parsimonious specification built on headline catalog parameters, and it is the reason the study reports how tightly a small set of specifications pins down realized performance rather than claiming to explain it completely. The antenna-diameter zero coding for low-gain and phased-array observations is a related simplification: it captures the absence of high-gain pointing but does not enter the low-gain antenna gain in decibels, so a richer specification would model antenna gain directly for every link. The Kepler band coding in the first dataset, recorded at zero despite the source description of Ka-band primary downlink, is a further coding caution that bounds the band-coefficient interpretation in that cross-section.</w:t>
      </w:r>
    </w:p>
    <w:p>
      <w:pPr>
        <w:pStyle w:val="BodyText"/>
        <w:spacing w:line="480" w:lineRule="auto"/>
        <w:ind w:firstLine="720"/>
      </w:pPr>
      <w:r>
        <w:t xml:space="preserve">Fourth, the ground aperture is too coarsely varied to be informative in either dataset. The deep-space links are dominated by the 34-meter and 70-meter stations with limited and non-monotone variation once the spacecraft-side drivers are controlled, and the arraying of multiple ground antennas, the technique that supported the Voyager Neptune flyby and rescued the Galileo science return, is not represented as a continuous covariate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 The cross-sections are therefore not informative about marginal ground-aperture effects, and the study scopes its claims to the spacecraft-side drivers and the range penalty accordingly. None of these limitations undermines the central measurement objective of the chapter, which is to ensure that every structural driver in both datasets is a documented engineering parameter traceable, row by row, to a published source.</w:t>
      </w:r>
    </w:p>
    <w:bookmarkEnd w:id="91"/>
    <w:bookmarkEnd w:id="92"/>
    <w:bookmarkStart w:id="102" w:name="chapter-5.-methods-and-identification"/>
    <w:p>
      <w:pPr>
        <w:pStyle w:val="Heading1"/>
        <w:spacing w:line="480" w:lineRule="auto"/>
      </w:pPr>
      <w:r>
        <w:t xml:space="preserve">Chapter 5. Methods and Identification</w:t>
      </w:r>
    </w:p>
    <w:bookmarkStart w:id="93" w:name="overview-and-the-estimand"/>
    <w:p>
      <w:pPr>
        <w:pStyle w:val="Heading2"/>
        <w:spacing w:line="480" w:lineRule="auto"/>
      </w:pPr>
      <w:r>
        <w:t xml:space="preserve">5.1 Overview and the estimand</w:t>
      </w:r>
    </w:p>
    <w:p>
      <w:pPr>
        <w:pStyle w:val="FirstParagraph"/>
        <w:spacing w:line="480" w:lineRule="auto"/>
      </w:pPr>
      <w:r>
        <w:t xml:space="preserve">This chapter specifies the estimators by which the dissertation recovers its single target quantity, the strategy by which that quantity is identified from observational link records, and the threats that stand between the estimator and a causal reading, together with the bound placed on each. The target quantity, fixed in the prospectus and carried forward unchanged, is the elasticity of achieved downlink data return with respect to engineered link-budget margin, conditioned on site-quality and link-geometry covariates. The estimand is a structural slope, not a forecast: it is the answer to the counterfactual question of how delivered bits would change at a given pass were the booked margin perturbed by one decibel, holding the realized channel state and the geometry of that pass fixed. The companion cross-mission regressions reported earlier in the dissertation recover the physical antecedents of margin, the negative range elasticity near the inverse-square value and the positive aperture and band elasticities, from heterogeneous radio-frequency missions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6">
        <w:r>
          <w:rPr>
            <w:rStyle w:val="Hyperlink"/>
          </w:rPr>
          <w:t xml:space="preserve">[16]</w:t>
        </w:r>
      </w:hyperlink>
      <w:r>
        <w:t xml:space="preserve">. Those results establish that the link equation is empirically estimable across missions. The present chapter takes the next and harder step, which is to estimate the return to margin itself, within the optical regime where atmospheric variability makes the margin-to-return mapping both steep and observable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p>
    <w:p>
      <w:pPr>
        <w:pStyle w:val="BodyText"/>
        <w:spacing w:line="480" w:lineRule="auto"/>
        <w:ind w:firstLine="720"/>
      </w:pPr>
      <w:r>
        <w:t xml:space="preserve">Three commitments organize the chapter. First, the unit of analysis is the communications pass, not the mission, so the estimator operates on within-site, within-epoch variation rather than on a cross-mission cross-section. Second, the functional form is quadratic in margin, so that the concavity asserted in the alternative hypothesis is a testable feature of the fitted surface rather than an assumption imposed on it. Third, identification is layered: a fixed-effects panel removes the largest and most persistent confounder, and a forecast-based instrumental-variable strategy addresses the residual endogeneity that the fixed effects cannot reach. Each layer is stated with its maintained assumption made explicit, so that a reader can locate precisely where the causal claim is doing work and where it is most exposed.</w:t>
      </w:r>
    </w:p>
    <w:bookmarkEnd w:id="93"/>
    <w:bookmarkStart w:id="94" w:name="Xe9cb6987ca80f0cdd39d2b765e83e8e3d23bdb6"/>
    <w:p>
      <w:pPr>
        <w:pStyle w:val="Heading2"/>
        <w:spacing w:line="480" w:lineRule="auto"/>
      </w:pPr>
      <w:r>
        <w:t xml:space="preserve">5.2 The dependent variable and the regressor of interest</w:t>
      </w:r>
    </w:p>
    <w:p>
      <w:pPr>
        <w:pStyle w:val="FirstParagraph"/>
        <w:spacing w:line="480" w:lineRule="auto"/>
      </w:pPr>
      <w:r>
        <w:t xml:space="preserve">The dependent variable is achieved data return per pass. It is measured in two complementary forms, and the analysis reports both. The first form is delivered bits over the pass, entered in base-10 logarithm to match the multiplicative structure of the link budget and to render the coefficient on margin an elasticity. The second form is the fraction of the scheduled data rate realized over the pass, a bounded ratio in the unit interval that normalizes for the scheduled rate the pass was planned to carry and that is the more natural dependent variable when the question is shortfall against design intent. The bounded form is estimated by a fractional-response specification so that fitted values respect the zero-to-one support, and the logarithmic form is estimated by least squares within the panel. Agreement of the sign, significance, and approximate magnitude of the margin coefficient across the two forms is treated as an internal robustness check, since the two measurements share their regressor set but differ in their treatment of the scheduled rate and in their support.</w:t>
      </w:r>
    </w:p>
    <w:p>
      <w:pPr>
        <w:pStyle w:val="BodyText"/>
        <w:spacing w:line="480" w:lineRule="auto"/>
        <w:ind w:firstLine="720"/>
      </w:pPr>
      <w:r>
        <w:t xml:space="preserve">The regressor of interest is engineered link-budget margin in decibels, computed from the pass-level budget according to the standing conventions of the Deep Space Network Telecommunications Link Design Handbook 810-005</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Margin is the residual of the budget: the difference between the carrier-to-noise spectral density the receiver presents and the energy-per-bit threshold the chosen coding and modulation scheme requires to close the link at the scheduled rate</w:t>
      </w:r>
      <w:r>
        <w:t xml:space="preserve"> </w:t>
      </w:r>
      <w:hyperlink w:anchor="ref-8">
        <w:r>
          <w:rPr>
            <w:rStyle w:val="Hyperlink"/>
          </w:rPr>
          <w:t xml:space="preserve">[8]</w:t>
        </w:r>
      </w:hyperlink>
      <w:r>
        <w:t xml:space="preserve">. Two margin constructs are distinguished and both are carried in the analysis. Booked margin is the reserve computed at planning time from the nominal channel assumption. Realized margin is the reserve implied by the channel actually encountered over the pass, reconstructed from the site atmospheric state. The wedge between booked and realized margin is the operational object the identification strategy must confront, because it is precisely the channel-state surprise against which margin is held, and because operators adjust booked margin in anticipation of that surprise.</w:t>
      </w:r>
    </w:p>
    <w:p>
      <w:pPr>
        <w:pStyle w:val="BodyText"/>
        <w:spacing w:line="480" w:lineRule="auto"/>
        <w:ind w:firstLine="720"/>
      </w:pPr>
      <w:r>
        <w:t xml:space="preserve">The covariate set conditions the return to margin on the determinants of channel state and geometry that the deterministic budget treats as inputs. Cloud-free line-of-sight availability at the serving ground site enters as the principal atmospheric control, constructed from the site-characterization products of the type Felton and Alliss compiled for candidate optical ground sites</w:t>
      </w:r>
      <w:r>
        <w:t xml:space="preserve"> </w:t>
      </w:r>
      <w:hyperlink w:anchor="ref-1">
        <w:r>
          <w:rPr>
            <w:rStyle w:val="Hyperlink"/>
          </w:rPr>
          <w:t xml:space="preserve">[1]</w:t>
        </w:r>
      </w:hyperlink>
      <w:r>
        <w:t xml:space="preserve">,</w:t>
      </w:r>
      <w:r>
        <w:t xml:space="preserve"> </w:t>
      </w:r>
      <w:hyperlink w:anchor="ref-31">
        <w:r>
          <w:rPr>
            <w:rStyle w:val="Hyperlink"/>
          </w:rPr>
          <w:t xml:space="preserve">[31]</w:t>
        </w:r>
      </w:hyperlink>
      <w:r>
        <w:t xml:space="preserve"> </w:t>
      </w:r>
      <w:r>
        <w:t xml:space="preserve">and the cloud-forecasting record for space-based applications</w:t>
      </w:r>
      <w:r>
        <w:t xml:space="preserve"> </w:t>
      </w:r>
      <w:hyperlink w:anchor="ref-32">
        <w:r>
          <w:rPr>
            <w:rStyle w:val="Hyperlink"/>
          </w:rPr>
          <w:t xml:space="preserve">[32]</w:t>
        </w:r>
      </w:hyperlink>
      <w:r>
        <w:t xml:space="preserve">. Link geometry enters through elevation angle and slant range, the two terms that set the atmospheric path length and the free-space loss for the pass. The modulation and coding scheme enters as an indicator set, since the energy-per-bit threshold and therefore the mapping from carrier-to-noise density to supported rate is fixed by that scheme</w:t>
      </w:r>
      <w:r>
        <w:t xml:space="preserve"> </w:t>
      </w:r>
      <w:hyperlink w:anchor="ref-8">
        <w:r>
          <w:rPr>
            <w:rStyle w:val="Hyperlink"/>
          </w:rPr>
          <w:t xml:space="preserve">[8]</w:t>
        </w:r>
      </w:hyperlink>
      <w:r>
        <w:t xml:space="preserve">. Where adaptive-optics correction is active, an indicator marks the pass, because correction alters the effective margin mapping by buying back turbulence-induced loss through wavefront control rather than through static reserve</w:t>
      </w:r>
      <w:r>
        <w:t xml:space="preserve"> </w:t>
      </w:r>
      <w:hyperlink w:anchor="ref-4">
        <w:r>
          <w:rPr>
            <w:rStyle w:val="Hyperlink"/>
          </w:rPr>
          <w:t xml:space="preserve">[4]</w:t>
        </w:r>
      </w:hyperlink>
      <w:r>
        <w:t xml:space="preserve">.</w:t>
      </w:r>
    </w:p>
    <w:bookmarkEnd w:id="94"/>
    <w:bookmarkStart w:id="95" w:name="the-naive-estimator-and-why-it-fails"/>
    <w:p>
      <w:pPr>
        <w:pStyle w:val="Heading2"/>
        <w:spacing w:line="480" w:lineRule="auto"/>
      </w:pPr>
      <w:r>
        <w:t xml:space="preserve">5.3 The naive estimator and why it fails</w:t>
      </w:r>
    </w:p>
    <w:p>
      <w:pPr>
        <w:pStyle w:val="FirstParagraph"/>
        <w:spacing w:line="480" w:lineRule="auto"/>
      </w:pPr>
      <w:r>
        <w:t xml:space="preserve">The point of departure is the pooled regression of log data return on margin and the covariate set by ordinary least squares. This estimator is reported, but it is reported as a benchmark to be improved upon rather than as a credible estimate of the structural slope, and the chapter is explicit about the direction of its bias. The failure has a name. It is selection on margin. Operators do not assign margin at random across passes and sites. A mission that anticipates an adverse site, a low-elevation geometry, or a degraded atmospheric season books more margin precisely because it expects the channel to consume it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2">
        <w:r>
          <w:rPr>
            <w:rStyle w:val="Hyperlink"/>
          </w:rPr>
          <w:t xml:space="preserve">[32]</w:t>
        </w:r>
      </w:hyperlink>
      <w:r>
        <w:t xml:space="preserve">. Booked margin is therefore positively correlated with unobserved site adversity, and site adversity depresses achieved return. The pooled coefficient on margin conflates the structural return to a decibel of reserve, which the alternative hypothesis holds to be positive, with the spurious association induced by the assignment rule, which works in the opposite direction because the worst sites carry the most margin and return the fewest bits. The net pooled coefficient is biased toward zero and may even change sign, which is why a pooled null result would be uninformative about the structural estimand. The naive estimator fails not because least squares is the wrong arithmetic but because the conditional-mean-independence assumption it requires is violated by the very behavior, anticipatory margin-setting, that motivates the study.</w:t>
      </w:r>
    </w:p>
    <w:bookmarkEnd w:id="95"/>
    <w:bookmarkStart w:id="96" w:name="the-fixed-effects-panel-estimator"/>
    <w:p>
      <w:pPr>
        <w:pStyle w:val="Heading2"/>
        <w:spacing w:line="480" w:lineRule="auto"/>
      </w:pPr>
      <w:r>
        <w:t xml:space="preserve">5.4 The fixed-effects panel estimator</w:t>
      </w:r>
    </w:p>
    <w:p>
      <w:pPr>
        <w:pStyle w:val="FirstParagraph"/>
        <w:spacing w:line="480" w:lineRule="auto"/>
      </w:pPr>
      <w:r>
        <w:t xml:space="preserve">The first identifying layer is a two-way fixed-effects panel that absorbs the largest and most persistent component of the confound. The specification includes a site fixed effect and an epoch fixed effect, where the epoch is the season-by-year cell that captures the slowly varying atmospheric structure of the serving site. The site fixed effect removes all time-invariant site quality, so that a chronically cloudy or turbulent ground station no longer contaminates the margin coefficient through its standing tendency to attract high booked margin and to return few bits</w:t>
      </w:r>
      <w:r>
        <w:t xml:space="preserve"> </w:t>
      </w:r>
      <w:hyperlink w:anchor="ref-1">
        <w:r>
          <w:rPr>
            <w:rStyle w:val="Hyperlink"/>
          </w:rPr>
          <w:t xml:space="preserve">[1]</w:t>
        </w:r>
      </w:hyperlink>
      <w:r>
        <w:t xml:space="preserve">,</w:t>
      </w:r>
      <w:r>
        <w:t xml:space="preserve"> </w:t>
      </w:r>
      <w:hyperlink w:anchor="ref-31">
        <w:r>
          <w:rPr>
            <w:rStyle w:val="Hyperlink"/>
          </w:rPr>
          <w:t xml:space="preserve">[31]</w:t>
        </w:r>
      </w:hyperlink>
      <w:r>
        <w:t xml:space="preserve">. The epoch fixed effect removes the seasonal atmospheric structure common to all passes at a site within a season, so that the margin coefficient is no longer identified from the predictable annual cycle of channel quality</w:t>
      </w:r>
      <w:r>
        <w:t xml:space="preserve"> </w:t>
      </w:r>
      <w:hyperlink w:anchor="ref-32">
        <w:r>
          <w:rPr>
            <w:rStyle w:val="Hyperlink"/>
          </w:rPr>
          <w:t xml:space="preserve">[32]</w:t>
        </w:r>
      </w:hyperlink>
      <w:r>
        <w:t xml:space="preserve">. After these absorptions, the margin coefficient is identified from within-site, within-season variation: it answers how achieved return moves as booked margin and realized channel state vary across passes that share a site and a season, and that therefore share the persistent and seasonal components of site adversity.</w:t>
      </w:r>
    </w:p>
    <w:p>
      <w:pPr>
        <w:pStyle w:val="BodyText"/>
        <w:spacing w:line="480" w:lineRule="auto"/>
        <w:ind w:firstLine="720"/>
      </w:pPr>
      <w:r>
        <w:t xml:space="preserve">The functional form within the panel is quadratic in margin. The linear term carries the first-order return to a decibel, and the quadratic term carries the curvature that the alternative hypothesis predicts to be negative, so that the elasticity of return with respect to margin is positive but declining over the operational range. The turning point of the quadratic, the margin level at which additional decibels cease to buy meaningful return, is reported as a structural quantity with a confidence interval, because it is the margin-sizing target that converts the estimate into a planning rule. Standard errors are clustered by site and by epoch, the two dimensions along which the disturbances are expected to be correlated, since passes at a common site or within a common season share atmospheric shocks that the fixed effects center but do not render independent. The clustering choice is conservative relative to pass-level independence and is the appropriate inferential treatment for a panel whose residual dependence runs along the site and season margins.</w:t>
      </w:r>
    </w:p>
    <w:p>
      <w:pPr>
        <w:pStyle w:val="BodyText"/>
        <w:spacing w:line="480" w:lineRule="auto"/>
        <w:ind w:firstLine="720"/>
      </w:pPr>
      <w:r>
        <w:t xml:space="preserve">The maintained assumption of the fixed-effects layer is stated plainly. The panel identifies the structural slope only if the remaining within-site, within-season variation in booked margin is uncorrelated with the within-site, within-season variation in unobserved determinants of return. This assumption is weaker than the conditional-mean independence the pooled estimator required, because it conditions out everything fixed at the site and everything common to the season, but it is not innocuous. It fails if operators adjust booked margin pass to pass in response to short-horizon forecast information that also predicts return through a channel other than margin. That residual endogeneity is the precise object of the second identifying layer.</w:t>
      </w:r>
    </w:p>
    <w:bookmarkEnd w:id="96"/>
    <w:bookmarkStart w:id="97" w:name="the-instrumental-variable-estimator"/>
    <w:p>
      <w:pPr>
        <w:pStyle w:val="Heading2"/>
        <w:spacing w:line="480" w:lineRule="auto"/>
      </w:pPr>
      <w:r>
        <w:t xml:space="preserve">5.5 The instrumental-variable estimator</w:t>
      </w:r>
    </w:p>
    <w:p>
      <w:pPr>
        <w:pStyle w:val="FirstParagraph"/>
        <w:spacing w:line="480" w:lineRule="auto"/>
      </w:pPr>
      <w:r>
        <w:t xml:space="preserve">The second layer instruments the endogenous margin variable with exogenous variation in the atmospheric transmission forecast. The logic is as follows. Operators set booked margin pass to pass partly in response to the short-horizon forecast of channel state: when the forecast degrades, they raise booked margin or, equivalently, accept a larger booked-versus-realized wedge</w:t>
      </w:r>
      <w:r>
        <w:t xml:space="preserve"> </w:t>
      </w:r>
      <w:hyperlink w:anchor="ref-2">
        <w:r>
          <w:rPr>
            <w:rStyle w:val="Hyperlink"/>
          </w:rPr>
          <w:t xml:space="preserve">[2]</w:t>
        </w:r>
      </w:hyperlink>
      <w:r>
        <w:t xml:space="preserve">,</w:t>
      </w:r>
      <w:r>
        <w:t xml:space="preserve"> </w:t>
      </w:r>
      <w:hyperlink w:anchor="ref-32">
        <w:r>
          <w:rPr>
            <w:rStyle w:val="Hyperlink"/>
          </w:rPr>
          <w:t xml:space="preserve">[32]</w:t>
        </w:r>
      </w:hyperlink>
      <w:r>
        <w:t xml:space="preserve">. This anticipatory adjustment is what the fixed effects cannot remove, because it varies within site and within season. The forecast itself, however, is generated by a documented deep-learning model whose skill is established in the retrieved literature</w:t>
      </w:r>
      <w:r>
        <w:t xml:space="preserve"> </w:t>
      </w:r>
      <w:hyperlink w:anchor="ref-2">
        <w:r>
          <w:rPr>
            <w:rStyle w:val="Hyperlink"/>
          </w:rPr>
          <w:t xml:space="preserve">[2]</w:t>
        </w:r>
      </w:hyperlink>
      <w:r>
        <w:t xml:space="preserve">. The component of forecast variation that is driven by the model’s information about the atmosphere, rather than by anything the operator separately knows about the pass, is a source of exogenous shifts in realized margin. It moves margin without entering the return equation through any path except margin, because the atmospheric forecast affects delivered bits only by changing the channel that margin is held against, and that channel is already conditioned in the covariate set through realized cloud-free line-of-sight availability.</w:t>
      </w:r>
    </w:p>
    <w:p>
      <w:pPr>
        <w:pStyle w:val="BodyText"/>
        <w:spacing w:line="480" w:lineRule="auto"/>
        <w:ind w:firstLine="720"/>
      </w:pPr>
      <w:r>
        <w:t xml:space="preserve">The estimator is two-stage least squares within the fixed-effects panel. The first stage regresses the endogenous margin term, and its square, on the forecast instrument and its interactions with geometry, together with the full covariate set and the site and epoch fixed effects, and reports the first-stage strength so that weak-instrument concerns can be adjudicated rather than asserted. Because the structural equation is quadratic in margin, both the linear and the quadratic margin terms are instrumented, which requires the instrument to enter the first stage in a form sufficient to identify both, and the chapter constructs the forecast instrument and its geometry interactions to supply that rank. The second stage recovers the structural linear and quadratic margin coefficients and the implied turning point. Inference continues to cluster by site and epoch, and the over-identification and first-stage diagnostics are reported in full.</w:t>
      </w:r>
    </w:p>
    <w:p>
      <w:pPr>
        <w:pStyle w:val="BodyText"/>
        <w:spacing w:line="480" w:lineRule="auto"/>
        <w:ind w:firstLine="720"/>
      </w:pPr>
      <w:r>
        <w:t xml:space="preserve">The exclusion restriction is the load-bearing assumption of this layer. The chapter does not treat it as self-evident. The restriction holds that the forecast affects achieved return only through realized margin, and not through any separate operational channel. It would fail if the forecast triggered scheduling decisions, pointing-configuration changes, or terminal-mode selections that depress or raise return independently of the margin path</w:t>
      </w:r>
      <w:r>
        <w:t xml:space="preserve"> </w:t>
      </w:r>
      <w:hyperlink w:anchor="ref-7">
        <w:r>
          <w:rPr>
            <w:rStyle w:val="Hyperlink"/>
          </w:rPr>
          <w:t xml:space="preserve">[7]</w:t>
        </w:r>
      </w:hyperlink>
      <w:r>
        <w:t xml:space="preserve">. The defense is partly by construction and partly by test. By construction, the realized atmospheric state is already a conditioning covariate, so the instrument’s correlation with the channel is absorbed before it can leak into the second stage through the channel directly. By test, the chapter examines whether the forecast predicts return within strata of realized margin, since under the exclusion restriction the forecast should carry no residual predictive content for return once realized margin is held fixed. A finding that it does carry such content would falsify the exclusion restriction and bound the IV estimate, and that test is reported whether or not it is favorable.</w:t>
      </w:r>
    </w:p>
    <w:bookmarkEnd w:id="97"/>
    <w:bookmarkStart w:id="98" w:name="X964e758a17f1a9fc6e1ef3a8adcbbe526cf0c27"/>
    <w:p>
      <w:pPr>
        <w:pStyle w:val="Heading2"/>
        <w:spacing w:line="480" w:lineRule="auto"/>
      </w:pPr>
      <w:r>
        <w:t xml:space="preserve">5.6 The structural reading and the turning point</w:t>
      </w:r>
    </w:p>
    <w:p>
      <w:pPr>
        <w:pStyle w:val="FirstParagraph"/>
        <w:spacing w:line="480" w:lineRule="auto"/>
      </w:pPr>
      <w:r>
        <w:t xml:space="preserve">The two identifying layers deliver, jointly, an estimate of the linear and quadratic margin coefficients that the alternative hypothesis renders as a single sharp prediction: the linear coefficient positive, the quadratic coefficient negative, and therefore an interior turning point in margin within the operational range. The chapter commits in advance to the disposition of each possible result. A linear coefficient statistically indistinguishable from zero after the fixed-effects and IV layers refutes the premise that booked margin buys return once site quality and geometry are controlled, which is the null. A positive linear coefficient with a non-negative quadratic term refutes the specific concavity that motivates an interior-optimum margin policy, leaving a monotone but unbounded return that would counsel a different sizing rule. A positive linear coefficient with a negative quadratic term and a turning point inside the observed margin support confirms the alternative and yields the margin level beyond which additional decibels stop buying meaningful return. The point estimate of that turning point, its confidence interval, and the implied elasticity at representative operating margins are the reportable outputs that convert the engineering reserve into the economic quantity a planner can trade against the cost of the data it protects</w:t>
      </w:r>
      <w:r>
        <w:t xml:space="preserve"> </w:t>
      </w:r>
      <w:hyperlink w:anchor="ref-3">
        <w:r>
          <w:rPr>
            <w:rStyle w:val="Hyperlink"/>
          </w:rPr>
          <w:t xml:space="preserve">[3]</w:t>
        </w:r>
      </w:hyperlink>
      <w:r>
        <w:t xml:space="preserve">.</w:t>
      </w:r>
    </w:p>
    <w:bookmarkEnd w:id="98"/>
    <w:bookmarkStart w:id="99" w:name="robustness-specifications"/>
    <w:p>
      <w:pPr>
        <w:pStyle w:val="Heading2"/>
        <w:spacing w:line="480" w:lineRule="auto"/>
      </w:pPr>
      <w:r>
        <w:t xml:space="preserve">5.7 Robustness specifications</w:t>
      </w:r>
    </w:p>
    <w:p>
      <w:pPr>
        <w:pStyle w:val="FirstParagraph"/>
        <w:spacing w:line="480" w:lineRule="auto"/>
      </w:pPr>
      <w:r>
        <w:t xml:space="preserve">Three robustness specifications probe the dependence of the estimate on definitional and sample choices, and each is reported alongside the main result rather than held in reserve. The first varies the availability threshold that defines cloud-free line-of-sight, drawing the alternative thresholds from site-characterization practice</w:t>
      </w:r>
      <w:r>
        <w:t xml:space="preserve"> </w:t>
      </w:r>
      <w:hyperlink w:anchor="ref-1">
        <w:r>
          <w:rPr>
            <w:rStyle w:val="Hyperlink"/>
          </w:rPr>
          <w:t xml:space="preserve">[1]</w:t>
        </w:r>
      </w:hyperlink>
      <w:r>
        <w:t xml:space="preserve">,</w:t>
      </w:r>
      <w:r>
        <w:t xml:space="preserve"> </w:t>
      </w:r>
      <w:hyperlink w:anchor="ref-31">
        <w:r>
          <w:rPr>
            <w:rStyle w:val="Hyperlink"/>
          </w:rPr>
          <w:t xml:space="preserve">[31]</w:t>
        </w:r>
      </w:hyperlink>
      <w:r>
        <w:t xml:space="preserve">, because the boundary between a cloud-free and a degraded pass is a measurement convention and the estimate should not hinge on a single cut. The second re-estimates on the subsample of passes for which adaptive-optics correction is active, since correction changes the effective margin mapping by recovering turbulence-induced loss through wavefront control, so that the return to static booked margin is expected to differ in sign-preserving but magnitude-shifting ways between corrected and uncorrected passes</w:t>
      </w:r>
      <w:r>
        <w:t xml:space="preserve"> </w:t>
      </w:r>
      <w:hyperlink w:anchor="ref-4">
        <w:r>
          <w:rPr>
            <w:rStyle w:val="Hyperlink"/>
          </w:rPr>
          <w:t xml:space="preserve">[4]</w:t>
        </w:r>
      </w:hyperlink>
      <w:r>
        <w:t xml:space="preserve">. The third re-estimates the bounded fractional-response form against the logarithmic-bits form, treating disagreement between the two as a signal that the scheduled-rate normalization is doing more work than the budget physics warrants. Concordance across these specifications is the standard of robustness the chapter sets; a result that survives only one threshold, only one correction regime, or only one dependent-variable form is reported as fragile and bounded accordingly.</w:t>
      </w:r>
    </w:p>
    <w:bookmarkEnd w:id="99"/>
    <w:bookmarkStart w:id="100" w:name="threats-to-validity-and-their-bounds"/>
    <w:p>
      <w:pPr>
        <w:pStyle w:val="Heading2"/>
        <w:spacing w:line="480" w:lineRule="auto"/>
      </w:pPr>
      <w:r>
        <w:t xml:space="preserve">5.8 Threats to validity and their bounds</w:t>
      </w:r>
    </w:p>
    <w:p>
      <w:pPr>
        <w:pStyle w:val="FirstParagraph"/>
        <w:spacing w:line="480" w:lineRule="auto"/>
      </w:pPr>
      <w:r>
        <w:t xml:space="preserve">Four threats to validity are material to the causal claim, and the chapter treats the bounding of each as part of the method rather than as an appendix to it. The discipline applied to all four is uniform: name the threat, state the maintained assumption it attacks, identify the layer of the design that defends against it, and report the test or scope restriction that bounds the residual exposure.</w:t>
      </w:r>
    </w:p>
    <w:p>
      <w:pPr>
        <w:pStyle w:val="BodyText"/>
        <w:spacing w:line="480" w:lineRule="auto"/>
        <w:ind w:firstLine="720"/>
      </w:pPr>
      <w:r>
        <w:t xml:space="preserve">The first threat is selection on margin, the anticipatory assignment of reserve in response to expected conditions that biases the naive coefficient toward zero or to the wrong sign. The primary defense is the fixed-effects and forecast-instrument strategy of Sections 5.4 and 5.5, which removes the persistent and seasonal components of the confound and instruments the residual anticipatory adjustment with exogenous forecast variation</w:t>
      </w:r>
      <w:r>
        <w:t xml:space="preserve"> </w:t>
      </w:r>
      <w:hyperlink w:anchor="ref-2">
        <w:r>
          <w:rPr>
            <w:rStyle w:val="Hyperlink"/>
          </w:rPr>
          <w:t xml:space="preserve">[2]</w:t>
        </w:r>
      </w:hyperlink>
      <w:r>
        <w:t xml:space="preserve">. The residual exposure is the exclusion restriction itself, which is an assumption and not a guarantee. It is bounded by the test of whether forecast variation predicts return within strata of realized margin: a null on that test fails to reject the exclusion restriction, and a positive finding bounds the IV estimate by quantifying the leakage path that would otherwise be assumed absent.</w:t>
      </w:r>
    </w:p>
    <w:p>
      <w:pPr>
        <w:pStyle w:val="BodyText"/>
        <w:spacing w:line="480" w:lineRule="auto"/>
        <w:ind w:firstLine="720"/>
      </w:pPr>
      <w:r>
        <w:t xml:space="preserve">The second threat is external validity. The LCRD, ILLUMA-T, and LLCD records are optical links at specific sites and wavelengths, served by ground stations whose atmospheric regimes are particular to their locations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The estimated elasticity is a property of the optical direct-to-Earth and relay regime, and it may not transfer to radio-frequency downlinks, whose budgets are dominated by deterministic inverse-square loss rather than by atmospheric variability, or to optical sites with different cloud and turbulence climatologies</w:t>
      </w:r>
      <w:r>
        <w:t xml:space="preserve"> </w:t>
      </w:r>
      <w:hyperlink w:anchor="ref-5">
        <w:r>
          <w:rPr>
            <w:rStyle w:val="Hyperlink"/>
          </w:rPr>
          <w:t xml:space="preserve">[5]</w:t>
        </w:r>
      </w:hyperlink>
      <w:r>
        <w:t xml:space="preserve">. The bound is a scope restriction stated in advance: the study claims the elasticity for the optical relay and direct-to-Earth regime at the sites observed, treats radio-frequency generalization as out of scope, and reports the climatological range of the observed sites so that a reader can judge the plausibility of transfer to any candidate site rather than assume it.</w:t>
      </w:r>
    </w:p>
    <w:p>
      <w:pPr>
        <w:pStyle w:val="BodyText"/>
        <w:spacing w:line="480" w:lineRule="auto"/>
        <w:ind w:firstLine="720"/>
      </w:pPr>
      <w:r>
        <w:t xml:space="preserve">The third threat is measurement of achieved return. A shortfall against the scheduled rate may be channel-limited, which is the variation the estimand requires, or it may be induced by scheduling, pointing, or terminal faults that are independent of atmospheric margin. Over-actuation and tracking error in the pointing-control loop can depress return for reasons the static budget never sees</w:t>
      </w:r>
      <w:r>
        <w:t xml:space="preserve"> </w:t>
      </w:r>
      <w:hyperlink w:anchor="ref-7">
        <w:r>
          <w:rPr>
            <w:rStyle w:val="Hyperlink"/>
          </w:rPr>
          <w:t xml:space="preserve">[7]</w:t>
        </w:r>
      </w:hyperlink>
      <w:r>
        <w:t xml:space="preserve">. The defense is to flag passes carrying documented non-atmospheric anomalies and to analyze them separately, so that the main estimate is identified from passes whose shortfall is attributable to the channel. The residual exposure is incomplete anomaly documentation, which is bounded by reporting the estimate on the full sample and on the anomaly-excluded subsample and treating a divergence between them as a measured rather than an assumed quantity.</w:t>
      </w:r>
    </w:p>
    <w:p>
      <w:pPr>
        <w:pStyle w:val="BodyText"/>
        <w:spacing w:line="480" w:lineRule="auto"/>
        <w:ind w:firstLine="720"/>
      </w:pPr>
      <w:r>
        <w:t xml:space="preserve">The fourth threat is adaptive-optics confounding. Where correction is active, the effective margin is set by a control loop rather than by the static budget, so the booked decibel and the delivered decibel diverge, and the divergence is endogenous to the loop’s performance rather than to the reserve the planner sized</w:t>
      </w:r>
      <w:r>
        <w:t xml:space="preserve"> </w:t>
      </w:r>
      <w:hyperlink w:anchor="ref-4">
        <w:r>
          <w:rPr>
            <w:rStyle w:val="Hyperlink"/>
          </w:rPr>
          <w:t xml:space="preserve">[4]</w:t>
        </w:r>
      </w:hyperlink>
      <w:r>
        <w:t xml:space="preserve">. The defense is the corrected-pass robustness subsample of Section 5.7, which isolates the corrected regime and estimates the margin return separately within it. The bound is that the headline elasticity is claimed for the static-budget regime, with the corrected regime reported as a distinct estimate, so that the two mappings are kept separate rather than averaged into a single coefficient that would describe neither.</w:t>
      </w:r>
    </w:p>
    <w:bookmarkEnd w:id="100"/>
    <w:bookmarkStart w:id="101" w:name="Xd3975fedc29e86a5a0f017c07fe041242d78261"/>
    <w:p>
      <w:pPr>
        <w:pStyle w:val="Heading2"/>
        <w:spacing w:line="480" w:lineRule="auto"/>
      </w:pPr>
      <w:r>
        <w:t xml:space="preserve">5.9 Provenance discipline and the constraint on the panel</w:t>
      </w:r>
    </w:p>
    <w:p>
      <w:pPr>
        <w:pStyle w:val="FirstParagraph"/>
        <w:spacing w:line="480" w:lineRule="auto"/>
      </w:pPr>
      <w:r>
        <w:t xml:space="preserve">The identification strategy is only as credible as the provenance of the variables it consumes, and the chapter closes by binding the method to the data record. Every variable maps to a NASA-published mission data product or a peer-reviewed site-characterization source: the dependent return variable to the LCRD, ILLUMA-T, and LLCD operational link record, the margin construct to the budget conventions of the Link Design Handbook</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atmospheric covariate and the forecast instrument to the site-characterization and forecasting literature for the publicly reported ground stations serving these demonstrations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1">
        <w:r>
          <w:rPr>
            <w:rStyle w:val="Hyperlink"/>
          </w:rPr>
          <w:t xml:space="preserve">[31]</w:t>
        </w:r>
      </w:hyperlink>
      <w:r>
        <w:t xml:space="preserve">,</w:t>
      </w:r>
      <w:r>
        <w:t xml:space="preserve"> </w:t>
      </w:r>
      <w:hyperlink w:anchor="ref-32">
        <w:r>
          <w:rPr>
            <w:rStyle w:val="Hyperlink"/>
          </w:rPr>
          <w:t xml:space="preserve">[32]</w:t>
        </w:r>
      </w:hyperlink>
      <w:r>
        <w:t xml:space="preserve">. No variable depends on a proprietary operator record, which keeps the estimate auditable end to end.</w:t>
      </w:r>
    </w:p>
    <w:p>
      <w:pPr>
        <w:pStyle w:val="BodyText"/>
        <w:spacing w:line="480" w:lineRule="auto"/>
        <w:ind w:firstLine="720"/>
      </w:pPr>
      <w:r>
        <w:t xml:space="preserve">One material constraint conditions the within-site estimator, and it is reported openly rather than concealed. Where the pass-level granularity of the primary NASA products is coarser than the pass, the panel is constructed at the highest temporal resolution the published record supports, and the resulting aggregation is acknowledged as a limit on the variation available to the fixed-effects layer. Coarser temporal resolution reduces the within-site, within-epoch variation on which the panel coefficient is identified, which widens the confidence interval on the margin elasticity and on the turning point, and the chapter reports that widening as a measured cost of the provenance discipline rather than absorbing it silently into the standard errors. The method therefore delivers not a universal margin-sizing rule but one identified elasticity, its domain of validity, the turning point it implies, and the boundaries beyond which it should not be extrapolated, which is the contribution the dissertation set out to make and the limit it accepts in making it honestly.</w:t>
      </w:r>
    </w:p>
    <w:bookmarkEnd w:id="101"/>
    <w:bookmarkEnd w:id="102"/>
    <w:bookmarkStart w:id="117" w:name="chapter-6.-results"/>
    <w:p>
      <w:pPr>
        <w:pStyle w:val="Heading1"/>
        <w:spacing w:line="480" w:lineRule="auto"/>
      </w:pPr>
      <w:r>
        <w:t xml:space="preserve">Chapter 6. Results</w:t>
      </w:r>
    </w:p>
    <w:p>
      <w:pPr>
        <w:pStyle w:val="FirstParagraph"/>
        <w:spacing w:line="480" w:lineRule="auto"/>
      </w:pPr>
      <w:r>
        <w:t xml:space="preserve">This chapter presents and interprets the empirical findings of the two econometric studies that anchor the dissertation. Both studies pursue the same underlying object, the relationship between the physical drivers of a deep-space telecommunications link budget and the data rate the link actually supports, but they approach it through deliberately different specifications, samples, and covariate encodings. The first study, reported here as the primary specification, regresses the base-ten logarithm of achieved downlink rate on a fully log-transformed set of physical drivers together with a frequency-band indicator and the ground-station aperture, across twenty-six documented deep-space radio links. The second study, reported as the corroborating specification, retains the logarithmic dependent variable and logarithmic range regressor but enters transmitter power and antenna diameter in levels rather than logarithms, encodes the high-gain aperture as zero for links closed on low- or medium-gain antennas, and expands the cross-section to twenty-eight mission-phase observations. The two specifications are not redundant. They earn their keep separately. They test whether the structural slopes implied by the link equation survive changes in functional form, sample composition, and the treatment of contingency links, and whether the central inferences about which design levers govern data return are robust to those changes. The tables, formulas, charts, and underlying data that support every numerical statement in this chapter are reproduced in Appendix A; the present chapter confines itself to reporting the estimates and explaining what they mean.</w:t>
      </w:r>
    </w:p>
    <w:p>
      <w:pPr>
        <w:pStyle w:val="BodyText"/>
        <w:spacing w:line="480" w:lineRule="auto"/>
        <w:ind w:firstLine="720"/>
      </w:pPr>
      <w:r>
        <w:t xml:space="preserve">I organize the chapter as follows. Section 6.1 reports the overall fit and joint significance of the primary specification. Section 6.2 interprets each estimated coefficient of that specification in turn, beginning with the range elasticity that is the parameter of primary theoretical interest. Section 6.3 reports the fit and coefficients of the corroborating specification and explains where and why its estimates diverge from the primary specification. Section 6.4 draws the two sets of estimates together, assesses the robustness of the shared conclusions, and states plainly what the combined evidence does and does not establish.</w:t>
      </w:r>
    </w:p>
    <w:bookmarkStart w:id="103" w:name="overall-fit-of-the-primary-specification"/>
    <w:p>
      <w:pPr>
        <w:pStyle w:val="Heading2"/>
        <w:spacing w:line="480" w:lineRule="auto"/>
      </w:pPr>
      <w:r>
        <w:t xml:space="preserve">6.1 Overall fit of the primary specification</w:t>
      </w:r>
    </w:p>
    <w:p>
      <w:pPr>
        <w:pStyle w:val="FirstParagraph"/>
        <w:spacing w:line="480" w:lineRule="auto"/>
      </w:pPr>
      <w:r>
        <w:t xml:space="preserve">The primary specification is estimated by ordinary least squares with heteroskedasticity-consistent (HC1) standard errors over twenty-six deep-space radio downlink configurations. The model explains a large majority of the cross-mission variation in the logarithm of achieved data rate. The coefficient of determination is 0.8486, and the adjusted coefficient of determination, which penalizes the five slope parameters and the intercept, is 0.8107. The retention of roughly eighty-one percent of explained variation after the adjustment is notable given the heterogeneity of the sample, which pools missions designed across more than four decades and spanning ranges from sub-astronomical-unit Mars and Venus geometries to interstellar distances beyond one hundred fifty astronomical units. The overall relationship is decisively significant. The F-statistic for the joint null that all slope coefficients are zero is 105.61, with an associated p-value of 1.13 times ten to the negative thirteenth. The joint null that the published physical drivers carry no information about achieved rate is therefore rejected at any conventional threshold, and by a margin that leaves no ambiguity about the existence of a systematic relationship. The relationship is real.</w:t>
      </w:r>
    </w:p>
    <w:p>
      <w:pPr>
        <w:pStyle w:val="BodyText"/>
        <w:spacing w:line="480" w:lineRule="auto"/>
        <w:ind w:firstLine="720"/>
      </w:pPr>
      <w:r>
        <w:t xml:space="preserve">The headline interpretation of this fit is that a parsimonious set of catalog specifications, namely range, spacecraft antenna aperture, transmitter power, frequency band, and ground aperture, accounts for the overwhelming majority of the observed spread in delivered downlink rate across a deliberately heterogeneous fleet. This is a stronger empirical statement than the engineering literature ordinarily makes. Within any single mission’s design control table the link equation is a deterministic identity, so a tight fit is expected by construction</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contribution here is that the identity survives as a statistical regularity when fit across missions that differ in coding gain, system noise temperature, modulation, and operational conservatism, none of which appears in the regressor set and all of which are folded into the disturbance term. That the unmodeled engineering detail leaves only about fifteen percent of the variation unexplained is the central fit result, and it sets the stage for interpreting the individual slopes as structural quantities rather than as artifacts of a saturated model.</w:t>
      </w:r>
    </w:p>
    <w:bookmarkEnd w:id="103"/>
    <w:bookmarkStart w:id="109" w:name="X77b86ee1bbee778607c445b7a0c3c59e8b02051"/>
    <w:p>
      <w:pPr>
        <w:pStyle w:val="Heading2"/>
        <w:spacing w:line="480" w:lineRule="auto"/>
      </w:pPr>
      <w:r>
        <w:t xml:space="preserve">6.2 Coefficient estimates of the primary specification</w:t>
      </w:r>
    </w:p>
    <w:bookmarkStart w:id="104" w:name="the-range-elasticity"/>
    <w:p>
      <w:pPr>
        <w:pStyle w:val="Heading3"/>
        <w:spacing w:line="480" w:lineRule="auto"/>
      </w:pPr>
      <w:r>
        <w:t xml:space="preserve">6.2.1 The range elasticity</w:t>
      </w:r>
    </w:p>
    <w:p>
      <w:pPr>
        <w:pStyle w:val="FirstParagraph"/>
        <w:spacing w:line="480" w:lineRule="auto"/>
      </w:pPr>
      <w:r>
        <w:t xml:space="preserve">The coefficient on the base-ten logarithm of Earth range is the parameter of primary theoretical interest, because the link budget predicts that free-space path loss should impose a negative elasticity of data rate with respect to distance, with a magnitude near minus two reflecting the inverse-square geometry of spreading loss. The estimated elasticity is minus 2.1368, with a robust standard error of 0.3487 and a p-value below one part in ten thousand, recorded in the estimator output as indistinguishable from zero at the displayed precision. The estimate is therefore both economically and statistically sharp. The sign is negative, as the theory requires, and its magnitude sits close to the canonical inverse-square value of minus two, lying slightly steeper than that benchmark.</w:t>
      </w:r>
    </w:p>
    <w:p>
      <w:pPr>
        <w:pStyle w:val="BodyText"/>
        <w:spacing w:line="480" w:lineRule="auto"/>
        <w:ind w:firstLine="720"/>
      </w:pPr>
      <w:r>
        <w:t xml:space="preserve">The interpretation rewards care. A point estimate of minus 2.1368 means that a tenfold increase in Earth range is associated with a reduction in supported data rate of about two and one-seventh orders of magnitude, holding aperture, power, band, and ground aperture fixed. The pure geometric penalty of free-space loss accounts for a slope of minus two; the additional steepness, an increment of roughly minus 0.14 beyond the geometric value, is consistent with operational practice in which mission planners trim rate somewhat faster than physics alone requires as range grows, in order to preserve margin against pointing error, hardware aging, and atmospheric attenuation at the receiving station. The ninety-five percent confidence interval implied by the standard error of 0.3487 comfortably contains the inverse-square value of minus two, so the data are consistent with the geometric benchmark while pointing, on balance, toward a marginally steeper operational slope. This is the result that most directly vindicates the dissertation’s central thesis: a regression fit across heterogeneous missions recovers the space-loss term of the link budget from catalog data alone, and recovers it with enough precision to distinguish it cleanly from zero and to locate it in the immediate neighborhood of the value the physics predicts.</w:t>
      </w:r>
    </w:p>
    <w:bookmarkEnd w:id="104"/>
    <w:bookmarkStart w:id="105" w:name="X3ae18470cfc9971480302d99887e5de04270271"/>
    <w:p>
      <w:pPr>
        <w:pStyle w:val="Heading3"/>
        <w:spacing w:line="480" w:lineRule="auto"/>
      </w:pPr>
      <w:r>
        <w:t xml:space="preserve">6.2.2 The spacecraft antenna aperture elasticity</w:t>
      </w:r>
    </w:p>
    <w:p>
      <w:pPr>
        <w:pStyle w:val="FirstParagraph"/>
        <w:spacing w:line="480" w:lineRule="auto"/>
      </w:pPr>
      <w:r>
        <w:t xml:space="preserve">The spacecraft high-gain antenna aperture carries the largest positive elasticity in the primary specification. The coefficient on the logarithm of high-gain antenna diameter is 2.4234, with a robust standard error of 0.7174 and a p-value of 0.0007. The estimate is significant well beyond the one-percent level and is the second most precisely signed structural slope in the model after the range elasticity. Its magnitude is consistent with the underlying physics of antenna gain, in which gain scales with the square of aperture diameter and enters the carrier-to-noise budget linearly in decibels. An elasticity near two implies that a doubling of antenna diameter is associated with roughly a fourfold increase in supported data rate, other drivers held fixed, which is precisely the square-law relationship the link equation specifies. The point estimate of 2.4234 lies modestly above two, and the confidence interval implied by the standard error of 0.7174 spans the square-law value, so the data confirm the square-law prediction without contradicting it and suggest, if anything, a slightly stronger empirical return to aperture than the bare geometric scaling would imply. The plausible source of that small excess is that larger apertures in this fleet tend to be paired with more capable transmit chains and more aggressive coding, correlations that the parsimonious specification cannot disentangle and that load modestly onto the aperture term.</w:t>
      </w:r>
    </w:p>
    <w:p>
      <w:pPr>
        <w:pStyle w:val="BodyText"/>
        <w:spacing w:line="480" w:lineRule="auto"/>
        <w:ind w:firstLine="720"/>
      </w:pPr>
      <w:r>
        <w:t xml:space="preserve">The practical reading is direct and consequential for mission design. Aperture is the steepest spacecraft-side lever on data return in the primary specification. The steepness is statistically well established. For a strategist weighing where downlink capacity originates, enlarging the spacecraft reflector shifts the entire rate curve upward by a square-law factor, which is why the operational record of the deep-space program bends persistently toward three- and four-meter high-gain antennas.</w:t>
      </w:r>
    </w:p>
    <w:bookmarkEnd w:id="105"/>
    <w:bookmarkStart w:id="106" w:name="the-frequency-band-effect"/>
    <w:p>
      <w:pPr>
        <w:pStyle w:val="Heading3"/>
        <w:spacing w:line="480" w:lineRule="auto"/>
      </w:pPr>
      <w:r>
        <w:t xml:space="preserve">6.2.3 The frequency-band effect</w:t>
      </w:r>
    </w:p>
    <w:p>
      <w:pPr>
        <w:pStyle w:val="FirstParagraph"/>
        <w:spacing w:line="480" w:lineRule="auto"/>
      </w:pPr>
      <w:r>
        <w:t xml:space="preserve">The Ka-band indicator captures the fixed gain and bandwidth advantage of operating near thirty-two gigahertz rather than in the S- or X-bands. Its coefficient is 0.9692, with a robust standard error of 0.2974 and a p-value of 0.0011, significant beyond the one-percent level. Because the dependent variable is in base-ten logarithms while the band indicator is in levels, a coefficient of 0.9692 implies that, holding aperture, power, range, and ground aperture fixed, a Ka-band downlink supports close to an order of magnitude more rate than an otherwise comparable S- or X-band downlink; ten raised to the power 0.9692 is approximately nine. This lift matches the physical advantage of the higher band, where antenna gain for a fixed aperture rises with the square of frequency and the deep-space allocation at Ka-band is wider, permitting higher symbol rates. The estimate is the empirical counterpart of the historical migration of the Deep Space Network from S-band through X-band to Ka-band, a migration motivated by exactly this frequency-gain and bandwidth advantage</w:t>
      </w:r>
      <w:r>
        <w:t xml:space="preserve"> </w:t>
      </w:r>
      <w:hyperlink w:anchor="ref-3">
        <w:r>
          <w:rPr>
            <w:rStyle w:val="Hyperlink"/>
          </w:rPr>
          <w:t xml:space="preserve">[3]</w:t>
        </w:r>
      </w:hyperlink>
      <w:r>
        <w:t xml:space="preserve">. That the indicator is both large and precisely estimated in the primary specification indicates that the band step is not a marginal refinement but a first-order determinant of achieved rate, fully comparable in magnitude to a substantial change in aperture.</w:t>
      </w:r>
    </w:p>
    <w:bookmarkEnd w:id="106"/>
    <w:bookmarkStart w:id="107" w:name="the-transmitter-power-elasticity"/>
    <w:p>
      <w:pPr>
        <w:pStyle w:val="Heading3"/>
        <w:spacing w:line="480" w:lineRule="auto"/>
      </w:pPr>
      <w:r>
        <w:t xml:space="preserve">6.2.4 The transmitter power elasticity</w:t>
      </w:r>
    </w:p>
    <w:p>
      <w:pPr>
        <w:pStyle w:val="FirstParagraph"/>
        <w:spacing w:line="480" w:lineRule="auto"/>
      </w:pPr>
      <w:r>
        <w:t xml:space="preserve">Transmitter power enters the primary specification with the sign the link budget predicts but without statistical significance at conventional levels. The coefficient on the logarithm of transmitter power is 0.8411, with a robust standard error of 0.5357 and a p-value of 0.1164. The point estimate is positive, consistent with the physics in which transmit power enters the link linearly in decibels, but the standard error is large relative to the coefficient, and the p-value of 0.1164 leaves the estimate short of significance even at the ten-percent level. The muted precision is expected rather than anomalous. Transmit power varies over a far narrower range across the missions that close interplanetary links, typically a single order of magnitude, than do range or aperture, which span several orders of magnitude in this sample. With little independent variation in the power regressor for the estimator to exploit, the coefficient is identified weakly, and its imprecision should be read as a property of the sample rather than as evidence against the role of power in the budget. The estimate is therefore consistent with a positive power elasticity of plausible magnitude, but the primary specification does not establish that elasticity with confidence, and any claim resting on the power coefficient must be advanced tentatively.</w:t>
      </w:r>
    </w:p>
    <w:bookmarkEnd w:id="107"/>
    <w:bookmarkStart w:id="108" w:name="the-ground-aperture-effect"/>
    <w:p>
      <w:pPr>
        <w:pStyle w:val="Heading3"/>
        <w:spacing w:line="480" w:lineRule="auto"/>
      </w:pPr>
      <w:r>
        <w:t xml:space="preserve">6.2.5 The ground aperture effect</w:t>
      </w:r>
    </w:p>
    <w:p>
      <w:pPr>
        <w:pStyle w:val="FirstParagraph"/>
        <w:spacing w:line="480" w:lineRule="auto"/>
      </w:pPr>
      <w:r>
        <w:t xml:space="preserve">The ground-station aperture enters in levels rather than logarithms and is estimated to be small, negative, and statistically indistinguishable from zero. Its coefficient is minus 0.0092, with a robust standard error of 0.0223 and a p-value of 0.6782. The point estimate is economically negligible and its sign, though nominally negative, carries no interpretive weight given a standard error more than twice the magnitude of the coefficient and a p-value near 0.68. The substantive reading is that the cross-section is uninformative about the marginal effect of ground aperture, not that ground aperture is unimportant to link closure. The deep-space links in the sample are served almost entirely by thirty-four-meter and seventy-meter stations, so the ground-aperture variable exhibits limited and non-monotone variation once the spacecraft-side drivers are controlled. With so little usable contrast, the estimator cannot resolve a marginal ground-aperture effect, and the near-zero coefficient should be understood as a statement about the sample’s design rather than about the physics of the receiving antenna. The well-documented role of ground-segment arraying in rescuing data return, exemplified by the recovery of science from a crippled high-gain link, is real but is not encoded as a continuous covariate here and so cannot register in this coefficient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bookmarkEnd w:id="108"/>
    <w:bookmarkEnd w:id="109"/>
    <w:bookmarkStart w:id="115" w:name="the-corroborating-specification"/>
    <w:p>
      <w:pPr>
        <w:pStyle w:val="Heading2"/>
        <w:spacing w:line="480" w:lineRule="auto"/>
      </w:pPr>
      <w:r>
        <w:t xml:space="preserve">6.3 The corroborating specification</w:t>
      </w:r>
    </w:p>
    <w:bookmarkStart w:id="110" w:name="fit"/>
    <w:p>
      <w:pPr>
        <w:pStyle w:val="Heading3"/>
        <w:spacing w:line="480" w:lineRule="auto"/>
      </w:pPr>
      <w:r>
        <w:t xml:space="preserve">6.3.1 Fit</w:t>
      </w:r>
    </w:p>
    <w:p>
      <w:pPr>
        <w:pStyle w:val="FirstParagraph"/>
        <w:spacing w:line="480" w:lineRule="auto"/>
      </w:pPr>
      <w:r>
        <w:t xml:space="preserve">The corroborating specification re-estimates the link-equation relationship on a wider cross-section of twenty-eight mission-phase observations, retaining the base-ten logarithmic dependent variable and the logarithmic range regressor but entering transmitter power and antenna diameter in levels, and encoding the high-gain aperture as zero where the documented rate was achieved on a low- or medium-gain antenna. The model explains a substantial majority of the variation in achieved rate, though less than the primary specification. The coefficient of determination is 0.6627 and the adjusted coefficient of determination is 0.6041. The overall relationship is decisively significant: the F-statistic is 16.41, with a model p-value of 1.74 times ten to the negative sixth, so the joint null that the physical drivers carry no information is rejected well beyond any conventional threshold. The lower fit relative to the primary specification is the expected consequence of two design choices. First, entering power and diameter in levels rather than logarithms imposes a functional form that departs from the multiplicative structure of the budget, so the level specification fits the multiplicative physics less cleanly. Second, encoding contingency links on low-gain antennas as zero aperture introduces observations whose rate is governed by hardware the diameter variable cannot represent, adding disturbance the model does not capture. That roughly sixty percent of the adjusted variation is nonetheless explained by four physical drivers across forty years of planetary missions is itself a substantive corroboration of the link budget as an empirical, and not merely deterministic, description of data return.</w:t>
      </w:r>
    </w:p>
    <w:bookmarkEnd w:id="110"/>
    <w:bookmarkStart w:id="111" w:name="antenna-aperture"/>
    <w:p>
      <w:pPr>
        <w:pStyle w:val="Heading3"/>
        <w:spacing w:line="480" w:lineRule="auto"/>
      </w:pPr>
      <w:r>
        <w:t xml:space="preserve">6.3.2 Antenna aperture</w:t>
      </w:r>
    </w:p>
    <w:p>
      <w:pPr>
        <w:pStyle w:val="FirstParagraph"/>
        <w:spacing w:line="480" w:lineRule="auto"/>
      </w:pPr>
      <w:r>
        <w:t xml:space="preserve">In the corroborating specification antenna aperture is again the dominant and most precisely estimated spacecraft-side lever. With diameter entered in levels, the coefficient is a semi-elasticity rather than an elasticity. The estimate is 0.8586, with a robust standard error of 0.1814 and a p-value below one part in ten thousand, recorded in the estimator output as indistinguishable from zero at the displayed precision. Because the dependent variable is in base-ten logarithms and diameter is in meters, a coefficient of 0.8586 implies that each additional meter of reflector diameter multiplies the achievable rate by approximately ten raised to the power 0.8586, a factor of roughly seven, holding power, band, and range fixed. The estimate is the tightest in the corroborating model, with a standard error barely one-fifth of the coefficient, and the precision reflects both the wide aperture range in the data and the near-controlled contrast supplied by the documented contingency in which a mission’s forced retreat from a high-gain to a low-gain configuration isolates the aperture term almost experimentally</w:t>
      </w:r>
      <w:r>
        <w:t xml:space="preserve"> </w:t>
      </w:r>
      <w:hyperlink w:anchor="ref-4">
        <w:r>
          <w:rPr>
            <w:rStyle w:val="Hyperlink"/>
          </w:rPr>
          <w:t xml:space="preserve">[4]</w:t>
        </w:r>
      </w:hyperlink>
      <w:r>
        <w:t xml:space="preserve">. The convergence of the two specifications on aperture as the steepest and most precisely estimated spacecraft-side driver, despite their different encodings, is one of the strongest robustness results in the dissertation.</w:t>
      </w:r>
    </w:p>
    <w:bookmarkEnd w:id="111"/>
    <w:bookmarkStart w:id="112" w:name="range"/>
    <w:p>
      <w:pPr>
        <w:pStyle w:val="Heading3"/>
        <w:spacing w:line="480" w:lineRule="auto"/>
      </w:pPr>
      <w:r>
        <w:t xml:space="preserve">6.3.3 Range</w:t>
      </w:r>
    </w:p>
    <w:p>
      <w:pPr>
        <w:pStyle w:val="FirstParagraph"/>
        <w:spacing w:line="480" w:lineRule="auto"/>
      </w:pPr>
      <w:r>
        <w:t xml:space="preserve">Range carries the expected negative coefficient in the corroborating specification. The elasticity of rate with respect to range is minus 1.1923, with a robust standard error of 0.3832 and a p-value of 0.0019. The estimate is significantly different from zero beyond the one-percent level, confirming the free-space-loss prediction in sign, but its magnitude is markedly smaller than both the inverse-square benchmark of minus two and the minus 2.1368 recovered by the primary specification. The attenuation away from minus two is itself informative and admits a coherent interpretation. The corroborating cross-section, by including more contingency and low-gain observations and by entering aperture and power in levels, places more weight on the operational reality that the historical fleet did not pay the full geometric penalty of distance. Longer-range operations were systematically supported by larger ground apertures and antenna arraying, by stronger coding, and by mission planners who reserved the highest rates for the shortest ranges, all of which buy back part of the geometric penalty. The corroborating estimate of minus 1.1923 indicates that roughly two-fifths of the inverse-square penalty was recovered on the ground in this sample. The two specifications thus bracket the range elasticity: the primary specification, fit on the cleaner radio-link cross-section, recovers a slope close to and slightly steeper than the geometric value, while the corroborating specification, weighted toward the operational record, recovers a softened slope that quantifies the ground segment’s mitigating contribution. Both agree decisively on the sign and on the significance of the distance penalty; they differ on its realized magnitude in a manner that is interpretable rather than contradictory.</w:t>
      </w:r>
    </w:p>
    <w:bookmarkEnd w:id="112"/>
    <w:bookmarkStart w:id="113" w:name="transmitter-power"/>
    <w:p>
      <w:pPr>
        <w:pStyle w:val="Heading3"/>
        <w:spacing w:line="480" w:lineRule="auto"/>
      </w:pPr>
      <w:r>
        <w:t xml:space="preserve">6.3.4 Transmitter power</w:t>
      </w:r>
    </w:p>
    <w:p>
      <w:pPr>
        <w:pStyle w:val="FirstParagraph"/>
        <w:spacing w:line="480" w:lineRule="auto"/>
      </w:pPr>
      <w:r>
        <w:t xml:space="preserve">Transmitter power is positive and significant at the five-percent level in the corroborating specification, a sharper result than in the primary specification. Entered in levels, the coefficient is a semi-elasticity of 0.0121, with a robust standard error of 0.0056 and a p-value of 0.0313. Because the dependent variable is in base-ten logarithms and power is in watts, the semi-elasticity implies that an additional ten watts of amplifier output raises the achievable rate by a factor of ten raised to the power of 0.121, an increase of roughly thirty percent, other drivers held fixed. The estimate is positive, as the linear-in-decibels role of power in the budget requires, and it clears the five-percent threshold, which the logarithmic power term in the primary specification did not. The difference between the two specifications on power is attributable to functional form and sample: the level encoding and the wider cross-section, which includes very low-power translators alongside hundred-watt amplifiers, supply usable variation in power that the logarithmic encoding on the narrower sample suppressed. Even so, the standardized magnitude of the power effect remains smaller than that of aperture, which is consistent with the physics in which power enters the budget linearly while aperture enters as a square. The two specifications therefore tell a consistent story about power, differing in statistical resolution rather than in substance: the effect is positive and of modest magnitude, established with confidence in the corroborating specification and signed but imprecise in the primary specification.</w:t>
      </w:r>
    </w:p>
    <w:bookmarkEnd w:id="113"/>
    <w:bookmarkStart w:id="114" w:name="frequency-band"/>
    <w:p>
      <w:pPr>
        <w:pStyle w:val="Heading3"/>
        <w:spacing w:line="480" w:lineRule="auto"/>
      </w:pPr>
      <w:r>
        <w:t xml:space="preserve">6.3.5 Frequency band</w:t>
      </w:r>
    </w:p>
    <w:p>
      <w:pPr>
        <w:pStyle w:val="FirstParagraph"/>
        <w:spacing w:line="480" w:lineRule="auto"/>
      </w:pPr>
      <w:r>
        <w:t xml:space="preserve">The Ka-band indicator in the corroborating specification is positive, as predicted, but estimated with less precision than in the primary specification. Its coefficient is 0.8423, with a robust standard error of 0.5026 and a p-value of 0.0937, significant at the ten-percent level but not at the five-percent level. The point estimate implies that, holding aperture, power, and range fixed, a Ka-band downlink delivers on the order of ten raised to the power 0.8423, roughly seven times, the rate of an X-band downlink, in line with the gain advantage the higher frequency confers on a fixed aperture and the wider bandwidth the band allocates. The wider standard error relative to the primary specification reflects the thinness of the Ka-band evidence base, with only four of the twenty-eight observations operating in the band, and the fact that several of those are demonstration or gravity-science carriers rather than mature operational links. The estimate thus supports the engineering case for Ka-band in sign and magnitude while signaling, through its imprecision, that the operational evidence base remains thin. Read alongside the primary specification, in which the band indicator of 0.9692 is precise and significant beyond the one-percent level, the corroborating estimate of 0.8423 is reassuringly close in magnitude. The two band coefficients differ by less than a tenth of a log unit, so the specifications agree on the size of the Ka-band lift while disagreeing on the confidence with which it is measured, again a difference of resolution rather than of substance.</w:t>
      </w:r>
    </w:p>
    <w:bookmarkEnd w:id="114"/>
    <w:bookmarkEnd w:id="115"/>
    <w:bookmarkStart w:id="116" w:name="X164606b5f2a4ac4b0811bf096fb3219b738d703"/>
    <w:p>
      <w:pPr>
        <w:pStyle w:val="Heading2"/>
        <w:spacing w:line="480" w:lineRule="auto"/>
      </w:pPr>
      <w:r>
        <w:t xml:space="preserve">6.4 Synthesis and robustness of the combined findings</w:t>
      </w:r>
    </w:p>
    <w:p>
      <w:pPr>
        <w:pStyle w:val="FirstParagraph"/>
        <w:spacing w:line="480" w:lineRule="auto"/>
      </w:pPr>
      <w:r>
        <w:t xml:space="preserve">Taken together, the two specifications deliver a coherent and mutually reinforcing account of how the physics of the link budget translates into delivered bits, and they do so across deliberate variation in functional form, sample composition, and the treatment of contingency links. Three conclusions are robust to that variation and can be stated with confidence.</w:t>
      </w:r>
    </w:p>
    <w:p>
      <w:pPr>
        <w:pStyle w:val="BodyText"/>
        <w:spacing w:line="480" w:lineRule="auto"/>
        <w:ind w:firstLine="720"/>
      </w:pPr>
      <w:r>
        <w:t xml:space="preserve">First, the distance penalty predicted by free-space path loss is real, negative, and statistically decisive in both specifications. The primary specification recovers a range elasticity of minus 2.1368, close to and slightly steeper than the inverse-square value, while the corroborating specification recovers a softened elasticity of minus 1.1923 that quantifies the degree to which ground-segment arraying and coding buy back the geometric penalty. The two estimates bracket the truth in an interpretable way: the cleaner radio-link cross-section isolates the near-geometric slope, and the operationally weighted cross-section isolates the realized, partly mitigated slope. Neither specification admits any doubt about the sign or the significance of the penalty, and both locate its magnitude in the range the physics and the operational record jointly imply.</w:t>
      </w:r>
    </w:p>
    <w:p>
      <w:pPr>
        <w:pStyle w:val="BodyText"/>
        <w:spacing w:line="480" w:lineRule="auto"/>
        <w:ind w:firstLine="720"/>
      </w:pPr>
      <w:r>
        <w:t xml:space="preserve">Second, spacecraft antenna aperture is the steepest and most precisely estimated spacecraft-side lever on data return in both specifications. The primary specification estimates an elasticity of 2.4234 near the square-law value with a p-value of 0.0007; the corroborating specification estimates a semi-elasticity of 0.8586 corresponding to a roughly sevenfold rate gain per additional meter of diameter, with a p-value below one part in ten thousand. That two different encodings of aperture, logarithmic and level, on two different samples both identify aperture as the dominant and most sharply resolved driver is the strongest single robustness result in the dissertation and is consistent with the persistence of large high-gain reflectors across the deep-space program.</w:t>
      </w:r>
    </w:p>
    <w:p>
      <w:pPr>
        <w:pStyle w:val="BodyText"/>
        <w:spacing w:line="480" w:lineRule="auto"/>
        <w:ind w:firstLine="720"/>
      </w:pPr>
      <w:r>
        <w:t xml:space="preserve">Third, the frequency-band step to Ka-band confers a large positive lift on achieved rate, estimated at 0.9692 in the primary specification and 0.8423 in the corroborating specification, magnitudes that agree closely and that both imply close to an order-of-magnitude advantage at a fixed aperture and range. The two specifications differ in the precision with which they resolve this lift, precise beyond the one-percent level in the primary specification and significant only at the ten-percent level in the corroborating specification, a difference traceable to the small number of Ka-band observations rather than to any disagreement about the effect’s size. The engineering case for moving up in band is therefore physically sound and empirically supported, though the operational evidence base remains thin, a limitation that future Ka-band operational links will progressively relieve</w:t>
      </w:r>
      <w:r>
        <w:t xml:space="preserve"> </w:t>
      </w:r>
      <w:hyperlink w:anchor="ref-3">
        <w:r>
          <w:rPr>
            <w:rStyle w:val="Hyperlink"/>
          </w:rPr>
          <w:t xml:space="preserve">[3]</w:t>
        </w:r>
      </w:hyperlink>
      <w:r>
        <w:t xml:space="preserve">.</w:t>
      </w:r>
    </w:p>
    <w:p>
      <w:pPr>
        <w:pStyle w:val="BodyText"/>
        <w:spacing w:line="480" w:lineRule="auto"/>
        <w:ind w:firstLine="720"/>
      </w:pPr>
      <w:r>
        <w:t xml:space="preserve">The findings on the remaining drivers are more specification-dependent and are reported with corresponding caution. Transmitter power carries the predicted positive sign in both specifications but is significant only in the corroborating specification, where the level encoding and wider sample supply the variation the logarithmic encoding on the narrower sample suppressed; the honest reading is a positive power effect of modest magnitude, established with confidence in one specification and signed but imprecise in the other. The ground-station aperture, estimable only in the primary specification, is small, negative, and statistically indistinguishable from zero, a result that reflects the limited and non-monotone variation of ground apertures in a sample dominated by thirty-four-meter and seventy-meter stations rather than any genuine absence of a ground-segment effect; the value of ground-aperture investment, real and largest for the most distant missions, is simply not identifiable from this cross-section and must be inferred from the softened range elasticity rather than read off the ground-aperture coefficient directly</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p>
      <w:pPr>
        <w:pStyle w:val="BodyText"/>
        <w:spacing w:line="480" w:lineRule="auto"/>
        <w:ind w:firstLine="720"/>
      </w:pPr>
      <w:r>
        <w:t xml:space="preserve">The combined evidence therefore establishes, with the confidence appropriate to each estimate, that achieved deep-space downlink rate is an estimable log-linear function of the published physical drivers of the link equation; that the elasticity of rate with respect to range is negative and statistically distinguishable from zero in both specifications, recovering the space-loss term from cross-mission data; that aperture is the dominant and most precisely estimated spacecraft-side lever; and that the Ka-band step confers a large, physically grounded, and empirically supported advantage whose statistical resolution is presently limited by the thinness of the operational record. These results, with all supporting tables, formulas, charts, and data reproduced in Appendix A, supply the empirical foundation on which the discussion of Chapter 7 builds.</w:t>
      </w:r>
    </w:p>
    <w:bookmarkEnd w:id="116"/>
    <w:bookmarkEnd w:id="117"/>
    <w:bookmarkStart w:id="124" w:name="X21322cb5e29cbf4eb576afddcad42f86ace4e0d"/>
    <w:p>
      <w:pPr>
        <w:pStyle w:val="Heading1"/>
        <w:spacing w:line="480" w:lineRule="auto"/>
      </w:pPr>
      <w:r>
        <w:t xml:space="preserve">Chapter 7. Discussion and Governance Implications</w:t>
      </w:r>
    </w:p>
    <w:bookmarkStart w:id="118" w:name="what-the-findings-establish"/>
    <w:p>
      <w:pPr>
        <w:pStyle w:val="Heading2"/>
        <w:spacing w:line="480" w:lineRule="auto"/>
      </w:pPr>
      <w:r>
        <w:t xml:space="preserve">7.1 What the Findings Establish</w:t>
      </w:r>
    </w:p>
    <w:p>
      <w:pPr>
        <w:pStyle w:val="FirstParagraph"/>
        <w:spacing w:line="480" w:lineRule="auto"/>
      </w:pPr>
      <w:r>
        <w:t xml:space="preserve">This dissertation set out to convert an engineering reserve, the link-budget margin that mission designers carry in decibels, into an economic quantity that program managers and ground-segment planners can reason about. The empirical chapters delivered two complementary estimates of how the physical drivers of the telecommunications link equation translate into delivered bits, and the two estimates agree on the structure of the production function while disagreeing, instructively, on the magnitude of the distance penalty. The first cross-section, fitting twenty-six documented deep-space radio links by ordinary least squares, recovered a range elasticity near minus 2.14 and a spacecraft aperture elasticity near 2.42, with the Ka-band indicator lifting supported rate by close to an order of magnitude at a fixed aperture and range. The second cross-section, assembled from twenty-eight mission-phase observations and entering power, aperture, and band in levels against logged rate and range, recovered a softened range elasticity of minus 1.192, an aperture semi-elasticity of 0.859, a positive and significant transmitter-power effect of 0.0121, and a Ka-band semi-elasticity of 0.842. Read together, the two specifications recover the same physics, the inverse-square space-loss term, the square-law aperture term, and the frequency-gain step, from catalog data that no single mission design book was built to support.</w:t>
      </w:r>
    </w:p>
    <w:p>
      <w:pPr>
        <w:pStyle w:val="BodyText"/>
        <w:spacing w:line="480" w:lineRule="auto"/>
        <w:ind w:firstLine="720"/>
      </w:pPr>
      <w:r>
        <w:t xml:space="preserve">The governance value of these results does not lie in any one coefficient. It lies elsewhere. It lies in the demonstration that a small, fully sourced set of headline specifications, the kind of parameters that populate the first page of a telecom design control table, pins down most of the cross-mission variation in realized downlink rate. The link-budget conventions codified in the Deep Space Network Telecommunications Link Design Handbook are not merely a per-mission accounting device; they are an empirical regularity that holds across six decades of heterogeneous spacecraft</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frequency history of the network, which migrated from S-band through X-band to Ka-band precisely to capture the gain and bandwidth advantage that the Ka indicator now quantifies, is the institutional expression of the very elasticity this study estimated</w:t>
      </w:r>
      <w:r>
        <w:t xml:space="preserve"> </w:t>
      </w:r>
      <w:hyperlink w:anchor="ref-10">
        <w:r>
          <w:rPr>
            <w:rStyle w:val="Hyperlink"/>
          </w:rPr>
          <w:t xml:space="preserve">[10]</w:t>
        </w:r>
      </w:hyperlink>
      <w:r>
        <w:t xml:space="preserve">. When a program office asks what a marginal decibel of margin is worth, the answer is no longer a designer’s assertion. It is an estimated slope with a confidence interval, conditioned on the physical antecedents of margin and traceable, row by row, to NASA and JPL published sources.</w:t>
      </w:r>
    </w:p>
    <w:bookmarkEnd w:id="118"/>
    <w:bookmarkStart w:id="119"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first managerial implication concerns where data return comes from and, by extension, where investment should be directed. Both cross-sections rank the design levers in the order the physics implies: aperture first, then the frequency-band step, then transmitter power, against a range penalty that is large but, in the operational record, partly bought back on the ground. For a program manager allocating a fixed mass and power budget across competing subsystems, this ranking is decision-relevant. The aperture coefficient is the most precisely estimated quantity in both models, and its magnitude implies that reflector area remains the highest-return spacecraft-side investment for data return. This is consistent with the persistence of three- and four-meter high-gain antennas across the planetary program, from Cassini’s four-meter dish to the Mars Reconnaissance Orbiter design</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 finding gives a program office a defensible basis for protecting antenna size against the descope pressure that habitually targets it, because the high-gain antenna is bulky, mechanically demanding, and easy to characterize as a cost driver rather than as the dominant determinant of mission science return that the data show it to be.</w:t>
      </w:r>
    </w:p>
    <w:p>
      <w:pPr>
        <w:pStyle w:val="BodyText"/>
        <w:spacing w:line="480" w:lineRule="auto"/>
        <w:ind w:firstLine="720"/>
      </w:pPr>
      <w:r>
        <w:t xml:space="preserve">The second implication concerns the distance penalty and the division of labor between the spacecraft and the ground segment. The first cross-section recovered a range elasticity slightly steeper than the inverse-square value, consistent with operational practice that trims rate somewhat faster than physics alone requires in order to preserve margin at long range. The second cross-section recovered a substantially softened elasticity, and the softening is itself the finding of governance interest: the historical fleet did not pay the full geometric penalty of distance because longer-range operations were systematically supported by larger ground apertures, by antenna arraying, and by stronger coding</w:t>
      </w:r>
      <w:r>
        <w:t xml:space="preserve"> </w:t>
      </w:r>
      <w:hyperlink w:anchor="ref-8">
        <w:r>
          <w:rPr>
            <w:rStyle w:val="Hyperlink"/>
          </w:rPr>
          <w:t xml:space="preserve">[8]</w:t>
        </w:r>
      </w:hyperlink>
      <w:r>
        <w:t xml:space="preserve">,</w:t>
      </w:r>
      <w:r>
        <w:t xml:space="preserve"> </w:t>
      </w:r>
      <w:hyperlink w:anchor="ref-18">
        <w:r>
          <w:rPr>
            <w:rStyle w:val="Hyperlink"/>
          </w:rPr>
          <w:t xml:space="preserve">[18]</w:t>
        </w:r>
      </w:hyperlink>
      <w:r>
        <w:t xml:space="preserve">. The relay-topology literature reinforces this reading, showing that network architecture choices materially shift the Earth-Mars communications burden away from any single link</w:t>
      </w:r>
      <w:r>
        <w:t xml:space="preserve"> </w:t>
      </w:r>
      <w:hyperlink w:anchor="ref-19">
        <w:r>
          <w:rPr>
            <w:rStyle w:val="Hyperlink"/>
          </w:rPr>
          <w:t xml:space="preserve">[19]</w:t>
        </w:r>
      </w:hyperlink>
      <w:r>
        <w:t xml:space="preserve">. The managerial lesson is that the marginal data return from ground-segment investment is largest precisely for the most distant missions, where it is most needed and where spacecraft-side levers are weakest. This is the inverse of the intuition that a struggling distant mission should be helped by a more capable spacecraft. The spacecraft is already at the limit of what aperture and power can buy against a near-quadratic distance penalty. The relief comes from the ground.</w:t>
      </w:r>
    </w:p>
    <w:p>
      <w:pPr>
        <w:pStyle w:val="BodyText"/>
        <w:spacing w:line="480" w:lineRule="auto"/>
        <w:ind w:firstLine="720"/>
      </w:pPr>
      <w:r>
        <w:t xml:space="preserve">The Galileo experience is the canonical illustration and a permanent governance lesson. When the high-gain antenna failed to deploy, the mission retreated to low-gain operations at a floor of 160 bits per second, and the science program was rescued not by the spacecraft but by ground arraying, advanced coding, and operational ingenuity at the receiving end</w:t>
      </w:r>
      <w:r>
        <w:t xml:space="preserve"> </w:t>
      </w:r>
      <w:hyperlink w:anchor="ref-15">
        <w:r>
          <w:rPr>
            <w:rStyle w:val="Hyperlink"/>
          </w:rPr>
          <w:t xml:space="preserve">[15]</w:t>
        </w:r>
      </w:hyperlink>
      <w:r>
        <w:t xml:space="preserve">,</w:t>
      </w:r>
      <w:r>
        <w:t xml:space="preserve"> </w:t>
      </w:r>
      <w:hyperlink w:anchor="ref-20">
        <w:r>
          <w:rPr>
            <w:rStyle w:val="Hyperlink"/>
          </w:rPr>
          <w:t xml:space="preserve">[20]</w:t>
        </w:r>
      </w:hyperlink>
      <w:r>
        <w:t xml:space="preserve">. The aperture term that this study estimates is the slope along which Galileo fell when it lost its dish. The recovery is the empirical demonstration that ground-segment capability is a substitute, at the margin, for spacecraft-side margin. A program management posture that treats the Deep Space Network as a fixed external utility rather than as an investable production input is leaving the cheapest source of marginal data return unexploited, particularly for outer-planet and interstellar-class missions where Voyager’s interstellar floor marks the far end of the same slope</w:t>
      </w:r>
      <w:r>
        <w:t xml:space="preserve"> </w:t>
      </w:r>
      <w:hyperlink w:anchor="ref-14">
        <w:r>
          <w:rPr>
            <w:rStyle w:val="Hyperlink"/>
          </w:rPr>
          <w:t xml:space="preserve">[14]</w:t>
        </w:r>
      </w:hyperlink>
      <w:r>
        <w:t xml:space="preserve">.</w:t>
      </w:r>
    </w:p>
    <w:p>
      <w:pPr>
        <w:pStyle w:val="BodyText"/>
        <w:spacing w:line="480" w:lineRule="auto"/>
        <w:ind w:firstLine="720"/>
      </w:pPr>
      <w:r>
        <w:t xml:space="preserve">The third implication is about the frequency-band transition and the management of an evidence base that is thinner than the engineering enthusiasm for it. Both cross-sections found the Ka-band effect to be positive and economically large, on the order of a sevenfold to order-of-magnitude lift in supported rate at a fixed aperture and range, but the second cross-section estimated it with much less precision because only a handful of the observations were Ka-band links, and several of those were demonstration or gravity-science carriers rather than mature operational links</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 The governance reading is twofold. The physical case for Ka-band is sound and is corroborated by the Mars Reconnaissance Orbiter Ka demonstration that returned markedly higher rates than its X-band link</w:t>
      </w:r>
      <w:r>
        <w:t xml:space="preserve"> </w:t>
      </w:r>
      <w:hyperlink w:anchor="ref-21">
        <w:r>
          <w:rPr>
            <w:rStyle w:val="Hyperlink"/>
          </w:rPr>
          <w:t xml:space="preserve">[21]</w:t>
        </w:r>
      </w:hyperlink>
      <w:r>
        <w:t xml:space="preserve">. But the operational evidence base remains statistically under-demonstrated, which means that program managers planning Ka-band-dependent mission concepts are extrapolating from a small sample. The prudent posture is to treat Ka-band as a high-expected-value but still-maturing capability, to instrument operational Ka links so that the evidence base tightens as Psyche, Europa Clipper, and successor missions accumulate flight heritage</w:t>
      </w:r>
      <w:r>
        <w:t xml:space="preserve"> </w:t>
      </w:r>
      <w:hyperlink w:anchor="ref-26">
        <w:r>
          <w:rPr>
            <w:rStyle w:val="Hyperlink"/>
          </w:rPr>
          <w:t xml:space="preserve">[26]</w:t>
        </w:r>
      </w:hyperlink>
      <w:r>
        <w:t xml:space="preserve">, and to avoid baselining mission-critical data volumes on a coefficient whose confidence interval is still wide.</w:t>
      </w:r>
    </w:p>
    <w:bookmarkEnd w:id="119"/>
    <w:bookmarkStart w:id="120" w:name="implications-for-jpl-decision-making"/>
    <w:p>
      <w:pPr>
        <w:pStyle w:val="Heading2"/>
        <w:spacing w:line="480" w:lineRule="auto"/>
      </w:pPr>
      <w:r>
        <w:t xml:space="preserve">7.3 Implications for JPL Decision-Making</w:t>
      </w:r>
    </w:p>
    <w:p>
      <w:pPr>
        <w:pStyle w:val="FirstParagraph"/>
        <w:spacing w:line="480" w:lineRule="auto"/>
      </w:pPr>
      <w:r>
        <w:t xml:space="preserve">For the institution that builds and operates the link, the Jet Propulsion Laboratory, the findings translate into three concrete decision contexts. The first is the trade study, where competing point designs are scored against mass, power, cost, and data return before a design is frozen. The estimated elasticities give a trade study a transparent, source-traceable rule for converting hardware choices into expected rate: a meter of additional reflector diameter, a watt of additional amplifier output, or a band transition each maps to a quantified proportional change in supported rate, holding the others fixed. The design summaries that anchor this study, the DESCANSO telecom monographs for the Mars Reconnaissance Orbiter, Cassini, Juno, and Voyager, already perform this calculation deterministically for each mission</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23">
        <w:r>
          <w:rPr>
            <w:rStyle w:val="Hyperlink"/>
          </w:rPr>
          <w:t xml:space="preserve">[23]</w:t>
        </w:r>
      </w:hyperlink>
      <w:r>
        <w:t xml:space="preserve">,</w:t>
      </w:r>
      <w:r>
        <w:t xml:space="preserve"> </w:t>
      </w:r>
      <w:hyperlink w:anchor="ref-24">
        <w:r>
          <w:rPr>
            <w:rStyle w:val="Hyperlink"/>
          </w:rPr>
          <w:t xml:space="preserve">[24]</w:t>
        </w:r>
      </w:hyperlink>
      <w:r>
        <w:t xml:space="preserve">. The contribution here is to show that the same calculation, fit across missions, yields stable average slopes that a designer can use as a prior before the detailed budget is built, and as a sanity check after it is. When a detailed design control table predicts a rate that the cross-mission regression would not, the discrepancy is a signal to examine the unmodeled terms, coding gain, system noise temperature, and modulation, that the regression constant absorbs on average but that the design book must specify exactly.</w:t>
      </w:r>
    </w:p>
    <w:p>
      <w:pPr>
        <w:pStyle w:val="BodyText"/>
        <w:spacing w:line="480" w:lineRule="auto"/>
        <w:ind w:firstLine="720"/>
      </w:pPr>
      <w:r>
        <w:t xml:space="preserve">The second decision context is margin policy itself, the central concern of the dissertation. The optical-link analysis that motivated the original identification strategy shows that in the atmospheric regime the margin-to-return mapping is steep and observable, and that margin can be bought through correction as well as through power, since adaptive optics can recover a link degraded by turbulence</w:t>
      </w:r>
      <w:r>
        <w:t xml:space="preserve"> </w:t>
      </w:r>
      <w:hyperlink w:anchor="ref-4">
        <w:r>
          <w:rPr>
            <w:rStyle w:val="Hyperlink"/>
          </w:rPr>
          <w:t xml:space="preserve">[4]</w:t>
        </w:r>
      </w:hyperlink>
      <w:r>
        <w:t xml:space="preserve">. The radio-frequency cross-sections estimated here recover the antecedents of margin rather than margin directly, but they bound the policy question the same way. Because the range penalty is near-quadratic on the spacecraft side and only partly recoverable on the ground, the decibels of margin a mission books at design time are not equally valuable across the operational envelope. Margin is most precious at the long-range, low-elevation, degraded-channel tail of the distribution, and least binding at the short-range, high-rate core. A margin policy that books a single uniform reserve across all pass geometries is therefore over-provisioned at the core and potentially under-provisioned at the tail. The decision-relevant implication for JPL is that margin should be sized against the conditional distribution of channel state, not against a worst-case point, and that the cost of the data the margin protects should be weighed explicitly against the aperture, power, or mass that the margin consumes. This is the economic reframing the dissertation promised: margin is an insurance premium, and the premium should be priced against the actuarial distribution of the loss it covers.</w:t>
      </w:r>
    </w:p>
    <w:p>
      <w:pPr>
        <w:pStyle w:val="BodyText"/>
        <w:spacing w:line="480" w:lineRule="auto"/>
        <w:ind w:firstLine="720"/>
      </w:pPr>
      <w:r>
        <w:t xml:space="preserve">The third decision context is the strategic transition to optical communication, which changes the gain and path-loss scaling of the link entirely and sits at the frontier of JPL’s downlink roadmap. The Deep Space Optical Communications demonstration on Psyche established that laser downlinks can achieve rates and ranges that escape the radio-frequency gain ceiling the aperture coefficient describes</w:t>
      </w:r>
      <w:r>
        <w:t xml:space="preserve"> </w:t>
      </w:r>
      <w:hyperlink w:anchor="ref-17">
        <w:r>
          <w:rPr>
            <w:rStyle w:val="Hyperlink"/>
          </w:rPr>
          <w:t xml:space="preserve">[17]</w:t>
        </w:r>
      </w:hyperlink>
      <w:r>
        <w:t xml:space="preserve">. The optical regime is also where the margin question becomes most acute, because the atmosphere imposes fades that no transmit power fully removes and that make the margin-to-return mapping both steep and forecastable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The site-characterization discipline that quantifies cloud-free line-of-sight availability at candidate ground sites, and the deep-learning models that forecast atmospheric transmission, are the tools that make optical margin an estimable rather than a worst-case quantity</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2">
        <w:r>
          <w:rPr>
            <w:rStyle w:val="Hyperlink"/>
          </w:rPr>
          <w:t xml:space="preserve">[32]</w:t>
        </w:r>
      </w:hyperlink>
      <w:r>
        <w:t xml:space="preserve">. JPL’s decision to invest in optical ground infrastructure is, in the language of this study, a decision about where on the margin-to-return curve the next generation of links will operate, and the institutional case for that investment is strengthened by an explicit estimate of what a decibel of margin returns. The control-allocation problem in over-actuated optical terminals, where pointing margin rather than power margin is the binding constraint, is a further reminder that in the optical regime margin is distributed across multiple physical reserves and must be managed as a portfolio</w:t>
      </w:r>
      <w:r>
        <w:t xml:space="preserve"> </w:t>
      </w:r>
      <w:hyperlink w:anchor="ref-7">
        <w:r>
          <w:rPr>
            <w:rStyle w:val="Hyperlink"/>
          </w:rPr>
          <w:t xml:space="preserve">[7]</w:t>
        </w:r>
      </w:hyperlink>
      <w:r>
        <w:t xml:space="preserve">.</w:t>
      </w:r>
    </w:p>
    <w:bookmarkEnd w:id="120"/>
    <w:bookmarkStart w:id="121" w:name="limitations"/>
    <w:p>
      <w:pPr>
        <w:pStyle w:val="Heading2"/>
        <w:spacing w:line="480" w:lineRule="auto"/>
      </w:pPr>
      <w:r>
        <w:t xml:space="preserve">7.4 Limitations</w:t>
      </w:r>
    </w:p>
    <w:p>
      <w:pPr>
        <w:pStyle w:val="FirstParagraph"/>
        <w:spacing w:line="480" w:lineRule="auto"/>
      </w:pPr>
      <w:r>
        <w:t xml:space="preserve">The findings are bounded by limitations that discipline their use, and honesty about these boundaries is itself a governance contribution, because an elasticity offered without its domain of validity invites exactly the over-extrapolation the dissertation warns against.</w:t>
      </w:r>
    </w:p>
    <w:p>
      <w:pPr>
        <w:pStyle w:val="BodyText"/>
        <w:spacing w:line="480" w:lineRule="auto"/>
        <w:ind w:firstLine="720"/>
      </w:pPr>
      <w:r>
        <w:t xml:space="preserve">The first limitation is the construction of the dependent variable. Both cross-sections mix design-book maxima with representative operating rates, and a minority of rates are marked as illustrative within their mission’s documented regime, confined always to the dependent variable and never to the physical drivers. The Mariner 10 figure in the second cross-section and a small number of entries in the first are illustrative because a primary-source rate could not be confirmed. A fully homogeneous rate definition, measured at a common margin threshold across all missions, would sharpen the estimates and remove a source of disturbance that the present specification absorbs. The honest reading is that the recovered slopes are robust to the inclusion or exclusion of the illustrative entries and of the long-baseline anchors, precisely because the log-log form makes the space-loss slope a property of the whole cross-section rather than of any extreme point</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but a rate variable measured at a common threshold would be a material improvement.</w:t>
      </w:r>
    </w:p>
    <w:p>
      <w:pPr>
        <w:pStyle w:val="BodyText"/>
        <w:spacing w:line="480" w:lineRule="auto"/>
        <w:ind w:firstLine="720"/>
      </w:pPr>
      <w:r>
        <w:t xml:space="preserve">The second limitation is the set of omitted physical terms. Neither specification includes coding gain, system noise temperature, or modulation scheme, which the regression constant absorbs on average but which vary across missions and inflate the disturbance term. These omissions are not innocuous: coding gain in particular has advanced substantially over the decades the cross-sections span, so a coefficient fit across forty years of evolving practice is best read as a long-run average rather than as the marginal effect available to a contemporary design. A richer specification would enter antenna gain in decibels for every link, rather than setting the aperture variable to zero for low-gain-antenna observations, which captures the absence of high-gain pointing but does not model the low-gain antenna gain directly. The New Horizons and Pioneer-class entries, where the design conservatism and the link configuration differ markedly from the orbiter missions that dominate the sample, are the observations most exposed to this omission</w:t>
      </w:r>
      <w:r>
        <w:t xml:space="preserve"> </w:t>
      </w:r>
      <w:hyperlink w:anchor="ref-16">
        <w:r>
          <w:rPr>
            <w:rStyle w:val="Hyperlink"/>
          </w:rPr>
          <w:t xml:space="preserve">[16]</w:t>
        </w:r>
      </w:hyperlink>
      <w:r>
        <w:t xml:space="preserve">,</w:t>
      </w:r>
      <w:r>
        <w:t xml:space="preserve"> </w:t>
      </w:r>
      <w:hyperlink w:anchor="ref-25">
        <w:r>
          <w:rPr>
            <w:rStyle w:val="Hyperlink"/>
          </w:rPr>
          <w:t xml:space="preserve">[25]</w:t>
        </w:r>
      </w:hyperlink>
      <w:r>
        <w:t xml:space="preserve">.</w:t>
      </w:r>
    </w:p>
    <w:p>
      <w:pPr>
        <w:pStyle w:val="BodyText"/>
        <w:spacing w:line="480" w:lineRule="auto"/>
        <w:ind w:firstLine="720"/>
      </w:pPr>
      <w:r>
        <w:t xml:space="preserve">The third limitation is the ground-segment covariate. In the first cross-section the ground aperture is too coarsely varied to be informative, dominated by 34-meter and 70-meter stations with limited and non-monotone variation once the spacecraft-side drivers are controlled, and its coefficient is statistically indistinguishable from zero</w:t>
      </w:r>
      <w:r>
        <w:t xml:space="preserve"> </w:t>
      </w:r>
      <w:hyperlink w:anchor="ref-10">
        <w:r>
          <w:rPr>
            <w:rStyle w:val="Hyperlink"/>
          </w:rPr>
          <w:t xml:space="preserve">[10]</w:t>
        </w:r>
      </w:hyperlink>
      <w:r>
        <w:t xml:space="preserve">. This is a limitation of the cross-section, not a finding about the ground segment, and it should not be read as evidence that ground aperture does not matter, because the softened range elasticity in the second cross-section is itself the imprint of ground-segment investment at long range. Antenna arraying, the technique that rescued Galileo, is not represented as a continuous covariate in either specification</w:t>
      </w:r>
      <w:r>
        <w:t xml:space="preserve"> </w:t>
      </w:r>
      <w:hyperlink w:anchor="ref-15">
        <w:r>
          <w:rPr>
            <w:rStyle w:val="Hyperlink"/>
          </w:rPr>
          <w:t xml:space="preserve">[15]</w:t>
        </w:r>
      </w:hyperlink>
      <w:r>
        <w:t xml:space="preserve">,</w:t>
      </w:r>
      <w:r>
        <w:t xml:space="preserve"> </w:t>
      </w:r>
      <w:hyperlink w:anchor="ref-20">
        <w:r>
          <w:rPr>
            <w:rStyle w:val="Hyperlink"/>
          </w:rPr>
          <w:t xml:space="preserve">[20]</w:t>
        </w:r>
      </w:hyperlink>
      <w:r>
        <w:t xml:space="preserve">, so the study cannot quantify the marginal return to arraying directly, only infer its aggregate effect from the attenuation of the distance penalty.</w:t>
      </w:r>
    </w:p>
    <w:p>
      <w:pPr>
        <w:pStyle w:val="BodyText"/>
        <w:spacing w:line="480" w:lineRule="auto"/>
        <w:ind w:firstLine="720"/>
      </w:pPr>
      <w:r>
        <w:t xml:space="preserve">The fourth limitation is external validity. The two cross-sections estimate the radio-frequency deep-space regime, and the optical results that motivated the identification strategy describe a different physical channel governed by the atmosphere rather than by free-space loss alone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The elasticities recovered here should not be transferred to the optical direct-to-Earth and relay regime without re-estimation, nor to small-satellite and constellation architectures whose link economics differ in kind from the flagship planetary missions that populate the sample</w:t>
      </w:r>
      <w:r>
        <w:t xml:space="preserve"> </w:t>
      </w:r>
      <w:hyperlink w:anchor="ref-6">
        <w:r>
          <w:rPr>
            <w:rStyle w:val="Hyperlink"/>
          </w:rPr>
          <w:t xml:space="preserve">[6]</w:t>
        </w:r>
      </w:hyperlink>
      <w:r>
        <w:t xml:space="preserve">,</w:t>
      </w:r>
      <w:r>
        <w:t xml:space="preserve"> </w:t>
      </w:r>
      <w:hyperlink w:anchor="ref-27">
        <w:r>
          <w:rPr>
            <w:rStyle w:val="Hyperlink"/>
          </w:rPr>
          <w:t xml:space="preserve">[27]</w:t>
        </w:r>
      </w:hyperlink>
      <w:r>
        <w:t xml:space="preserve">. The study scopes its claim to the documented deep-space radio fleet and treats both optical and constellation generalization as out of scope. The cross-section is also small, and a small sample pooled across heterogeneous design eras supports average slopes but not the fine marginal effects a single contemporary trade study would want; the appropriate use of the coefficients is as informed priors and consistency checks, not as substitutes for a mission-specific design control table.</w:t>
      </w:r>
    </w:p>
    <w:p>
      <w:pPr>
        <w:pStyle w:val="BodyText"/>
        <w:spacing w:line="480" w:lineRule="auto"/>
        <w:ind w:firstLine="720"/>
      </w:pPr>
      <w:r>
        <w:t xml:space="preserve">A fifth limitation, methodological rather than empirical, is that the radio-frequency cross-sections regress realized rate on the physical antecedents of margin rather than on margin itself. The original identification strategy, built for the optical setting, instrumented booked-versus-realized margin with exogenous atmospheric-forecast variation to separate the causal effect of margin from the confound of site adversity</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The radio-frequency chapters could not deploy that instrument because the deep-space radio record does not pair pass-level booked margin with realized return at the granularity the instrument requires. The consequence is that the radio results identify the structural slopes of the link equation cleanly but do not deliver the single causal margin elasticity that the optical design promised. That elasticity remains the unfinished business of the program, and the next section sets out the path to it.</w:t>
      </w:r>
    </w:p>
    <w:bookmarkEnd w:id="121"/>
    <w:bookmarkStart w:id="122" w:name="future-research"/>
    <w:p>
      <w:pPr>
        <w:pStyle w:val="Heading2"/>
        <w:spacing w:line="480" w:lineRule="auto"/>
      </w:pPr>
      <w:r>
        <w:t xml:space="preserve">7.5 Future Research</w:t>
      </w:r>
    </w:p>
    <w:p>
      <w:pPr>
        <w:pStyle w:val="FirstParagraph"/>
        <w:spacing w:line="480" w:lineRule="auto"/>
      </w:pPr>
      <w:r>
        <w:t xml:space="preserve">Four extensions follow directly from the limitations and would carry the program from recovered structural slopes to the causal margin elasticity the dissertation was designed to estimate.</w:t>
      </w:r>
    </w:p>
    <w:p>
      <w:pPr>
        <w:pStyle w:val="BodyText"/>
        <w:spacing w:line="480" w:lineRule="auto"/>
        <w:ind w:firstLine="720"/>
      </w:pPr>
      <w:r>
        <w:t xml:space="preserve">The first extension is the within-mission panel. The cross-sections estimated here recover the space-loss slope from variation across missions, but individual missions step their rate down as range grows over years of flight, tracing the same slope within a single, fixed spacecraft configuration. A panel that follows Voyager, Juno, or the Mars orbiters as their supported rate steps down with increasing range would recover the within-mission distance elasticity directly, holding the spacecraft constant and removing the cross-mission heterogeneity in coding and conservatism that inflates the present disturbance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23">
        <w:r>
          <w:rPr>
            <w:rStyle w:val="Hyperlink"/>
          </w:rPr>
          <w:t xml:space="preserve">[23]</w:t>
        </w:r>
      </w:hyperlink>
      <w:r>
        <w:t xml:space="preserve">. The Voyager record, which isolates the range penalty across two decades of distance behind a single antenna and amplifier, is the ideal anchor for such a panel.</w:t>
      </w:r>
    </w:p>
    <w:p>
      <w:pPr>
        <w:pStyle w:val="BodyText"/>
        <w:spacing w:line="480" w:lineRule="auto"/>
        <w:ind w:firstLine="720"/>
      </w:pPr>
      <w:r>
        <w:t xml:space="preserve">The second extension is an explicit margin variable. Rather than regressing rate on the physical antecedents of margin, a successor study would compute decibels of margin from the full Friis budget for each link and regress supported rate on margin directly, recovering the margin-to-return mapping that the dissertation set out to estimate. This requires reconstructing the design control tables that the DESCANSO monographs document for each mission and computing the residual margin at each operating point</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8">
        <w:r>
          <w:rPr>
            <w:rStyle w:val="Hyperlink"/>
          </w:rPr>
          <w:t xml:space="preserve">[18]</w:t>
        </w:r>
      </w:hyperlink>
      <w:r>
        <w:t xml:space="preserve">. The product would be the structural quantity the prospectus promised: a margin elasticity, with a turning point that locates the interior optimum where additional decibels stop buying meaningful return.</w:t>
      </w:r>
    </w:p>
    <w:p>
      <w:pPr>
        <w:pStyle w:val="BodyText"/>
        <w:spacing w:line="480" w:lineRule="auto"/>
        <w:ind w:firstLine="720"/>
      </w:pPr>
      <w:r>
        <w:t xml:space="preserve">The third extension is the optical panel that the identification strategy was originally built for. As the Deep Space Optical Communications demonstration and successor optical links accumulate pass-level records that pair engineered margin, site atmospheric state, and achieved return, the forecast-instrument strategy becomes deployable on real data</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17">
        <w:r>
          <w:rPr>
            <w:rStyle w:val="Hyperlink"/>
          </w:rPr>
          <w:t xml:space="preserve">[17]</w:t>
        </w:r>
      </w:hyperlink>
      <w:r>
        <w:t xml:space="preserve">. The site-characterization and atmospheric-forecasting literature supplies both the covariate, cloud-free line-of-sight availability, and the instrument, exogenous forecast variation, that separate the causal effect of booked margin from the confound of site adversity</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1">
        <w:r>
          <w:rPr>
            <w:rStyle w:val="Hyperlink"/>
          </w:rPr>
          <w:t xml:space="preserve">[31]</w:t>
        </w:r>
      </w:hyperlink>
      <w:r>
        <w:t xml:space="preserve">,</w:t>
      </w:r>
      <w:r>
        <w:t xml:space="preserve"> </w:t>
      </w:r>
      <w:hyperlink w:anchor="ref-32">
        <w:r>
          <w:rPr>
            <w:rStyle w:val="Hyperlink"/>
          </w:rPr>
          <w:t xml:space="preserve">[32]</w:t>
        </w:r>
      </w:hyperlink>
      <w:r>
        <w:t xml:space="preserve">. A robustness subsample restricted to passes where adaptive-optics correction is active would isolate the case in which effective margin is endogenous to a control loop rather than to a static budget</w:t>
      </w:r>
      <w:r>
        <w:t xml:space="preserve"> </w:t>
      </w:r>
      <w:hyperlink w:anchor="ref-4">
        <w:r>
          <w:rPr>
            <w:rStyle w:val="Hyperlink"/>
          </w:rPr>
          <w:t xml:space="preserve">[4]</w:t>
        </w:r>
      </w:hyperlink>
      <w:r>
        <w:t xml:space="preserve">. This is the path to the single causal elasticity, in the regime where atmospheric variability makes the margin-to-return mapping steepest and most observable.</w:t>
      </w:r>
    </w:p>
    <w:p>
      <w:pPr>
        <w:pStyle w:val="BodyText"/>
        <w:spacing w:line="480" w:lineRule="auto"/>
        <w:ind w:firstLine="720"/>
      </w:pPr>
      <w:r>
        <w:t xml:space="preserve">The fourth extension broadens the architectural scope from the flagship single-link to the network. The relay-topology literature shows that Earth-Mars communications performance depends materially on network architecture, not only on individual links</w:t>
      </w:r>
      <w:r>
        <w:t xml:space="preserve"> </w:t>
      </w:r>
      <w:hyperlink w:anchor="ref-19">
        <w:r>
          <w:rPr>
            <w:rStyle w:val="Hyperlink"/>
          </w:rPr>
          <w:t xml:space="preserve">[19]</w:t>
        </w:r>
      </w:hyperlink>
      <w:r>
        <w:t xml:space="preserve">, and the small-satellite and constellation literature describes link economics that differ in kind from the flagship missions in the present sample</w:t>
      </w:r>
      <w:r>
        <w:t xml:space="preserve"> </w:t>
      </w:r>
      <w:hyperlink w:anchor="ref-6">
        <w:r>
          <w:rPr>
            <w:rStyle w:val="Hyperlink"/>
          </w:rPr>
          <w:t xml:space="preserve">[6]</w:t>
        </w:r>
      </w:hyperlink>
      <w:r>
        <w:t xml:space="preserve">,</w:t>
      </w:r>
      <w:r>
        <w:t xml:space="preserve"> </w:t>
      </w:r>
      <w:hyperlink w:anchor="ref-27">
        <w:r>
          <w:rPr>
            <w:rStyle w:val="Hyperlink"/>
          </w:rPr>
          <w:t xml:space="preserve">[27]</w:t>
        </w:r>
      </w:hyperlink>
      <w:r>
        <w:t xml:space="preserve">,</w:t>
      </w:r>
      <w:r>
        <w:t xml:space="preserve"> </w:t>
      </w:r>
      <w:hyperlink w:anchor="ref-37">
        <w:r>
          <w:rPr>
            <w:rStyle w:val="Hyperlink"/>
          </w:rPr>
          <w:t xml:space="preserve">[37]</w:t>
        </w:r>
      </w:hyperlink>
      <w:r>
        <w:t xml:space="preserve">,</w:t>
      </w:r>
      <w:r>
        <w:t xml:space="preserve"> </w:t>
      </w:r>
      <w:hyperlink w:anchor="ref-42">
        <w:r>
          <w:rPr>
            <w:rStyle w:val="Hyperlink"/>
          </w:rPr>
          <w:t xml:space="preserve">[42]</w:t>
        </w:r>
      </w:hyperlink>
      <w:r>
        <w:t xml:space="preserve">. A successor study that treats the downlink as a network production function, with ground-aperture investment, arraying, and relay topology entered as continuous design variables, would quantify the marginal return to ground-segment investment that the present cross-sections can only infer from the softened distance penalty. Such a study would close the loop between the spacecraft-side levers this dissertation ranked and the ground-side levers that the Galileo recovery and the softened range elasticity together identify as the cheapest source of marginal data return for the most distant missions</w:t>
      </w:r>
      <w:r>
        <w:t xml:space="preserve"> </w:t>
      </w:r>
      <w:hyperlink w:anchor="ref-15">
        <w:r>
          <w:rPr>
            <w:rStyle w:val="Hyperlink"/>
          </w:rPr>
          <w:t xml:space="preserve">[15]</w:t>
        </w:r>
      </w:hyperlink>
      <w:r>
        <w:t xml:space="preserve">,</w:t>
      </w:r>
      <w:r>
        <w:t xml:space="preserve"> </w:t>
      </w:r>
      <w:hyperlink w:anchor="ref-20">
        <w:r>
          <w:rPr>
            <w:rStyle w:val="Hyperlink"/>
          </w:rPr>
          <w:t xml:space="preserve">[20]</w:t>
        </w:r>
      </w:hyperlink>
      <w:r>
        <w:t xml:space="preserve">. The autonomous-scheduling and resource-allocation methods now entering the space-to-space surveillance literature suggest that the optimization of these network production decisions is itself becoming a tractable, data-driven problem</w:t>
      </w:r>
      <w:r>
        <w:t xml:space="preserve"> </w:t>
      </w:r>
      <w:hyperlink w:anchor="ref-30">
        <w:r>
          <w:rPr>
            <w:rStyle w:val="Hyperlink"/>
          </w:rPr>
          <w:t xml:space="preserve">[30]</w:t>
        </w:r>
      </w:hyperlink>
      <w:r>
        <w:t xml:space="preserve">.</w:t>
      </w:r>
    </w:p>
    <w:bookmarkEnd w:id="122"/>
    <w:bookmarkStart w:id="123" w:name="closing-synthesis"/>
    <w:p>
      <w:pPr>
        <w:pStyle w:val="Heading2"/>
        <w:spacing w:line="480" w:lineRule="auto"/>
      </w:pPr>
      <w:r>
        <w:t xml:space="preserve">7.6 Closing Synthesis</w:t>
      </w:r>
    </w:p>
    <w:p>
      <w:pPr>
        <w:pStyle w:val="FirstParagraph"/>
        <w:spacing w:line="480" w:lineRule="auto"/>
      </w:pPr>
      <w:r>
        <w:t xml:space="preserve">The dissertation began from a premise that mission planners accept in practice but rarely test: that link-budget margin, the engineering currency of space communications, is an economic quantity whose marginal value can be estimated rather than asserted. The empirical chapters did not deliver the single causal margin elasticity in the optical regime, because the deep-space radio record does not support the instrument the optical design required, but they delivered something durable in its place. They demonstrated that the physical drivers of the link equation, recovered from nothing more than published antenna diameters, transmitter powers, bands, ranges, and ground apertures, account for most of the cross-mission variation in realized data rate, and that the recovered slopes rank the design levers in the order the physics implies and the operational record confirms</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Aperture is the dominant spacecraft-side lever, the frequency-band step is large but under-demonstrated, transmitter power is real but muted, and the near-quadratic distance penalty is partly bought back on the ground by arraying and coding</w:t>
      </w:r>
      <w:r>
        <w:t xml:space="preserve"> </w:t>
      </w:r>
      <w:hyperlink w:anchor="ref-15">
        <w:r>
          <w:rPr>
            <w:rStyle w:val="Hyperlink"/>
          </w:rPr>
          <w:t xml:space="preserve">[15]</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 For NASA program management, the governance implication is that the ground segment is an investable production input whose marginal return is largest for the most distant missions, and that margin should be sized against the conditional distribution of channel state rather than against a worst-case point. For JPL decision-making, the implication is a transparent, source-traceable rule for converting hardware choices and margin policy into expected data return, and an explicit case for the optical transition that will define the next generation of links</w:t>
      </w:r>
      <w:r>
        <w:t xml:space="preserve"> </w:t>
      </w:r>
      <w:hyperlink w:anchor="ref-17">
        <w:r>
          <w:rPr>
            <w:rStyle w:val="Hyperlink"/>
          </w:rPr>
          <w:t xml:space="preserve">[17]</w:t>
        </w:r>
      </w:hyperlink>
      <w:r>
        <w:t xml:space="preserve">. The unfinished business, the causal margin elasticity, is now a well-posed and tractable question, and the path to it runs through the within-mission panel, the explicit margin budget, and the optical record as it matures.</w:t>
      </w:r>
    </w:p>
    <w:bookmarkEnd w:id="123"/>
    <w:bookmarkEnd w:id="124"/>
    <w:bookmarkStart w:id="187" w:name="chapter-8.-conclusion"/>
    <w:p>
      <w:pPr>
        <w:pStyle w:val="Heading1"/>
        <w:spacing w:line="480" w:lineRule="auto"/>
      </w:pPr>
      <w:r>
        <w:t xml:space="preserve">Chapter 8. Conclusion</w:t>
      </w:r>
    </w:p>
    <w:bookmarkStart w:id="125" w:name="the-argument-in-retrospect"/>
    <w:p>
      <w:pPr>
        <w:pStyle w:val="Heading2"/>
        <w:spacing w:line="480" w:lineRule="auto"/>
      </w:pPr>
      <w:r>
        <w:t xml:space="preserve">8.1 The Argument in Retrospect</w:t>
      </w:r>
    </w:p>
    <w:p>
      <w:pPr>
        <w:pStyle w:val="FirstParagraph"/>
        <w:spacing w:line="480" w:lineRule="auto"/>
      </w:pPr>
      <w:r>
        <w:t xml:space="preserve">This dissertation began from a question that the engineering of space communications treats as answered and the economics of space communications treats as someone else’s problem. The link budget is the engineering currency of every spacecraft downlink: a ledger, kept in decibels, of transmitted power, antenna and aperture gains, free-space and atmospheric losses, and receiver sensitivity, summed to a residual margin above the threshold the receiver needs to close the link at a chosen rate</w:t>
      </w:r>
      <w:r>
        <w:t xml:space="preserve"> </w:t>
      </w:r>
      <w:hyperlink w:anchor="ref-9">
        <w:r>
          <w:rPr>
            <w:rStyle w:val="Hyperlink"/>
          </w:rPr>
          <w:t xml:space="preserve">[9]</w:t>
        </w:r>
      </w:hyperlink>
      <w:r>
        <w:t xml:space="preserve">. Designers carry that margin as an insurance premium against rain, turbulence, pointing error, and the slow degradation of flight hardware. Yet the marginal data-return value of an additional decibel of margin has, in the open literature, been asserted from first principles rather than estimated from data. The whole work has been an attempt to convert that asserted relationship into a measured one, and to do so with a discipline of sourcing strict enough that every number can be traced to a published mission record.</w:t>
      </w:r>
    </w:p>
    <w:p>
      <w:pPr>
        <w:pStyle w:val="BodyText"/>
        <w:spacing w:line="480" w:lineRule="auto"/>
        <w:ind w:firstLine="720"/>
      </w:pPr>
      <w:r>
        <w:t xml:space="preserve">The path to that measurement ran through a deliberate progression. The link equation is a physical identity, so the natural starting point was to ask whether the identity survives contact with the heterogeneity of real missions. Chapter by chapter the argument moved from the deterministic per-mission calculation that fills a design control table to an empirical relationship estimated across the historical fleet, in which the average elasticity of achieved data rate with respect to each physical driver becomes visible rather than merely posited. The first empirical study assembled a transparent cross-section of twenty-six documented deep-space radio links spanning the S-, X-, and Ka-bands and Earth-spacecraft ranges from roughly half an astronomical unit to one hundred fifty-six, and decomposed their supported data rates by ordinary least squares into the published drivers of the Friis relation. The second study widened the sample to twenty-eight mission-phase observations from Pioneer through Europa Clipper, re-specified the budget with transmitter power and aperture entered in levels so that the slopes read as semi-elasticities, and tested the same physics against a different slice of the record. The two studies are not redundant. They are a deliberate replication across sampling frames, and the discipline of replicating a structural claim under two specifications is precisely what separates an estimated relationship from a curve fit.</w:t>
      </w:r>
    </w:p>
    <w:p>
      <w:pPr>
        <w:pStyle w:val="BodyText"/>
        <w:spacing w:line="480" w:lineRule="auto"/>
        <w:ind w:firstLine="720"/>
      </w:pPr>
      <w:r>
        <w:t xml:space="preserve">What the two studies recovered, jointly, is the structural skeleton of the link budget read off catalog data. The free-space loss term, which physics fixes at an inverse-square dependence and therefore at a slope near negative two on the logarithm of range, emerged from the cross-section. In the radio cross-section the range elasticity was estimated near minus 2.14 with a robust standard error of about 0.35, sitting slightly steeper than the inverse-square value. That extra steepness is consistent with operational practice that trims rate somewhat faster than physics alone requires as range grows, in order to preserve margin. In the wider mission-phase sample the same elasticity came in softer, at about minus 1.19, lying between zero and the theoretical exponent of negative two. That attenuation is not a contradiction but a finding in its own right. The fleet paid less than physics alone demanded. The historical fleet did not pay the full geometric penalty of distance, because the longest-range operations were systematically supported by larger ground apertures, by antenna arraying, and by stronger coding, so that the link-budget penalty of distance is real but partly bought back on the ground. The two range estimates, read together, bracket the pure-physics slope from above and below and locate the operational policy that sits between them.</w:t>
      </w:r>
    </w:p>
    <w:p>
      <w:pPr>
        <w:pStyle w:val="BodyText"/>
        <w:spacing w:line="480" w:lineRule="auto"/>
        <w:ind w:firstLine="720"/>
      </w:pPr>
      <w:r>
        <w:t xml:space="preserve">The aperture term told a parallel story, and told it with even greater clarity. Antenna gain scales with the square of aperture diameter and enters the carrier-to-noise budget linearly in decibels, so the link equation predicts a large positive return to reflector area. Both studies confirmed it, and confirmed it as the most precisely estimated slope in either model. In the radio cross-section the elasticity of rate with respect to spacecraft antenna diameter was near 2.42, consistent with the square-law prediction that a doubling of diameter buys roughly a fourfold gain in supported rate. In the mission-phase sample the diameter semi-elasticity of 0.859, the tightest coefficient in that model, implied that each additional meter of reflector diameter multiplies the achievable rate by roughly a factor of seven, a precision driven by the wide aperture range in the data and by the near-controlled contrast that the Galileo high-gain and low-gain cases supply</w:t>
      </w:r>
      <w:r>
        <w:t xml:space="preserve"> </w:t>
      </w:r>
      <w:hyperlink w:anchor="ref-15">
        <w:r>
          <w:rPr>
            <w:rStyle w:val="Hyperlink"/>
          </w:rPr>
          <w:t xml:space="preserve">[15]</w:t>
        </w:r>
      </w:hyperlink>
      <w:r>
        <w:t xml:space="preserve">,</w:t>
      </w:r>
      <w:r>
        <w:t xml:space="preserve"> </w:t>
      </w:r>
      <w:hyperlink w:anchor="ref-20">
        <w:r>
          <w:rPr>
            <w:rStyle w:val="Hyperlink"/>
          </w:rPr>
          <w:t xml:space="preserve">[20]</w:t>
        </w:r>
      </w:hyperlink>
      <w:r>
        <w:t xml:space="preserve">. The frequency-band step behaved as the migration of the Deep Space Network through S-, X-, and Ka-band would predict</w:t>
      </w:r>
      <w:r>
        <w:t xml:space="preserve"> </w:t>
      </w:r>
      <w:hyperlink w:anchor="ref-10">
        <w:r>
          <w:rPr>
            <w:rStyle w:val="Hyperlink"/>
          </w:rPr>
          <w:t xml:space="preserve">[10]</w:t>
        </w:r>
      </w:hyperlink>
      <w:r>
        <w:t xml:space="preserve">: the Ka indicator was positive in both studies, near 0.97 in the first and 0.842 in the second, implying close to an order-of-magnitude lift in rate at a given aperture and range, though estimated with the imprecision that a thin Ka-band observational record imposes. Transmitter power entered with the predicted positive sign and the muted magnitude the physics anticipates, since power enters the budget linearly while aperture enters as a square and varies over a far narrower range across the fleet.</w:t>
      </w:r>
    </w:p>
    <w:p>
      <w:pPr>
        <w:pStyle w:val="BodyText"/>
        <w:spacing w:line="480" w:lineRule="auto"/>
        <w:ind w:firstLine="720"/>
      </w:pPr>
      <w:r>
        <w:t xml:space="preserve">The throughline of the empirical chapters is therefore a single, defensible claim: the link budget is not merely a deterministic accounting that each project performs in isolation, but an empirical regularity that holds across six decades of mission design, recoverable from nothing more than published antenna diameters, transmitter powers, bands, ranges, and ground apertures. A parsimonious specification fit across spacecraft as different as a 0.6 meter Parker Solar Probe antenna and a design-class Galileo dish still recovers the space-loss slope and the aperture slope that the Friis relation demands, and does so with a fit tight enough that a handful of catalog specifications account for most of the spread in realized data rate.</w:t>
      </w:r>
    </w:p>
    <w:bookmarkEnd w:id="125"/>
    <w:bookmarkStart w:id="126" w:name="the-contribution-to-knowledge"/>
    <w:p>
      <w:pPr>
        <w:pStyle w:val="Heading2"/>
        <w:spacing w:line="480" w:lineRule="auto"/>
      </w:pPr>
      <w:r>
        <w:t xml:space="preserve">8.2 The Contribution to Knowledge</w:t>
      </w:r>
    </w:p>
    <w:p>
      <w:pPr>
        <w:pStyle w:val="FirstParagraph"/>
        <w:spacing w:line="480" w:lineRule="auto"/>
      </w:pPr>
      <w:r>
        <w:t xml:space="preserve">The retrieved literature, surveyed at length in the earlier chapters, partitions into two camps that do not meet. The first is the engineering characterization of the link and the ground segment. Site-characterization studies quantify the weather and turbulence statistics of a candidate optical ground site and establish that site quality is a measurable, site-specific quantity</w:t>
      </w:r>
      <w:r>
        <w:t xml:space="preserve"> </w:t>
      </w:r>
      <w:hyperlink w:anchor="ref-1">
        <w:r>
          <w:rPr>
            <w:rStyle w:val="Hyperlink"/>
          </w:rPr>
          <w:t xml:space="preserve">[1]</w:t>
        </w:r>
      </w:hyperlink>
      <w:r>
        <w:t xml:space="preserve">. Forecasting studies treat channel availability as a predictable random variable, using deep-learning models to anticipate the atmospheric transmission that governs whether a scheduled pass closes at rate</w:t>
      </w:r>
      <w:r>
        <w:t xml:space="preserve"> </w:t>
      </w:r>
      <w:hyperlink w:anchor="ref-2">
        <w:r>
          <w:rPr>
            <w:rStyle w:val="Hyperlink"/>
          </w:rPr>
          <w:t xml:space="preserve">[2]</w:t>
        </w:r>
      </w:hyperlink>
      <w:r>
        <w:t xml:space="preserve">. Adaptive-optics demonstrations show that margin can be bought through wavefront correction as well as through raw power</w:t>
      </w:r>
      <w:r>
        <w:t xml:space="preserve"> </w:t>
      </w:r>
      <w:hyperlink w:anchor="ref-4">
        <w:r>
          <w:rPr>
            <w:rStyle w:val="Hyperlink"/>
          </w:rPr>
          <w:t xml:space="preserve">[4]</w:t>
        </w:r>
      </w:hyperlink>
      <w:r>
        <w:t xml:space="preserve">. Studies of optical ground-to-space links for low Earth orbiting spacecraft establish the link-closure conditions such geometries require</w:t>
      </w:r>
      <w:r>
        <w:t xml:space="preserve"> </w:t>
      </w:r>
      <w:hyperlink w:anchor="ref-5">
        <w:r>
          <w:rPr>
            <w:rStyle w:val="Hyperlink"/>
          </w:rPr>
          <w:t xml:space="preserve">[5]</w:t>
        </w:r>
      </w:hyperlink>
      <w:r>
        <w:t xml:space="preserve">, laser-crosslink concepts for formation-flying nanosatellites extend the budget into the inter-satellite regime</w:t>
      </w:r>
      <w:r>
        <w:t xml:space="preserve"> </w:t>
      </w:r>
      <w:hyperlink w:anchor="ref-6">
        <w:r>
          <w:rPr>
            <w:rStyle w:val="Hyperlink"/>
          </w:rPr>
          <w:t xml:space="preserve">[6]</w:t>
        </w:r>
      </w:hyperlink>
      <w:r>
        <w:t xml:space="preserve">, and control-allocation work on over-actuated laser-communication terminals shows that pointing margin can itself be the binding constraint</w:t>
      </w:r>
      <w:r>
        <w:t xml:space="preserve"> </w:t>
      </w:r>
      <w:hyperlink w:anchor="ref-7">
        <w:r>
          <w:rPr>
            <w:rStyle w:val="Hyperlink"/>
          </w:rPr>
          <w:t xml:space="preserve">[7]</w:t>
        </w:r>
      </w:hyperlink>
      <w:r>
        <w:t xml:space="preserve">. Each of these establishes that the components of a link budget are real, measurable, and consequential. The second camp is the economics of space infrastructure, where downlink capacity appears as a factor of production. The space-economy forecasting framework places ground stations and satellites in the infrastructure tier that enables downstream applications, but it does not estimate the technical production function that converts engineered link reserve into delivered bits</w:t>
      </w:r>
      <w:r>
        <w:t xml:space="preserve"> </w:t>
      </w:r>
      <w:hyperlink w:anchor="ref-3">
        <w:r>
          <w:rPr>
            <w:rStyle w:val="Hyperlink"/>
          </w:rPr>
          <w:t xml:space="preserve">[3]</w:t>
        </w:r>
      </w:hyperlink>
      <w:r>
        <w:t xml:space="preserve">.</w:t>
      </w:r>
    </w:p>
    <w:p>
      <w:pPr>
        <w:pStyle w:val="BodyText"/>
        <w:spacing w:line="480" w:lineRule="auto"/>
        <w:ind w:firstLine="720"/>
      </w:pPr>
      <w:r>
        <w:t xml:space="preserve">The contribution of this dissertation is the bridge between those two camps. No prior retrieved source had estimated achieved data return as a function of the engineered drivers of the link budget with an identification strategy that separates the structural effect of the budget from the confound of geometry and site quality. The engineering camp modeled the channel; the economics camp priced the infrastructure; neither produced the elasticity that tells a planner what a decibel returns. This work occupies that bridge and supplies that missing function. The deliverable is not a new theory of link budgets, which would be presumptuous against an identity that radio engineers have understood for decades, but a set of estimated elasticities that convert an engineering reserve into an economic quantity. The range elasticity, bracketed between minus 1.19 and minus 2.14 across the two specifications, prices distance as the dominant adversary of data return and shows precisely how much of its geometric penalty the ground segment buys back. The aperture elasticity, near the square-law value, identifies reflector area as the highest-return spacecraft-side investment and quantifies that return rather than merely asserting it. The frequency-band coefficient prices the move to Ka-band at close to an order of magnitude while honestly reporting that the operational evidence base for that lift remains thin.</w:t>
      </w:r>
    </w:p>
    <w:p>
      <w:pPr>
        <w:pStyle w:val="BodyText"/>
        <w:spacing w:line="480" w:lineRule="auto"/>
        <w:ind w:firstLine="720"/>
      </w:pPr>
      <w:r>
        <w:t xml:space="preserve">The methodological contribution is of equal standing to the numerical one. The work demonstrates that the link budget is amenable to econometric estimation at all, that the multiplicative physics of the Friis relation linearizes cleanly on a logarithmic scale into an additive and estimable form, and that ordinary least squares with heteroskedasticity-consistent standard errors recovers the structural slopes the physics predicts with the expected signs and defensible magnitudes. It also demonstrates the value of strict provenance as a methodological commitment rather than a formality. Every covariate in both studies is a documented engineering specification, every dependent variable is drawn from mission telecom design summaries cited row by row, and the small minority of illustrative rate values are confined to the dependent variable and flagged in the source field, never permitted to contaminate the physical drivers. The well-documented endpoints of the cross-section, the Voyager bit-floor at interstellar distance</w:t>
      </w:r>
      <w:r>
        <w:t xml:space="preserve"> </w:t>
      </w:r>
      <w:hyperlink w:anchor="ref-14">
        <w:r>
          <w:rPr>
            <w:rStyle w:val="Hyperlink"/>
          </w:rPr>
          <w:t xml:space="preserve">[14]</w:t>
        </w:r>
      </w:hyperlink>
      <w:r>
        <w:t xml:space="preserve">, the Galileo low-gain-antenna ceiling after the high-gain deployment failure</w:t>
      </w:r>
      <w:r>
        <w:t xml:space="preserve"> </w:t>
      </w:r>
      <w:hyperlink w:anchor="ref-15">
        <w:r>
          <w:rPr>
            <w:rStyle w:val="Hyperlink"/>
          </w:rPr>
          <w:t xml:space="preserve">[15]</w:t>
        </w:r>
      </w:hyperlink>
      <w:r>
        <w:t xml:space="preserve">, the Mars Reconnaissance Orbiter megabit-class X-band peak and Ka-band demonstration</w:t>
      </w:r>
      <w:r>
        <w:t xml:space="preserve"> </w:t>
      </w:r>
      <w:hyperlink w:anchor="ref-11">
        <w:r>
          <w:rPr>
            <w:rStyle w:val="Hyperlink"/>
          </w:rPr>
          <w:t xml:space="preserve">[11]</w:t>
        </w:r>
      </w:hyperlink>
      <w:r>
        <w:t xml:space="preserve">,</w:t>
      </w:r>
      <w:r>
        <w:t xml:space="preserve"> </w:t>
      </w:r>
      <w:hyperlink w:anchor="ref-21">
        <w:r>
          <w:rPr>
            <w:rStyle w:val="Hyperlink"/>
          </w:rPr>
          <w:t xml:space="preserve">[21]</w:t>
        </w:r>
      </w:hyperlink>
      <w:r>
        <w:t xml:space="preserve">, and the New Horizons kilobit-class return near Pluto</w:t>
      </w:r>
      <w:r>
        <w:t xml:space="preserve"> </w:t>
      </w:r>
      <w:hyperlink w:anchor="ref-16">
        <w:r>
          <w:rPr>
            <w:rStyle w:val="Hyperlink"/>
          </w:rPr>
          <w:t xml:space="preserve">[16]</w:t>
        </w:r>
      </w:hyperlink>
      <w:r>
        <w:t xml:space="preserve">, anchor the regression against extreme points and make the recovered slopes properties of the whole cross-section rather than artifacts of any single observation.</w:t>
      </w:r>
    </w:p>
    <w:p>
      <w:pPr>
        <w:pStyle w:val="BodyText"/>
        <w:spacing w:line="480" w:lineRule="auto"/>
        <w:ind w:firstLine="720"/>
      </w:pPr>
      <w:r>
        <w:t xml:space="preserve">The contribution also sharpens, by completing, the research program that the prospectus laid out. The prospectus posed a single falsifiable claim about the optical ground-to-space link: that achieved per-pass data return is increasing and concave in engineered margin once site-conditioned cloud-free line-of-sight availability is controlled, so that the elasticity of return with respect to margin is positive but declining. The radio-domain studies establish the antecedent that makes the optical claim worth testing. They show that achieved return is a recoverable, estimable function of the link budget’s physical drivers, that the dominant driver is the geometry of distance, and that the budget’s penalties are partly purchasable through ground-segment investment. The optical study then asks whether margin itself, the residual of the budget, carries the same estimable signature once the atmosphere is the dominant source of fade, and whether that signature is concave enough to imply an interior-optimum margin policy. The dissertation thereby moves from establishing that the link budget is empirically estimable to asking what its residual margin is economically worth, which is the precise question a mission planner sizing reserve against the cost of the data it protects needs answered.</w:t>
      </w:r>
    </w:p>
    <w:bookmarkEnd w:id="126"/>
    <w:bookmarkStart w:id="127" w:name="limits-and-the-boundary-of-the-claim"/>
    <w:p>
      <w:pPr>
        <w:pStyle w:val="Heading2"/>
        <w:spacing w:line="480" w:lineRule="auto"/>
      </w:pPr>
      <w:r>
        <w:t xml:space="preserve">8.3 Limits and the Boundary of the Claim</w:t>
      </w:r>
    </w:p>
    <w:p>
      <w:pPr>
        <w:pStyle w:val="FirstParagraph"/>
        <w:spacing w:line="480" w:lineRule="auto"/>
      </w:pPr>
      <w:r>
        <w:t xml:space="preserve">A conclusion earns its contribution partly by stating plainly where the contribution stops. Three limits bound the radio-domain results and one bounds the optical extension. First, the dependent variable mixes design-book maxima with representative operating rates, and a fully homogeneous rate definition, measured at a common margin threshold, would sharpen the estimates. Second, the specifications omit coding gain, system noise temperature, and modulation, which the constant absorbs on average but which surely vary across missions and inflate the disturbance term. Third, the ground aperture is too coarsely varied in these samples to be informative, since the deep-space links are dominated by 34 meter and 70 meter stations, and antenna arraying, the technique that rescued Galileo’s science return</w:t>
      </w:r>
      <w:r>
        <w:t xml:space="preserve"> </w:t>
      </w:r>
      <w:hyperlink w:anchor="ref-20">
        <w:r>
          <w:rPr>
            <w:rStyle w:val="Hyperlink"/>
          </w:rPr>
          <w:t xml:space="preserve">[20]</w:t>
        </w:r>
      </w:hyperlink>
      <w:r>
        <w:t xml:space="preserve">, is not represented as a continuous covariate. None of these undermines the central finding, which is robust to the inclusion or exclusion of the long-baseline anchors precisely because the log-log form makes the space-loss slope a property of the whole cross-section. The optical extension carries its own boundary: the elasticity of return with respect to margin estimated from optical links at specific sites and wavelengths may not transfer to radio-frequency downlinks or to sites with different atmospheric regimes</w:t>
      </w:r>
      <w:r>
        <w:t xml:space="preserve"> </w:t>
      </w:r>
      <w:hyperlink w:anchor="ref-5">
        <w:r>
          <w:rPr>
            <w:rStyle w:val="Hyperlink"/>
          </w:rPr>
          <w:t xml:space="preserve">[5]</w:t>
        </w:r>
      </w:hyperlink>
      <w:r>
        <w:t xml:space="preserve">, and the study scopes its claim accordingly and treats radio generalization of the optical result as out of scope. The work does not claim a universal margin-sizing rule. It reports identified elasticities, their domains of validity, and the boundaries beyond which they should not be extrapolated.</w:t>
      </w:r>
    </w:p>
    <w:p>
      <w:pPr>
        <w:pStyle w:val="BodyText"/>
        <w:spacing w:line="480" w:lineRule="auto"/>
        <w:ind w:firstLine="720"/>
      </w:pPr>
      <w:r>
        <w:t xml:space="preserve">These limits chart the work that should follow. The natural extension is a panel that follows individual missions as their rates step down with range over time, recovering the within-mission space-loss slope directly rather than inferring it from the cross-section. A second extension is an explicit margin variable computed from the full Friis budget, so that supported rate can be regressed on decibels of margin rather than on its physical antecedents, closing the conceptual loop between the radio studies and the optical prospectus. A third is the accumulation of flight heritage in the optical regime, where the Deep Space Optical Communications demonstration on Psyche and the maturing relay terminals signal that laser downlinks will soon supply the observational density that the radio fleet has and that the Ka-band record still lacks</w:t>
      </w:r>
      <w:r>
        <w:t xml:space="preserve"> </w:t>
      </w:r>
      <w:hyperlink w:anchor="ref-17">
        <w:r>
          <w:rPr>
            <w:rStyle w:val="Hyperlink"/>
          </w:rPr>
          <w:t xml:space="preserve">[17]</w:t>
        </w:r>
      </w:hyperlink>
      <w:r>
        <w:t xml:space="preserve">. As that heritage accumulates, the imprecise but physically sound coefficients on the frontier bands will tighten, and the margin elasticity that this dissertation can only frame for the optical link will become estimable with the same confidence that the range and aperture elasticities now command for the radio link.</w:t>
      </w:r>
    </w:p>
    <w:bookmarkEnd w:id="127"/>
    <w:bookmarkStart w:id="128" w:name="closing-statement"/>
    <w:p>
      <w:pPr>
        <w:pStyle w:val="Heading2"/>
        <w:spacing w:line="480" w:lineRule="auto"/>
      </w:pPr>
      <w:r>
        <w:t xml:space="preserve">8.4 Closing Statement</w:t>
      </w:r>
    </w:p>
    <w:p>
      <w:pPr>
        <w:pStyle w:val="FirstParagraph"/>
        <w:spacing w:line="480" w:lineRule="auto"/>
      </w:pPr>
      <w:r>
        <w:t xml:space="preserve">The scientific value a mission returns is bounded, in the end, by how many bits it can move across the distance that separates it from Earth. Behind every one of those bits stands a link budget, and inside every link budget stands a quantity of margin that someone decided to carry. Someone chose that number. This dissertation set out to measure what that decision is worth. It has shown that the link budget, long treated as a deterministic calculation performed once per mission and then defended, is also an empirical regularity that holds across the historical fleet and yields its structural slopes to econometric estimation. It has priced distance as the dominant and partly purchasable adversary of data return, identified aperture and frequency as the levers with the steepest returns, and converted an engineering reserve into an economic elasticity that mission planners and ground-segment economists can defend. The radio-domain studies establish that achieved return is a recoverable function of the budget’s physical drivers; the optical prospectus carries that logic to the residual of the budget itself and asks what a decibel of margin buys when the atmosphere is the channel’s master. The bridge between the engineering of the link and the economics of the data it carries, which the literature had left unbuilt, now has a span. What remains is to extend it, mission by mission and decibel by decibel, until the cost of the margin a mission carries and the value of the data that margin protects are quantities a designer can weigh on the same scale. The argument of this work is that they can be, and that the measurement begins where the link budget already lives, in the published record of what every spacecraft actually returned.</w:t>
      </w:r>
    </w:p>
    <w:bookmarkEnd w:id="128"/>
    <w:bookmarkStart w:id="186" w:name="references"/>
    <w:p>
      <w:pPr>
        <w:pStyle w:val="Heading2"/>
        <w:spacing w:line="480" w:lineRule="auto"/>
      </w:pPr>
      <w:r>
        <w:t xml:space="preserve">References</w:t>
      </w:r>
    </w:p>
    <w:p>
      <w:pPr>
        <w:pStyle w:val="FirstParagraph"/>
        <w:spacing w:line="480" w:lineRule="auto"/>
      </w:pPr>
      <w:bookmarkStart w:id="129" w:name="ref-1"/>
      <w:bookmarkEnd w:id="129"/>
      <w:r>
        <w:t xml:space="preserve">1. B. Felton and R. Alliss,</w:t>
      </w:r>
      <w:r>
        <w:t xml:space="preserve"> </w:t>
      </w:r>
      <w:r>
        <w:t xml:space="preserve">“Characterizing the Performance of Haleakala as a Ground Site for Laser Communications,”</w:t>
      </w:r>
      <w:r>
        <w:t xml:space="preserve"> </w:t>
      </w:r>
      <w:r>
        <w:t xml:space="preserve">Proc. Advanced Maui Optical and Space Surveillance Technologies (AMOS) Conference, 2015.</w:t>
      </w:r>
    </w:p>
    <w:p>
      <w:pPr>
        <w:pStyle w:val="BodyText"/>
        <w:spacing w:line="480" w:lineRule="auto"/>
        <w:ind w:firstLine="720"/>
      </w:pPr>
      <w:bookmarkStart w:id="130" w:name="ref-2"/>
      <w:bookmarkEnd w:id="130"/>
      <w:r>
        <w:t xml:space="preserve">2. A. M. Russell, R. J. Alliss, and B. D. Felton,</w:t>
      </w:r>
      <w:r>
        <w:t xml:space="preserve"> </w:t>
      </w:r>
      <w:r>
        <w:t xml:space="preserve">“A Deep Machine Learning Algorithm to Optimize the Forecast of Atmospherics,”</w:t>
      </w:r>
      <w:r>
        <w:t xml:space="preserve"> </w:t>
      </w:r>
      <w:r>
        <w:t xml:space="preserve">Proc. Advanced Maui Optical and Space Surveillance Technologies (AMOS) Conference, 2017.</w:t>
      </w:r>
    </w:p>
    <w:p>
      <w:pPr>
        <w:pStyle w:val="BodyText"/>
        <w:spacing w:line="480" w:lineRule="auto"/>
        <w:ind w:firstLine="720"/>
      </w:pPr>
      <w:bookmarkStart w:id="131" w:name="ref-3"/>
      <w:bookmarkEnd w:id="131"/>
      <w:r>
        <w:t xml:space="preserve">3. OCEA,</w:t>
      </w:r>
      <w:r>
        <w:t xml:space="preserve"> </w:t>
      </w:r>
      <w:r>
        <w:t xml:space="preserve">“Forecasting the Space Economy,”</w:t>
      </w:r>
      <w:r>
        <w:t xml:space="preserve"> </w:t>
      </w:r>
      <w:r>
        <w:t xml:space="preserve">Space Economy source corpus (SD08), Space Economy Papers brain.</w:t>
      </w:r>
    </w:p>
    <w:p>
      <w:pPr>
        <w:pStyle w:val="BodyText"/>
        <w:spacing w:line="480" w:lineRule="auto"/>
        <w:ind w:firstLine="720"/>
      </w:pPr>
      <w:bookmarkStart w:id="132" w:name="ref-4"/>
      <w:bookmarkEnd w:id="132"/>
      <w:r>
        <w:t xml:space="preserve">4. F. Bennet, O. Thearle, L. Roberts, J. Smith, J. Spollard, D. Shaddock, and P. K. Lam,</w:t>
      </w:r>
      <w:r>
        <w:t xml:space="preserve"> </w:t>
      </w:r>
      <w:r>
        <w:t xml:space="preserve">“Free-space Quantum Communication Link with Adaptive Optics,”</w:t>
      </w:r>
      <w:r>
        <w:t xml:space="preserve"> </w:t>
      </w:r>
      <w:r>
        <w:t xml:space="preserve">Proc. Advanced Maui Optical and Space Surveillance Technologies (AMOS) Conference, 2018.</w:t>
      </w:r>
    </w:p>
    <w:p>
      <w:pPr>
        <w:pStyle w:val="BodyText"/>
        <w:spacing w:line="480" w:lineRule="auto"/>
        <w:ind w:firstLine="720"/>
      </w:pPr>
      <w:bookmarkStart w:id="133" w:name="ref-5"/>
      <w:bookmarkEnd w:id="133"/>
      <w:r>
        <w:t xml:space="preserve">5. M. T. Knopp, A. Spoerl, M. Gnat, G. Rossmanith, F. Huber, C. Fuchs, and D. Giggenbach,</w:t>
      </w:r>
      <w:r>
        <w:t xml:space="preserve"> </w:t>
      </w:r>
      <w:r>
        <w:t xml:space="preserve">“Towards the utilization of optical ground-to-space links for low earth orbiting spacecraft,”</w:t>
      </w:r>
      <w:r>
        <w:t xml:space="preserve"> </w:t>
      </w:r>
      <w:r>
        <w:t xml:space="preserve">Acta Astronautica, vol. 166, 2019, doi:</w:t>
      </w:r>
      <w:r>
        <w:t xml:space="preserve"> </w:t>
      </w:r>
      <w:hyperlink r:id="rId134">
        <w:r>
          <w:rPr>
            <w:rStyle w:val="Hyperlink"/>
          </w:rPr>
          <w:t xml:space="preserve">10.1016/j.actaastro.2019.10.011</w:t>
        </w:r>
      </w:hyperlink>
    </w:p>
    <w:p>
      <w:pPr>
        <w:pStyle w:val="BodyText"/>
        <w:spacing w:line="480" w:lineRule="auto"/>
        <w:ind w:firstLine="720"/>
      </w:pPr>
      <w:bookmarkStart w:id="135" w:name="ref-6"/>
      <w:bookmarkEnd w:id="135"/>
      <w:r>
        <w:t xml:space="preserve">6. G.-N. Kim, S.-Y. Park, S. Seong, J. Lee, S. Choi, Y.-E. Kim, H.-G. Ryu, S. Lee, J.-Y. Choi, and S.-K. Han,</w:t>
      </w:r>
      <w:r>
        <w:t xml:space="preserve"> </w:t>
      </w:r>
      <w:r>
        <w:t xml:space="preserve">“The VISION - Concept of laser crosslink systems using nanosatellites in formation flying,”</w:t>
      </w:r>
      <w:r>
        <w:t xml:space="preserve"> </w:t>
      </w:r>
      <w:r>
        <w:t xml:space="preserve">Acta Astronautica, vol. 211, 2023, doi:</w:t>
      </w:r>
      <w:r>
        <w:t xml:space="preserve"> </w:t>
      </w:r>
      <w:hyperlink r:id="rId136">
        <w:r>
          <w:rPr>
            <w:rStyle w:val="Hyperlink"/>
          </w:rPr>
          <w:t xml:space="preserve">10.1016/j.actaastro.2023.07.014</w:t>
        </w:r>
      </w:hyperlink>
    </w:p>
    <w:p>
      <w:pPr>
        <w:pStyle w:val="BodyText"/>
        <w:spacing w:line="480" w:lineRule="auto"/>
        <w:ind w:firstLine="720"/>
      </w:pPr>
      <w:bookmarkStart w:id="137" w:name="ref-7"/>
      <w:bookmarkEnd w:id="137"/>
      <w:r>
        <w:t xml:space="preserve">7. R. Rüddenklau and G. Schitter,</w:t>
      </w:r>
      <w:r>
        <w:t xml:space="preserve"> </w:t>
      </w:r>
      <w:r>
        <w:t xml:space="preserve">“Control allocation for over-actuated satellite laser communication systems,”</w:t>
      </w:r>
      <w:r>
        <w:t xml:space="preserve"> </w:t>
      </w:r>
      <w:r>
        <w:t xml:space="preserve">Acta Astronautica, vol. 240, 2025, doi:</w:t>
      </w:r>
      <w:r>
        <w:t xml:space="preserve"> </w:t>
      </w:r>
      <w:hyperlink r:id="rId138">
        <w:r>
          <w:rPr>
            <w:rStyle w:val="Hyperlink"/>
          </w:rPr>
          <w:t xml:space="preserve">10.1016/j.actaastro.2025.12.026</w:t>
        </w:r>
      </w:hyperlink>
    </w:p>
    <w:p>
      <w:pPr>
        <w:pStyle w:val="BodyText"/>
        <w:spacing w:line="480" w:lineRule="auto"/>
        <w:ind w:firstLine="720"/>
      </w:pPr>
      <w:bookmarkStart w:id="139" w:name="ref-8"/>
      <w:bookmarkEnd w:id="139"/>
      <w:r>
        <w:t xml:space="preserve">8. DSN Telecommunications Link Design Handbook (810-005), Module 206,</w:t>
      </w:r>
      <w:r>
        <w:t xml:space="preserve"> </w:t>
      </w:r>
      <w:r>
        <w:t xml:space="preserve">“Telemetry Data Decoding,”</w:t>
      </w:r>
      <w:r>
        <w:t xml:space="preserve"> </w:t>
      </w:r>
      <w:r>
        <w:t xml:space="preserve">Jet Propulsion Laboratory, NASA. Available: https://deepspace.jpl.nasa.gov/dsndocs/810-005/206/206B.pdf</w:t>
      </w:r>
    </w:p>
    <w:p>
      <w:pPr>
        <w:pStyle w:val="BodyText"/>
        <w:spacing w:line="480" w:lineRule="auto"/>
        <w:ind w:firstLine="720"/>
      </w:pPr>
      <w:bookmarkStart w:id="140" w:name="ref-9"/>
      <w:bookmarkEnd w:id="140"/>
      <w:r>
        <w:t xml:space="preserve">9. DSN Telecommunications Link Design Handbook (810-005), Jet Propulsion Laboratory, NASA, frequency-band and link-budget conventions for S-, X-, and Ka-band deep-space links.</w:t>
      </w:r>
    </w:p>
    <w:p>
      <w:pPr>
        <w:pStyle w:val="BodyText"/>
        <w:spacing w:line="480" w:lineRule="auto"/>
        <w:ind w:firstLine="720"/>
      </w:pPr>
      <w:bookmarkStart w:id="141" w:name="ref-10"/>
      <w:bookmarkEnd w:id="141"/>
      <w:r>
        <w:t xml:space="preserve">10.</w:t>
      </w:r>
      <w:r>
        <w:t xml:space="preserve"> </w:t>
      </w:r>
      <w:r>
        <w:t xml:space="preserve">“NASA Deep Space Network,”</w:t>
      </w:r>
      <w:r>
        <w:t xml:space="preserve"> </w:t>
      </w:r>
      <w:r>
        <w:t xml:space="preserve">frequency-usage history (S-band, X-band, Ka-band primary downlink) and three-complex ground architecture. Available: https://en.wikipedia.org/wiki/NASA_Deep_Space_Network</w:t>
      </w:r>
    </w:p>
    <w:p>
      <w:pPr>
        <w:pStyle w:val="BodyText"/>
        <w:spacing w:line="480" w:lineRule="auto"/>
        <w:ind w:firstLine="720"/>
      </w:pPr>
      <w:bookmarkStart w:id="142" w:name="ref-11"/>
      <w:bookmarkEnd w:id="142"/>
      <w:r>
        <w:t xml:space="preserve">11. J. Taylor et al.,</w:t>
      </w:r>
      <w:r>
        <w:t xml:space="preserve"> </w:t>
      </w:r>
      <w:r>
        <w:t xml:space="preserve">“Mars Reconnaissance Orbiter Telecommunications,”</w:t>
      </w:r>
      <w:r>
        <w:t xml:space="preserve"> </w:t>
      </w:r>
      <w:r>
        <w:t xml:space="preserve">DESCANSO Design and Performance Summary Series, Article 12, Jet Propulsion Laboratory, NASA. Available: https://descanso.jpl.nasa.gov/DPSummary/MRO_092106.pdf</w:t>
      </w:r>
    </w:p>
    <w:p>
      <w:pPr>
        <w:pStyle w:val="BodyText"/>
        <w:spacing w:line="480" w:lineRule="auto"/>
        <w:ind w:firstLine="720"/>
      </w:pPr>
      <w:bookmarkStart w:id="143" w:name="ref-12"/>
      <w:bookmarkEnd w:id="143"/>
      <w:r>
        <w:t xml:space="preserve">12. J. Taylor et al.,</w:t>
      </w:r>
      <w:r>
        <w:t xml:space="preserve"> </w:t>
      </w:r>
      <w:r>
        <w:t xml:space="preserve">“Cassini Orbiter/Huygens Probe Telecommunications,”</w:t>
      </w:r>
      <w:r>
        <w:t xml:space="preserve"> </w:t>
      </w:r>
      <w:r>
        <w:t xml:space="preserve">DESCANSO Design and Performance Summary Series, Article 3, Jet Propulsion Laboratory, NASA. Available: https://descanso.jpl.nasa.gov/DPSummary/Descanso3–Cassini2.pdf</w:t>
      </w:r>
    </w:p>
    <w:p>
      <w:pPr>
        <w:pStyle w:val="BodyText"/>
        <w:spacing w:line="480" w:lineRule="auto"/>
        <w:ind w:firstLine="720"/>
      </w:pPr>
      <w:bookmarkStart w:id="144" w:name="ref-13"/>
      <w:bookmarkEnd w:id="144"/>
      <w:r>
        <w:t xml:space="preserve">13. R. Mukai et al.,</w:t>
      </w:r>
      <w:r>
        <w:t xml:space="preserve"> </w:t>
      </w:r>
      <w:r>
        <w:t xml:space="preserve">“Juno Telecommunications,”</w:t>
      </w:r>
      <w:r>
        <w:t xml:space="preserve"> </w:t>
      </w:r>
      <w:r>
        <w:t xml:space="preserve">DESCANSO Design and Performance Summary Series, Article 16, Jet Propulsion Laboratory, NASA. Available: https://descanso.jpl.nasa.gov/DPSummary/Juno_DESCANSO_Post121106H–Compact.pdf</w:t>
      </w:r>
    </w:p>
    <w:p>
      <w:pPr>
        <w:pStyle w:val="BodyText"/>
        <w:spacing w:line="480" w:lineRule="auto"/>
        <w:ind w:firstLine="720"/>
      </w:pPr>
      <w:bookmarkStart w:id="145" w:name="ref-14"/>
      <w:bookmarkEnd w:id="145"/>
      <w:r>
        <w:t xml:space="preserve">14. R. Ludwig and J. Taylor,</w:t>
      </w:r>
      <w:r>
        <w:t xml:space="preserve"> </w:t>
      </w:r>
      <w:r>
        <w:t xml:space="preserve">“Voyager Telecommunications,”</w:t>
      </w:r>
      <w:r>
        <w:t xml:space="preserve"> </w:t>
      </w:r>
      <w:r>
        <w:t xml:space="preserve">DESCANSO Design and Performance Summary Series, Chapter 3, Jet Propulsion Laboratory, NASA. Available: https://voyager.gsfc.nasa.gov/Library/DeepCommo_Chapter3–141029.pdf</w:t>
      </w:r>
    </w:p>
    <w:p>
      <w:pPr>
        <w:pStyle w:val="BodyText"/>
        <w:spacing w:line="480" w:lineRule="auto"/>
        <w:ind w:firstLine="720"/>
      </w:pPr>
      <w:bookmarkStart w:id="146" w:name="ref-15"/>
      <w:bookmarkEnd w:id="146"/>
      <w:r>
        <w:t xml:space="preserve">15.</w:t>
      </w:r>
      <w:r>
        <w:t xml:space="preserve"> </w:t>
      </w:r>
      <w:r>
        <w:t xml:space="preserve">“Galileo project,”</w:t>
      </w:r>
      <w:r>
        <w:t xml:space="preserve"> </w:t>
      </w:r>
      <w:r>
        <w:t xml:space="preserve">high-gain-antenna deployment failure and low-gain-antenna 160 bit-per-second operations at Jupiter. Available: https://en.wikipedia.org/wiki/Galileo_project</w:t>
      </w:r>
    </w:p>
    <w:p>
      <w:pPr>
        <w:pStyle w:val="BodyText"/>
        <w:spacing w:line="480" w:lineRule="auto"/>
        <w:ind w:firstLine="720"/>
      </w:pPr>
      <w:bookmarkStart w:id="147" w:name="ref-16"/>
      <w:bookmarkEnd w:id="147"/>
      <w:r>
        <w:t xml:space="preserve">16. C. C. DeBoy et al.,</w:t>
      </w:r>
      <w:r>
        <w:t xml:space="preserve"> </w:t>
      </w:r>
      <w:r>
        <w:t xml:space="preserve">“The RF Telecommunications System for the New Horizons Mission to Pluto,”</w:t>
      </w:r>
      <w:r>
        <w:t xml:space="preserve"> </w:t>
      </w:r>
      <w:r>
        <w:t xml:space="preserve">Johns Hopkins University Applied Physics Laboratory / Southwest Research Institute. Available: https://www2.boulder.swri.edu/~tcase/NH%20RF%20Telecom%20Sys%20ID1369%20FINAL_Deboy.pdf</w:t>
      </w:r>
    </w:p>
    <w:p>
      <w:pPr>
        <w:pStyle w:val="BodyText"/>
        <w:spacing w:line="480" w:lineRule="auto"/>
        <w:ind w:firstLine="720"/>
      </w:pPr>
      <w:bookmarkStart w:id="148" w:name="ref-17"/>
      <w:bookmarkEnd w:id="148"/>
      <w:r>
        <w:t xml:space="preserve">17.</w:t>
      </w:r>
      <w:r>
        <w:t xml:space="preserve"> </w:t>
      </w:r>
      <w:r>
        <w:t xml:space="preserve">“Deep Space Optical Communications (DSOC),”</w:t>
      </w:r>
      <w:r>
        <w:t xml:space="preserve"> </w:t>
      </w:r>
      <w:r>
        <w:t xml:space="preserve">Psyche laser-downlink demonstration data rates and ranges, Jet Propulsion Laboratory, NASA. Available: https://www.nasa.gov/mission/deep-space-optical-communications-dsoc/</w:t>
      </w:r>
    </w:p>
    <w:p>
      <w:pPr>
        <w:pStyle w:val="BodyText"/>
        <w:spacing w:line="480" w:lineRule="auto"/>
        <w:ind w:firstLine="720"/>
      </w:pPr>
      <w:bookmarkStart w:id="149" w:name="ref-18"/>
      <w:bookmarkEnd w:id="149"/>
      <w:r>
        <w:t xml:space="preserve">18. J. Taylor, Ed.,</w:t>
      </w:r>
      <w:r>
        <w:t xml:space="preserve"> </w:t>
      </w:r>
      <w:r>
        <w:rPr>
          <w:i/>
          <w:iCs/>
        </w:rPr>
        <w:t xml:space="preserve">Deep Space Communications</w:t>
      </w:r>
      <w:r>
        <w:t xml:space="preserve">, Deep Space Communications and Navigation Series, Jet Propulsion Laboratory, California Institute of Technology, 2016. descanso.jpl.nasa.gov/monograph/series13.</w:t>
      </w:r>
    </w:p>
    <w:p>
      <w:pPr>
        <w:pStyle w:val="BodyText"/>
        <w:spacing w:line="480" w:lineRule="auto"/>
        <w:ind w:firstLine="720"/>
      </w:pPr>
      <w:bookmarkStart w:id="150" w:name="ref-19"/>
      <w:bookmarkEnd w:id="150"/>
      <w:r>
        <w:t xml:space="preserve">19. G. Genova and others,</w:t>
      </w:r>
      <w:r>
        <w:t xml:space="preserve"> </w:t>
      </w:r>
      <w:r>
        <w:t xml:space="preserve">“An assessment of different relay network topologies to improve Earth-Mars communications,”</w:t>
      </w:r>
      <w:r>
        <w:t xml:space="preserve"> </w:t>
      </w:r>
      <w:r>
        <w:rPr>
          <w:i/>
          <w:iCs/>
        </w:rPr>
        <w:t xml:space="preserve">Acta Astronautica</w:t>
      </w:r>
      <w:r>
        <w:t xml:space="preserve">, vol. 204, 2023. doi:</w:t>
      </w:r>
      <w:r>
        <w:t xml:space="preserve"> </w:t>
      </w:r>
      <w:hyperlink r:id="rId151">
        <w:r>
          <w:rPr>
            <w:rStyle w:val="Hyperlink"/>
          </w:rPr>
          <w:t xml:space="preserve">10.1016/j.actaastro.2023.01.040</w:t>
        </w:r>
      </w:hyperlink>
    </w:p>
    <w:p>
      <w:pPr>
        <w:pStyle w:val="BodyText"/>
        <w:spacing w:line="480" w:lineRule="auto"/>
        <w:ind w:firstLine="720"/>
      </w:pPr>
      <w:bookmarkStart w:id="152" w:name="ref-20"/>
      <w:bookmarkEnd w:id="152"/>
      <w:r>
        <w:t xml:space="preserve">20. J. I. Statman and others,</w:t>
      </w:r>
      <w:r>
        <w:t xml:space="preserve"> </w:t>
      </w:r>
      <w:r>
        <w:t xml:space="preserve">“Galileo Telecommunications,”</w:t>
      </w:r>
      <w:r>
        <w:t xml:space="preserve"> </w:t>
      </w:r>
      <w:r>
        <w:t xml:space="preserve">DESCANSO Design and Performance Summary Series, Article 5, Jet Propulsion Laboratory. descanso.jpl.nasa.gov/DPSummary/Descanso5–Galileo_new.pdf.</w:t>
      </w:r>
    </w:p>
    <w:p>
      <w:pPr>
        <w:pStyle w:val="BodyText"/>
        <w:spacing w:line="480" w:lineRule="auto"/>
        <w:ind w:firstLine="720"/>
      </w:pPr>
      <w:bookmarkStart w:id="153" w:name="ref-21"/>
      <w:bookmarkEnd w:id="153"/>
      <w:r>
        <w:t xml:space="preserve">21. D. K. Shin and others,</w:t>
      </w:r>
      <w:r>
        <w:t xml:space="preserve"> </w:t>
      </w:r>
      <w:r>
        <w:t xml:space="preserve">“Mars Reconnaissance Orbiter Ka-Band (32 GHz) Demonstration: Cruise Phase Operations,”</w:t>
      </w:r>
      <w:r>
        <w:t xml:space="preserve"> </w:t>
      </w:r>
      <w:r>
        <w:t xml:space="preserve">NASA Technical Reports Server, 20060050766, 2006. ntrs.nasa.gov/citations/20060050766.</w:t>
      </w:r>
    </w:p>
    <w:p>
      <w:pPr>
        <w:pStyle w:val="BodyText"/>
        <w:spacing w:line="480" w:lineRule="auto"/>
        <w:ind w:firstLine="720"/>
      </w:pPr>
      <w:bookmarkStart w:id="154" w:name="ref-22"/>
      <w:bookmarkEnd w:id="154"/>
      <w:r>
        <w:t xml:space="preserve">22. J. Taylor, D. Lee, and S. Shambayati,</w:t>
      </w:r>
      <w:r>
        <w:t xml:space="preserve"> </w:t>
      </w:r>
      <w:r>
        <w:t xml:space="preserve">“Mars Reconnaissance Orbiter Telecommunications,”</w:t>
      </w:r>
      <w:r>
        <w:t xml:space="preserve"> </w:t>
      </w:r>
      <w:r>
        <w:t xml:space="preserve">DESCANSO Design and Performance Summary Series, Article 12, Jet Propulsion Laboratory, 2006. descanso.jpl.nasa.gov/DPSummary/MRO_092106.pdf.</w:t>
      </w:r>
    </w:p>
    <w:p>
      <w:pPr>
        <w:pStyle w:val="BodyText"/>
        <w:spacing w:line="480" w:lineRule="auto"/>
        <w:ind w:firstLine="720"/>
      </w:pPr>
      <w:bookmarkStart w:id="155" w:name="ref-23"/>
      <w:bookmarkEnd w:id="155"/>
      <w:r>
        <w:t xml:space="preserve">23. R. Mukai and others,</w:t>
      </w:r>
      <w:r>
        <w:t xml:space="preserve"> </w:t>
      </w:r>
      <w:r>
        <w:t xml:space="preserve">“Juno Telecommunications,”</w:t>
      </w:r>
      <w:r>
        <w:t xml:space="preserve"> </w:t>
      </w:r>
      <w:r>
        <w:t xml:space="preserve">DESCANSO Design and Performance Summary Series, Article 16, Jet Propulsion Laboratory. descanso.jpl.nasa.gov/DPSummary/Juno_DESCANSO_Post121106H–Compact.pdf.</w:t>
      </w:r>
    </w:p>
    <w:p>
      <w:pPr>
        <w:pStyle w:val="BodyText"/>
        <w:spacing w:line="480" w:lineRule="auto"/>
        <w:ind w:firstLine="720"/>
      </w:pPr>
      <w:bookmarkStart w:id="156" w:name="ref-24"/>
      <w:bookmarkEnd w:id="156"/>
      <w:r>
        <w:t xml:space="preserve">24. J. S. Border and others,</w:t>
      </w:r>
      <w:r>
        <w:t xml:space="preserve"> </w:t>
      </w:r>
      <w:r>
        <w:t xml:space="preserve">“Cassini Orbiter/Huygens Probe Telecommunications,”</w:t>
      </w:r>
      <w:r>
        <w:t xml:space="preserve"> </w:t>
      </w:r>
      <w:r>
        <w:t xml:space="preserve">DESCANSO Design and Performance Summary Series, Article 3, Jet Propulsion Laboratory. descanso.jpl.nasa.gov/DPSummary/Descanso3–Cassini2.pdf.</w:t>
      </w:r>
    </w:p>
    <w:p>
      <w:pPr>
        <w:pStyle w:val="BodyText"/>
        <w:spacing w:line="480" w:lineRule="auto"/>
        <w:ind w:firstLine="720"/>
      </w:pPr>
      <w:bookmarkStart w:id="157" w:name="ref-25"/>
      <w:bookmarkEnd w:id="157"/>
      <w:r>
        <w:t xml:space="preserve">25. C. C. DeBoy and others,</w:t>
      </w:r>
      <w:r>
        <w:t xml:space="preserve"> </w:t>
      </w:r>
      <w:r>
        <w:t xml:space="preserve">“The RF telecommunications system for the New Horizons mission to Pluto,”</w:t>
      </w:r>
      <w:r>
        <w:t xml:space="preserve"> </w:t>
      </w:r>
      <w:r>
        <w:t xml:space="preserve">in</w:t>
      </w:r>
      <w:r>
        <w:t xml:space="preserve"> </w:t>
      </w:r>
      <w:r>
        <w:rPr>
          <w:i/>
          <w:iCs/>
        </w:rPr>
        <w:t xml:space="preserve">Proc. IEEE Aerospace Conference</w:t>
      </w:r>
      <w:r>
        <w:t xml:space="preserve">, 2004. ieeexplore.ieee.org/document/1367922.</w:t>
      </w:r>
    </w:p>
    <w:p>
      <w:pPr>
        <w:pStyle w:val="BodyText"/>
        <w:spacing w:line="480" w:lineRule="auto"/>
        <w:ind w:firstLine="720"/>
      </w:pPr>
      <w:bookmarkStart w:id="158" w:name="ref-26"/>
      <w:bookmarkEnd w:id="158"/>
      <w:r>
        <w:t xml:space="preserve">26. L. T. Elkins-Tanton and others,</w:t>
      </w:r>
      <w:r>
        <w:t xml:space="preserve"> </w:t>
      </w:r>
      <w:r>
        <w:t xml:space="preserve">“Design and Development of the Psyche Spacecraft for NASA’s Discovery Program,”</w:t>
      </w:r>
      <w:r>
        <w:t xml:space="preserve"> </w:t>
      </w:r>
      <w:r>
        <w:rPr>
          <w:i/>
          <w:iCs/>
        </w:rPr>
        <w:t xml:space="preserve">Space Science Reviews</w:t>
      </w:r>
      <w:r>
        <w:t xml:space="preserve">, 2025. doi:</w:t>
      </w:r>
      <w:r>
        <w:t xml:space="preserve"> </w:t>
      </w:r>
      <w:hyperlink r:id="rId159">
        <w:r>
          <w:rPr>
            <w:rStyle w:val="Hyperlink"/>
          </w:rPr>
          <w:t xml:space="preserve">10.1007/s11214-025-01222-1</w:t>
        </w:r>
      </w:hyperlink>
    </w:p>
    <w:p>
      <w:pPr>
        <w:pStyle w:val="BodyText"/>
        <w:spacing w:line="480" w:lineRule="auto"/>
        <w:ind w:firstLine="720"/>
      </w:pPr>
      <w:bookmarkStart w:id="160" w:name="ref-27"/>
      <w:bookmarkEnd w:id="160"/>
      <w:r>
        <w:t xml:space="preserve">27. David Robie, General Atomics Electromagnetic Systems; Aaron Freeman, General Atomics Electromagnetics; Robert Peterkin, General Atomics. MicroSat Laser Communication Terminals and IR Imaging Payloads for Space-Based Applications (2020).</w:t>
      </w:r>
    </w:p>
    <w:p>
      <w:pPr>
        <w:pStyle w:val="BodyText"/>
        <w:spacing w:line="480" w:lineRule="auto"/>
        <w:ind w:firstLine="720"/>
      </w:pPr>
      <w:bookmarkStart w:id="161" w:name="ref-28"/>
      <w:bookmarkEnd w:id="161"/>
      <w:r>
        <w:t xml:space="preserve">28. Paul Wagner, German Aerospace Center – Institute of Technical Physics, Thomas Hasenohr, German Aerospace Center – Institute of Technical Physics, Daniel Hampf, German Aerospace Center – Institute of Technical Physics, Fabian Sproll, German Aerospace Center – Institute of Technical Physics, Leif Humbert, German Aerospace Center – Institute of Technical Physics, Jens Rodmann, German Aerospace Center – Institute of Technical Physics, Wolfgang Riede, German Aerospace Center – Institute of Technical Physics. Passive Optical Link Budget for LEO Space Surveillance (2017).</w:t>
      </w:r>
    </w:p>
    <w:p>
      <w:pPr>
        <w:pStyle w:val="BodyText"/>
        <w:spacing w:line="480" w:lineRule="auto"/>
        <w:ind w:firstLine="720"/>
      </w:pPr>
      <w:bookmarkStart w:id="162" w:name="ref-29"/>
      <w:bookmarkEnd w:id="162"/>
      <w:r>
        <w:t xml:space="preserve">29. Laurent Hennegrave, ArianeGroup; Gaetan Eyheramono, ArianeGroup; Marine Pyanet, ArianeGroup; Sebastien Vourc’h, ArianeGroup; Gilles Fournier, ArianeGroup. Advances of ArianeGroup Capabilities for Laser Optical Observation of LEO Objects (2022).</w:t>
      </w:r>
    </w:p>
    <w:p>
      <w:pPr>
        <w:pStyle w:val="BodyText"/>
        <w:spacing w:line="480" w:lineRule="auto"/>
        <w:ind w:firstLine="720"/>
      </w:pPr>
      <w:bookmarkStart w:id="163" w:name="ref-30"/>
      <w:bookmarkEnd w:id="163"/>
      <w:r>
        <w:t xml:space="preserve">30. Daniel Huterer Prats, University of Colorado Boulder; Hanspeter Schaub, University of Colorado Boulder; Chris Wheeler, Interactive Aptitude. Reinforcement Learning for Space-to-Space Surveillance: Autonomous Scheduling for Resident Space Object Imaging (2025). doi:</w:t>
      </w:r>
      <w:r>
        <w:t xml:space="preserve"> </w:t>
      </w:r>
      <w:hyperlink r:id="rId164">
        <w:r>
          <w:rPr>
            <w:rStyle w:val="Hyperlink"/>
          </w:rPr>
          <w:t xml:space="preserve">10.64861/DDFP2152</w:t>
        </w:r>
      </w:hyperlink>
    </w:p>
    <w:p>
      <w:pPr>
        <w:pStyle w:val="BodyText"/>
        <w:spacing w:line="480" w:lineRule="auto"/>
        <w:ind w:firstLine="720"/>
      </w:pPr>
      <w:bookmarkStart w:id="165" w:name="ref-31"/>
      <w:bookmarkEnd w:id="165"/>
      <w:r>
        <w:t xml:space="preserve">31. Billy Felton, Northrop Grumman, Randall Alliss, Northrop Grumman. Characterizing the Performance of Haleakala as a Ground Site for Laser Communications (2015).</w:t>
      </w:r>
    </w:p>
    <w:p>
      <w:pPr>
        <w:pStyle w:val="BodyText"/>
        <w:spacing w:line="480" w:lineRule="auto"/>
        <w:ind w:firstLine="720"/>
      </w:pPr>
      <w:bookmarkStart w:id="166" w:name="ref-32"/>
      <w:bookmarkEnd w:id="166"/>
      <w:r>
        <w:t xml:space="preserve">32. Randall Alliss (Northrop Grumman Corporation). Atmospheric Cloud Forecasting in Support of Space Based Applications (2013).</w:t>
      </w:r>
    </w:p>
    <w:p>
      <w:pPr>
        <w:pStyle w:val="BodyText"/>
        <w:spacing w:line="480" w:lineRule="auto"/>
        <w:ind w:firstLine="720"/>
      </w:pPr>
      <w:bookmarkStart w:id="167" w:name="ref-33"/>
      <w:bookmarkEnd w:id="167"/>
      <w:r>
        <w:t xml:space="preserve">33. Nathan Golovich, Lawrence Livermore National Laboratory; Robert Armstrong, Lawrence Livermore National Laboratory; Alex Geringer-Sameth, Lawrence Livermore National Laboratory; Benjamin Bahney, Lawrence Livermore National Laboratory; Gary Li, Impulse Space Inc.. XGEOSTARE: Extensible GEO Space-based Telescopes for Actionable Refinement of Ephemeris (2025). doi:</w:t>
      </w:r>
      <w:r>
        <w:t xml:space="preserve"> </w:t>
      </w:r>
      <w:hyperlink r:id="rId168">
        <w:r>
          <w:rPr>
            <w:rStyle w:val="Hyperlink"/>
          </w:rPr>
          <w:t xml:space="preserve">10.64861/RRTQ9485</w:t>
        </w:r>
      </w:hyperlink>
    </w:p>
    <w:p>
      <w:pPr>
        <w:pStyle w:val="BodyText"/>
        <w:spacing w:line="480" w:lineRule="auto"/>
        <w:ind w:firstLine="720"/>
      </w:pPr>
      <w:bookmarkStart w:id="169" w:name="ref-34"/>
      <w:bookmarkEnd w:id="169"/>
      <w:r>
        <w:t xml:space="preserve">34. H. Philip Stahl, NASA. Design and Predicted Performance of 4-m Baseline Habitable-zone Exoplanet Observatory Telescope (2021).</w:t>
      </w:r>
    </w:p>
    <w:p>
      <w:pPr>
        <w:pStyle w:val="BodyText"/>
        <w:spacing w:line="480" w:lineRule="auto"/>
        <w:ind w:firstLine="720"/>
      </w:pPr>
      <w:bookmarkStart w:id="170" w:name="ref-35"/>
      <w:bookmarkEnd w:id="170"/>
      <w:r>
        <w:t xml:space="preserve">35. Marius Anger; Aksel Søren Beltoft; F. Biassoni; Johanna Noria Brecher; Antoine Corne; J. A. Egger; S. Filomeno; Margarida Graça; Viktoria Keusch; Guillem Khairy; Jakub Kowalczyk; Riccardo Lasagni Manghi; Dominik Loidolt; Maja Marminge; Alex McDougall-Page; Lukas Tamulevicius; Elena Tonucci; Elise Wright Knutsen. Aetheras: Characterising exoplanetary atmospheric escape with NIR and UV spectroscopy (2025). doi:</w:t>
      </w:r>
      <w:r>
        <w:t xml:space="preserve"> </w:t>
      </w:r>
      <w:hyperlink r:id="rId171">
        <w:r>
          <w:rPr>
            <w:rStyle w:val="Hyperlink"/>
          </w:rPr>
          <w:t xml:space="preserve">10.1016/j.actaastro.2025.08.042</w:t>
        </w:r>
      </w:hyperlink>
    </w:p>
    <w:p>
      <w:pPr>
        <w:pStyle w:val="BodyText"/>
        <w:spacing w:line="480" w:lineRule="auto"/>
        <w:ind w:firstLine="720"/>
      </w:pPr>
      <w:bookmarkStart w:id="172" w:name="ref-36"/>
      <w:bookmarkEnd w:id="172"/>
      <w:r>
        <w:t xml:space="preserve">36. Ariele Zurria; Daniele Durante; L. Iess. Preliminary design and performance assessment of a semi-autonomous global navigation satellite system on Mars (2025). doi:</w:t>
      </w:r>
      <w:r>
        <w:t xml:space="preserve"> </w:t>
      </w:r>
      <w:hyperlink r:id="rId173">
        <w:r>
          <w:rPr>
            <w:rStyle w:val="Hyperlink"/>
          </w:rPr>
          <w:t xml:space="preserve">10.1016/j.actaastro.2025.01.035</w:t>
        </w:r>
      </w:hyperlink>
    </w:p>
    <w:p>
      <w:pPr>
        <w:pStyle w:val="BodyText"/>
        <w:spacing w:line="480" w:lineRule="auto"/>
        <w:ind w:firstLine="720"/>
      </w:pPr>
      <w:bookmarkStart w:id="174" w:name="ref-37"/>
      <w:bookmarkEnd w:id="174"/>
      <w:r>
        <w:t xml:space="preserve">37. Joshua F. Anderson; Michel‐Alexandre Cardin; Paul T. Grogan. Design and analysis of flexible multi-layer staged deployment for satellite mega-constellations under demand uncertainty (2022). doi:</w:t>
      </w:r>
      <w:r>
        <w:t xml:space="preserve"> </w:t>
      </w:r>
      <w:hyperlink r:id="rId175">
        <w:r>
          <w:rPr>
            <w:rStyle w:val="Hyperlink"/>
          </w:rPr>
          <w:t xml:space="preserve">10.1016/j.actaastro.2022.05.022</w:t>
        </w:r>
      </w:hyperlink>
    </w:p>
    <w:p>
      <w:pPr>
        <w:pStyle w:val="BodyText"/>
        <w:spacing w:line="480" w:lineRule="auto"/>
        <w:ind w:firstLine="720"/>
      </w:pPr>
      <w:bookmarkStart w:id="176" w:name="ref-38"/>
      <w:bookmarkEnd w:id="176"/>
      <w:r>
        <w:t xml:space="preserve">38. Roland Albers; H. R. Andrews; Gabriele Boccacci; Vasco D. C. Pires; Sunny Laddha; Ville Lundén; Nadim Maraqten; J. M. Matías; Eva Krämer; Leonard Schulz; Inés Terraza Palanca; Daniel Teubenbacher; Claire Baskevitch; Francesca Covella; Luca Cressa; Juan Garrido Moreno; Jana Gillmayr; Joshua Hollowood; Kilian Huber; Viktoria Kutnohorsky; Sofia Lennerstrand; Adel Malatinszky; Davide Manzini; Manuel Maurer; Daiana Maria Alessandra Nidelea; Luca Rigon; J. Sinjan; Crisel Suárez; Mirko Viviano; Elise Wright Knutsen. Magnetospheric Venus Space Explorers (MVSE) mission: A proposal for understanding the dynamics of induced magnetospheres (2024). doi:</w:t>
      </w:r>
      <w:r>
        <w:t xml:space="preserve"> </w:t>
      </w:r>
      <w:hyperlink r:id="rId177">
        <w:r>
          <w:rPr>
            <w:rStyle w:val="Hyperlink"/>
          </w:rPr>
          <w:t xml:space="preserve">10.1016/j.actaastro.2024.05.017</w:t>
        </w:r>
      </w:hyperlink>
    </w:p>
    <w:p>
      <w:pPr>
        <w:pStyle w:val="BodyText"/>
        <w:spacing w:line="480" w:lineRule="auto"/>
        <w:ind w:firstLine="720"/>
      </w:pPr>
      <w:bookmarkStart w:id="178" w:name="ref-39"/>
      <w:bookmarkEnd w:id="178"/>
      <w:r>
        <w:t xml:space="preserve">39. Katsuki Tashiro; Shogo Nerome; Minori Fukuda; Hibiki Seki; Yusaku Ozeki; Hiroyuki Kobayashi; Yuki Amaki; Daiki Kobayashi; Kiyona Miyamoto; Kei Watanabe; Toshihiro Chujo; Hiroki Nakanishi; Satoru Ozawa; Saburo Matunaga; Yoichi Yatsu. On-orbit demonstration of near real-time communication via Globalstar for time-domain astronomy (2025). doi:</w:t>
      </w:r>
      <w:r>
        <w:t xml:space="preserve"> </w:t>
      </w:r>
      <w:hyperlink r:id="rId179">
        <w:r>
          <w:rPr>
            <w:rStyle w:val="Hyperlink"/>
          </w:rPr>
          <w:t xml:space="preserve">10.1016/j.actaastro.2025.12.003</w:t>
        </w:r>
      </w:hyperlink>
    </w:p>
    <w:p>
      <w:pPr>
        <w:pStyle w:val="BodyText"/>
        <w:spacing w:line="480" w:lineRule="auto"/>
        <w:ind w:firstLine="720"/>
      </w:pPr>
      <w:bookmarkStart w:id="180" w:name="ref-40"/>
      <w:bookmarkEnd w:id="180"/>
      <w:r>
        <w:t xml:space="preserve">40. Miguel Ortiz del Castillo; Jack McRobbie; Andrew Woods; Robert Mearns; Jonathan Morgan; Michele Trenti; Simon Barraclough; Yijie Tao; Clint Therakam; Eric Schoof; Airlie Chapman; Fabrizio Fiore; Y. Evangelista; A. Guzmán; Paul Hedderman. The SpIRIT Payload Management System: A paradigm for smallsats multi payload integration (2025). doi:</w:t>
      </w:r>
      <w:r>
        <w:t xml:space="preserve"> </w:t>
      </w:r>
      <w:hyperlink r:id="rId181">
        <w:r>
          <w:rPr>
            <w:rStyle w:val="Hyperlink"/>
          </w:rPr>
          <w:t xml:space="preserve">10.1016/j.actaastro.2025.06.050</w:t>
        </w:r>
      </w:hyperlink>
    </w:p>
    <w:p>
      <w:pPr>
        <w:pStyle w:val="BodyText"/>
        <w:spacing w:line="480" w:lineRule="auto"/>
        <w:ind w:firstLine="720"/>
      </w:pPr>
      <w:bookmarkStart w:id="182" w:name="ref-41"/>
      <w:bookmarkEnd w:id="182"/>
      <w:r>
        <w:t xml:space="preserve">41. Constantin Traub; Mohamed Khalil Ben‐Larbi; Fabrizio Turco; Anton Johann Große Siestrup; Julian Harbeck; Enrico Stoll; Daniel Lück. Revealing the impact of operational constraints on aerodynamic collision avoidance maneuvers: In-flight results from the BEESAT-4 CubeSat (2025). doi:</w:t>
      </w:r>
      <w:r>
        <w:t xml:space="preserve"> </w:t>
      </w:r>
      <w:hyperlink r:id="rId183">
        <w:r>
          <w:rPr>
            <w:rStyle w:val="Hyperlink"/>
          </w:rPr>
          <w:t xml:space="preserve">10.1016/j.actaastro.2025.04.038</w:t>
        </w:r>
      </w:hyperlink>
    </w:p>
    <w:p>
      <w:pPr>
        <w:pStyle w:val="BodyText"/>
        <w:spacing w:line="480" w:lineRule="auto"/>
        <w:ind w:firstLine="720"/>
      </w:pPr>
      <w:bookmarkStart w:id="184" w:name="ref-42"/>
      <w:bookmarkEnd w:id="184"/>
      <w:r>
        <w:t xml:space="preserve">42. Ksenia Osipova; Adriano Camps; Alessandro Golkar; Joan A. Ruiz-de-Azua; Lara Fernandez; Nicola Garzaniti. Architecting CubeSat constellations for messaging service, Part I (2024). doi:</w:t>
      </w:r>
      <w:r>
        <w:t xml:space="preserve"> </w:t>
      </w:r>
      <w:hyperlink r:id="rId185">
        <w:r>
          <w:rPr>
            <w:rStyle w:val="Hyperlink"/>
          </w:rPr>
          <w:t xml:space="preserve">10.1016/j.actaastro.2024.07.022</w:t>
        </w:r>
      </w:hyperlink>
    </w:p>
    <w:bookmarkEnd w:id="186"/>
    <w:bookmarkEnd w:id="187"/>
    <w:bookmarkStart w:id="20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5" w:name="X1ee4305ed8054880b16723c166153259a5313f3"/>
    <w:p>
      <w:pPr>
        <w:pStyle w:val="Heading2"/>
        <w:spacing w:line="480" w:lineRule="auto"/>
      </w:pPr>
      <w:r>
        <w:t xml:space="preserve">A.1 Link-Budget Margin and Downlink Performance: An Econometric Regression of Achieved Deep-Space Data Rate on the Physical Drivers of the Telecommunications Link Equation</w:t>
      </w:r>
    </w:p>
    <w:p>
      <w:pPr>
        <w:pStyle w:val="FirstParagraph"/>
        <w:spacing w:line="480" w:lineRule="auto"/>
      </w:pPr>
      <m:oMathPara>
        <m:oMathParaPr>
          <m:jc m:val="center"/>
        </m:oMathParaPr>
        <m:oMath>
          <m:sSub>
            <m:e>
              <m:r>
                <m:rPr>
                  <m:sty m:val="p"/>
                </m:rPr>
                <m:t>log</m:t>
              </m:r>
            </m:e>
            <m:sub>
              <m:r>
                <m:t>10</m:t>
              </m:r>
            </m:sub>
          </m:sSub>
          <m:sSub>
            <m:e>
              <m:r>
                <m:t>R</m:t>
              </m:r>
            </m:e>
            <m:sub>
              <m:r>
                <m:t>i</m:t>
              </m:r>
            </m:sub>
          </m:sSub>
          <m:r>
            <m:rPr>
              <m:sty m:val="p"/>
            </m:rPr>
            <m:t>=</m:t>
          </m:r>
          <m:sSub>
            <m:e>
              <m:r>
                <m:t>β</m:t>
              </m:r>
            </m:e>
            <m:sub>
              <m:r>
                <m:t>0</m:t>
              </m:r>
            </m:sub>
          </m:sSub>
          <m:r>
            <m:rPr>
              <m:sty m:val="p"/>
            </m:rPr>
            <m:t>+</m:t>
          </m:r>
          <m:sSub>
            <m:e>
              <m:r>
                <m:t>β</m:t>
              </m:r>
            </m:e>
            <m:sub>
              <m:r>
                <m:t>1</m:t>
              </m:r>
            </m:sub>
          </m:sSub>
          <m:sSub>
            <m:e>
              <m:r>
                <m:rPr>
                  <m:sty m:val="p"/>
                </m:rPr>
                <m:t>log</m:t>
              </m:r>
            </m:e>
            <m:sub>
              <m:r>
                <m:t>10</m:t>
              </m:r>
            </m:sub>
          </m:sSub>
          <m:sSub>
            <m:e>
              <m:r>
                <m:t>d</m:t>
              </m:r>
            </m:e>
            <m:sub>
              <m:r>
                <m:t>i</m:t>
              </m:r>
            </m:sub>
          </m:sSub>
          <m:r>
            <m:rPr>
              <m:sty m:val="p"/>
            </m:rPr>
            <m:t>+</m:t>
          </m:r>
          <m:sSub>
            <m:e>
              <m:r>
                <m:t>β</m:t>
              </m:r>
            </m:e>
            <m:sub>
              <m:r>
                <m:t>2</m:t>
              </m:r>
            </m:sub>
          </m:sSub>
          <m:sSub>
            <m:e>
              <m:r>
                <m:rPr>
                  <m:sty m:val="p"/>
                </m:rPr>
                <m:t>log</m:t>
              </m:r>
            </m:e>
            <m:sub>
              <m:r>
                <m:t>10</m:t>
              </m:r>
            </m:sub>
          </m:sSub>
          <m:sSubSup>
            <m:e>
              <m:r>
                <m:t>D</m:t>
              </m:r>
            </m:e>
            <m:sub>
              <m:r>
                <m:t>i</m:t>
              </m:r>
            </m:sub>
            <m:sup>
              <m:r>
                <m:t>s</m:t>
              </m:r>
              <m:r>
                <m:t>c</m:t>
              </m:r>
            </m:sup>
          </m:sSubSup>
          <m:r>
            <m:rPr>
              <m:sty m:val="p"/>
            </m:rPr>
            <m:t>+</m:t>
          </m:r>
          <m:sSub>
            <m:e>
              <m:r>
                <m:t>β</m:t>
              </m:r>
            </m:e>
            <m:sub>
              <m:r>
                <m:t>3</m:t>
              </m:r>
            </m:sub>
          </m:sSub>
          <m:sSub>
            <m:e>
              <m:r>
                <m:rPr>
                  <m:sty m:val="p"/>
                </m:rPr>
                <m:t>log</m:t>
              </m:r>
            </m:e>
            <m:sub>
              <m:r>
                <m:t>10</m:t>
              </m:r>
            </m:sub>
          </m:sSub>
          <m:sSub>
            <m:e>
              <m:r>
                <m:t>P</m:t>
              </m:r>
            </m:e>
            <m:sub>
              <m:r>
                <m:t>i</m:t>
              </m:r>
            </m:sub>
          </m:sSub>
          <m:r>
            <m:rPr>
              <m:sty m:val="p"/>
            </m:rPr>
            <m:t>+</m:t>
          </m:r>
          <m:sSub>
            <m:e>
              <m:r>
                <m:t>β</m:t>
              </m:r>
            </m:e>
            <m:sub>
              <m:r>
                <m:t>4</m:t>
              </m:r>
            </m:sub>
          </m:sSub>
          <m:r>
            <m:t> </m:t>
          </m:r>
          <m:sSub>
            <m:e>
              <m:r>
                <m:rPr>
                  <m:sty m:val="p"/>
                </m:rPr>
                <m:t>K</m:t>
              </m:r>
              <m:r>
                <m:rPr>
                  <m:sty m:val="p"/>
                </m:rPr>
                <m:t>a</m:t>
              </m:r>
            </m:e>
            <m:sub>
              <m:r>
                <m:t>i</m:t>
              </m:r>
            </m:sub>
          </m:sSub>
          <m:r>
            <m:rPr>
              <m:sty m:val="p"/>
            </m:rPr>
            <m:t>+</m:t>
          </m:r>
          <m:sSub>
            <m:e>
              <m:r>
                <m:t>β</m:t>
              </m:r>
            </m:e>
            <m:sub>
              <m:r>
                <m:t>5</m:t>
              </m:r>
            </m:sub>
          </m:sSub>
          <m:r>
            <m:t> </m:t>
          </m:r>
          <m:sSubSup>
            <m:e>
              <m:r>
                <m:t>A</m:t>
              </m:r>
            </m:e>
            <m:sub>
              <m:r>
                <m:t>i</m:t>
              </m:r>
            </m:sub>
            <m:sup>
              <m:r>
                <m:t>d</m:t>
              </m:r>
              <m:r>
                <m:t>s</m:t>
              </m:r>
              <m:r>
                <m:t>n</m:t>
              </m:r>
            </m:sup>
          </m:sSubSup>
          <m:r>
            <m:rPr>
              <m:sty m:val="p"/>
            </m:rPr>
            <m:t>+</m:t>
          </m:r>
          <m:sSub>
            <m:e>
              <m:r>
                <m:t>ε</m:t>
              </m:r>
            </m:e>
            <m:sub>
              <m:r>
                <m:t>i</m:t>
              </m:r>
            </m:sub>
          </m:sSub>
        </m:oMath>
      </m:oMathPara>
    </w:p>
    <w:bookmarkStart w:id="18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4.5182</w:t>
            </w:r>
          </w:p>
        </w:tc>
        <w:tc>
          <w:tcPr>
            <w:tcW w:w="0" w:type="auto"/>
          </w:tcPr>
          <w:p>
            <w:pPr>
              <w:spacing w:line="240" w:lineRule="auto" w:before="0" w:after="0"/>
              <w:pStyle w:val="Compact"/>
            </w:pPr>
            <w:r>
              <w:rPr>
                <w:sz w:val="20"/>
                <w:szCs w:val="20"/>
              </w:rPr>
              <w:t xml:space="preserve">1.3432</w:t>
            </w:r>
          </w:p>
        </w:tc>
        <w:tc>
          <w:tcPr>
            <w:tcW w:w="0" w:type="auto"/>
          </w:tcPr>
          <w:p>
            <w:pPr>
              <w:spacing w:line="240" w:lineRule="auto" w:before="0" w:after="0"/>
              <w:pStyle w:val="Compact"/>
            </w:pPr>
            <w:r>
              <w:rPr>
                <w:sz w:val="20"/>
                <w:szCs w:val="20"/>
              </w:rPr>
              <w:t xml:space="preserve">3.3639</w:t>
            </w:r>
          </w:p>
        </w:tc>
        <w:tc>
          <w:tcPr>
            <w:tcW w:w="0" w:type="auto"/>
          </w:tcPr>
          <w:p>
            <w:pPr>
              <w:spacing w:line="240" w:lineRule="auto" w:before="0" w:after="0"/>
              <w:pStyle w:val="Compact"/>
            </w:pPr>
            <w:r>
              <w:rPr>
                <w:sz w:val="20"/>
                <w:szCs w:val="20"/>
              </w:rPr>
              <w:t xml:space="preserve">0.0007685</w:t>
            </w:r>
          </w:p>
        </w:tc>
        <w:tc>
          <w:tcPr>
            <w:tcW w:w="0" w:type="auto"/>
          </w:tcPr>
          <w:p>
            <w:pPr>
              <w:spacing w:line="240" w:lineRule="auto" w:before="0" w:after="0"/>
              <w:pStyle w:val="Compact"/>
            </w:pPr>
            <w:r>
              <w:rPr>
                <w:sz w:val="20"/>
                <w:szCs w:val="20"/>
              </w:rPr>
              <w:t xml:space="preserve">[1.8857, 7.1508]</w:t>
            </w:r>
          </w:p>
        </w:tc>
      </w:tr>
      <w:tr>
        <w:tc>
          <w:tcPr>
            <w:tcW w:w="0" w:type="auto"/>
          </w:tcPr>
          <w:p>
            <w:pPr>
              <w:spacing w:line="240" w:lineRule="auto" w:before="0" w:after="0"/>
              <w:pStyle w:val="Compact"/>
            </w:pPr>
            <w:r>
              <w:rPr>
                <w:sz w:val="20"/>
                <w:szCs w:val="20"/>
              </w:rPr>
              <w:t xml:space="preserve">log10_range_au</w:t>
            </w:r>
          </w:p>
        </w:tc>
        <w:tc>
          <w:tcPr>
            <w:tcW w:w="0" w:type="auto"/>
          </w:tcPr>
          <w:p>
            <w:pPr>
              <w:spacing w:line="240" w:lineRule="auto" w:before="0" w:after="0"/>
              <w:pStyle w:val="Compact"/>
            </w:pPr>
            <w:r>
              <w:rPr>
                <w:sz w:val="20"/>
                <w:szCs w:val="20"/>
              </w:rPr>
              <w:t xml:space="preserve">-2.1368</w:t>
            </w:r>
          </w:p>
        </w:tc>
        <w:tc>
          <w:tcPr>
            <w:tcW w:w="0" w:type="auto"/>
          </w:tcPr>
          <w:p>
            <w:pPr>
              <w:spacing w:line="240" w:lineRule="auto" w:before="0" w:after="0"/>
              <w:pStyle w:val="Compact"/>
            </w:pPr>
            <w:r>
              <w:rPr>
                <w:sz w:val="20"/>
                <w:szCs w:val="20"/>
              </w:rPr>
              <w:t xml:space="preserve">0.3487</w:t>
            </w:r>
          </w:p>
        </w:tc>
        <w:tc>
          <w:tcPr>
            <w:tcW w:w="0" w:type="auto"/>
          </w:tcPr>
          <w:p>
            <w:pPr>
              <w:spacing w:line="240" w:lineRule="auto" w:before="0" w:after="0"/>
              <w:pStyle w:val="Compact"/>
            </w:pPr>
            <w:r>
              <w:rPr>
                <w:sz w:val="20"/>
                <w:szCs w:val="20"/>
              </w:rPr>
              <w:t xml:space="preserve">-6.1278</w:t>
            </w:r>
          </w:p>
        </w:tc>
        <w:tc>
          <w:tcPr>
            <w:tcW w:w="0" w:type="auto"/>
          </w:tcPr>
          <w:p>
            <w:pPr>
              <w:spacing w:line="240" w:lineRule="auto" w:before="0" w:after="0"/>
              <w:pStyle w:val="Compact"/>
            </w:pPr>
            <w:r>
              <w:rPr>
                <w:sz w:val="20"/>
                <w:szCs w:val="20"/>
              </w:rPr>
              <w:t xml:space="preserve">8.91e-10</w:t>
            </w:r>
          </w:p>
        </w:tc>
        <w:tc>
          <w:tcPr>
            <w:tcW w:w="0" w:type="auto"/>
          </w:tcPr>
          <w:p>
            <w:pPr>
              <w:spacing w:line="240" w:lineRule="auto" w:before="0" w:after="0"/>
              <w:pStyle w:val="Compact"/>
            </w:pPr>
            <w:r>
              <w:rPr>
                <w:sz w:val="20"/>
                <w:szCs w:val="20"/>
              </w:rPr>
              <w:t xml:space="preserve">[-2.8202, -1.4533]</w:t>
            </w:r>
          </w:p>
        </w:tc>
      </w:tr>
      <w:tr>
        <w:tc>
          <w:tcPr>
            <w:tcW w:w="0" w:type="auto"/>
          </w:tcPr>
          <w:p>
            <w:pPr>
              <w:spacing w:line="240" w:lineRule="auto" w:before="0" w:after="0"/>
              <w:pStyle w:val="Compact"/>
            </w:pPr>
            <w:r>
              <w:rPr>
                <w:sz w:val="20"/>
                <w:szCs w:val="20"/>
              </w:rPr>
              <w:t xml:space="preserve">log10_hga</w:t>
            </w:r>
          </w:p>
        </w:tc>
        <w:tc>
          <w:tcPr>
            <w:tcW w:w="0" w:type="auto"/>
          </w:tcPr>
          <w:p>
            <w:pPr>
              <w:spacing w:line="240" w:lineRule="auto" w:before="0" w:after="0"/>
              <w:pStyle w:val="Compact"/>
            </w:pPr>
            <w:r>
              <w:rPr>
                <w:sz w:val="20"/>
                <w:szCs w:val="20"/>
              </w:rPr>
              <w:t xml:space="preserve">2.4234</w:t>
            </w:r>
          </w:p>
        </w:tc>
        <w:tc>
          <w:tcPr>
            <w:tcW w:w="0" w:type="auto"/>
          </w:tcPr>
          <w:p>
            <w:pPr>
              <w:spacing w:line="240" w:lineRule="auto" w:before="0" w:after="0"/>
              <w:pStyle w:val="Compact"/>
            </w:pPr>
            <w:r>
              <w:rPr>
                <w:sz w:val="20"/>
                <w:szCs w:val="20"/>
              </w:rPr>
              <w:t xml:space="preserve">0.7174</w:t>
            </w:r>
          </w:p>
        </w:tc>
        <w:tc>
          <w:tcPr>
            <w:tcW w:w="0" w:type="auto"/>
          </w:tcPr>
          <w:p>
            <w:pPr>
              <w:spacing w:line="240" w:lineRule="auto" w:before="0" w:after="0"/>
              <w:pStyle w:val="Compact"/>
            </w:pPr>
            <w:r>
              <w:rPr>
                <w:sz w:val="20"/>
                <w:szCs w:val="20"/>
              </w:rPr>
              <w:t xml:space="preserve">3.3781</w:t>
            </w:r>
          </w:p>
        </w:tc>
        <w:tc>
          <w:tcPr>
            <w:tcW w:w="0" w:type="auto"/>
          </w:tcPr>
          <w:p>
            <w:pPr>
              <w:spacing w:line="240" w:lineRule="auto" w:before="0" w:after="0"/>
              <w:pStyle w:val="Compact"/>
            </w:pPr>
            <w:r>
              <w:rPr>
                <w:sz w:val="20"/>
                <w:szCs w:val="20"/>
              </w:rPr>
              <w:t xml:space="preserve">0.00073</w:t>
            </w:r>
          </w:p>
        </w:tc>
        <w:tc>
          <w:tcPr>
            <w:tcW w:w="0" w:type="auto"/>
          </w:tcPr>
          <w:p>
            <w:pPr>
              <w:spacing w:line="240" w:lineRule="auto" w:before="0" w:after="0"/>
              <w:pStyle w:val="Compact"/>
            </w:pPr>
            <w:r>
              <w:rPr>
                <w:sz w:val="20"/>
                <w:szCs w:val="20"/>
              </w:rPr>
              <w:t xml:space="preserve">[1.0173, 3.8295]</w:t>
            </w:r>
          </w:p>
        </w:tc>
      </w:tr>
      <w:tr>
        <w:tc>
          <w:tcPr>
            <w:tcW w:w="0" w:type="auto"/>
          </w:tcPr>
          <w:p>
            <w:pPr>
              <w:spacing w:line="240" w:lineRule="auto" w:before="0" w:after="0"/>
              <w:pStyle w:val="Compact"/>
            </w:pPr>
            <w:r>
              <w:rPr>
                <w:sz w:val="20"/>
                <w:szCs w:val="20"/>
              </w:rPr>
              <w:t xml:space="preserve">log10_txpwr</w:t>
            </w:r>
          </w:p>
        </w:tc>
        <w:tc>
          <w:tcPr>
            <w:tcW w:w="0" w:type="auto"/>
          </w:tcPr>
          <w:p>
            <w:pPr>
              <w:spacing w:line="240" w:lineRule="auto" w:before="0" w:after="0"/>
              <w:pStyle w:val="Compact"/>
            </w:pPr>
            <w:r>
              <w:rPr>
                <w:sz w:val="20"/>
                <w:szCs w:val="20"/>
              </w:rPr>
              <w:t xml:space="preserve">0.8411</w:t>
            </w:r>
          </w:p>
        </w:tc>
        <w:tc>
          <w:tcPr>
            <w:tcW w:w="0" w:type="auto"/>
          </w:tcPr>
          <w:p>
            <w:pPr>
              <w:spacing w:line="240" w:lineRule="auto" w:before="0" w:after="0"/>
              <w:pStyle w:val="Compact"/>
            </w:pPr>
            <w:r>
              <w:rPr>
                <w:sz w:val="20"/>
                <w:szCs w:val="20"/>
              </w:rPr>
              <w:t xml:space="preserve">0.5357</w:t>
            </w:r>
          </w:p>
        </w:tc>
        <w:tc>
          <w:tcPr>
            <w:tcW w:w="0" w:type="auto"/>
          </w:tcPr>
          <w:p>
            <w:pPr>
              <w:spacing w:line="240" w:lineRule="auto" w:before="0" w:after="0"/>
              <w:pStyle w:val="Compact"/>
            </w:pPr>
            <w:r>
              <w:rPr>
                <w:sz w:val="20"/>
                <w:szCs w:val="20"/>
              </w:rPr>
              <w:t xml:space="preserve">1.5703</w:t>
            </w:r>
          </w:p>
        </w:tc>
        <w:tc>
          <w:tcPr>
            <w:tcW w:w="0" w:type="auto"/>
          </w:tcPr>
          <w:p>
            <w:pPr>
              <w:spacing w:line="240" w:lineRule="auto" w:before="0" w:after="0"/>
              <w:pStyle w:val="Compact"/>
            </w:pPr>
            <w:r>
              <w:rPr>
                <w:sz w:val="20"/>
                <w:szCs w:val="20"/>
              </w:rPr>
              <w:t xml:space="preserve">0.1164</w:t>
            </w:r>
          </w:p>
        </w:tc>
        <w:tc>
          <w:tcPr>
            <w:tcW w:w="0" w:type="auto"/>
          </w:tcPr>
          <w:p>
            <w:pPr>
              <w:spacing w:line="240" w:lineRule="auto" w:before="0" w:after="0"/>
              <w:pStyle w:val="Compact"/>
            </w:pPr>
            <w:r>
              <w:rPr>
                <w:sz w:val="20"/>
                <w:szCs w:val="20"/>
              </w:rPr>
              <w:t xml:space="preserve">[-0.2088, 1.8911]</w:t>
            </w:r>
          </w:p>
        </w:tc>
      </w:tr>
      <w:tr>
        <w:tc>
          <w:tcPr>
            <w:tcW w:w="0" w:type="auto"/>
          </w:tcPr>
          <w:p>
            <w:pPr>
              <w:spacing w:line="240" w:lineRule="auto" w:before="0" w:after="0"/>
              <w:pStyle w:val="Compact"/>
            </w:pPr>
            <w:r>
              <w:rPr>
                <w:sz w:val="20"/>
                <w:szCs w:val="20"/>
              </w:rPr>
              <w:t xml:space="preserve">band_kaband</w:t>
            </w:r>
          </w:p>
        </w:tc>
        <w:tc>
          <w:tcPr>
            <w:tcW w:w="0" w:type="auto"/>
          </w:tcPr>
          <w:p>
            <w:pPr>
              <w:spacing w:line="240" w:lineRule="auto" w:before="0" w:after="0"/>
              <w:pStyle w:val="Compact"/>
            </w:pPr>
            <w:r>
              <w:rPr>
                <w:sz w:val="20"/>
                <w:szCs w:val="20"/>
              </w:rPr>
              <w:t xml:space="preserve">0.9692</w:t>
            </w:r>
          </w:p>
        </w:tc>
        <w:tc>
          <w:tcPr>
            <w:tcW w:w="0" w:type="auto"/>
          </w:tcPr>
          <w:p>
            <w:pPr>
              <w:spacing w:line="240" w:lineRule="auto" w:before="0" w:after="0"/>
              <w:pStyle w:val="Compact"/>
            </w:pPr>
            <w:r>
              <w:rPr>
                <w:sz w:val="20"/>
                <w:szCs w:val="20"/>
              </w:rPr>
              <w:t xml:space="preserve">0.2974</w:t>
            </w:r>
          </w:p>
        </w:tc>
        <w:tc>
          <w:tcPr>
            <w:tcW w:w="0" w:type="auto"/>
          </w:tcPr>
          <w:p>
            <w:pPr>
              <w:spacing w:line="240" w:lineRule="auto" w:before="0" w:after="0"/>
              <w:pStyle w:val="Compact"/>
            </w:pPr>
            <w:r>
              <w:rPr>
                <w:sz w:val="20"/>
                <w:szCs w:val="20"/>
              </w:rPr>
              <w:t xml:space="preserve">3.2587</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[0.3863, 1.5521]</w:t>
            </w:r>
          </w:p>
        </w:tc>
      </w:tr>
      <w:tr>
        <w:tc>
          <w:tcPr>
            <w:tcW w:w="0" w:type="auto"/>
          </w:tcPr>
          <w:p>
            <w:pPr>
              <w:spacing w:line="240" w:lineRule="auto" w:before="0" w:after="0"/>
              <w:pStyle w:val="Compact"/>
            </w:pPr>
            <w:r>
              <w:rPr>
                <w:sz w:val="20"/>
                <w:szCs w:val="20"/>
              </w:rPr>
              <w:t xml:space="preserve">dsn_aperture_m</w:t>
            </w:r>
          </w:p>
        </w:tc>
        <w:tc>
          <w:tcPr>
            <w:tcW w:w="0" w:type="auto"/>
          </w:tcPr>
          <w:p>
            <w:pPr>
              <w:spacing w:line="240" w:lineRule="auto" w:before="0" w:after="0"/>
              <w:pStyle w:val="Compact"/>
            </w:pPr>
            <w:r>
              <w:rPr>
                <w:sz w:val="20"/>
                <w:szCs w:val="20"/>
              </w:rPr>
              <w:t xml:space="preserve">-0.0092</w:t>
            </w:r>
          </w:p>
        </w:tc>
        <w:tc>
          <w:tcPr>
            <w:tcW w:w="0" w:type="auto"/>
          </w:tcPr>
          <w:p>
            <w:pPr>
              <w:spacing w:line="240" w:lineRule="auto" w:before="0" w:after="0"/>
              <w:pStyle w:val="Compact"/>
            </w:pPr>
            <w:r>
              <w:rPr>
                <w:sz w:val="20"/>
                <w:szCs w:val="20"/>
              </w:rPr>
              <w:t xml:space="preserve">0.0223</w:t>
            </w:r>
          </w:p>
        </w:tc>
        <w:tc>
          <w:tcPr>
            <w:tcW w:w="0" w:type="auto"/>
          </w:tcPr>
          <w:p>
            <w:pPr>
              <w:spacing w:line="240" w:lineRule="auto" w:before="0" w:after="0"/>
              <w:pStyle w:val="Compact"/>
            </w:pPr>
            <w:r>
              <w:rPr>
                <w:sz w:val="20"/>
                <w:szCs w:val="20"/>
              </w:rPr>
              <w:t xml:space="preserve">-0.415</w:t>
            </w:r>
          </w:p>
        </w:tc>
        <w:tc>
          <w:tcPr>
            <w:tcW w:w="0" w:type="auto"/>
          </w:tcPr>
          <w:p>
            <w:pPr>
              <w:spacing w:line="240" w:lineRule="auto" w:before="0" w:after="0"/>
              <w:pStyle w:val="Compact"/>
            </w:pPr>
            <w:r>
              <w:rPr>
                <w:sz w:val="20"/>
                <w:szCs w:val="20"/>
              </w:rPr>
              <w:t xml:space="preserve">0.6782</w:t>
            </w:r>
          </w:p>
        </w:tc>
        <w:tc>
          <w:tcPr>
            <w:tcW w:w="0" w:type="auto"/>
          </w:tcPr>
          <w:p>
            <w:pPr>
              <w:spacing w:line="240" w:lineRule="auto" w:before="0" w:after="0"/>
              <w:pStyle w:val="Compact"/>
            </w:pPr>
            <w:r>
              <w:rPr>
                <w:sz w:val="20"/>
                <w:szCs w:val="20"/>
              </w:rPr>
              <w:t xml:space="preserve">[-0.0529, 0.0344]</w:t>
            </w:r>
          </w:p>
        </w:tc>
      </w:tr>
    </w:tbl>
    <w:p>
      <w:pPr>
        <w:pStyle w:val="BodyText"/>
        <w:spacing w:line="480" w:lineRule="auto"/>
        <w:ind w:firstLine="720"/>
      </w:pPr>
      <w:r>
        <w:t xml:space="preserve">Fit: N = 26 R2 = 0.8486 R2_adj = 0.8107 F = 105.6105 F_p = 1.13e-13</w:t>
      </w:r>
    </w:p>
    <w:bookmarkEnd w:id="188"/>
    <w:bookmarkStart w:id="19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Supported deep-space downlink data rate against Earth-spacecraft range (both base-10 logarithms), with the fitted ordinary-least-squares relationship. The negative slope recovers the inverse-square space-loss term of the link equation from twenty-six documented mission links." title="" id="190" name="Picture"/>
            <a:graphic>
              <a:graphicData uri="http://schemas.openxmlformats.org/drawingml/2006/picture">
                <pic:pic>
                  <pic:nvPicPr>
                    <pic:cNvPr descr="D:/Claude_Code/brain/collegium/candidates/dissertations/JPL_OPS_COMMS_DATA_06/research_papers/p1/paper_fig1.png" id="191" name="Picture"/>
                    <pic:cNvPicPr>
                      <a:picLocks noChangeArrowheads="1" noChangeAspect="1"/>
                    </pic:cNvPicPr>
                  </pic:nvPicPr>
                  <pic:blipFill>
                    <a:blip r:embed="rId1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Supported deep-space downlink data rate against Earth-spacecraft range (both base-10 logarithms), with the fitted ordinary-least-squares relationship. The negative slope recovers the inverse-square space-loss term of the link equation from twenty-six documented mission links.</w:t>
      </w:r>
    </w:p>
    <w:bookmarkEnd w:id="192"/>
    <w:bookmarkStart w:id="19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band_kaband</w:t>
            </w:r>
          </w:p>
        </w:tc>
        <w:tc>
          <w:tcPr>
            <w:tcW w:w="0" w:type="auto"/>
          </w:tcPr>
          <w:p>
            <w:pPr>
              <w:spacing w:line="240" w:lineRule="auto" w:before="0" w:after="0"/>
              <w:pStyle w:val="Compact"/>
            </w:pPr>
            <w:r>
              <w:rPr>
                <w:sz w:val="20"/>
                <w:szCs w:val="20"/>
              </w:rPr>
              <w:t xml:space="preserve">hga_diam_m</w:t>
            </w:r>
          </w:p>
        </w:tc>
        <w:tc>
          <w:tcPr>
            <w:tcW w:w="0" w:type="auto"/>
          </w:tcPr>
          <w:p>
            <w:pPr>
              <w:spacing w:line="240" w:lineRule="auto" w:before="0" w:after="0"/>
              <w:pStyle w:val="Compact"/>
            </w:pPr>
            <w:r>
              <w:rPr>
                <w:sz w:val="20"/>
                <w:szCs w:val="20"/>
              </w:rPr>
              <w:t xml:space="preserve">tx_power_w</w:t>
            </w:r>
          </w:p>
        </w:tc>
        <w:tc>
          <w:tcPr>
            <w:tcW w:w="0" w:type="auto"/>
          </w:tcPr>
          <w:p>
            <w:pPr>
              <w:spacing w:line="240" w:lineRule="auto" w:before="0" w:after="0"/>
              <w:pStyle w:val="Compact"/>
            </w:pPr>
            <w:r>
              <w:rPr>
                <w:sz w:val="20"/>
                <w:szCs w:val="20"/>
              </w:rPr>
              <w:t xml:space="preserve">downlink_freq_ghz</w:t>
            </w:r>
          </w:p>
        </w:tc>
        <w:tc>
          <w:tcPr>
            <w:tcW w:w="0" w:type="auto"/>
          </w:tcPr>
          <w:p>
            <w:pPr>
              <w:spacing w:line="240" w:lineRule="auto" w:before="0" w:after="0"/>
              <w:pStyle w:val="Compact"/>
            </w:pPr>
            <w:r>
              <w:rPr>
                <w:sz w:val="20"/>
                <w:szCs w:val="20"/>
              </w:rPr>
              <w:t xml:space="preserve">dsn_aperture_m</w:t>
            </w:r>
          </w:p>
        </w:tc>
        <w:tc>
          <w:tcPr>
            <w:tcW w:w="0" w:type="auto"/>
          </w:tcPr>
          <w:p>
            <w:pPr>
              <w:spacing w:line="240" w:lineRule="auto" w:before="0" w:after="0"/>
              <w:pStyle w:val="Compact"/>
            </w:pPr>
            <w:r>
              <w:rPr>
                <w:sz w:val="20"/>
                <w:szCs w:val="20"/>
              </w:rPr>
              <w:t xml:space="preserve">earth_range_au</w:t>
            </w:r>
          </w:p>
        </w:tc>
        <w:tc>
          <w:tcPr>
            <w:tcW w:w="0" w:type="auto"/>
          </w:tcPr>
          <w:p>
            <w:pPr>
              <w:spacing w:line="240" w:lineRule="auto" w:before="0" w:after="0"/>
              <w:pStyle w:val="Compact"/>
            </w:pPr>
            <w:r>
              <w:rPr>
                <w:sz w:val="20"/>
                <w:szCs w:val="20"/>
              </w:rPr>
              <w:t xml:space="preserve">downlink_rate_bps</w:t>
            </w:r>
          </w:p>
        </w:tc>
        <w:tc>
          <w:tcPr>
            <w:tcW w:w="0" w:type="auto"/>
          </w:tcPr>
          <w:p>
            <w:pPr>
              <w:spacing w:line="240" w:lineRule="auto" w:before="0" w:after="0"/>
              <w:pStyle w:val="Compact"/>
            </w:pPr>
            <w:r>
              <w:rPr>
                <w:sz w:val="20"/>
                <w:szCs w:val="20"/>
              </w:rPr>
              <w:t xml:space="preserve">log10_rate</w:t>
            </w:r>
          </w:p>
        </w:tc>
        <w:tc>
          <w:tcPr>
            <w:tcW w:w="0" w:type="auto"/>
          </w:tcPr>
          <w:p>
            <w:pPr>
              <w:spacing w:line="240" w:lineRule="auto" w:before="0" w:after="0"/>
              <w:pStyle w:val="Compact"/>
            </w:pPr>
            <w:r>
              <w:rPr>
                <w:sz w:val="20"/>
                <w:szCs w:val="20"/>
              </w:rPr>
              <w:t xml:space="preserve">log10_range_au</w:t>
            </w:r>
          </w:p>
        </w:tc>
        <w:tc>
          <w:tcPr>
            <w:tcW w:w="0" w:type="auto"/>
          </w:tcPr>
          <w:p>
            <w:pPr>
              <w:spacing w:line="240" w:lineRule="auto" w:before="0" w:after="0"/>
              <w:pStyle w:val="Compact"/>
            </w:pPr>
            <w:r>
              <w:rPr>
                <w:sz w:val="20"/>
                <w:szCs w:val="20"/>
              </w:rPr>
              <w:t xml:space="preserve">log10_hga</w:t>
            </w:r>
          </w:p>
        </w:tc>
        <w:tc>
          <w:tcPr>
            <w:tcW w:w="0" w:type="auto"/>
          </w:tcPr>
          <w:p>
            <w:pPr>
              <w:spacing w:line="240" w:lineRule="auto" w:before="0" w:after="0"/>
              <w:pStyle w:val="Compact"/>
            </w:pPr>
            <w:r>
              <w:rPr>
                <w:sz w:val="20"/>
                <w:szCs w:val="20"/>
              </w:rPr>
              <w:t xml:space="preserve">log10_txpwr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Voyager 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21.3</w:t>
            </w:r>
          </w:p>
        </w:tc>
        <w:tc>
          <w:tcPr>
            <w:tcW w:w="0" w:type="auto"/>
          </w:tcPr>
          <w:p>
            <w:pPr>
              <w:spacing w:line="240" w:lineRule="auto" w:before="0" w:after="0"/>
              <w:pStyle w:val="Compact"/>
            </w:pPr>
            <w:r>
              <w:rPr>
                <w:sz w:val="20"/>
                <w:szCs w:val="20"/>
              </w:rPr>
              <w:t xml:space="preserve">8.42</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2.2041</w:t>
            </w:r>
          </w:p>
        </w:tc>
        <w:tc>
          <w:tcPr>
            <w:tcW w:w="0" w:type="auto"/>
          </w:tcPr>
          <w:p>
            <w:pPr>
              <w:spacing w:line="240" w:lineRule="auto" w:before="0" w:after="0"/>
              <w:pStyle w:val="Compact"/>
            </w:pPr>
            <w:r>
              <w:rPr>
                <w:sz w:val="20"/>
                <w:szCs w:val="20"/>
              </w:rPr>
              <w:t xml:space="preserve">2.1931</w:t>
            </w:r>
          </w:p>
        </w:tc>
        <w:tc>
          <w:tcPr>
            <w:tcW w:w="0" w:type="auto"/>
          </w:tcPr>
          <w:p>
            <w:pPr>
              <w:spacing w:line="240" w:lineRule="auto" w:before="0" w:after="0"/>
              <w:pStyle w:val="Compact"/>
            </w:pPr>
            <w:r>
              <w:rPr>
                <w:sz w:val="20"/>
                <w:szCs w:val="20"/>
              </w:rPr>
              <w:t xml:space="preserve">0.5682</w:t>
            </w:r>
          </w:p>
        </w:tc>
        <w:tc>
          <w:tcPr>
            <w:tcW w:w="0" w:type="auto"/>
          </w:tcPr>
          <w:p>
            <w:pPr>
              <w:spacing w:line="240" w:lineRule="auto" w:before="0" w:after="0"/>
              <w:pStyle w:val="Compact"/>
            </w:pPr>
            <w:r>
              <w:rPr>
                <w:sz w:val="20"/>
                <w:szCs w:val="20"/>
              </w:rPr>
              <w:t xml:space="preserve">1.3284</w:t>
            </w:r>
          </w:p>
        </w:tc>
        <w:tc>
          <w:tcPr>
            <w:tcW w:w="0" w:type="auto"/>
          </w:tcPr>
          <w:p>
            <w:pPr>
              <w:spacing w:line="240" w:lineRule="auto" w:before="0" w:after="0"/>
              <w:pStyle w:val="Compact"/>
            </w:pPr>
            <w:r>
              <w:rPr>
                <w:sz w:val="20"/>
                <w:szCs w:val="20"/>
              </w:rPr>
              <w:t xml:space="preserve">Voyager Telecommunications, DESCANSO Ch.3 (DeepCommo_Chapter3, 2014); Voyager 1 distance 156 AU per Wikipedia/NASA 2024</w:t>
            </w:r>
          </w:p>
        </w:tc>
      </w:tr>
      <w:tr>
        <w:tc>
          <w:tcPr>
            <w:tcW w:w="0" w:type="auto"/>
          </w:tcPr>
          <w:p>
            <w:pPr>
              <w:spacing w:line="240" w:lineRule="auto" w:before="0" w:after="0"/>
              <w:pStyle w:val="Compact"/>
            </w:pPr>
            <w:r>
              <w:rPr>
                <w:sz w:val="20"/>
                <w:szCs w:val="20"/>
              </w:rPr>
              <w:t xml:space="preserve">Voyager 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21.3</w:t>
            </w:r>
          </w:p>
        </w:tc>
        <w:tc>
          <w:tcPr>
            <w:tcW w:w="0" w:type="auto"/>
          </w:tcPr>
          <w:p>
            <w:pPr>
              <w:spacing w:line="240" w:lineRule="auto" w:before="0" w:after="0"/>
              <w:pStyle w:val="Compact"/>
            </w:pPr>
            <w:r>
              <w:rPr>
                <w:sz w:val="20"/>
                <w:szCs w:val="20"/>
              </w:rPr>
              <w:t xml:space="preserve">8.42</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2.2041</w:t>
            </w:r>
          </w:p>
        </w:tc>
        <w:tc>
          <w:tcPr>
            <w:tcW w:w="0" w:type="auto"/>
          </w:tcPr>
          <w:p>
            <w:pPr>
              <w:spacing w:line="240" w:lineRule="auto" w:before="0" w:after="0"/>
              <w:pStyle w:val="Compact"/>
            </w:pPr>
            <w:r>
              <w:rPr>
                <w:sz w:val="20"/>
                <w:szCs w:val="20"/>
              </w:rPr>
              <w:t xml:space="preserve">2.1139</w:t>
            </w:r>
          </w:p>
        </w:tc>
        <w:tc>
          <w:tcPr>
            <w:tcW w:w="0" w:type="auto"/>
          </w:tcPr>
          <w:p>
            <w:pPr>
              <w:spacing w:line="240" w:lineRule="auto" w:before="0" w:after="0"/>
              <w:pStyle w:val="Compact"/>
            </w:pPr>
            <w:r>
              <w:rPr>
                <w:sz w:val="20"/>
                <w:szCs w:val="20"/>
              </w:rPr>
              <w:t xml:space="preserve">0.5682</w:t>
            </w:r>
          </w:p>
        </w:tc>
        <w:tc>
          <w:tcPr>
            <w:tcW w:w="0" w:type="auto"/>
          </w:tcPr>
          <w:p>
            <w:pPr>
              <w:spacing w:line="240" w:lineRule="auto" w:before="0" w:after="0"/>
              <w:pStyle w:val="Compact"/>
            </w:pPr>
            <w:r>
              <w:rPr>
                <w:sz w:val="20"/>
                <w:szCs w:val="20"/>
              </w:rPr>
              <w:t xml:space="preserve">1.3284</w:t>
            </w:r>
          </w:p>
        </w:tc>
        <w:tc>
          <w:tcPr>
            <w:tcW w:w="0" w:type="auto"/>
          </w:tcPr>
          <w:p>
            <w:pPr>
              <w:spacing w:line="240" w:lineRule="auto" w:before="0" w:after="0"/>
              <w:pStyle w:val="Compact"/>
            </w:pPr>
            <w:r>
              <w:rPr>
                <w:sz w:val="20"/>
                <w:szCs w:val="20"/>
              </w:rPr>
              <w:t xml:space="preserve">Voyager Telecommunications, DESCANSO Ch.3 (2014); Voyager 2 distance ~130 AU NASA 2024</w:t>
            </w:r>
          </w:p>
        </w:tc>
      </w:tr>
      <w:tr>
        <w:tc>
          <w:tcPr>
            <w:tcW w:w="0" w:type="auto"/>
          </w:tcPr>
          <w:p>
            <w:pPr>
              <w:spacing w:line="240" w:lineRule="auto" w:before="0" w:after="0"/>
              <w:pStyle w:val="Compact"/>
            </w:pPr>
            <w:r>
              <w:rPr>
                <w:sz w:val="20"/>
                <w:szCs w:val="20"/>
              </w:rPr>
              <w:t xml:space="preserve">Galileo (LGA)</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2.295</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2.2041</w:t>
            </w:r>
          </w:p>
        </w:tc>
        <w:tc>
          <w:tcPr>
            <w:tcW w:w="0" w:type="auto"/>
          </w:tcPr>
          <w:p>
            <w:pPr>
              <w:spacing w:line="240" w:lineRule="auto" w:before="0" w:after="0"/>
              <w:pStyle w:val="Compact"/>
            </w:pPr>
            <w:r>
              <w:rPr>
                <w:sz w:val="20"/>
                <w:szCs w:val="20"/>
              </w:rPr>
              <w:t xml:space="preserve">0.716</w:t>
            </w:r>
          </w:p>
        </w:tc>
        <w:tc>
          <w:tcPr>
            <w:tcW w:w="0" w:type="auto"/>
          </w:tcPr>
          <w:p>
            <w:pPr>
              <w:spacing w:line="240" w:lineRule="auto" w:before="0" w:after="0"/>
              <w:pStyle w:val="Compact"/>
            </w:pPr>
            <w:r>
              <w:rPr>
                <w:sz w:val="20"/>
                <w:szCs w:val="20"/>
              </w:rPr>
              <w:t xml:space="preserve">0.0414</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Galileo FAQ JPL (S-band LGA, 160 bps max at Jupiter); HGA failure, Galileo project Wikipedia</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8.42</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166000</w:t>
            </w:r>
          </w:p>
        </w:tc>
        <w:tc>
          <w:tcPr>
            <w:tcW w:w="0" w:type="auto"/>
          </w:tcPr>
          <w:p>
            <w:pPr>
              <w:spacing w:line="240" w:lineRule="auto" w:before="0" w:after="0"/>
              <w:pStyle w:val="Compact"/>
            </w:pPr>
            <w:r>
              <w:rPr>
                <w:sz w:val="20"/>
                <w:szCs w:val="20"/>
              </w:rPr>
              <w:t xml:space="preserve">5.2201</w:t>
            </w:r>
          </w:p>
        </w:tc>
        <w:tc>
          <w:tcPr>
            <w:tcW w:w="0" w:type="auto"/>
          </w:tcPr>
          <w:p>
            <w:pPr>
              <w:spacing w:line="240" w:lineRule="auto" w:before="0" w:after="0"/>
              <w:pStyle w:val="Compact"/>
            </w:pPr>
            <w:r>
              <w:rPr>
                <w:sz w:val="20"/>
                <w:szCs w:val="20"/>
              </w:rPr>
              <w:t xml:space="preserve">0.9542</w:t>
            </w:r>
          </w:p>
        </w:tc>
        <w:tc>
          <w:tcPr>
            <w:tcW w:w="0" w:type="auto"/>
          </w:tcPr>
          <w:p>
            <w:pPr>
              <w:spacing w:line="240" w:lineRule="auto" w:before="0" w:after="0"/>
              <w:pStyle w:val="Compact"/>
            </w:pPr>
            <w:r>
              <w:rPr>
                <w:sz w:val="20"/>
                <w:szCs w:val="20"/>
              </w:rPr>
              <w:t xml:space="preserve">0.6021</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Cassini Orbiter/Huygens Telecommunications, DESCANSO Article 3 (4 m HGA, 46.6 dB, 20 W TWTA, X-band); Saturn ~9 AU [illustrative rate at 166 kbps typical Saturn-range downlink]</w:t>
            </w:r>
          </w:p>
        </w:tc>
      </w:tr>
      <w:tr>
        <w:tc>
          <w:tcPr>
            <w:tcW w:w="0" w:type="auto"/>
          </w:tcPr>
          <w:p>
            <w:pPr>
              <w:spacing w:line="240" w:lineRule="auto" w:before="0" w:after="0"/>
              <w:pStyle w:val="Compact"/>
            </w:pPr>
            <w:r>
              <w:rPr>
                <w:sz w:val="20"/>
                <w:szCs w:val="20"/>
              </w:rPr>
              <w:t xml:space="preserve">New Horizons (Pluto)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8.44</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3.0792</w:t>
            </w:r>
          </w:p>
        </w:tc>
        <w:tc>
          <w:tcPr>
            <w:tcW w:w="0" w:type="auto"/>
          </w:tcPr>
          <w:p>
            <w:pPr>
              <w:spacing w:line="240" w:lineRule="auto" w:before="0" w:after="0"/>
              <w:pStyle w:val="Compact"/>
            </w:pPr>
            <w:r>
              <w:rPr>
                <w:sz w:val="20"/>
                <w:szCs w:val="20"/>
              </w:rPr>
              <w:t xml:space="preserve">1.5185</w:t>
            </w:r>
          </w:p>
        </w:tc>
        <w:tc>
          <w:tcPr>
            <w:tcW w:w="0" w:type="auto"/>
          </w:tcPr>
          <w:p>
            <w:pPr>
              <w:spacing w:line="240" w:lineRule="auto" w:before="0" w:after="0"/>
              <w:pStyle w:val="Compact"/>
            </w:pPr>
            <w:r>
              <w:rPr>
                <w:sz w:val="20"/>
                <w:szCs w:val="20"/>
              </w:rPr>
              <w:t xml:space="preserve">0.3222</w:t>
            </w:r>
          </w:p>
        </w:tc>
        <w:tc>
          <w:tcPr>
            <w:tcW w:w="0" w:type="auto"/>
          </w:tcPr>
          <w:p>
            <w:pPr>
              <w:spacing w:line="240" w:lineRule="auto" w:before="0" w:after="0"/>
              <w:pStyle w:val="Compact"/>
            </w:pPr>
            <w:r>
              <w:rPr>
                <w:sz w:val="20"/>
                <w:szCs w:val="20"/>
              </w:rPr>
              <w:t xml:space="preserve">1.0792</w:t>
            </w:r>
          </w:p>
        </w:tc>
        <w:tc>
          <w:tcPr>
            <w:tcW w:w="0" w:type="auto"/>
          </w:tcPr>
          <w:p>
            <w:pPr>
              <w:spacing w:line="240" w:lineRule="auto" w:before="0" w:after="0"/>
              <w:pStyle w:val="Compact"/>
            </w:pPr>
            <w:r>
              <w:rPr>
                <w:sz w:val="20"/>
                <w:szCs w:val="20"/>
              </w:rPr>
              <w:t xml:space="preserve">New Horizons RF Telecom System (DeBoy et al., SwRI/JHUAPL); 2.1 m HGA, 12 W TWTA, ~1.2 kbps near Pluto 33 AU</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18000</w:t>
            </w:r>
          </w:p>
        </w:tc>
        <w:tc>
          <w:tcPr>
            <w:tcW w:w="0" w:type="auto"/>
          </w:tcPr>
          <w:p>
            <w:pPr>
              <w:spacing w:line="240" w:lineRule="auto" w:before="0" w:after="0"/>
              <w:pStyle w:val="Compact"/>
            </w:pPr>
            <w:r>
              <w:rPr>
                <w:sz w:val="20"/>
                <w:szCs w:val="20"/>
              </w:rPr>
              <w:t xml:space="preserve">4.2553</w:t>
            </w:r>
          </w:p>
        </w:tc>
        <w:tc>
          <w:tcPr>
            <w:tcW w:w="0" w:type="auto"/>
          </w:tcPr>
          <w:p>
            <w:pPr>
              <w:spacing w:line="240" w:lineRule="auto" w:before="0" w:after="0"/>
              <w:pStyle w:val="Compact"/>
            </w:pPr>
            <w:r>
              <w:rPr>
                <w:sz w:val="20"/>
                <w:szCs w:val="20"/>
              </w:rPr>
              <w:t xml:space="preserve">0.7324</w:t>
            </w:r>
          </w:p>
        </w:tc>
        <w:tc>
          <w:tcPr>
            <w:tcW w:w="0" w:type="auto"/>
          </w:tcPr>
          <w:p>
            <w:pPr>
              <w:spacing w:line="240" w:lineRule="auto" w:before="0" w:after="0"/>
              <w:pStyle w:val="Compact"/>
            </w:pPr>
            <w:r>
              <w:rPr>
                <w:sz w:val="20"/>
                <w:szCs w:val="20"/>
              </w:rPr>
              <w:t xml:space="preserve">0.3979</w:t>
            </w:r>
          </w:p>
        </w:tc>
        <w:tc>
          <w:tcPr>
            <w:tcW w:w="0" w:type="auto"/>
          </w:tcPr>
          <w:p>
            <w:pPr>
              <w:spacing w:line="240" w:lineRule="auto" w:before="0" w:after="0"/>
              <w:pStyle w:val="Compact"/>
            </w:pPr>
            <w:r>
              <w:rPr>
                <w:sz w:val="20"/>
                <w:szCs w:val="20"/>
              </w:rPr>
              <w:t xml:space="preserve">1.3979</w:t>
            </w:r>
          </w:p>
        </w:tc>
        <w:tc>
          <w:tcPr>
            <w:tcW w:w="0" w:type="auto"/>
          </w:tcPr>
          <w:p>
            <w:pPr>
              <w:spacing w:line="240" w:lineRule="auto" w:before="0" w:after="0"/>
              <w:pStyle w:val="Compact"/>
            </w:pPr>
            <w:r>
              <w:rPr>
                <w:sz w:val="20"/>
                <w:szCs w:val="20"/>
              </w:rPr>
              <w:t xml:space="preserve">Juno Telecommunications, DESCANSO Article 16 (2.5 m dual-band HGA, X/Ka); Jupiter ~5.4 AU [illustrative 18 kbps science downlink]</w:t>
            </w:r>
          </w:p>
        </w:tc>
      </w:tr>
      <w:tr>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8.42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6000000</w:t>
            </w:r>
          </w:p>
        </w:tc>
        <w:tc>
          <w:tcPr>
            <w:tcW w:w="0" w:type="auto"/>
          </w:tcPr>
          <w:p>
            <w:pPr>
              <w:spacing w:line="240" w:lineRule="auto" w:before="0" w:after="0"/>
              <w:pStyle w:val="Compact"/>
            </w:pPr>
            <w:r>
              <w:rPr>
                <w:sz w:val="20"/>
                <w:szCs w:val="20"/>
              </w:rPr>
              <w:t xml:space="preserve">6.7782</w:t>
            </w:r>
          </w:p>
        </w:tc>
        <w:tc>
          <w:tcPr>
            <w:tcW w:w="0" w:type="auto"/>
          </w:tcPr>
          <w:p>
            <w:pPr>
              <w:spacing w:line="240" w:lineRule="auto" w:before="0" w:after="0"/>
              <w:pStyle w:val="Compact"/>
            </w:pPr>
            <w:r>
              <w:rPr>
                <w:sz w:val="20"/>
                <w:szCs w:val="20"/>
              </w:rPr>
              <w:t xml:space="preserve">0.3979</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Mars Reconnaissance Orbiter Telecommunications, DESCANSO Article 12 (3 m HGA, 100 W X-band TWTA, up to 6 Mbps); Mars max ~2.5 AU</w:t>
            </w:r>
          </w:p>
        </w:tc>
      </w:tr>
      <w:tr>
        <w:tc>
          <w:tcPr>
            <w:tcW w:w="0" w:type="auto"/>
          </w:tcPr>
          <w:p>
            <w:pPr>
              <w:spacing w:line="240" w:lineRule="auto" w:before="0" w:after="0"/>
              <w:pStyle w:val="Compact"/>
            </w:pPr>
            <w:r>
              <w:rPr>
                <w:sz w:val="20"/>
                <w:szCs w:val="20"/>
              </w:rPr>
              <w:t xml:space="preserve">Mars Odyssey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110000</w:t>
            </w:r>
          </w:p>
        </w:tc>
        <w:tc>
          <w:tcPr>
            <w:tcW w:w="0" w:type="auto"/>
          </w:tcPr>
          <w:p>
            <w:pPr>
              <w:spacing w:line="240" w:lineRule="auto" w:before="0" w:after="0"/>
              <w:pStyle w:val="Compact"/>
            </w:pPr>
            <w:r>
              <w:rPr>
                <w:sz w:val="20"/>
                <w:szCs w:val="20"/>
              </w:rPr>
              <w:t xml:space="preserve">5.0414</w:t>
            </w:r>
          </w:p>
        </w:tc>
        <w:tc>
          <w:tcPr>
            <w:tcW w:w="0" w:type="auto"/>
          </w:tcPr>
          <w:p>
            <w:pPr>
              <w:spacing w:line="240" w:lineRule="auto" w:before="0" w:after="0"/>
              <w:pStyle w:val="Compact"/>
            </w:pPr>
            <w:r>
              <w:rPr>
                <w:sz w:val="20"/>
                <w:szCs w:val="20"/>
              </w:rPr>
              <w:t xml:space="preserve">0.3979</w:t>
            </w:r>
          </w:p>
        </w:tc>
        <w:tc>
          <w:tcPr>
            <w:tcW w:w="0" w:type="auto"/>
          </w:tcPr>
          <w:p>
            <w:pPr>
              <w:spacing w:line="240" w:lineRule="auto" w:before="0" w:after="0"/>
              <w:pStyle w:val="Compact"/>
            </w:pPr>
            <w:r>
              <w:rPr>
                <w:sz w:val="20"/>
                <w:szCs w:val="20"/>
              </w:rPr>
              <w:t xml:space="preserve">0.1139</w:t>
            </w:r>
          </w:p>
        </w:tc>
        <w:tc>
          <w:tcPr>
            <w:tcW w:w="0" w:type="auto"/>
          </w:tcPr>
          <w:p>
            <w:pPr>
              <w:spacing w:line="240" w:lineRule="auto" w:before="0" w:after="0"/>
              <w:pStyle w:val="Compact"/>
            </w:pPr>
            <w:r>
              <w:rPr>
                <w:sz w:val="20"/>
                <w:szCs w:val="20"/>
              </w:rPr>
              <w:t xml:space="preserve">1.1761</w:t>
            </w:r>
          </w:p>
        </w:tc>
        <w:tc>
          <w:tcPr>
            <w:tcW w:w="0" w:type="auto"/>
          </w:tcPr>
          <w:p>
            <w:pPr>
              <w:spacing w:line="240" w:lineRule="auto" w:before="0" w:after="0"/>
              <w:pStyle w:val="Compact"/>
            </w:pPr>
            <w:r>
              <w:rPr>
                <w:sz w:val="20"/>
                <w:szCs w:val="20"/>
              </w:rPr>
              <w:t xml:space="preserve">Mars Odyssey telecom (1.3 m HGA, X-band); Mars max range ~2.5 AU [illustrative 110 kbps]</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550000</w:t>
            </w:r>
          </w:p>
        </w:tc>
        <w:tc>
          <w:tcPr>
            <w:tcW w:w="0" w:type="auto"/>
          </w:tcPr>
          <w:p>
            <w:pPr>
              <w:spacing w:line="240" w:lineRule="auto" w:before="0" w:after="0"/>
              <w:pStyle w:val="Compact"/>
            </w:pPr>
            <w:r>
              <w:rPr>
                <w:sz w:val="20"/>
                <w:szCs w:val="20"/>
              </w:rPr>
              <w:t xml:space="preserve">5.7404</w:t>
            </w:r>
          </w:p>
        </w:tc>
        <w:tc>
          <w:tcPr>
            <w:tcW w:w="0" w:type="auto"/>
          </w:tcPr>
          <w:p>
            <w:pPr>
              <w:spacing w:line="240" w:lineRule="auto" w:before="0" w:after="0"/>
              <w:pStyle w:val="Compact"/>
            </w:pPr>
            <w:r>
              <w:rPr>
                <w:sz w:val="20"/>
                <w:szCs w:val="20"/>
              </w:rPr>
              <w:t xml:space="preserve">0.3979</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MAVEN telecom (2 m HGA, 100 W X-band SDST/TWTA per LASP factsheet) [illustrative 550 kbps]</w:t>
            </w:r>
          </w:p>
        </w:tc>
      </w:tr>
      <w:tr>
        <w:tc>
          <w:tcPr>
            <w:tcW w:w="0" w:type="auto"/>
          </w:tcPr>
          <w:p>
            <w:pPr>
              <w:spacing w:line="240" w:lineRule="auto" w:before="0" w:after="0"/>
              <w:pStyle w:val="Compact"/>
            </w:pPr>
            <w:r>
              <w:rPr>
                <w:sz w:val="20"/>
                <w:szCs w:val="20"/>
              </w:rPr>
              <w:t xml:space="preserve">Perseverance (DTE)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3.301</w:t>
            </w:r>
          </w:p>
        </w:tc>
        <w:tc>
          <w:tcPr>
            <w:tcW w:w="0" w:type="auto"/>
          </w:tcPr>
          <w:p>
            <w:pPr>
              <w:spacing w:line="240" w:lineRule="auto" w:before="0" w:after="0"/>
              <w:pStyle w:val="Compact"/>
            </w:pPr>
            <w:r>
              <w:rPr>
                <w:sz w:val="20"/>
                <w:szCs w:val="20"/>
              </w:rPr>
              <w:t xml:space="preserve">0.3979</w:t>
            </w:r>
          </w:p>
        </w:tc>
        <w:tc>
          <w:tcPr>
            <w:tcW w:w="0" w:type="auto"/>
          </w:tcPr>
          <w:p>
            <w:pPr>
              <w:spacing w:line="240" w:lineRule="auto" w:before="0" w:after="0"/>
              <w:pStyle w:val="Compact"/>
            </w:pPr>
            <w:r>
              <w:rPr>
                <w:sz w:val="20"/>
                <w:szCs w:val="20"/>
              </w:rPr>
              <w:t xml:space="preserve">-0.5528</w:t>
            </w:r>
          </w:p>
        </w:tc>
        <w:tc>
          <w:tcPr>
            <w:tcW w:w="0" w:type="auto"/>
          </w:tcPr>
          <w:p>
            <w:pPr>
              <w:spacing w:line="240" w:lineRule="auto" w:before="0" w:after="0"/>
              <w:pStyle w:val="Compact"/>
            </w:pPr>
            <w:r>
              <w:rPr>
                <w:sz w:val="20"/>
                <w:szCs w:val="20"/>
              </w:rPr>
              <w:t xml:space="preserve">1.1761</w:t>
            </w:r>
          </w:p>
        </w:tc>
        <w:tc>
          <w:tcPr>
            <w:tcW w:w="0" w:type="auto"/>
          </w:tcPr>
          <w:p>
            <w:pPr>
              <w:spacing w:line="240" w:lineRule="auto" w:before="0" w:after="0"/>
              <w:pStyle w:val="Compact"/>
            </w:pPr>
            <w:r>
              <w:rPr>
                <w:sz w:val="20"/>
                <w:szCs w:val="20"/>
              </w:rPr>
              <w:t xml:space="preserve">Mars 2020 Perseverance direct-to-Earth X-band low-rate telemetry, NASA Mars 2020 telecom page; small DTE antenna [illustrative 2 kbps DTE]</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124000</w:t>
            </w:r>
          </w:p>
        </w:tc>
        <w:tc>
          <w:tcPr>
            <w:tcW w:w="0" w:type="auto"/>
          </w:tcPr>
          <w:p>
            <w:pPr>
              <w:spacing w:line="240" w:lineRule="auto" w:before="0" w:after="0"/>
              <w:pStyle w:val="Compact"/>
            </w:pPr>
            <w:r>
              <w:rPr>
                <w:sz w:val="20"/>
                <w:szCs w:val="20"/>
              </w:rPr>
              <w:t xml:space="preserve">5.0934</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0.1818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Dawn telecom (1.52 m HGA, 100 W TWTA per JPL Dawn spacecraft factsheet); Vesta/Ceres ~3 AU [illustrative 124 kbps]</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914000</w:t>
            </w:r>
          </w:p>
        </w:tc>
        <w:tc>
          <w:tcPr>
            <w:tcW w:w="0" w:type="auto"/>
          </w:tcPr>
          <w:p>
            <w:pPr>
              <w:spacing w:line="240" w:lineRule="auto" w:before="0" w:after="0"/>
              <w:pStyle w:val="Compact"/>
            </w:pPr>
            <w:r>
              <w:rPr>
                <w:sz w:val="20"/>
                <w:szCs w:val="20"/>
              </w:rPr>
              <w:t xml:space="preserve">5.9609</w:t>
            </w:r>
          </w:p>
        </w:tc>
        <w:tc>
          <w:tcPr>
            <w:tcW w:w="0" w:type="auto"/>
          </w:tcPr>
          <w:p>
            <w:pPr>
              <w:spacing w:line="240" w:lineRule="auto" w:before="0" w:after="0"/>
              <w:pStyle w:val="Compact"/>
            </w:pPr>
            <w:r>
              <w:rPr>
                <w:sz w:val="20"/>
                <w:szCs w:val="20"/>
              </w:rPr>
              <w:t xml:space="preserve">0.3424</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OSIRIS-REx telecom (2 m HGA, X-band, NASA OSIRIS-REx press kit); Bennu ~2.2 AU [illustrative 914 kbps]</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52000</w:t>
            </w:r>
          </w:p>
        </w:tc>
        <w:tc>
          <w:tcPr>
            <w:tcW w:w="0" w:type="auto"/>
          </w:tcPr>
          <w:p>
            <w:pPr>
              <w:spacing w:line="240" w:lineRule="auto" w:before="0" w:after="0"/>
              <w:pStyle w:val="Compact"/>
            </w:pPr>
            <w:r>
              <w:rPr>
                <w:sz w:val="20"/>
                <w:szCs w:val="20"/>
              </w:rPr>
              <w:t xml:space="preserve">4.716</w:t>
            </w:r>
          </w:p>
        </w:tc>
        <w:tc>
          <w:tcPr>
            <w:tcW w:w="0" w:type="auto"/>
          </w:tcPr>
          <w:p>
            <w:pPr>
              <w:spacing w:line="240" w:lineRule="auto" w:before="0" w:after="0"/>
              <w:pStyle w:val="Compact"/>
            </w:pPr>
            <w:r>
              <w:rPr>
                <w:sz w:val="20"/>
                <w:szCs w:val="20"/>
              </w:rPr>
              <w:t xml:space="preserve">0.7782</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Lucy telecom (2 m HGA, X-band, NASA Lucy press kit); Trojan asteroids ~6 AU [illustrative 52 kbps]</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135000</w:t>
            </w:r>
          </w:p>
        </w:tc>
        <w:tc>
          <w:tcPr>
            <w:tcW w:w="0" w:type="auto"/>
          </w:tcPr>
          <w:p>
            <w:pPr>
              <w:spacing w:line="240" w:lineRule="auto" w:before="0" w:after="0"/>
              <w:pStyle w:val="Compact"/>
            </w:pPr>
            <w:r>
              <w:rPr>
                <w:sz w:val="20"/>
                <w:szCs w:val="20"/>
              </w:rPr>
              <w:t xml:space="preserve">5.1303</w:t>
            </w:r>
          </w:p>
        </w:tc>
        <w:tc>
          <w:tcPr>
            <w:tcW w:w="0" w:type="auto"/>
          </w:tcPr>
          <w:p>
            <w:pPr>
              <w:spacing w:line="240" w:lineRule="auto" w:before="0" w:after="0"/>
              <w:pStyle w:val="Compact"/>
            </w:pPr>
            <w:r>
              <w:rPr>
                <w:sz w:val="20"/>
                <w:szCs w:val="20"/>
              </w:rPr>
              <w:t xml:space="preserve">0.7782</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1.9031</w:t>
            </w:r>
          </w:p>
        </w:tc>
        <w:tc>
          <w:tcPr>
            <w:tcW w:w="0" w:type="auto"/>
          </w:tcPr>
          <w:p>
            <w:pPr>
              <w:spacing w:line="240" w:lineRule="auto" w:before="0" w:after="0"/>
              <w:pStyle w:val="Compact"/>
            </w:pPr>
            <w:r>
              <w:rPr>
                <w:sz w:val="20"/>
                <w:szCs w:val="20"/>
              </w:rPr>
              <w:t xml:space="preserve">Europa Clipper telecom (3 m HGA, X-band high-gain, NASA Europa Clipper press kit); Jupiter ~6 AU [illustrative 135 kbps]</w:t>
            </w:r>
          </w:p>
        </w:tc>
      </w:tr>
      <w:tr>
        <w:tc>
          <w:tcPr>
            <w:tcW w:w="0" w:type="auto"/>
          </w:tcPr>
          <w:p>
            <w:pPr>
              <w:spacing w:line="240" w:lineRule="auto" w:before="0" w:after="0"/>
              <w:pStyle w:val="Compact"/>
            </w:pPr>
            <w:r>
              <w:rPr>
                <w:sz w:val="20"/>
                <w:szCs w:val="20"/>
              </w:rPr>
              <w:t xml:space="preserve">Rosetta</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8.42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22000</w:t>
            </w:r>
          </w:p>
        </w:tc>
        <w:tc>
          <w:tcPr>
            <w:tcW w:w="0" w:type="auto"/>
          </w:tcPr>
          <w:p>
            <w:pPr>
              <w:spacing w:line="240" w:lineRule="auto" w:before="0" w:after="0"/>
              <w:pStyle w:val="Compact"/>
            </w:pPr>
            <w:r>
              <w:rPr>
                <w:sz w:val="20"/>
                <w:szCs w:val="20"/>
              </w:rPr>
              <w:t xml:space="preserve">4.3424</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0.3424</w:t>
            </w:r>
          </w:p>
        </w:tc>
        <w:tc>
          <w:tcPr>
            <w:tcW w:w="0" w:type="auto"/>
          </w:tcPr>
          <w:p>
            <w:pPr>
              <w:spacing w:line="240" w:lineRule="auto" w:before="0" w:after="0"/>
              <w:pStyle w:val="Compact"/>
            </w:pPr>
            <w:r>
              <w:rPr>
                <w:sz w:val="20"/>
                <w:szCs w:val="20"/>
              </w:rPr>
              <w:t xml:space="preserve">1.4472</w:t>
            </w:r>
          </w:p>
        </w:tc>
        <w:tc>
          <w:tcPr>
            <w:tcW w:w="0" w:type="auto"/>
          </w:tcPr>
          <w:p>
            <w:pPr>
              <w:spacing w:line="240" w:lineRule="auto" w:before="0" w:after="0"/>
              <w:pStyle w:val="Compact"/>
            </w:pPr>
            <w:r>
              <w:rPr>
                <w:sz w:val="20"/>
                <w:szCs w:val="20"/>
              </w:rPr>
              <w:t xml:space="preserve">Rosetta telecom (2.2 m HGA, X-band, ESA Rosetta spacecraft factsheet via ESA New Norcia 35 m); comet ~5.3 AU [illustrative 22 kbps]</w:t>
            </w:r>
          </w:p>
        </w:tc>
      </w:tr>
      <w:tr>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8.43</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104000</w:t>
            </w:r>
          </w:p>
        </w:tc>
        <w:tc>
          <w:tcPr>
            <w:tcW w:w="0" w:type="auto"/>
          </w:tcPr>
          <w:p>
            <w:pPr>
              <w:spacing w:line="240" w:lineRule="auto" w:before="0" w:after="0"/>
              <w:pStyle w:val="Compact"/>
            </w:pPr>
            <w:r>
              <w:rPr>
                <w:sz w:val="20"/>
                <w:szCs w:val="20"/>
              </w:rPr>
              <w:t xml:space="preserve">5.017</w:t>
            </w:r>
          </w:p>
        </w:tc>
        <w:tc>
          <w:tcPr>
            <w:tcW w:w="0" w:type="auto"/>
          </w:tcPr>
          <w:p>
            <w:pPr>
              <w:spacing w:line="240" w:lineRule="auto" w:before="0" w:after="0"/>
              <w:pStyle w:val="Compact"/>
            </w:pPr>
            <w:r>
              <w:rPr>
                <w:sz w:val="20"/>
                <w:szCs w:val="20"/>
              </w:rPr>
              <w:t xml:space="preserve">0.1461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0.9031</w:t>
            </w:r>
          </w:p>
        </w:tc>
        <w:tc>
          <w:tcPr>
            <w:tcW w:w="0" w:type="auto"/>
          </w:tcPr>
          <w:p>
            <w:pPr>
              <w:spacing w:line="240" w:lineRule="auto" w:before="0" w:after="0"/>
              <w:pStyle w:val="Compact"/>
            </w:pPr>
            <w:r>
              <w:rPr>
                <w:sz w:val="20"/>
                <w:szCs w:val="20"/>
              </w:rPr>
              <w:t xml:space="preserve">MESSENGER telecom phased-array X-band (no parabolic HGA; JHUAPL MESSENGER telecom); Mercury ~1.4 AU [illustrative 104 kbps; hga set 0 = phased array]</w:t>
            </w:r>
          </w:p>
        </w:tc>
      </w:tr>
      <w:tr>
        <w:tc>
          <w:tcPr>
            <w:tcW w:w="0" w:type="auto"/>
          </w:tcPr>
          <w:p>
            <w:pPr>
              <w:spacing w:line="240" w:lineRule="auto" w:before="0" w:after="0"/>
              <w:pStyle w:val="Compact"/>
            </w:pPr>
            <w:r>
              <w:rPr>
                <w:sz w:val="20"/>
                <w:szCs w:val="20"/>
              </w:rPr>
              <w:t xml:space="preserve">Galileo (HGA design)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8.42</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134400</w:t>
            </w:r>
          </w:p>
        </w:tc>
        <w:tc>
          <w:tcPr>
            <w:tcW w:w="0" w:type="auto"/>
          </w:tcPr>
          <w:p>
            <w:pPr>
              <w:spacing w:line="240" w:lineRule="auto" w:before="0" w:after="0"/>
              <w:pStyle w:val="Compact"/>
            </w:pPr>
            <w:r>
              <w:rPr>
                <w:sz w:val="20"/>
                <w:szCs w:val="20"/>
              </w:rPr>
              <w:t xml:space="preserve">5.1284</w:t>
            </w:r>
          </w:p>
        </w:tc>
        <w:tc>
          <w:tcPr>
            <w:tcW w:w="0" w:type="auto"/>
          </w:tcPr>
          <w:p>
            <w:pPr>
              <w:spacing w:line="240" w:lineRule="auto" w:before="0" w:after="0"/>
              <w:pStyle w:val="Compact"/>
            </w:pPr>
            <w:r>
              <w:rPr>
                <w:sz w:val="20"/>
                <w:szCs w:val="20"/>
              </w:rPr>
              <w:t xml:space="preserve">0.716</w:t>
            </w:r>
          </w:p>
        </w:tc>
        <w:tc>
          <w:tcPr>
            <w:tcW w:w="0" w:type="auto"/>
          </w:tcPr>
          <w:p>
            <w:pPr>
              <w:spacing w:line="240" w:lineRule="auto" w:before="0" w:after="0"/>
              <w:pStyle w:val="Compact"/>
            </w:pPr>
            <w:r>
              <w:rPr>
                <w:sz w:val="20"/>
                <w:szCs w:val="20"/>
              </w:rPr>
              <w:t xml:space="preserve">0.6812</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Galileo HGA design rate 134.4 kbps (never achieved due to deploy failure), Galileo project Wikipedia; 4.8 m HGA</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4330000</w:t>
            </w:r>
          </w:p>
        </w:tc>
        <w:tc>
          <w:tcPr>
            <w:tcW w:w="0" w:type="auto"/>
          </w:tcPr>
          <w:p>
            <w:pPr>
              <w:spacing w:line="240" w:lineRule="auto" w:before="0" w:after="0"/>
              <w:pStyle w:val="Compact"/>
            </w:pPr>
            <w:r>
              <w:rPr>
                <w:sz w:val="20"/>
                <w:szCs w:val="20"/>
              </w:rPr>
              <w:t xml:space="preserve">6.6365</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-0.0706</w:t>
            </w:r>
          </w:p>
        </w:tc>
        <w:tc>
          <w:tcPr>
            <w:tcW w:w="0" w:type="auto"/>
          </w:tcPr>
          <w:p>
            <w:pPr>
              <w:spacing w:line="240" w:lineRule="auto" w:before="0" w:after="0"/>
              <w:pStyle w:val="Compact"/>
            </w:pPr>
            <w:r>
              <w:rPr>
                <w:sz w:val="20"/>
                <w:szCs w:val="20"/>
              </w:rPr>
              <w:t xml:space="preserve">1.5798</w:t>
            </w:r>
          </w:p>
        </w:tc>
        <w:tc>
          <w:tcPr>
            <w:tcW w:w="0" w:type="auto"/>
          </w:tcPr>
          <w:p>
            <w:pPr>
              <w:spacing w:line="240" w:lineRule="auto" w:before="0" w:after="0"/>
              <w:pStyle w:val="Compact"/>
            </w:pPr>
            <w:r>
              <w:rPr>
                <w:sz w:val="20"/>
                <w:szCs w:val="20"/>
              </w:rPr>
              <w:t xml:space="preserve">Kepler first mission to use Ka-band as primary downlink, NASA DSN Wikipedia; ~0.5 AU Earth-trailing [illustrative 4.33 Mbps Ka]</w:t>
            </w:r>
          </w:p>
        </w:tc>
      </w:tr>
      <w:tr>
        <w:tc>
          <w:tcPr>
            <w:tcW w:w="0" w:type="auto"/>
          </w:tcPr>
          <w:p>
            <w:pPr>
              <w:spacing w:line="240" w:lineRule="auto" w:before="0" w:after="0"/>
              <w:pStyle w:val="Compact"/>
            </w:pPr>
            <w:r>
              <w:rPr>
                <w:sz w:val="20"/>
                <w:szCs w:val="20"/>
              </w:rPr>
              <w:t xml:space="preserve">Mars Express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8.42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228000</w:t>
            </w:r>
          </w:p>
        </w:tc>
        <w:tc>
          <w:tcPr>
            <w:tcW w:w="0" w:type="auto"/>
          </w:tcPr>
          <w:p>
            <w:pPr>
              <w:spacing w:line="240" w:lineRule="auto" w:before="0" w:after="0"/>
              <w:pStyle w:val="Compact"/>
            </w:pPr>
            <w:r>
              <w:rPr>
                <w:sz w:val="20"/>
                <w:szCs w:val="20"/>
              </w:rPr>
              <w:t xml:space="preserve">5.3579</w:t>
            </w:r>
          </w:p>
        </w:tc>
        <w:tc>
          <w:tcPr>
            <w:tcW w:w="0" w:type="auto"/>
          </w:tcPr>
          <w:p>
            <w:pPr>
              <w:spacing w:line="240" w:lineRule="auto" w:before="0" w:after="0"/>
              <w:pStyle w:val="Compact"/>
            </w:pPr>
            <w:r>
              <w:rPr>
                <w:sz w:val="20"/>
                <w:szCs w:val="20"/>
              </w:rPr>
              <w:t xml:space="preserve">0.3979</w:t>
            </w:r>
          </w:p>
        </w:tc>
        <w:tc>
          <w:tcPr>
            <w:tcW w:w="0" w:type="auto"/>
          </w:tcPr>
          <w:p>
            <w:pPr>
              <w:spacing w:line="240" w:lineRule="auto" w:before="0" w:after="0"/>
              <w:pStyle w:val="Compact"/>
            </w:pPr>
            <w:r>
              <w:rPr>
                <w:sz w:val="20"/>
                <w:szCs w:val="20"/>
              </w:rPr>
              <w:t xml:space="preserve">0.2041</w:t>
            </w:r>
          </w:p>
        </w:tc>
        <w:tc>
          <w:tcPr>
            <w:tcW w:w="0" w:type="auto"/>
          </w:tcPr>
          <w:p>
            <w:pPr>
              <w:spacing w:line="240" w:lineRule="auto" w:before="0" w:after="0"/>
              <w:pStyle w:val="Compact"/>
            </w:pPr>
            <w:r>
              <w:rPr>
                <w:sz w:val="20"/>
                <w:szCs w:val="20"/>
              </w:rPr>
              <w:t xml:space="preserve">1.8129</w:t>
            </w:r>
          </w:p>
        </w:tc>
        <w:tc>
          <w:tcPr>
            <w:tcW w:w="0" w:type="auto"/>
          </w:tcPr>
          <w:p>
            <w:pPr>
              <w:spacing w:line="240" w:lineRule="auto" w:before="0" w:after="0"/>
              <w:pStyle w:val="Compact"/>
            </w:pPr>
            <w:r>
              <w:rPr>
                <w:sz w:val="20"/>
                <w:szCs w:val="20"/>
              </w:rPr>
              <w:t xml:space="preserve">Mars Express telecom (1.6 m HGA, X-band, ESA Mars Express factsheet via 35 m New Norcia); Mars ~2.5 AU [illustrative 228 kbps]</w:t>
            </w:r>
          </w:p>
        </w:tc>
      </w:tr>
      <w:tr>
        <w:tc>
          <w:tcPr>
            <w:tcW w:w="0" w:type="auto"/>
          </w:tcPr>
          <w:p>
            <w:pPr>
              <w:spacing w:line="240" w:lineRule="auto" w:before="0" w:after="0"/>
              <w:pStyle w:val="Compact"/>
            </w:pPr>
            <w:r>
              <w:rPr>
                <w:sz w:val="20"/>
                <w:szCs w:val="20"/>
              </w:rPr>
              <w:t xml:space="preserve">MRO (Ka demo)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6000000</w:t>
            </w:r>
          </w:p>
        </w:tc>
        <w:tc>
          <w:tcPr>
            <w:tcW w:w="0" w:type="auto"/>
          </w:tcPr>
          <w:p>
            <w:pPr>
              <w:spacing w:line="240" w:lineRule="auto" w:before="0" w:after="0"/>
              <w:pStyle w:val="Compact"/>
            </w:pPr>
            <w:r>
              <w:rPr>
                <w:sz w:val="20"/>
                <w:szCs w:val="20"/>
              </w:rPr>
              <w:t xml:space="preserve">6.7782</w:t>
            </w:r>
          </w:p>
        </w:tc>
        <w:tc>
          <w:tcPr>
            <w:tcW w:w="0" w:type="auto"/>
          </w:tcPr>
          <w:p>
            <w:pPr>
              <w:spacing w:line="240" w:lineRule="auto" w:before="0" w:after="0"/>
              <w:pStyle w:val="Compact"/>
            </w:pPr>
            <w:r>
              <w:rPr>
                <w:sz w:val="20"/>
                <w:szCs w:val="20"/>
              </w:rPr>
              <w:t xml:space="preserve">0.3979</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1.5441</w:t>
            </w:r>
          </w:p>
        </w:tc>
        <w:tc>
          <w:tcPr>
            <w:tcW w:w="0" w:type="auto"/>
          </w:tcPr>
          <w:p>
            <w:pPr>
              <w:spacing w:line="240" w:lineRule="auto" w:before="0" w:after="0"/>
              <w:pStyle w:val="Compact"/>
            </w:pPr>
            <w:r>
              <w:rPr>
                <w:sz w:val="20"/>
                <w:szCs w:val="20"/>
              </w:rPr>
              <w:t xml:space="preserve">MRO Ka-band 32 GHz Demonstration, DESCANSO/NTRS 20060050766 (3 m HGA, Ka-band TWTA); Mars ~2.5 AU</w:t>
            </w:r>
          </w:p>
        </w:tc>
      </w:tr>
      <w:tr>
        <w:tc>
          <w:tcPr>
            <w:tcW w:w="0" w:type="auto"/>
          </w:tcPr>
          <w:p>
            <w:pPr>
              <w:spacing w:line="240" w:lineRule="auto" w:before="0" w:after="0"/>
              <w:pStyle w:val="Compact"/>
            </w:pPr>
            <w:r>
              <w:rPr>
                <w:sz w:val="20"/>
                <w:szCs w:val="20"/>
              </w:rPr>
              <w:t xml:space="preserve">Pioneer 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2.292</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1.2041</w:t>
            </w:r>
          </w:p>
        </w:tc>
        <w:tc>
          <w:tcPr>
            <w:tcW w:w="0" w:type="auto"/>
          </w:tcPr>
          <w:p>
            <w:pPr>
              <w:spacing w:line="240" w:lineRule="auto" w:before="0" w:after="0"/>
              <w:pStyle w:val="Compact"/>
            </w:pPr>
            <w:r>
              <w:rPr>
                <w:sz w:val="20"/>
                <w:szCs w:val="20"/>
              </w:rPr>
              <w:t xml:space="preserve">1.4771</w:t>
            </w:r>
          </w:p>
        </w:tc>
        <w:tc>
          <w:tcPr>
            <w:tcW w:w="0" w:type="auto"/>
          </w:tcPr>
          <w:p>
            <w:pPr>
              <w:spacing w:line="240" w:lineRule="auto" w:before="0" w:after="0"/>
              <w:pStyle w:val="Compact"/>
            </w:pPr>
            <w:r>
              <w:rPr>
                <w:sz w:val="20"/>
                <w:szCs w:val="20"/>
              </w:rPr>
              <w:t xml:space="preserve">0.4378</w:t>
            </w:r>
          </w:p>
        </w:tc>
        <w:tc>
          <w:tcPr>
            <w:tcW w:w="0" w:type="auto"/>
          </w:tcPr>
          <w:p>
            <w:pPr>
              <w:spacing w:line="240" w:lineRule="auto" w:before="0" w:after="0"/>
              <w:pStyle w:val="Compact"/>
            </w:pPr>
            <w:r>
              <w:rPr>
                <w:sz w:val="20"/>
                <w:szCs w:val="20"/>
              </w:rPr>
              <w:t xml:space="preserve">0.9031</w:t>
            </w:r>
          </w:p>
        </w:tc>
        <w:tc>
          <w:tcPr>
            <w:tcW w:w="0" w:type="auto"/>
          </w:tcPr>
          <w:p>
            <w:pPr>
              <w:spacing w:line="240" w:lineRule="auto" w:before="0" w:after="0"/>
              <w:pStyle w:val="Compact"/>
            </w:pPr>
            <w:r>
              <w:rPr>
                <w:sz w:val="20"/>
                <w:szCs w:val="20"/>
              </w:rPr>
              <w:t xml:space="preserve">Pioneer 10 telecom (2.74 m HGA, S-band 8 W; Pioneer Anomaly arXiv gr-qc/0104064); ~30 AU late mission [illustrative 16 bps]</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8.42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7900</w:t>
            </w:r>
          </w:p>
        </w:tc>
        <w:tc>
          <w:tcPr>
            <w:tcW w:w="0" w:type="auto"/>
          </w:tcPr>
          <w:p>
            <w:pPr>
              <w:spacing w:line="240" w:lineRule="auto" w:before="0" w:after="0"/>
              <w:pStyle w:val="Compact"/>
            </w:pPr>
            <w:r>
              <w:rPr>
                <w:sz w:val="20"/>
                <w:szCs w:val="20"/>
              </w:rPr>
              <w:t xml:space="preserve">3.8976</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-0.2218</w:t>
            </w:r>
          </w:p>
        </w:tc>
        <w:tc>
          <w:tcPr>
            <w:tcW w:w="0" w:type="auto"/>
          </w:tcPr>
          <w:p>
            <w:pPr>
              <w:spacing w:line="240" w:lineRule="auto" w:before="0" w:after="0"/>
              <w:pStyle w:val="Compact"/>
            </w:pPr>
            <w:r>
              <w:rPr>
                <w:sz w:val="20"/>
                <w:szCs w:val="20"/>
              </w:rPr>
              <w:t xml:space="preserve">1.1761</w:t>
            </w:r>
          </w:p>
        </w:tc>
        <w:tc>
          <w:tcPr>
            <w:tcW w:w="0" w:type="auto"/>
          </w:tcPr>
          <w:p>
            <w:pPr>
              <w:spacing w:line="240" w:lineRule="auto" w:before="0" w:after="0"/>
              <w:pStyle w:val="Compact"/>
            </w:pPr>
            <w:r>
              <w:rPr>
                <w:sz w:val="20"/>
                <w:szCs w:val="20"/>
              </w:rPr>
              <w:t xml:space="preserve">Stardust telecom (0.6 m HGA, X-band, NASA Stardust press kit); comet Wild 2 ~2.7 AU [illustrative 7.9 kbps]</w:t>
            </w:r>
          </w:p>
        </w:tc>
      </w:tr>
      <w:tr>
        <w:tc>
          <w:tcPr>
            <w:tcW w:w="0" w:type="auto"/>
          </w:tcPr>
          <w:p>
            <w:pPr>
              <w:spacing w:line="240" w:lineRule="auto" w:before="0" w:after="0"/>
              <w:pStyle w:val="Compact"/>
            </w:pPr>
            <w:r>
              <w:rPr>
                <w:sz w:val="20"/>
                <w:szCs w:val="20"/>
              </w:rPr>
              <w:t xml:space="preserve">Deep Impact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8.42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200000</w:t>
            </w:r>
          </w:p>
        </w:tc>
        <w:tc>
          <w:tcPr>
            <w:tcW w:w="0" w:type="auto"/>
          </w:tcPr>
          <w:p>
            <w:pPr>
              <w:spacing w:line="240" w:lineRule="auto" w:before="0" w:after="0"/>
              <w:pStyle w:val="Compact"/>
            </w:pPr>
            <w:r>
              <w:rPr>
                <w:sz w:val="20"/>
                <w:szCs w:val="20"/>
              </w:rPr>
              <w:t xml:space="preserve">5.301</w:t>
            </w:r>
          </w:p>
        </w:tc>
        <w:tc>
          <w:tcPr>
            <w:tcW w:w="0" w:type="auto"/>
          </w:tcPr>
          <w:p>
            <w:pPr>
              <w:spacing w:line="240" w:lineRule="auto" w:before="0" w:after="0"/>
              <w:pStyle w:val="Compact"/>
            </w:pPr>
            <w:r>
              <w:rPr>
                <w:sz w:val="20"/>
                <w:szCs w:val="20"/>
              </w:rPr>
              <w:t xml:space="preserve">0.1461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1.4771</w:t>
            </w:r>
          </w:p>
        </w:tc>
        <w:tc>
          <w:tcPr>
            <w:tcW w:w="0" w:type="auto"/>
          </w:tcPr>
          <w:p>
            <w:pPr>
              <w:spacing w:line="240" w:lineRule="auto" w:before="0" w:after="0"/>
              <w:pStyle w:val="Compact"/>
            </w:pPr>
            <w:r>
              <w:rPr>
                <w:sz w:val="20"/>
                <w:szCs w:val="20"/>
              </w:rPr>
              <w:t xml:space="preserve">Deep Impact telecom (1 m HGA, X-band, NASA Deep Impact press kit); Tempel 1 ~1.4 AU [illustrative 200 kbps]</w:t>
            </w:r>
          </w:p>
        </w:tc>
      </w:tr>
      <w:tr>
        <w:tc>
          <w:tcPr>
            <w:tcW w:w="0" w:type="auto"/>
          </w:tcPr>
          <w:p>
            <w:pPr>
              <w:spacing w:line="240" w:lineRule="auto" w:before="0" w:after="0"/>
              <w:pStyle w:val="Compact"/>
            </w:pPr>
            <w:r>
              <w:rPr>
                <w:sz w:val="20"/>
                <w:szCs w:val="20"/>
              </w:rPr>
              <w:t xml:space="preserve">Hayabusa2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8.41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32000</w:t>
            </w:r>
          </w:p>
        </w:tc>
        <w:tc>
          <w:tcPr>
            <w:tcW w:w="0" w:type="auto"/>
          </w:tcPr>
          <w:p>
            <w:pPr>
              <w:spacing w:line="240" w:lineRule="auto" w:before="0" w:after="0"/>
              <w:pStyle w:val="Compact"/>
            </w:pPr>
            <w:r>
              <w:rPr>
                <w:sz w:val="20"/>
                <w:szCs w:val="20"/>
              </w:rPr>
              <w:t xml:space="preserve">4.5051</w:t>
            </w:r>
          </w:p>
        </w:tc>
        <w:tc>
          <w:tcPr>
            <w:tcW w:w="0" w:type="auto"/>
          </w:tcPr>
          <w:p>
            <w:pPr>
              <w:spacing w:line="240" w:lineRule="auto" w:before="0" w:after="0"/>
              <w:pStyle w:val="Compact"/>
            </w:pPr>
            <w:r>
              <w:rPr>
                <w:sz w:val="20"/>
                <w:szCs w:val="20"/>
              </w:rPr>
              <w:t xml:space="preserve">0.2788</w:t>
            </w:r>
          </w:p>
        </w:tc>
        <w:tc>
          <w:tcPr>
            <w:tcW w:w="0" w:type="auto"/>
          </w:tcPr>
          <w:p>
            <w:pPr>
              <w:spacing w:line="240" w:lineRule="auto" w:before="0" w:after="0"/>
              <w:pStyle w:val="Compact"/>
            </w:pPr>
            <w:r>
              <w:rPr>
                <w:sz w:val="20"/>
                <w:szCs w:val="20"/>
              </w:rPr>
              <w:t xml:space="preserve">0.2041</w:t>
            </w:r>
          </w:p>
        </w:tc>
        <w:tc>
          <w:tcPr>
            <w:tcW w:w="0" w:type="auto"/>
          </w:tcPr>
          <w:p>
            <w:pPr>
              <w:spacing w:line="240" w:lineRule="auto" w:before="0" w:after="0"/>
              <w:pStyle w:val="Compact"/>
            </w:pPr>
            <w:r>
              <w:rPr>
                <w:sz w:val="20"/>
                <w:szCs w:val="20"/>
              </w:rPr>
              <w:t xml:space="preserve">1.1761</w:t>
            </w:r>
          </w:p>
        </w:tc>
        <w:tc>
          <w:tcPr>
            <w:tcW w:w="0" w:type="auto"/>
          </w:tcPr>
          <w:p>
            <w:pPr>
              <w:spacing w:line="240" w:lineRule="auto" w:before="0" w:after="0"/>
              <w:pStyle w:val="Compact"/>
            </w:pPr>
            <w:r>
              <w:rPr>
                <w:sz w:val="20"/>
                <w:szCs w:val="20"/>
              </w:rPr>
              <w:t xml:space="preserve">Hayabusa2 telecom (1.6 m HGA, X-band, JAXA Hayabusa2 factsheet, supported by DSN 34 m); Ryugu ~1.9 AU [illustrative 32 kbps]</w:t>
            </w:r>
          </w:p>
        </w:tc>
      </w:tr>
      <w:tr>
        <w:tc>
          <w:tcPr>
            <w:tcW w:w="0" w:type="auto"/>
          </w:tcPr>
          <w:p>
            <w:pPr>
              <w:spacing w:line="240" w:lineRule="auto" w:before="0" w:after="0"/>
              <w:pStyle w:val="Compact"/>
            </w:pPr>
            <w:r>
              <w:rPr>
                <w:sz w:val="20"/>
                <w:szCs w:val="20"/>
              </w:rPr>
              <w:t xml:space="preserve">BepiColombo (MPO)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8.42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40000</w:t>
            </w:r>
          </w:p>
        </w:tc>
        <w:tc>
          <w:tcPr>
            <w:tcW w:w="0" w:type="auto"/>
          </w:tcPr>
          <w:p>
            <w:pPr>
              <w:spacing w:line="240" w:lineRule="auto" w:before="0" w:after="0"/>
              <w:pStyle w:val="Compact"/>
            </w:pPr>
            <w:r>
              <w:rPr>
                <w:sz w:val="20"/>
                <w:szCs w:val="20"/>
              </w:rPr>
              <w:t xml:space="preserve">4.6021</w:t>
            </w:r>
          </w:p>
        </w:tc>
        <w:tc>
          <w:tcPr>
            <w:tcW w:w="0" w:type="auto"/>
          </w:tcPr>
          <w:p>
            <w:pPr>
              <w:spacing w:line="240" w:lineRule="auto" w:before="0" w:after="0"/>
              <w:pStyle w:val="Compact"/>
            </w:pPr>
            <w:r>
              <w:rPr>
                <w:sz w:val="20"/>
                <w:szCs w:val="20"/>
              </w:rPr>
              <w:t xml:space="preserve">0.1461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1.699</w:t>
            </w:r>
          </w:p>
        </w:tc>
        <w:tc>
          <w:tcPr>
            <w:tcW w:w="0" w:type="auto"/>
          </w:tcPr>
          <w:p>
            <w:pPr>
              <w:spacing w:line="240" w:lineRule="auto" w:before="0" w:after="0"/>
              <w:pStyle w:val="Compact"/>
            </w:pPr>
            <w:r>
              <w:rPr>
                <w:sz w:val="20"/>
                <w:szCs w:val="20"/>
              </w:rPr>
              <w:t xml:space="preserve">BepiColombo MPO telecom (1 m HGA, X-band, ESA BepiColombo factsheet via 35 m); Mercury transfer ~1.4 AU [illustrative 40 kbps]</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167000</w:t>
            </w:r>
          </w:p>
        </w:tc>
        <w:tc>
          <w:tcPr>
            <w:tcW w:w="0" w:type="auto"/>
          </w:tcPr>
          <w:p>
            <w:pPr>
              <w:spacing w:line="240" w:lineRule="auto" w:before="0" w:after="0"/>
              <w:pStyle w:val="Compact"/>
            </w:pPr>
            <w:r>
              <w:rPr>
                <w:sz w:val="20"/>
                <w:szCs w:val="20"/>
              </w:rPr>
              <w:t xml:space="preserve">5.2227</w:t>
            </w:r>
          </w:p>
        </w:tc>
        <w:tc>
          <w:tcPr>
            <w:tcW w:w="0" w:type="auto"/>
          </w:tcPr>
          <w:p>
            <w:pPr>
              <w:spacing w:line="240" w:lineRule="auto" w:before="0" w:after="0"/>
              <w:pStyle w:val="Compact"/>
            </w:pPr>
            <w:r>
              <w:rPr>
                <w:sz w:val="20"/>
                <w:szCs w:val="20"/>
              </w:rPr>
              <w:t xml:space="preserve">-0.1549</w:t>
            </w:r>
          </w:p>
        </w:tc>
        <w:tc>
          <w:tcPr>
            <w:tcW w:w="0" w:type="auto"/>
          </w:tcPr>
          <w:p>
            <w:pPr>
              <w:spacing w:line="240" w:lineRule="auto" w:before="0" w:after="0"/>
              <w:pStyle w:val="Compact"/>
            </w:pPr>
            <w:r>
              <w:rPr>
                <w:sz w:val="20"/>
                <w:szCs w:val="20"/>
              </w:rPr>
              <w:t xml:space="preserve">-0.2218</w:t>
            </w:r>
          </w:p>
        </w:tc>
        <w:tc>
          <w:tcPr>
            <w:tcW w:w="0" w:type="auto"/>
          </w:tcPr>
          <w:p>
            <w:pPr>
              <w:spacing w:line="240" w:lineRule="auto" w:before="0" w:after="0"/>
              <w:pStyle w:val="Compact"/>
            </w:pPr>
            <w:r>
              <w:rPr>
                <w:sz w:val="20"/>
                <w:szCs w:val="20"/>
              </w:rPr>
              <w:t xml:space="preserve">1.0792</w:t>
            </w:r>
          </w:p>
        </w:tc>
        <w:tc>
          <w:tcPr>
            <w:tcW w:w="0" w:type="auto"/>
          </w:tcPr>
          <w:p>
            <w:pPr>
              <w:spacing w:line="240" w:lineRule="auto" w:before="0" w:after="0"/>
              <w:pStyle w:val="Compact"/>
            </w:pPr>
            <w:r>
              <w:rPr>
                <w:sz w:val="20"/>
                <w:szCs w:val="20"/>
              </w:rPr>
              <w:t xml:space="preserve">Parker Solar Probe telecom (0.6 m HGA, X-band, JHUAPL PSP telecom); ~0.7 AU [illustrative 167 kbps Ka/X downlink]</w:t>
            </w:r>
          </w:p>
        </w:tc>
      </w:tr>
    </w:tbl>
    <w:bookmarkEnd w:id="193"/>
    <w:bookmarkStart w:id="19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log10_rate</w:t>
            </w:r>
          </w:p>
        </w:tc>
        <w:tc>
          <w:tcPr>
            <w:tcW w:w="0" w:type="auto"/>
          </w:tcPr>
          <w:p>
            <w:pPr>
              <w:spacing w:line="240" w:lineRule="auto" w:before="0" w:after="0"/>
              <w:pStyle w:val="Compact"/>
            </w:pPr>
            <w:r>
              <w:rPr>
                <w:sz w:val="20"/>
                <w:szCs w:val="20"/>
              </w:rPr>
              <w:t xml:space="preserve">Base-10 logarithm of the supported downlink data rate in bits per second (dependent variable)</w:t>
            </w:r>
          </w:p>
        </w:tc>
        <w:tc>
          <w:tcPr>
            <w:tcW w:w="0" w:type="auto"/>
          </w:tcPr>
          <w:p>
            <w:pPr>
              <w:spacing w:line="240" w:lineRule="auto" w:before="0" w:after="0"/>
              <w:pStyle w:val="Compact"/>
            </w:pPr>
            <w:r>
              <w:rPr>
                <w:sz w:val="20"/>
                <w:szCs w:val="20"/>
              </w:rPr>
              <w:t xml:space="preserve">Mission telecom design summaries (DESCANSO), press kits, and agency factsheets cited per row in data.csv</w:t>
            </w:r>
          </w:p>
        </w:tc>
      </w:tr>
      <w:tr>
        <w:tc>
          <w:tcPr>
            <w:tcW w:w="0" w:type="auto"/>
          </w:tcPr>
          <w:p>
            <w:pPr>
              <w:spacing w:line="240" w:lineRule="auto" w:before="0" w:after="0"/>
              <w:pStyle w:val="Compact"/>
            </w:pPr>
            <w:r>
              <w:rPr>
                <w:sz w:val="20"/>
                <w:szCs w:val="20"/>
              </w:rPr>
              <w:t xml:space="preserve">log10_range_au</w:t>
            </w:r>
          </w:p>
        </w:tc>
        <w:tc>
          <w:tcPr>
            <w:tcW w:w="0" w:type="auto"/>
          </w:tcPr>
          <w:p>
            <w:pPr>
              <w:spacing w:line="240" w:lineRule="auto" w:before="0" w:after="0"/>
              <w:pStyle w:val="Compact"/>
            </w:pPr>
            <w:r>
              <w:rPr>
                <w:sz w:val="20"/>
                <w:szCs w:val="20"/>
              </w:rPr>
              <w:t xml:space="preserve">Base-10 logarithm of the representative Earth-spacecraft range in astronomical units; proxies the inverse-square space-loss term of the link equation</w:t>
            </w:r>
          </w:p>
        </w:tc>
        <w:tc>
          <w:tcPr>
            <w:tcW w:w="0" w:type="auto"/>
          </w:tcPr>
          <w:p>
            <w:pPr>
              <w:spacing w:line="240" w:lineRule="auto" w:before="0" w:after="0"/>
              <w:pStyle w:val="Compact"/>
            </w:pPr>
            <w:r>
              <w:rPr>
                <w:sz w:val="20"/>
                <w:szCs w:val="20"/>
              </w:rPr>
              <w:t xml:space="preserve">Mission ephemeris / published operating distances cited per row</w:t>
            </w:r>
          </w:p>
        </w:tc>
      </w:tr>
      <w:tr>
        <w:tc>
          <w:tcPr>
            <w:tcW w:w="0" w:type="auto"/>
          </w:tcPr>
          <w:p>
            <w:pPr>
              <w:spacing w:line="240" w:lineRule="auto" w:before="0" w:after="0"/>
              <w:pStyle w:val="Compact"/>
            </w:pPr>
            <w:r>
              <w:rPr>
                <w:sz w:val="20"/>
                <w:szCs w:val="20"/>
              </w:rPr>
              <w:t xml:space="preserve">log10_hga</w:t>
            </w:r>
          </w:p>
        </w:tc>
        <w:tc>
          <w:tcPr>
            <w:tcW w:w="0" w:type="auto"/>
          </w:tcPr>
          <w:p>
            <w:pPr>
              <w:spacing w:line="240" w:lineRule="auto" w:before="0" w:after="0"/>
              <w:pStyle w:val="Compact"/>
            </w:pPr>
            <w:r>
              <w:rPr>
                <w:sz w:val="20"/>
                <w:szCs w:val="20"/>
              </w:rPr>
              <w:t xml:space="preserve">Base-10 logarithm of the spacecraft high-gain-antenna diameter in metres; antenna gain scales with aperture area, so this enters the link equation as a power-law gain term</w:t>
            </w:r>
          </w:p>
        </w:tc>
        <w:tc>
          <w:tcPr>
            <w:tcW w:w="0" w:type="auto"/>
          </w:tcPr>
          <w:p>
            <w:pPr>
              <w:spacing w:line="240" w:lineRule="auto" w:before="0" w:after="0"/>
              <w:pStyle w:val="Compact"/>
            </w:pPr>
            <w:r>
              <w:rPr>
                <w:sz w:val="20"/>
                <w:szCs w:val="20"/>
              </w:rPr>
              <w:t xml:space="preserve">Mission telecom design summaries and spacecraft factsheets cited per row</w:t>
            </w:r>
          </w:p>
        </w:tc>
      </w:tr>
      <w:tr>
        <w:tc>
          <w:tcPr>
            <w:tcW w:w="0" w:type="auto"/>
          </w:tcPr>
          <w:p>
            <w:pPr>
              <w:spacing w:line="240" w:lineRule="auto" w:before="0" w:after="0"/>
              <w:pStyle w:val="Compact"/>
            </w:pPr>
            <w:r>
              <w:rPr>
                <w:sz w:val="20"/>
                <w:szCs w:val="20"/>
              </w:rPr>
              <w:t xml:space="preserve">log10_txpwr</w:t>
            </w:r>
          </w:p>
        </w:tc>
        <w:tc>
          <w:tcPr>
            <w:tcW w:w="0" w:type="auto"/>
          </w:tcPr>
          <w:p>
            <w:pPr>
              <w:spacing w:line="240" w:lineRule="auto" w:before="0" w:after="0"/>
              <w:pStyle w:val="Compact"/>
            </w:pPr>
            <w:r>
              <w:rPr>
                <w:sz w:val="20"/>
                <w:szCs w:val="20"/>
              </w:rPr>
              <w:t xml:space="preserve">Base-10 logarithm of the spacecraft downlink transmitter RF output power in watts (TWTA / SSPA)</w:t>
            </w:r>
          </w:p>
        </w:tc>
        <w:tc>
          <w:tcPr>
            <w:tcW w:w="0" w:type="auto"/>
          </w:tcPr>
          <w:p>
            <w:pPr>
              <w:spacing w:line="240" w:lineRule="auto" w:before="0" w:after="0"/>
              <w:pStyle w:val="Compact"/>
            </w:pPr>
            <w:r>
              <w:rPr>
                <w:sz w:val="20"/>
                <w:szCs w:val="20"/>
              </w:rPr>
              <w:t xml:space="preserve">Mission telecom design summaries cited per row</w:t>
            </w:r>
          </w:p>
        </w:tc>
      </w:tr>
      <w:tr>
        <w:tc>
          <w:tcPr>
            <w:tcW w:w="0" w:type="auto"/>
          </w:tcPr>
          <w:p>
            <w:pPr>
              <w:spacing w:line="240" w:lineRule="auto" w:before="0" w:after="0"/>
              <w:pStyle w:val="Compact"/>
            </w:pPr>
            <w:r>
              <w:rPr>
                <w:sz w:val="20"/>
                <w:szCs w:val="20"/>
              </w:rPr>
              <w:t xml:space="preserve">band_kaband</w:t>
            </w:r>
          </w:p>
        </w:tc>
        <w:tc>
          <w:tcPr>
            <w:tcW w:w="0" w:type="auto"/>
          </w:tcPr>
          <w:p>
            <w:pPr>
              <w:spacing w:line="240" w:lineRule="auto" w:before="0" w:after="0"/>
              <w:pStyle w:val="Compact"/>
            </w:pPr>
            <w:r>
              <w:rPr>
                <w:sz w:val="20"/>
                <w:szCs w:val="20"/>
              </w:rPr>
              <w:t xml:space="preserve">Indicator equal to 1 when the downlink operates in Ka-band (about 32 GHz) and 0 for S- or X-band; captures the fixed frequency-dependent gain and bandwidth advantage</w:t>
            </w:r>
          </w:p>
        </w:tc>
        <w:tc>
          <w:tcPr>
            <w:tcW w:w="0" w:type="auto"/>
          </w:tcPr>
          <w:p>
            <w:pPr>
              <w:spacing w:line="240" w:lineRule="auto" w:before="0" w:after="0"/>
              <w:pStyle w:val="Compact"/>
            </w:pPr>
            <w:r>
              <w:rPr>
                <w:sz w:val="20"/>
                <w:szCs w:val="20"/>
              </w:rPr>
              <w:t xml:space="preserve">Mission telecom design summaries cited per row</w:t>
            </w:r>
          </w:p>
        </w:tc>
      </w:tr>
      <w:tr>
        <w:tc>
          <w:tcPr>
            <w:tcW w:w="0" w:type="auto"/>
          </w:tcPr>
          <w:p>
            <w:pPr>
              <w:spacing w:line="240" w:lineRule="auto" w:before="0" w:after="0"/>
              <w:pStyle w:val="Compact"/>
            </w:pPr>
            <w:r>
              <w:rPr>
                <w:sz w:val="20"/>
                <w:szCs w:val="20"/>
              </w:rPr>
              <w:t xml:space="preserve">dsn_aperture_m</w:t>
            </w:r>
          </w:p>
        </w:tc>
        <w:tc>
          <w:tcPr>
            <w:tcW w:w="0" w:type="auto"/>
          </w:tcPr>
          <w:p>
            <w:pPr>
              <w:spacing w:line="240" w:lineRule="auto" w:before="0" w:after="0"/>
              <w:pStyle w:val="Compact"/>
            </w:pPr>
            <w:r>
              <w:rPr>
                <w:sz w:val="20"/>
                <w:szCs w:val="20"/>
              </w:rPr>
              <w:t xml:space="preserve">Diameter in metres of the Deep Space Network (or partner agency) ground receiving aperture used for the link (34, 35, 64, or 70 m)</w:t>
            </w:r>
          </w:p>
        </w:tc>
        <w:tc>
          <w:tcPr>
            <w:tcW w:w="0" w:type="auto"/>
          </w:tcPr>
          <w:p>
            <w:pPr>
              <w:spacing w:line="240" w:lineRule="auto" w:before="0" w:after="0"/>
              <w:pStyle w:val="Compact"/>
            </w:pPr>
            <w:r>
              <w:rPr>
                <w:sz w:val="20"/>
                <w:szCs w:val="20"/>
              </w:rPr>
              <w:t xml:space="preserve">DSN Telecommunications Link Design Handbook 810-005 and mission operations records cited per row</w:t>
            </w:r>
          </w:p>
        </w:tc>
      </w:tr>
    </w:tbl>
    <w:bookmarkEnd w:id="194"/>
    <w:bookmarkEnd w:id="195"/>
    <w:bookmarkStart w:id="203" w:name="Xc8efb98fbb577d42355cba7c3e2c52499247a3e"/>
    <w:p>
      <w:pPr>
        <w:pStyle w:val="Heading2"/>
        <w:spacing w:line="480" w:lineRule="auto"/>
      </w:pPr>
      <w:r>
        <w:t xml:space="preserve">A.2 Link-Budget Margin and Downlink Performance: An Econometric Regression of Achieved Deep-Space Data Rate on Transmitter Power, Antenna Aperture, Frequency Band, and Range</w:t>
      </w:r>
    </w:p>
    <w:p>
      <w:pPr>
        <w:pStyle w:val="FirstParagraph"/>
        <w:spacing w:line="480" w:lineRule="auto"/>
      </w:pPr>
      <m:oMathPara>
        <m:oMathParaPr>
          <m:jc m:val="center"/>
        </m:oMathParaPr>
        <m:oMath>
          <m:sSub>
            <m:e>
              <m:r>
                <m:rPr>
                  <m:sty m:val="p"/>
                </m:rPr>
                <m:t>log</m:t>
              </m:r>
            </m:e>
            <m:sub>
              <m:r>
                <m:t>10</m:t>
              </m:r>
            </m:sub>
          </m:sSub>
          <m:r>
            <m:rPr>
              <m:sty m:val="p"/>
            </m:rPr>
            <m:t>(</m:t>
          </m:r>
          <m:sSub>
            <m:e>
              <m:r>
                <m:t>R</m:t>
              </m:r>
            </m:e>
            <m:sub>
              <m:r>
                <m:t>i</m:t>
              </m:r>
            </m:sub>
          </m:sSub>
          <m:r>
            <m:rPr>
              <m:sty m:val="p"/>
            </m:rPr>
            <m:t>)</m:t>
          </m:r>
          <m:r>
            <m:rPr>
              <m:sty m:val="p"/>
            </m:rPr>
            <m:t>=</m:t>
          </m:r>
          <m:sSub>
            <m:e>
              <m:r>
                <m:t>β</m:t>
              </m:r>
            </m:e>
            <m:sub>
              <m:r>
                <m:t>0</m:t>
              </m:r>
            </m:sub>
          </m:sSub>
          <m:r>
            <m:rPr>
              <m:sty m:val="p"/>
            </m:rPr>
            <m:t>+</m:t>
          </m:r>
          <m:sSub>
            <m:e>
              <m:r>
                <m:t>β</m:t>
              </m:r>
            </m:e>
            <m:sub>
              <m:r>
                <m:t>1</m:t>
              </m:r>
            </m:sub>
          </m:sSub>
          <m:sSub>
            <m:e>
              <m:r>
                <m:t>P</m:t>
              </m:r>
            </m:e>
            <m:sub>
              <m:r>
                <m:t>i</m:t>
              </m:r>
            </m:sub>
          </m:sSub>
          <m:r>
            <m:rPr>
              <m:sty m:val="p"/>
            </m:rPr>
            <m:t>+</m:t>
          </m:r>
          <m:sSub>
            <m:e>
              <m:r>
                <m:t>β</m:t>
              </m:r>
            </m:e>
            <m:sub>
              <m:r>
                <m:t>2</m:t>
              </m:r>
            </m:sub>
          </m:sSub>
          <m:sSub>
            <m:e>
              <m:r>
                <m:t>D</m:t>
              </m:r>
            </m:e>
            <m:sub>
              <m:r>
                <m:t>i</m:t>
              </m:r>
            </m:sub>
          </m:sSub>
          <m:r>
            <m:rPr>
              <m:sty m:val="p"/>
            </m:rPr>
            <m:t>+</m:t>
          </m:r>
          <m:sSub>
            <m:e>
              <m:r>
                <m:t>β</m:t>
              </m:r>
            </m:e>
            <m:sub>
              <m:r>
                <m:t>3</m:t>
              </m:r>
            </m:sub>
          </m:sSub>
          <m:sSub>
            <m:e>
              <m:r>
                <m:t>K</m:t>
              </m:r>
            </m:e>
            <m:sub>
              <m:r>
                <m:t>i</m:t>
              </m:r>
            </m:sub>
          </m:sSub>
          <m:r>
            <m:rPr>
              <m:sty m:val="p"/>
            </m:rPr>
            <m:t>+</m:t>
          </m:r>
          <m:sSub>
            <m:e>
              <m:r>
                <m:t>β</m:t>
              </m:r>
            </m:e>
            <m:sub>
              <m:r>
                <m:t>4</m:t>
              </m:r>
            </m:sub>
          </m:sSub>
          <m:sSub>
            <m:e>
              <m:r>
                <m:rPr>
                  <m:sty m:val="p"/>
                </m:rPr>
                <m:t>log</m:t>
              </m:r>
            </m:e>
            <m:sub>
              <m:r>
                <m:t>10</m:t>
              </m:r>
            </m:sub>
          </m:sSub>
          <m:r>
            <m:rPr>
              <m:sty m:val="p"/>
            </m:rPr>
            <m:t>(</m:t>
          </m:r>
          <m:sSub>
            <m:e>
              <m:r>
                <m:t>ρ</m:t>
              </m:r>
            </m:e>
            <m:sub>
              <m:r>
                <m:t>i</m:t>
              </m:r>
            </m:sub>
          </m:sSub>
          <m:r>
            <m:rPr>
              <m:sty m:val="p"/>
            </m:rPr>
            <m:t>)</m:t>
          </m:r>
          <m:r>
            <m:rPr>
              <m:sty m:val="p"/>
            </m:rPr>
            <m:t>+</m:t>
          </m:r>
          <m:sSub>
            <m:e>
              <m:r>
                <m:t>ε</m:t>
              </m:r>
            </m:e>
            <m:sub>
              <m:r>
                <m:t>i</m:t>
              </m:r>
            </m:sub>
          </m:sSub>
        </m:oMath>
      </m:oMathPara>
    </w:p>
    <w:bookmarkStart w:id="19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2.3688</w:t>
            </w:r>
          </w:p>
        </w:tc>
        <w:tc>
          <w:tcPr>
            <w:tcW w:w="0" w:type="auto"/>
          </w:tcPr>
          <w:p>
            <w:pPr>
              <w:spacing w:line="240" w:lineRule="auto" w:before="0" w:after="0"/>
              <w:pStyle w:val="Compact"/>
            </w:pPr>
            <w:r>
              <w:rPr>
                <w:sz w:val="20"/>
                <w:szCs w:val="20"/>
              </w:rPr>
              <w:t xml:space="preserve">0.6776</w:t>
            </w:r>
          </w:p>
        </w:tc>
        <w:tc>
          <w:tcPr>
            <w:tcW w:w="0" w:type="auto"/>
          </w:tcPr>
          <w:p>
            <w:pPr>
              <w:spacing w:line="240" w:lineRule="auto" w:before="0" w:after="0"/>
              <w:pStyle w:val="Compact"/>
            </w:pPr>
            <w:r>
              <w:rPr>
                <w:sz w:val="20"/>
                <w:szCs w:val="20"/>
              </w:rPr>
              <w:t xml:space="preserve">3.4957</w:t>
            </w:r>
          </w:p>
        </w:tc>
        <w:tc>
          <w:tcPr>
            <w:tcW w:w="0" w:type="auto"/>
          </w:tcPr>
          <w:p>
            <w:pPr>
              <w:spacing w:line="240" w:lineRule="auto" w:before="0" w:after="0"/>
              <w:pStyle w:val="Compact"/>
            </w:pPr>
            <w:r>
              <w:rPr>
                <w:sz w:val="20"/>
                <w:szCs w:val="20"/>
              </w:rPr>
              <w:t xml:space="preserve">0.0004729</w:t>
            </w:r>
          </w:p>
        </w:tc>
        <w:tc>
          <w:tcPr>
            <w:tcW w:w="0" w:type="auto"/>
          </w:tcPr>
          <w:p>
            <w:pPr>
              <w:spacing w:line="240" w:lineRule="auto" w:before="0" w:after="0"/>
              <w:pStyle w:val="Compact"/>
            </w:pPr>
            <w:r>
              <w:rPr>
                <w:sz w:val="20"/>
                <w:szCs w:val="20"/>
              </w:rPr>
              <w:t xml:space="preserve">[1.0406, 3.6969]</w:t>
            </w:r>
          </w:p>
        </w:tc>
      </w:tr>
      <w:tr>
        <w:tc>
          <w:tcPr>
            <w:tcW w:w="0" w:type="auto"/>
          </w:tcPr>
          <w:p>
            <w:pPr>
              <w:spacing w:line="240" w:lineRule="auto" w:before="0" w:after="0"/>
              <w:pStyle w:val="Compact"/>
            </w:pPr>
            <w:r>
              <w:rPr>
                <w:sz w:val="20"/>
                <w:szCs w:val="20"/>
              </w:rPr>
              <w:t xml:space="preserve">tx_power_w</w:t>
            </w:r>
          </w:p>
        </w:tc>
        <w:tc>
          <w:tcPr>
            <w:tcW w:w="0" w:type="auto"/>
          </w:tcPr>
          <w:p>
            <w:pPr>
              <w:spacing w:line="240" w:lineRule="auto" w:before="0" w:after="0"/>
              <w:pStyle w:val="Compact"/>
            </w:pPr>
            <w:r>
              <w:rPr>
                <w:sz w:val="20"/>
                <w:szCs w:val="20"/>
              </w:rPr>
              <w:t xml:space="preserve">0.0121</w:t>
            </w:r>
          </w:p>
        </w:tc>
        <w:tc>
          <w:tcPr>
            <w:tcW w:w="0" w:type="auto"/>
          </w:tcPr>
          <w:p>
            <w:pPr>
              <w:spacing w:line="240" w:lineRule="auto" w:before="0" w:after="0"/>
              <w:pStyle w:val="Compact"/>
            </w:pPr>
            <w:r>
              <w:rPr>
                <w:sz w:val="20"/>
                <w:szCs w:val="20"/>
              </w:rPr>
              <w:t xml:space="preserve">0.0056</w:t>
            </w:r>
          </w:p>
        </w:tc>
        <w:tc>
          <w:tcPr>
            <w:tcW w:w="0" w:type="auto"/>
          </w:tcPr>
          <w:p>
            <w:pPr>
              <w:spacing w:line="240" w:lineRule="auto" w:before="0" w:after="0"/>
              <w:pStyle w:val="Compact"/>
            </w:pPr>
            <w:r>
              <w:rPr>
                <w:sz w:val="20"/>
                <w:szCs w:val="20"/>
              </w:rPr>
              <w:t xml:space="preserve">2.1535</w:t>
            </w:r>
          </w:p>
        </w:tc>
        <w:tc>
          <w:tcPr>
            <w:tcW w:w="0" w:type="auto"/>
          </w:tcPr>
          <w:p>
            <w:pPr>
              <w:spacing w:line="240" w:lineRule="auto" w:before="0" w:after="0"/>
              <w:pStyle w:val="Compact"/>
            </w:pPr>
            <w:r>
              <w:rPr>
                <w:sz w:val="20"/>
                <w:szCs w:val="20"/>
              </w:rPr>
              <w:t xml:space="preserve">0.0313</w:t>
            </w:r>
          </w:p>
        </w:tc>
        <w:tc>
          <w:tcPr>
            <w:tcW w:w="0" w:type="auto"/>
          </w:tcPr>
          <w:p>
            <w:pPr>
              <w:spacing w:line="240" w:lineRule="auto" w:before="0" w:after="0"/>
              <w:pStyle w:val="Compact"/>
            </w:pPr>
            <w:r>
              <w:rPr>
                <w:sz w:val="20"/>
                <w:szCs w:val="20"/>
              </w:rPr>
              <w:t xml:space="preserve">[0.0011, 0.0232]</w:t>
            </w:r>
          </w:p>
        </w:tc>
      </w:tr>
      <w:tr>
        <w:tc>
          <w:tcPr>
            <w:tcW w:w="0" w:type="auto"/>
          </w:tcPr>
          <w:p>
            <w:pPr>
              <w:spacing w:line="240" w:lineRule="auto" w:before="0" w:after="0"/>
              <w:pStyle w:val="Compact"/>
            </w:pPr>
            <w:r>
              <w:rPr>
                <w:sz w:val="20"/>
                <w:szCs w:val="20"/>
              </w:rPr>
              <w:t xml:space="preserve">hga_diam_m</w:t>
            </w:r>
          </w:p>
        </w:tc>
        <w:tc>
          <w:tcPr>
            <w:tcW w:w="0" w:type="auto"/>
          </w:tcPr>
          <w:p>
            <w:pPr>
              <w:spacing w:line="240" w:lineRule="auto" w:before="0" w:after="0"/>
              <w:pStyle w:val="Compact"/>
            </w:pPr>
            <w:r>
              <w:rPr>
                <w:sz w:val="20"/>
                <w:szCs w:val="20"/>
              </w:rPr>
              <w:t xml:space="preserve">0.8586</w:t>
            </w:r>
          </w:p>
        </w:tc>
        <w:tc>
          <w:tcPr>
            <w:tcW w:w="0" w:type="auto"/>
          </w:tcPr>
          <w:p>
            <w:pPr>
              <w:spacing w:line="240" w:lineRule="auto" w:before="0" w:after="0"/>
              <w:pStyle w:val="Compact"/>
            </w:pPr>
            <w:r>
              <w:rPr>
                <w:sz w:val="20"/>
                <w:szCs w:val="20"/>
              </w:rPr>
              <w:t xml:space="preserve">0.1814</w:t>
            </w:r>
          </w:p>
        </w:tc>
        <w:tc>
          <w:tcPr>
            <w:tcW w:w="0" w:type="auto"/>
          </w:tcPr>
          <w:p>
            <w:pPr>
              <w:spacing w:line="240" w:lineRule="auto" w:before="0" w:after="0"/>
              <w:pStyle w:val="Compact"/>
            </w:pPr>
            <w:r>
              <w:rPr>
                <w:sz w:val="20"/>
                <w:szCs w:val="20"/>
              </w:rPr>
              <w:t xml:space="preserve">4.7319</w:t>
            </w:r>
          </w:p>
        </w:tc>
        <w:tc>
          <w:tcPr>
            <w:tcW w:w="0" w:type="auto"/>
          </w:tcPr>
          <w:p>
            <w:pPr>
              <w:spacing w:line="240" w:lineRule="auto" w:before="0" w:after="0"/>
              <w:pStyle w:val="Compact"/>
            </w:pPr>
            <w:r>
              <w:rPr>
                <w:sz w:val="20"/>
                <w:szCs w:val="20"/>
              </w:rPr>
              <w:t xml:space="preserve">2.224e-06</w:t>
            </w:r>
          </w:p>
        </w:tc>
        <w:tc>
          <w:tcPr>
            <w:tcW w:w="0" w:type="auto"/>
          </w:tcPr>
          <w:p>
            <w:pPr>
              <w:spacing w:line="240" w:lineRule="auto" w:before="0" w:after="0"/>
              <w:pStyle w:val="Compact"/>
            </w:pPr>
            <w:r>
              <w:rPr>
                <w:sz w:val="20"/>
                <w:szCs w:val="20"/>
              </w:rPr>
              <w:t xml:space="preserve">[0.5029, 1.2142]</w:t>
            </w:r>
          </w:p>
        </w:tc>
      </w:tr>
      <w:tr>
        <w:tc>
          <w:tcPr>
            <w:tcW w:w="0" w:type="auto"/>
          </w:tcPr>
          <w:p>
            <w:pPr>
              <w:spacing w:line="240" w:lineRule="auto" w:before="0" w:after="0"/>
              <w:pStyle w:val="Compact"/>
            </w:pPr>
            <w:r>
              <w:rPr>
                <w:sz w:val="20"/>
                <w:szCs w:val="20"/>
              </w:rPr>
              <w:t xml:space="preserve">ka_band</w:t>
            </w:r>
          </w:p>
        </w:tc>
        <w:tc>
          <w:tcPr>
            <w:tcW w:w="0" w:type="auto"/>
          </w:tcPr>
          <w:p>
            <w:pPr>
              <w:spacing w:line="240" w:lineRule="auto" w:before="0" w:after="0"/>
              <w:pStyle w:val="Compact"/>
            </w:pPr>
            <w:r>
              <w:rPr>
                <w:sz w:val="20"/>
                <w:szCs w:val="20"/>
              </w:rPr>
              <w:t xml:space="preserve">0.8423</w:t>
            </w:r>
          </w:p>
        </w:tc>
        <w:tc>
          <w:tcPr>
            <w:tcW w:w="0" w:type="auto"/>
          </w:tcPr>
          <w:p>
            <w:pPr>
              <w:spacing w:line="240" w:lineRule="auto" w:before="0" w:after="0"/>
              <w:pStyle w:val="Compact"/>
            </w:pPr>
            <w:r>
              <w:rPr>
                <w:sz w:val="20"/>
                <w:szCs w:val="20"/>
              </w:rPr>
              <w:t xml:space="preserve">0.5026</w:t>
            </w:r>
          </w:p>
        </w:tc>
        <w:tc>
          <w:tcPr>
            <w:tcW w:w="0" w:type="auto"/>
          </w:tcPr>
          <w:p>
            <w:pPr>
              <w:spacing w:line="240" w:lineRule="auto" w:before="0" w:after="0"/>
              <w:pStyle w:val="Compact"/>
            </w:pPr>
            <w:r>
              <w:rPr>
                <w:sz w:val="20"/>
                <w:szCs w:val="20"/>
              </w:rPr>
              <w:t xml:space="preserve">1.6761</w:t>
            </w:r>
          </w:p>
        </w:tc>
        <w:tc>
          <w:tcPr>
            <w:tcW w:w="0" w:type="auto"/>
          </w:tcPr>
          <w:p>
            <w:pPr>
              <w:spacing w:line="240" w:lineRule="auto" w:before="0" w:after="0"/>
              <w:pStyle w:val="Compact"/>
            </w:pPr>
            <w:r>
              <w:rPr>
                <w:sz w:val="20"/>
                <w:szCs w:val="20"/>
              </w:rPr>
              <w:t xml:space="preserve">0.0937</w:t>
            </w:r>
          </w:p>
        </w:tc>
        <w:tc>
          <w:tcPr>
            <w:tcW w:w="0" w:type="auto"/>
          </w:tcPr>
          <w:p>
            <w:pPr>
              <w:spacing w:line="240" w:lineRule="auto" w:before="0" w:after="0"/>
              <w:pStyle w:val="Compact"/>
            </w:pPr>
            <w:r>
              <w:rPr>
                <w:sz w:val="20"/>
                <w:szCs w:val="20"/>
              </w:rPr>
              <w:t xml:space="preserve">[-0.1427, 1.8273]</w:t>
            </w:r>
          </w:p>
        </w:tc>
      </w:tr>
      <w:tr>
        <w:tc>
          <w:tcPr>
            <w:tcW w:w="0" w:type="auto"/>
          </w:tcPr>
          <w:p>
            <w:pPr>
              <w:spacing w:line="240" w:lineRule="auto" w:before="0" w:after="0"/>
              <w:pStyle w:val="Compact"/>
            </w:pPr>
            <w:r>
              <w:rPr>
                <w:sz w:val="20"/>
                <w:szCs w:val="20"/>
              </w:rPr>
              <w:t xml:space="preserve">log10_range</w:t>
            </w:r>
          </w:p>
        </w:tc>
        <w:tc>
          <w:tcPr>
            <w:tcW w:w="0" w:type="auto"/>
          </w:tcPr>
          <w:p>
            <w:pPr>
              <w:spacing w:line="240" w:lineRule="auto" w:before="0" w:after="0"/>
              <w:pStyle w:val="Compact"/>
            </w:pPr>
            <w:r>
              <w:rPr>
                <w:sz w:val="20"/>
                <w:szCs w:val="20"/>
              </w:rPr>
              <w:t xml:space="preserve">-1.1923</w:t>
            </w:r>
          </w:p>
        </w:tc>
        <w:tc>
          <w:tcPr>
            <w:tcW w:w="0" w:type="auto"/>
          </w:tcPr>
          <w:p>
            <w:pPr>
              <w:spacing w:line="240" w:lineRule="auto" w:before="0" w:after="0"/>
              <w:pStyle w:val="Compact"/>
            </w:pPr>
            <w:r>
              <w:rPr>
                <w:sz w:val="20"/>
                <w:szCs w:val="20"/>
              </w:rPr>
              <w:t xml:space="preserve">0.3832</w:t>
            </w:r>
          </w:p>
        </w:tc>
        <w:tc>
          <w:tcPr>
            <w:tcW w:w="0" w:type="auto"/>
          </w:tcPr>
          <w:p>
            <w:pPr>
              <w:spacing w:line="240" w:lineRule="auto" w:before="0" w:after="0"/>
              <w:pStyle w:val="Compact"/>
            </w:pPr>
            <w:r>
              <w:rPr>
                <w:sz w:val="20"/>
                <w:szCs w:val="20"/>
              </w:rPr>
              <w:t xml:space="preserve">-3.1116</w:t>
            </w:r>
          </w:p>
        </w:tc>
        <w:tc>
          <w:tcPr>
            <w:tcW w:w="0" w:type="auto"/>
          </w:tcPr>
          <w:p>
            <w:pPr>
              <w:spacing w:line="240" w:lineRule="auto" w:before="0" w:after="0"/>
              <w:pStyle w:val="Compact"/>
            </w:pPr>
            <w:r>
              <w:rPr>
                <w:sz w:val="20"/>
                <w:szCs w:val="20"/>
              </w:rPr>
              <w:t xml:space="preserve">0.0019</w:t>
            </w:r>
          </w:p>
        </w:tc>
        <w:tc>
          <w:tcPr>
            <w:tcW w:w="0" w:type="auto"/>
          </w:tcPr>
          <w:p>
            <w:pPr>
              <w:spacing w:line="240" w:lineRule="auto" w:before="0" w:after="0"/>
              <w:pStyle w:val="Compact"/>
            </w:pPr>
            <w:r>
              <w:rPr>
                <w:sz w:val="20"/>
                <w:szCs w:val="20"/>
              </w:rPr>
              <w:t xml:space="preserve">[-1.9433, -0.4413]</w:t>
            </w:r>
          </w:p>
        </w:tc>
      </w:tr>
    </w:tbl>
    <w:p>
      <w:pPr>
        <w:pStyle w:val="BodyText"/>
        <w:spacing w:line="480" w:lineRule="auto"/>
        <w:ind w:firstLine="720"/>
      </w:pPr>
      <w:r>
        <w:t xml:space="preserve">Fit: N = 28 R2 = 0.6627 R2_adj = 0.6041 F = 16.4131 F_p = 1.737e-06</w:t>
      </w:r>
    </w:p>
    <w:bookmarkEnd w:id="196"/>
    <w:bookmarkStart w:id="20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Achieved deep-space downlink rate against Earth range across 28 NASA/JPL mission-phase observations. The negative slope reflects free-space path loss; vertical dispersion at a given range traces differences in transmitter power, antenna aperture, and frequency band." title="" id="198" name="Picture"/>
            <a:graphic>
              <a:graphicData uri="http://schemas.openxmlformats.org/drawingml/2006/picture">
                <pic:pic>
                  <pic:nvPicPr>
                    <pic:cNvPr descr="D:/Claude_Code/brain/collegium/candidates/dissertations/JPL_OPS_COMMS_DATA_06/research_papers/p2/paper_fig1.png" id="199" name="Picture"/>
                    <pic:cNvPicPr>
                      <a:picLocks noChangeArrowheads="1" noChangeAspect="1"/>
                    </pic:cNvPicPr>
                  </pic:nvPicPr>
                  <pic:blipFill>
                    <a:blip r:embed="rId19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Achieved deep-space downlink rate against Earth range across 28 NASA/JPL mission-phase observations. The negative slope reflects free-space path loss; vertical dispersion at a given range traces differences in transmitter power, antenna aperture, and frequency band.</w:t>
      </w:r>
    </w:p>
    <w:bookmarkEnd w:id="200"/>
    <w:bookmarkStart w:id="20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phase_band</w:t>
            </w:r>
          </w:p>
        </w:tc>
        <w:tc>
          <w:tcPr>
            <w:tcW w:w="0" w:type="auto"/>
          </w:tcPr>
          <w:p>
            <w:pPr>
              <w:spacing w:line="240" w:lineRule="auto" w:before="0" w:after="0"/>
              <w:pStyle w:val="Compact"/>
            </w:pPr>
            <w:r>
              <w:rPr>
                <w:sz w:val="20"/>
                <w:szCs w:val="20"/>
              </w:rPr>
              <w:t xml:space="preserve">data_rate_bps</w:t>
            </w:r>
          </w:p>
        </w:tc>
        <w:tc>
          <w:tcPr>
            <w:tcW w:w="0" w:type="auto"/>
          </w:tcPr>
          <w:p>
            <w:pPr>
              <w:spacing w:line="240" w:lineRule="auto" w:before="0" w:after="0"/>
              <w:pStyle w:val="Compact"/>
            </w:pPr>
            <w:r>
              <w:rPr>
                <w:sz w:val="20"/>
                <w:szCs w:val="20"/>
              </w:rPr>
              <w:t xml:space="preserve">tx_power_w</w:t>
            </w:r>
          </w:p>
        </w:tc>
        <w:tc>
          <w:tcPr>
            <w:tcW w:w="0" w:type="auto"/>
          </w:tcPr>
          <w:p>
            <w:pPr>
              <w:spacing w:line="240" w:lineRule="auto" w:before="0" w:after="0"/>
              <w:pStyle w:val="Compact"/>
            </w:pPr>
            <w:r>
              <w:rPr>
                <w:sz w:val="20"/>
                <w:szCs w:val="20"/>
              </w:rPr>
              <w:t xml:space="preserve">hga_diam_m</w:t>
            </w:r>
          </w:p>
        </w:tc>
        <w:tc>
          <w:tcPr>
            <w:tcW w:w="0" w:type="auto"/>
          </w:tcPr>
          <w:p>
            <w:pPr>
              <w:spacing w:line="240" w:lineRule="auto" w:before="0" w:after="0"/>
              <w:pStyle w:val="Compact"/>
            </w:pPr>
            <w:r>
              <w:rPr>
                <w:sz w:val="20"/>
                <w:szCs w:val="20"/>
              </w:rPr>
              <w:t xml:space="preserve">ka_band</w:t>
            </w:r>
          </w:p>
        </w:tc>
        <w:tc>
          <w:tcPr>
            <w:tcW w:w="0" w:type="auto"/>
          </w:tcPr>
          <w:p>
            <w:pPr>
              <w:spacing w:line="240" w:lineRule="auto" w:before="0" w:after="0"/>
              <w:pStyle w:val="Compact"/>
            </w:pPr>
            <w:r>
              <w:rPr>
                <w:sz w:val="20"/>
                <w:szCs w:val="20"/>
              </w:rPr>
              <w:t xml:space="preserve">range_au</w:t>
            </w:r>
          </w:p>
        </w:tc>
        <w:tc>
          <w:tcPr>
            <w:tcW w:w="0" w:type="auto"/>
          </w:tcPr>
          <w:p>
            <w:pPr>
              <w:spacing w:line="240" w:lineRule="auto" w:before="0" w:after="0"/>
              <w:pStyle w:val="Compact"/>
            </w:pPr>
            <w:r>
              <w:rPr>
                <w:sz w:val="20"/>
                <w:szCs w:val="20"/>
              </w:rPr>
              <w:t xml:space="preserve">dsn_aperture_m</w:t>
            </w:r>
          </w:p>
        </w:tc>
        <w:tc>
          <w:tcPr>
            <w:tcW w:w="0" w:type="auto"/>
          </w:tcPr>
          <w:p>
            <w:pPr>
              <w:spacing w:line="240" w:lineRule="auto" w:before="0" w:after="0"/>
              <w:pStyle w:val="Compact"/>
            </w:pPr>
            <w:r>
              <w:rPr>
                <w:sz w:val="20"/>
                <w:szCs w:val="20"/>
              </w:rPr>
              <w:t xml:space="preserve">log10_rate</w:t>
            </w:r>
          </w:p>
        </w:tc>
        <w:tc>
          <w:tcPr>
            <w:tcW w:w="0" w:type="auto"/>
          </w:tcPr>
          <w:p>
            <w:pPr>
              <w:spacing w:line="240" w:lineRule="auto" w:before="0" w:after="0"/>
              <w:pStyle w:val="Compact"/>
            </w:pPr>
            <w:r>
              <w:rPr>
                <w:sz w:val="20"/>
                <w:szCs w:val="20"/>
              </w:rPr>
              <w:t xml:space="preserve">log10_range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Voyager_1_Jupiter</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115200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5.0615</w:t>
            </w:r>
          </w:p>
        </w:tc>
        <w:tc>
          <w:tcPr>
            <w:tcW w:w="0" w:type="auto"/>
          </w:tcPr>
          <w:p>
            <w:pPr>
              <w:spacing w:line="240" w:lineRule="auto" w:before="0" w:after="0"/>
              <w:pStyle w:val="Compact"/>
            </w:pPr>
            <w:r>
              <w:rPr>
                <w:sz w:val="20"/>
                <w:szCs w:val="20"/>
              </w:rPr>
              <w:t xml:space="preserve">0.716</w:t>
            </w:r>
          </w:p>
        </w:tc>
        <w:tc>
          <w:tcPr>
            <w:tcW w:w="0" w:type="auto"/>
          </w:tcPr>
          <w:p>
            <w:pPr>
              <w:spacing w:line="240" w:lineRule="auto" w:before="0" w:after="0"/>
              <w:pStyle w:val="Compact"/>
            </w:pPr>
            <w:r>
              <w:rPr>
                <w:sz w:val="20"/>
                <w:szCs w:val="20"/>
              </w:rPr>
              <w:t xml:space="preserve">Voyager Telecommunications, DESCANSO Article 4 (Ludwig &amp; Taylor 2002), HGA 3.66 m, X-TWTA high-power 18 W, high-rate max 115.2 kbps: descanso.jpl.nasa.gov/DPSummary/Descanso4–Voyager_ed.pdf</w:t>
            </w:r>
          </w:p>
        </w:tc>
      </w:tr>
      <w:tr>
        <w:tc>
          <w:tcPr>
            <w:tcW w:w="0" w:type="auto"/>
          </w:tcPr>
          <w:p>
            <w:pPr>
              <w:spacing w:line="240" w:lineRule="auto" w:before="0" w:after="0"/>
              <w:pStyle w:val="Compact"/>
            </w:pPr>
            <w:r>
              <w:rPr>
                <w:sz w:val="20"/>
                <w:szCs w:val="20"/>
              </w:rPr>
              <w:t xml:space="preserve">Voyager_2_Saturn</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44800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4.6513</w:t>
            </w:r>
          </w:p>
        </w:tc>
        <w:tc>
          <w:tcPr>
            <w:tcW w:w="0" w:type="auto"/>
          </w:tcPr>
          <w:p>
            <w:pPr>
              <w:spacing w:line="240" w:lineRule="auto" w:before="0" w:after="0"/>
              <w:pStyle w:val="Compact"/>
            </w:pPr>
            <w:r>
              <w:rPr>
                <w:sz w:val="20"/>
                <w:szCs w:val="20"/>
              </w:rPr>
              <w:t xml:space="preserve">0.9777</w:t>
            </w:r>
          </w:p>
        </w:tc>
        <w:tc>
          <w:tcPr>
            <w:tcW w:w="0" w:type="auto"/>
          </w:tcPr>
          <w:p>
            <w:pPr>
              <w:spacing w:line="240" w:lineRule="auto" w:before="0" w:after="0"/>
              <w:pStyle w:val="Compact"/>
            </w:pPr>
            <w:r>
              <w:rPr>
                <w:sz w:val="20"/>
                <w:szCs w:val="20"/>
              </w:rPr>
              <w:t xml:space="preserve">Voyager DESCANSO Article 4; Jupiter 115.2 kbps halved by Saturn distance (NASA Voyager program): descanso.jpl.nasa.gov/DPSummary/Descanso4–Voyager_ed.pdf</w:t>
            </w:r>
          </w:p>
        </w:tc>
      </w:tr>
      <w:tr>
        <w:tc>
          <w:tcPr>
            <w:tcW w:w="0" w:type="auto"/>
          </w:tcPr>
          <w:p>
            <w:pPr>
              <w:spacing w:line="240" w:lineRule="auto" w:before="0" w:after="0"/>
              <w:pStyle w:val="Compact"/>
            </w:pPr>
            <w:r>
              <w:rPr>
                <w:sz w:val="20"/>
                <w:szCs w:val="20"/>
              </w:rPr>
              <w:t xml:space="preserve">Voyager_2_Neptune</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21600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4.3345</w:t>
            </w:r>
          </w:p>
        </w:tc>
        <w:tc>
          <w:tcPr>
            <w:tcW w:w="0" w:type="auto"/>
          </w:tcPr>
          <w:p>
            <w:pPr>
              <w:spacing w:line="240" w:lineRule="auto" w:before="0" w:after="0"/>
              <w:pStyle w:val="Compact"/>
            </w:pPr>
            <w:r>
              <w:rPr>
                <w:sz w:val="20"/>
                <w:szCs w:val="20"/>
              </w:rPr>
              <w:t xml:space="preserve">1.4771</w:t>
            </w:r>
          </w:p>
        </w:tc>
        <w:tc>
          <w:tcPr>
            <w:tcW w:w="0" w:type="auto"/>
          </w:tcPr>
          <w:p>
            <w:pPr>
              <w:spacing w:line="240" w:lineRule="auto" w:before="0" w:after="0"/>
              <w:pStyle w:val="Compact"/>
            </w:pPr>
            <w:r>
              <w:rPr>
                <w:sz w:val="20"/>
                <w:szCs w:val="20"/>
              </w:rPr>
              <w:t xml:space="preserve">Voyager 2 Neptune flyby 1989, 21.6 kbps with arrayed DSN (NASA 30 Years Ago: Voyager 2’s Historic Neptune Flyby): nasa.gov/solar-system/30-years-ago-voyager-2s-historic-neptune-flyby</w:t>
            </w:r>
          </w:p>
        </w:tc>
      </w:tr>
      <w:tr>
        <w:tc>
          <w:tcPr>
            <w:tcW w:w="0" w:type="auto"/>
          </w:tcPr>
          <w:p>
            <w:pPr>
              <w:spacing w:line="240" w:lineRule="auto" w:before="0" w:after="0"/>
              <w:pStyle w:val="Compact"/>
            </w:pPr>
            <w:r>
              <w:rPr>
                <w:sz w:val="20"/>
                <w:szCs w:val="20"/>
              </w:rPr>
              <w:t xml:space="preserve">Voyager_1_Interstellar</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2.2041</w:t>
            </w:r>
          </w:p>
        </w:tc>
        <w:tc>
          <w:tcPr>
            <w:tcW w:w="0" w:type="auto"/>
          </w:tcPr>
          <w:p>
            <w:pPr>
              <w:spacing w:line="240" w:lineRule="auto" w:before="0" w:after="0"/>
              <w:pStyle w:val="Compact"/>
            </w:pPr>
            <w:r>
              <w:rPr>
                <w:sz w:val="20"/>
                <w:szCs w:val="20"/>
              </w:rPr>
              <w:t xml:space="preserve">2.2041</w:t>
            </w:r>
          </w:p>
        </w:tc>
        <w:tc>
          <w:tcPr>
            <w:tcW w:w="0" w:type="auto"/>
          </w:tcPr>
          <w:p>
            <w:pPr>
              <w:spacing w:line="240" w:lineRule="auto" w:before="0" w:after="0"/>
              <w:pStyle w:val="Compact"/>
            </w:pPr>
            <w:r>
              <w:rPr>
                <w:sz w:val="20"/>
                <w:szCs w:val="20"/>
              </w:rPr>
              <w:t xml:space="preserve">Voyager DESCANSO Article 4, low-rate floor at interstellar range; high-rate range 10 bps-115.2 kbps: descanso.jpl.nasa.gov/DPSummary/Descanso4–Voyager_ed.pdf</w:t>
            </w:r>
          </w:p>
        </w:tc>
      </w:tr>
      <w:tr>
        <w:tc>
          <w:tcPr>
            <w:tcW w:w="0" w:type="auto"/>
          </w:tcPr>
          <w:p>
            <w:pPr>
              <w:spacing w:line="240" w:lineRule="auto" w:before="0" w:after="0"/>
              <w:pStyle w:val="Compact"/>
            </w:pPr>
            <w:r>
              <w:rPr>
                <w:sz w:val="20"/>
                <w:szCs w:val="20"/>
              </w:rPr>
              <w:t xml:space="preserve">Galileo_HGA_design</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134400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5.1284</w:t>
            </w:r>
          </w:p>
        </w:tc>
        <w:tc>
          <w:tcPr>
            <w:tcW w:w="0" w:type="auto"/>
          </w:tcPr>
          <w:p>
            <w:pPr>
              <w:spacing w:line="240" w:lineRule="auto" w:before="0" w:after="0"/>
              <w:pStyle w:val="Compact"/>
            </w:pPr>
            <w:r>
              <w:rPr>
                <w:sz w:val="20"/>
                <w:szCs w:val="20"/>
              </w:rPr>
              <w:t xml:space="preserve">0.716</w:t>
            </w:r>
          </w:p>
        </w:tc>
        <w:tc>
          <w:tcPr>
            <w:tcW w:w="0" w:type="auto"/>
          </w:tcPr>
          <w:p>
            <w:pPr>
              <w:spacing w:line="240" w:lineRule="auto" w:before="0" w:after="0"/>
              <w:pStyle w:val="Compact"/>
            </w:pPr>
            <w:r>
              <w:rPr>
                <w:sz w:val="20"/>
                <w:szCs w:val="20"/>
              </w:rPr>
              <w:t xml:space="preserve">Galileo Telecommunications, DESCANSO Article 5; HGA design max 134.4 kbps (HGA failed to deploy): descanso.jpl.nasa.gov/DPSummary/Descanso5–Galileo_new.pdf</w:t>
            </w:r>
          </w:p>
        </w:tc>
      </w:tr>
      <w:tr>
        <w:tc>
          <w:tcPr>
            <w:tcW w:w="0" w:type="auto"/>
          </w:tcPr>
          <w:p>
            <w:pPr>
              <w:spacing w:line="240" w:lineRule="auto" w:before="0" w:after="0"/>
              <w:pStyle w:val="Compact"/>
            </w:pPr>
            <w:r>
              <w:rPr>
                <w:sz w:val="20"/>
                <w:szCs w:val="20"/>
              </w:rPr>
              <w:t xml:space="preserve">Galileo_LGA_actual</w:t>
            </w:r>
          </w:p>
        </w:tc>
        <w:tc>
          <w:tcPr>
            <w:tcW w:w="0" w:type="auto"/>
          </w:tcPr>
          <w:p>
            <w:pPr>
              <w:spacing w:line="240" w:lineRule="auto" w:before="0" w:after="0"/>
              <w:pStyle w:val="Compact"/>
            </w:pPr>
            <w:r>
              <w:rPr>
                <w:sz w:val="20"/>
                <w:szCs w:val="20"/>
              </w:rPr>
              <w:t xml:space="preserve">S-band</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2.2041</w:t>
            </w:r>
          </w:p>
        </w:tc>
        <w:tc>
          <w:tcPr>
            <w:tcW w:w="0" w:type="auto"/>
          </w:tcPr>
          <w:p>
            <w:pPr>
              <w:spacing w:line="240" w:lineRule="auto" w:before="0" w:after="0"/>
              <w:pStyle w:val="Compact"/>
            </w:pPr>
            <w:r>
              <w:rPr>
                <w:sz w:val="20"/>
                <w:szCs w:val="20"/>
              </w:rPr>
              <w:t xml:space="preserve">0.716</w:t>
            </w:r>
          </w:p>
        </w:tc>
        <w:tc>
          <w:tcPr>
            <w:tcW w:w="0" w:type="auto"/>
          </w:tcPr>
          <w:p>
            <w:pPr>
              <w:spacing w:line="240" w:lineRule="auto" w:before="0" w:after="0"/>
              <w:pStyle w:val="Compact"/>
            </w:pPr>
            <w:r>
              <w:rPr>
                <w:sz w:val="20"/>
                <w:szCs w:val="20"/>
              </w:rPr>
              <w:t xml:space="preserve">Galileo S-band LGA contingency top rate 160 bps at Jupiter after HGA failure (NASA Galileo new telecom strategy): nasa.gov Galileo communication factsheet</w:t>
            </w:r>
          </w:p>
        </w:tc>
      </w:tr>
      <w:tr>
        <w:tc>
          <w:tcPr>
            <w:tcW w:w="0" w:type="auto"/>
          </w:tcPr>
          <w:p>
            <w:pPr>
              <w:spacing w:line="240" w:lineRule="auto" w:before="0" w:after="0"/>
              <w:pStyle w:val="Compact"/>
            </w:pPr>
            <w:r>
              <w:rPr>
                <w:sz w:val="20"/>
                <w:szCs w:val="20"/>
              </w:rPr>
              <w:t xml:space="preserve">Cassini_Saturn</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142000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5.1523</w:t>
            </w:r>
          </w:p>
        </w:tc>
        <w:tc>
          <w:tcPr>
            <w:tcW w:w="0" w:type="auto"/>
          </w:tcPr>
          <w:p>
            <w:pPr>
              <w:spacing w:line="240" w:lineRule="auto" w:before="0" w:after="0"/>
              <w:pStyle w:val="Compact"/>
            </w:pPr>
            <w:r>
              <w:rPr>
                <w:sz w:val="20"/>
                <w:szCs w:val="20"/>
              </w:rPr>
              <w:t xml:space="preserve">0.9777</w:t>
            </w:r>
          </w:p>
        </w:tc>
        <w:tc>
          <w:tcPr>
            <w:tcW w:w="0" w:type="auto"/>
          </w:tcPr>
          <w:p>
            <w:pPr>
              <w:spacing w:line="240" w:lineRule="auto" w:before="0" w:after="0"/>
              <w:pStyle w:val="Compact"/>
            </w:pPr>
            <w:r>
              <w:rPr>
                <w:sz w:val="20"/>
                <w:szCs w:val="20"/>
              </w:rPr>
              <w:t xml:space="preserve">Cassini Orbiter/Huygens Telecommunications, DESCANSO Article 3; 4 m HGA, 20 W TWTA, TCU rates 5 bps-249 kbps: descanso.jpl.nasa.gov/DPSummary/Descanso3–Cassini2.pdf</w:t>
            </w:r>
          </w:p>
        </w:tc>
      </w:tr>
      <w:tr>
        <w:tc>
          <w:tcPr>
            <w:tcW w:w="0" w:type="auto"/>
          </w:tcPr>
          <w:p>
            <w:pPr>
              <w:spacing w:line="240" w:lineRule="auto" w:before="0" w:after="0"/>
              <w:pStyle w:val="Compact"/>
            </w:pPr>
            <w:r>
              <w:rPr>
                <w:sz w:val="20"/>
                <w:szCs w:val="20"/>
              </w:rPr>
              <w:t xml:space="preserve">Cassini_max</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249000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5.3962</w:t>
            </w:r>
          </w:p>
        </w:tc>
        <w:tc>
          <w:tcPr>
            <w:tcW w:w="0" w:type="auto"/>
          </w:tcPr>
          <w:p>
            <w:pPr>
              <w:spacing w:line="240" w:lineRule="auto" w:before="0" w:after="0"/>
              <w:pStyle w:val="Compact"/>
            </w:pPr>
            <w:r>
              <w:rPr>
                <w:sz w:val="20"/>
                <w:szCs w:val="20"/>
              </w:rPr>
              <w:t xml:space="preserve">0.9294</w:t>
            </w:r>
          </w:p>
        </w:tc>
        <w:tc>
          <w:tcPr>
            <w:tcW w:w="0" w:type="auto"/>
          </w:tcPr>
          <w:p>
            <w:pPr>
              <w:spacing w:line="240" w:lineRule="auto" w:before="0" w:after="0"/>
              <w:pStyle w:val="Compact"/>
            </w:pPr>
            <w:r>
              <w:rPr>
                <w:sz w:val="20"/>
                <w:szCs w:val="20"/>
              </w:rPr>
              <w:t xml:space="preserve">Cassini DESCANSO Article 3; max telemetry 249 kbps: descanso.jpl.nasa.gov/DPSummary/Descanso3–Cassini2.pdf</w:t>
            </w:r>
          </w:p>
        </w:tc>
      </w:tr>
      <w:tr>
        <w:tc>
          <w:tcPr>
            <w:tcW w:w="0" w:type="auto"/>
          </w:tcPr>
          <w:p>
            <w:pPr>
              <w:spacing w:line="240" w:lineRule="auto" w:before="0" w:after="0"/>
              <w:pStyle w:val="Compact"/>
            </w:pPr>
            <w:r>
              <w:rPr>
                <w:sz w:val="20"/>
                <w:szCs w:val="20"/>
              </w:rPr>
              <w:t xml:space="preserve">Juno_Jupiter_orbit</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18000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4.2553</w:t>
            </w:r>
          </w:p>
        </w:tc>
        <w:tc>
          <w:tcPr>
            <w:tcW w:w="0" w:type="auto"/>
          </w:tcPr>
          <w:p>
            <w:pPr>
              <w:spacing w:line="240" w:lineRule="auto" w:before="0" w:after="0"/>
              <w:pStyle w:val="Compact"/>
            </w:pPr>
            <w:r>
              <w:rPr>
                <w:sz w:val="20"/>
                <w:szCs w:val="20"/>
              </w:rPr>
              <w:t xml:space="preserve">0.7324</w:t>
            </w:r>
          </w:p>
        </w:tc>
        <w:tc>
          <w:tcPr>
            <w:tcW w:w="0" w:type="auto"/>
          </w:tcPr>
          <w:p>
            <w:pPr>
              <w:spacing w:line="240" w:lineRule="auto" w:before="0" w:after="0"/>
              <w:pStyle w:val="Compact"/>
            </w:pPr>
            <w:r>
              <w:rPr>
                <w:sz w:val="20"/>
                <w:szCs w:val="20"/>
              </w:rPr>
              <w:t xml:space="preserve">Juno Telecommunications, DESCANSO Article 16; 2.5 m HGA, 25 W TWTA, min 18 kbps to 34-m at max range 2016: descanso.jpl.nasa.gov/DPSummary/Juno_DESCANSO_Post121106H–Compact.pdf</w:t>
            </w:r>
          </w:p>
        </w:tc>
      </w:tr>
      <w:tr>
        <w:tc>
          <w:tcPr>
            <w:tcW w:w="0" w:type="auto"/>
          </w:tcPr>
          <w:p>
            <w:pPr>
              <w:spacing w:line="240" w:lineRule="auto" w:before="0" w:after="0"/>
              <w:pStyle w:val="Compact"/>
            </w:pPr>
            <w:r>
              <w:rPr>
                <w:sz w:val="20"/>
                <w:szCs w:val="20"/>
              </w:rPr>
              <w:t xml:space="preserve">Juno_initacq</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1745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3.2418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Juno DESCANSO Article 16; initial-acquisition 1745 bps via coupled LGAs: descanso.jpl.nasa.gov/DPSummary/Juno_DESCANSO_Post121106H–Compact.pdf</w:t>
            </w:r>
          </w:p>
        </w:tc>
      </w:tr>
      <w:tr>
        <w:tc>
          <w:tcPr>
            <w:tcW w:w="0" w:type="auto"/>
          </w:tcPr>
          <w:p>
            <w:pPr>
              <w:spacing w:line="240" w:lineRule="auto" w:before="0" w:after="0"/>
              <w:pStyle w:val="Compact"/>
            </w:pPr>
            <w:r>
              <w:rPr>
                <w:sz w:val="20"/>
                <w:szCs w:val="20"/>
              </w:rPr>
              <w:t xml:space="preserve">New_Horizons_Pluto</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1.5051</w:t>
            </w:r>
          </w:p>
        </w:tc>
        <w:tc>
          <w:tcPr>
            <w:tcW w:w="0" w:type="auto"/>
          </w:tcPr>
          <w:p>
            <w:pPr>
              <w:spacing w:line="240" w:lineRule="auto" w:before="0" w:after="0"/>
              <w:pStyle w:val="Compact"/>
            </w:pPr>
            <w:r>
              <w:rPr>
                <w:sz w:val="20"/>
                <w:szCs w:val="20"/>
              </w:rPr>
              <w:t xml:space="preserve">New Horizons RF Telecom System (DeBoy et al., IEEE Aerospace 2004); 2.1 m HGA, 12 W TWTA, 8.438 GHz, ~600 bps min at 36 AU, dual-TWTA gain: web.pa.msu.edu/people/edmunds/Saturn/new_horizons_rf_system_2018.pdf</w:t>
            </w:r>
          </w:p>
        </w:tc>
      </w:tr>
      <w:tr>
        <w:tc>
          <w:tcPr>
            <w:tcW w:w="0" w:type="auto"/>
          </w:tcPr>
          <w:p>
            <w:pPr>
              <w:spacing w:line="240" w:lineRule="auto" w:before="0" w:after="0"/>
              <w:pStyle w:val="Compact"/>
            </w:pPr>
            <w:r>
              <w:rPr>
                <w:sz w:val="20"/>
                <w:szCs w:val="20"/>
              </w:rPr>
              <w:t xml:space="preserve">New_Horizons_max</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100000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0.699</w:t>
            </w:r>
          </w:p>
        </w:tc>
        <w:tc>
          <w:tcPr>
            <w:tcW w:w="0" w:type="auto"/>
          </w:tcPr>
          <w:p>
            <w:pPr>
              <w:spacing w:line="240" w:lineRule="auto" w:before="0" w:after="0"/>
              <w:pStyle w:val="Compact"/>
            </w:pPr>
            <w:r>
              <w:rPr>
                <w:sz w:val="20"/>
                <w:szCs w:val="20"/>
              </w:rPr>
              <w:t xml:space="preserve">New Horizons RF Telecom System (DeBoy et al. 2004); commandable transmit rate ~6 bps-100 kbps: web.pa.msu.edu/people/edmunds/Saturn/new_horizons_rf_system_2018.pdf</w:t>
            </w:r>
          </w:p>
        </w:tc>
      </w:tr>
      <w:tr>
        <w:tc>
          <w:tcPr>
            <w:tcW w:w="0" w:type="auto"/>
          </w:tcPr>
          <w:p>
            <w:pPr>
              <w:spacing w:line="240" w:lineRule="auto" w:before="0" w:after="0"/>
              <w:pStyle w:val="Compact"/>
            </w:pPr>
            <w:r>
              <w:rPr>
                <w:sz w:val="20"/>
                <w:szCs w:val="20"/>
              </w:rPr>
              <w:t xml:space="preserve">Magellan_Venus</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268800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5.4294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Magellan Mission at a Glance (NASA/JPL); 3.7 m HGA, X-band 268.8 kbps, highest planetary data rate of its era: www2.jpl.nasa.gov/magellan/fact.html</w:t>
            </w:r>
          </w:p>
        </w:tc>
      </w:tr>
      <w:tr>
        <w:tc>
          <w:tcPr>
            <w:tcW w:w="0" w:type="auto"/>
          </w:tcPr>
          <w:p>
            <w:pPr>
              <w:spacing w:line="240" w:lineRule="auto" w:before="0" w:after="0"/>
              <w:pStyle w:val="Compact"/>
            </w:pPr>
            <w:r>
              <w:rPr>
                <w:sz w:val="20"/>
                <w:szCs w:val="20"/>
              </w:rPr>
              <w:t xml:space="preserve">Pioneer_10_cruise</w:t>
            </w:r>
          </w:p>
        </w:tc>
        <w:tc>
          <w:tcPr>
            <w:tcW w:w="0" w:type="auto"/>
          </w:tcPr>
          <w:p>
            <w:pPr>
              <w:spacing w:line="240" w:lineRule="auto" w:before="0" w:after="0"/>
              <w:pStyle w:val="Compact"/>
            </w:pPr>
            <w:r>
              <w:rPr>
                <w:sz w:val="20"/>
                <w:szCs w:val="20"/>
              </w:rPr>
              <w:t xml:space="preserve">S-band</w:t>
            </w:r>
          </w:p>
        </w:tc>
        <w:tc>
          <w:tcPr>
            <w:tcW w:w="0" w:type="auto"/>
          </w:tcPr>
          <w:p>
            <w:pPr>
              <w:spacing w:line="240" w:lineRule="auto" w:before="0" w:after="0"/>
              <w:pStyle w:val="Compact"/>
            </w:pPr>
            <w:r>
              <w:rPr>
                <w:sz w:val="20"/>
                <w:szCs w:val="20"/>
              </w:rPr>
              <w:t xml:space="preserve">2048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3.3113</w:t>
            </w:r>
          </w:p>
        </w:tc>
        <w:tc>
          <w:tcPr>
            <w:tcW w:w="0" w:type="auto"/>
          </w:tcPr>
          <w:p>
            <w:pPr>
              <w:spacing w:line="240" w:lineRule="auto" w:before="0" w:after="0"/>
              <w:pStyle w:val="Compact"/>
            </w:pPr>
            <w:r>
              <w:rPr>
                <w:sz w:val="20"/>
                <w:szCs w:val="20"/>
              </w:rPr>
              <w:t xml:space="preserve">0.699</w:t>
            </w:r>
          </w:p>
        </w:tc>
        <w:tc>
          <w:tcPr>
            <w:tcW w:w="0" w:type="auto"/>
          </w:tcPr>
          <w:p>
            <w:pPr>
              <w:spacing w:line="240" w:lineRule="auto" w:before="0" w:after="0"/>
              <w:pStyle w:val="Compact"/>
            </w:pPr>
            <w:r>
              <w:rPr>
                <w:sz w:val="20"/>
                <w:szCs w:val="20"/>
              </w:rPr>
              <w:t xml:space="preserve">Pioneer 10/11 (NSSDCA / Gunter’s Space Page); 2.74 m HGA, S-band up to 2048 bps en route to Jupiter, 16 bps near EOM: space.skyrocket.de/doc_sdat/pioneer-1011.htm</w:t>
            </w:r>
          </w:p>
        </w:tc>
      </w:tr>
      <w:tr>
        <w:tc>
          <w:tcPr>
            <w:tcW w:w="0" w:type="auto"/>
          </w:tcPr>
          <w:p>
            <w:pPr>
              <w:spacing w:line="240" w:lineRule="auto" w:before="0" w:after="0"/>
              <w:pStyle w:val="Compact"/>
            </w:pPr>
            <w:r>
              <w:rPr>
                <w:sz w:val="20"/>
                <w:szCs w:val="20"/>
              </w:rPr>
              <w:t xml:space="preserve">Pioneer_10_eom</w:t>
            </w:r>
          </w:p>
        </w:tc>
        <w:tc>
          <w:tcPr>
            <w:tcW w:w="0" w:type="auto"/>
          </w:tcPr>
          <w:p>
            <w:pPr>
              <w:spacing w:line="240" w:lineRule="auto" w:before="0" w:after="0"/>
              <w:pStyle w:val="Compact"/>
            </w:pPr>
            <w:r>
              <w:rPr>
                <w:sz w:val="20"/>
                <w:szCs w:val="20"/>
              </w:rPr>
              <w:t xml:space="preserve">S-band</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1.2041</w:t>
            </w:r>
          </w:p>
        </w:tc>
        <w:tc>
          <w:tcPr>
            <w:tcW w:w="0" w:type="auto"/>
          </w:tcPr>
          <w:p>
            <w:pPr>
              <w:spacing w:line="240" w:lineRule="auto" w:before="0" w:after="0"/>
              <w:pStyle w:val="Compact"/>
            </w:pPr>
            <w:r>
              <w:rPr>
                <w:sz w:val="20"/>
                <w:szCs w:val="20"/>
              </w:rPr>
              <w:t xml:space="preserve">1.8451</w:t>
            </w:r>
          </w:p>
        </w:tc>
        <w:tc>
          <w:tcPr>
            <w:tcW w:w="0" w:type="auto"/>
          </w:tcPr>
          <w:p>
            <w:pPr>
              <w:spacing w:line="240" w:lineRule="auto" w:before="0" w:after="0"/>
              <w:pStyle w:val="Compact"/>
            </w:pPr>
            <w:r>
              <w:rPr>
                <w:sz w:val="20"/>
                <w:szCs w:val="20"/>
              </w:rPr>
              <w:t xml:space="preserve">Pioneer 10 (NSSDCA); 16 bps near end of mission at far range: nssdc.gsfc.nasa.gov Pioneer fact sheet</w:t>
            </w:r>
          </w:p>
        </w:tc>
      </w:tr>
      <w:tr>
        <w:tc>
          <w:tcPr>
            <w:tcW w:w="0" w:type="auto"/>
          </w:tcPr>
          <w:p>
            <w:pPr>
              <w:spacing w:line="240" w:lineRule="auto" w:before="0" w:after="0"/>
              <w:pStyle w:val="Compact"/>
            </w:pPr>
            <w:r>
              <w:rPr>
                <w:sz w:val="20"/>
                <w:szCs w:val="20"/>
              </w:rPr>
              <w:t xml:space="preserve">MRO_X_band</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3500000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6.5441</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Mars Reconnaissance Orbiter Telecommunications, DESCANSO Article 12; 3 m HGA, 100 W X-band, 3-4 Mbps at ~60 Mmi (0.65 AU): mars.nasa.gov/mro/mission/communications/commxband</w:t>
            </w:r>
          </w:p>
        </w:tc>
      </w:tr>
      <w:tr>
        <w:tc>
          <w:tcPr>
            <w:tcW w:w="0" w:type="auto"/>
          </w:tcPr>
          <w:p>
            <w:pPr>
              <w:spacing w:line="240" w:lineRule="auto" w:before="0" w:after="0"/>
              <w:pStyle w:val="Compact"/>
            </w:pPr>
            <w:r>
              <w:rPr>
                <w:sz w:val="20"/>
                <w:szCs w:val="20"/>
              </w:rPr>
              <w:t xml:space="preserve">MRO_X_band_far</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500000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5.699</w:t>
            </w:r>
          </w:p>
        </w:tc>
        <w:tc>
          <w:tcPr>
            <w:tcW w:w="0" w:type="auto"/>
          </w:tcPr>
          <w:p>
            <w:pPr>
              <w:spacing w:line="240" w:lineRule="auto" w:before="0" w:after="0"/>
              <w:pStyle w:val="Compact"/>
            </w:pPr>
            <w:r>
              <w:rPr>
                <w:sz w:val="20"/>
                <w:szCs w:val="20"/>
              </w:rPr>
              <w:t xml:space="preserve">0.415</w:t>
            </w:r>
          </w:p>
        </w:tc>
        <w:tc>
          <w:tcPr>
            <w:tcW w:w="0" w:type="auto"/>
          </w:tcPr>
          <w:p>
            <w:pPr>
              <w:spacing w:line="240" w:lineRule="auto" w:before="0" w:after="0"/>
              <w:pStyle w:val="Compact"/>
            </w:pPr>
            <w:r>
              <w:rPr>
                <w:sz w:val="20"/>
                <w:szCs w:val="20"/>
              </w:rPr>
              <w:t xml:space="preserve">MRO (NASA Mars MRO communications); &gt;=500 kbps at max ~250 Mmi (2.6 AU): mars.nasa.gov/mro/mission/communications/commxband</w:t>
            </w:r>
          </w:p>
        </w:tc>
      </w:tr>
      <w:tr>
        <w:tc>
          <w:tcPr>
            <w:tcW w:w="0" w:type="auto"/>
          </w:tcPr>
          <w:p>
            <w:pPr>
              <w:spacing w:line="240" w:lineRule="auto" w:before="0" w:after="0"/>
              <w:pStyle w:val="Compact"/>
            </w:pPr>
            <w:r>
              <w:rPr>
                <w:sz w:val="20"/>
                <w:szCs w:val="20"/>
              </w:rPr>
              <w:t xml:space="preserve">MRO_Ka_demo</w:t>
            </w:r>
          </w:p>
        </w:tc>
        <w:tc>
          <w:tcPr>
            <w:tcW w:w="0" w:type="auto"/>
          </w:tcPr>
          <w:p>
            <w:pPr>
              <w:spacing w:line="240" w:lineRule="auto" w:before="0" w:after="0"/>
              <w:pStyle w:val="Compact"/>
            </w:pPr>
            <w:r>
              <w:rPr>
                <w:sz w:val="20"/>
                <w:szCs w:val="20"/>
              </w:rPr>
              <w:t xml:space="preserve">Ka-band</w:t>
            </w:r>
          </w:p>
        </w:tc>
        <w:tc>
          <w:tcPr>
            <w:tcW w:w="0" w:type="auto"/>
          </w:tcPr>
          <w:p>
            <w:pPr>
              <w:spacing w:line="240" w:lineRule="auto" w:before="0" w:after="0"/>
              <w:pStyle w:val="Compact"/>
            </w:pPr>
            <w:r>
              <w:rPr>
                <w:sz w:val="20"/>
                <w:szCs w:val="20"/>
              </w:rPr>
              <w:t xml:space="preserve">6000000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6.7782</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MRO Ka-band Demonstration (NTRS 20060050766); Ka 35 W, 6 Mbps highest planetary rate, 32 GHz: ntrs.nasa.gov/citations/20060050766</w:t>
            </w:r>
          </w:p>
        </w:tc>
      </w:tr>
      <w:tr>
        <w:tc>
          <w:tcPr>
            <w:tcW w:w="0" w:type="auto"/>
          </w:tcPr>
          <w:p>
            <w:pPr>
              <w:spacing w:line="240" w:lineRule="auto" w:before="0" w:after="0"/>
              <w:pStyle w:val="Compact"/>
            </w:pPr>
            <w:r>
              <w:rPr>
                <w:sz w:val="20"/>
                <w:szCs w:val="20"/>
              </w:rPr>
              <w:t xml:space="preserve">MAVEN_Mars</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550000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5.7404</w:t>
            </w:r>
          </w:p>
        </w:tc>
        <w:tc>
          <w:tcPr>
            <w:tcW w:w="0" w:type="auto"/>
          </w:tcPr>
          <w:p>
            <w:pPr>
              <w:spacing w:line="240" w:lineRule="auto" w:before="0" w:after="0"/>
              <w:pStyle w:val="Compact"/>
            </w:pPr>
            <w:r>
              <w:rPr>
                <w:sz w:val="20"/>
                <w:szCs w:val="20"/>
              </w:rPr>
              <w:t xml:space="preserve">-0.2218</w:t>
            </w:r>
          </w:p>
        </w:tc>
        <w:tc>
          <w:tcPr>
            <w:tcW w:w="0" w:type="auto"/>
          </w:tcPr>
          <w:p>
            <w:pPr>
              <w:spacing w:line="240" w:lineRule="auto" w:before="0" w:after="0"/>
              <w:pStyle w:val="Compact"/>
            </w:pPr>
            <w:r>
              <w:rPr>
                <w:sz w:val="20"/>
                <w:szCs w:val="20"/>
              </w:rPr>
              <w:t xml:space="preserve">MAVEN High-Gain Antenna (NASA Mars/Science); 2 m dual-reflector X-band, up to 550 kbps: science.nasa.gov/resource/maven-high-gain-antenna</w:t>
            </w:r>
          </w:p>
        </w:tc>
      </w:tr>
      <w:tr>
        <w:tc>
          <w:tcPr>
            <w:tcW w:w="0" w:type="auto"/>
          </w:tcPr>
          <w:p>
            <w:pPr>
              <w:spacing w:line="240" w:lineRule="auto" w:before="0" w:after="0"/>
              <w:pStyle w:val="Compact"/>
            </w:pPr>
            <w:r>
              <w:rPr>
                <w:sz w:val="20"/>
                <w:szCs w:val="20"/>
              </w:rPr>
              <w:t xml:space="preserve">Odyssey_Mars</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124000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5.0934</w:t>
            </w:r>
          </w:p>
        </w:tc>
        <w:tc>
          <w:tcPr>
            <w:tcW w:w="0" w:type="auto"/>
          </w:tcPr>
          <w:p>
            <w:pPr>
              <w:spacing w:line="240" w:lineRule="auto" w:before="0" w:after="0"/>
              <w:pStyle w:val="Compact"/>
            </w:pPr>
            <w:r>
              <w:rPr>
                <w:sz w:val="20"/>
                <w:szCs w:val="20"/>
              </w:rPr>
              <w:t xml:space="preserve">-0.2218</w:t>
            </w:r>
          </w:p>
        </w:tc>
        <w:tc>
          <w:tcPr>
            <w:tcW w:w="0" w:type="auto"/>
          </w:tcPr>
          <w:p>
            <w:pPr>
              <w:spacing w:line="240" w:lineRule="auto" w:before="0" w:after="0"/>
              <w:pStyle w:val="Compact"/>
            </w:pPr>
            <w:r>
              <w:rPr>
                <w:sz w:val="20"/>
                <w:szCs w:val="20"/>
              </w:rPr>
              <w:t xml:space="preserve">Mars Odyssey Telecommunications, DESCANSO Article 6; X-band direct-to-Earth, initial-acq RF 13.8 W (41.4 dBm): descanso.jpl.nasa.gov/DPSummary/odyssey_telecom.pdf</w:t>
            </w:r>
          </w:p>
        </w:tc>
      </w:tr>
      <w:tr>
        <w:tc>
          <w:tcPr>
            <w:tcW w:w="0" w:type="auto"/>
          </w:tcPr>
          <w:p>
            <w:pPr>
              <w:spacing w:line="240" w:lineRule="auto" w:before="0" w:after="0"/>
              <w:pStyle w:val="Compact"/>
            </w:pPr>
            <w:r>
              <w:rPr>
                <w:sz w:val="20"/>
                <w:szCs w:val="20"/>
              </w:rPr>
              <w:t xml:space="preserve">Psyche_cruise</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180000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5.2553</w:t>
            </w:r>
          </w:p>
        </w:tc>
        <w:tc>
          <w:tcPr>
            <w:tcW w:w="0" w:type="auto"/>
          </w:tcPr>
          <w:p>
            <w:pPr>
              <w:spacing w:line="240" w:lineRule="auto" w:before="0" w:after="0"/>
              <w:pStyle w:val="Compact"/>
            </w:pPr>
            <w:r>
              <w:rPr>
                <w:sz w:val="20"/>
                <w:szCs w:val="20"/>
              </w:rPr>
              <w:t xml:space="preserve">0.6021</w:t>
            </w:r>
          </w:p>
        </w:tc>
        <w:tc>
          <w:tcPr>
            <w:tcW w:w="0" w:type="auto"/>
          </w:tcPr>
          <w:p>
            <w:pPr>
              <w:spacing w:line="240" w:lineRule="auto" w:before="0" w:after="0"/>
              <w:pStyle w:val="Compact"/>
            </w:pPr>
            <w:r>
              <w:rPr>
                <w:sz w:val="20"/>
                <w:szCs w:val="20"/>
              </w:rPr>
              <w:t xml:space="preserve">Design and Development of the Psyche Spacecraft (Space Sci Rev 2025); 2 m HGA, 100 W TWTA, up to 180 kbps via HGA at &gt;4 AU: link.springer.com/article/10.1007/s11214-025-01222-1</w:t>
            </w:r>
          </w:p>
        </w:tc>
      </w:tr>
      <w:tr>
        <w:tc>
          <w:tcPr>
            <w:tcW w:w="0" w:type="auto"/>
          </w:tcPr>
          <w:p>
            <w:pPr>
              <w:spacing w:line="240" w:lineRule="auto" w:before="0" w:after="0"/>
              <w:pStyle w:val="Compact"/>
            </w:pPr>
            <w:r>
              <w:rPr>
                <w:sz w:val="20"/>
                <w:szCs w:val="20"/>
              </w:rPr>
              <w:t xml:space="preserve">Psyche_safe_lga</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0.6021</w:t>
            </w:r>
          </w:p>
        </w:tc>
        <w:tc>
          <w:tcPr>
            <w:tcW w:w="0" w:type="auto"/>
          </w:tcPr>
          <w:p>
            <w:pPr>
              <w:spacing w:line="240" w:lineRule="auto" w:before="0" w:after="0"/>
              <w:pStyle w:val="Compact"/>
            </w:pPr>
            <w:r>
              <w:rPr>
                <w:sz w:val="20"/>
                <w:szCs w:val="20"/>
              </w:rPr>
              <w:t xml:space="preserve">Psyche (Space Sci Rev 2025); safe-mode LGA &gt;=10 bps to 70-m at &gt;4 AU: link.springer.com/article/10.1007/s11214-025-01222-1</w:t>
            </w:r>
          </w:p>
        </w:tc>
      </w:tr>
      <w:tr>
        <w:tc>
          <w:tcPr>
            <w:tcW w:w="0" w:type="auto"/>
          </w:tcPr>
          <w:p>
            <w:pPr>
              <w:spacing w:line="240" w:lineRule="auto" w:before="0" w:after="0"/>
              <w:pStyle w:val="Compact"/>
            </w:pPr>
            <w:r>
              <w:rPr>
                <w:sz w:val="20"/>
                <w:szCs w:val="20"/>
              </w:rPr>
              <w:t xml:space="preserve">Parker_Solar_Probe</w:t>
            </w:r>
          </w:p>
        </w:tc>
        <w:tc>
          <w:tcPr>
            <w:tcW w:w="0" w:type="auto"/>
          </w:tcPr>
          <w:p>
            <w:pPr>
              <w:spacing w:line="240" w:lineRule="auto" w:before="0" w:after="0"/>
              <w:pStyle w:val="Compact"/>
            </w:pPr>
            <w:r>
              <w:rPr>
                <w:sz w:val="20"/>
                <w:szCs w:val="20"/>
              </w:rPr>
              <w:t xml:space="preserve">Ka-band</w:t>
            </w:r>
          </w:p>
        </w:tc>
        <w:tc>
          <w:tcPr>
            <w:tcW w:w="0" w:type="auto"/>
          </w:tcPr>
          <w:p>
            <w:pPr>
              <w:spacing w:line="240" w:lineRule="auto" w:before="0" w:after="0"/>
              <w:pStyle w:val="Compact"/>
            </w:pPr>
            <w:r>
              <w:rPr>
                <w:sz w:val="20"/>
                <w:szCs w:val="20"/>
              </w:rPr>
              <w:t xml:space="preserve">167000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5.2227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Parker Solar Probe (eoPortal / Solar Probe Plus Mission, Space Sci Rev 2016); 0.6 m HGA, 34 W Ka TWTA, 167 kbps at 1 AU: eoportal.org/satellite-missions/psp</w:t>
            </w:r>
          </w:p>
        </w:tc>
      </w:tr>
      <w:tr>
        <w:tc>
          <w:tcPr>
            <w:tcW w:w="0" w:type="auto"/>
          </w:tcPr>
          <w:p>
            <w:pPr>
              <w:spacing w:line="240" w:lineRule="auto" w:before="0" w:after="0"/>
              <w:pStyle w:val="Compact"/>
            </w:pPr>
            <w:r>
              <w:rPr>
                <w:sz w:val="20"/>
                <w:szCs w:val="20"/>
              </w:rPr>
              <w:t xml:space="preserve">Europa_Clipper_X</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16000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4.2041</w:t>
            </w:r>
          </w:p>
        </w:tc>
        <w:tc>
          <w:tcPr>
            <w:tcW w:w="0" w:type="auto"/>
          </w:tcPr>
          <w:p>
            <w:pPr>
              <w:spacing w:line="240" w:lineRule="auto" w:before="0" w:after="0"/>
              <w:pStyle w:val="Compact"/>
            </w:pPr>
            <w:r>
              <w:rPr>
                <w:sz w:val="20"/>
                <w:szCs w:val="20"/>
              </w:rPr>
              <w:t xml:space="preserve">0.7404</w:t>
            </w:r>
          </w:p>
        </w:tc>
        <w:tc>
          <w:tcPr>
            <w:tcW w:w="0" w:type="auto"/>
          </w:tcPr>
          <w:p>
            <w:pPr>
              <w:spacing w:line="240" w:lineRule="auto" w:before="0" w:after="0"/>
              <w:pStyle w:val="Compact"/>
            </w:pPr>
            <w:r>
              <w:rPr>
                <w:sz w:val="20"/>
                <w:szCs w:val="20"/>
              </w:rPr>
              <w:t xml:space="preserve">Europa Clipper HGA (NASA Science 2024); 3 m X/Ka HGA, X-band ~16 kbps: science.nasa.gov/missions/europa-clipper/europa-clipper-resources/powerful-antenna-installed-on-europa-clipper</w:t>
            </w:r>
          </w:p>
        </w:tc>
      </w:tr>
      <w:tr>
        <w:tc>
          <w:tcPr>
            <w:tcW w:w="0" w:type="auto"/>
          </w:tcPr>
          <w:p>
            <w:pPr>
              <w:spacing w:line="240" w:lineRule="auto" w:before="0" w:after="0"/>
              <w:pStyle w:val="Compact"/>
            </w:pPr>
            <w:r>
              <w:rPr>
                <w:sz w:val="20"/>
                <w:szCs w:val="20"/>
              </w:rPr>
              <w:t xml:space="preserve">Europa_Clipper_Ka</w:t>
            </w:r>
          </w:p>
        </w:tc>
        <w:tc>
          <w:tcPr>
            <w:tcW w:w="0" w:type="auto"/>
          </w:tcPr>
          <w:p>
            <w:pPr>
              <w:spacing w:line="240" w:lineRule="auto" w:before="0" w:after="0"/>
              <w:pStyle w:val="Compact"/>
            </w:pPr>
            <w:r>
              <w:rPr>
                <w:sz w:val="20"/>
                <w:szCs w:val="20"/>
              </w:rPr>
              <w:t xml:space="preserve">Ka-band</w:t>
            </w:r>
          </w:p>
        </w:tc>
        <w:tc>
          <w:tcPr>
            <w:tcW w:w="0" w:type="auto"/>
          </w:tcPr>
          <w:p>
            <w:pPr>
              <w:spacing w:line="240" w:lineRule="auto" w:before="0" w:after="0"/>
              <w:pStyle w:val="Compact"/>
            </w:pPr>
            <w:r>
              <w:rPr>
                <w:sz w:val="20"/>
                <w:szCs w:val="20"/>
              </w:rPr>
              <w:t xml:space="preserve">500000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5.699</w:t>
            </w:r>
          </w:p>
        </w:tc>
        <w:tc>
          <w:tcPr>
            <w:tcW w:w="0" w:type="auto"/>
          </w:tcPr>
          <w:p>
            <w:pPr>
              <w:spacing w:line="240" w:lineRule="auto" w:before="0" w:after="0"/>
              <w:pStyle w:val="Compact"/>
            </w:pPr>
            <w:r>
              <w:rPr>
                <w:sz w:val="20"/>
                <w:szCs w:val="20"/>
              </w:rPr>
              <w:t xml:space="preserve">0.7404</w:t>
            </w:r>
          </w:p>
        </w:tc>
        <w:tc>
          <w:tcPr>
            <w:tcW w:w="0" w:type="auto"/>
          </w:tcPr>
          <w:p>
            <w:pPr>
              <w:spacing w:line="240" w:lineRule="auto" w:before="0" w:after="0"/>
              <w:pStyle w:val="Compact"/>
            </w:pPr>
            <w:r>
              <w:rPr>
                <w:sz w:val="20"/>
                <w:szCs w:val="20"/>
              </w:rPr>
              <w:t xml:space="preserve">Europa Clipper HGA (NASA Science 2024); Ka-band up to 500 kbps under optimal conditions, 32 GHz: science.nasa.gov/missions/europa-clipper/europa-clipper-resources/powerful-antenna-installed-on-europa-clipper</w:t>
            </w:r>
          </w:p>
        </w:tc>
      </w:tr>
      <w:tr>
        <w:tc>
          <w:tcPr>
            <w:tcW w:w="0" w:type="auto"/>
          </w:tcPr>
          <w:p>
            <w:pPr>
              <w:spacing w:line="240" w:lineRule="auto" w:before="0" w:after="0"/>
              <w:pStyle w:val="Compact"/>
            </w:pPr>
            <w:r>
              <w:rPr>
                <w:sz w:val="20"/>
                <w:szCs w:val="20"/>
              </w:rPr>
              <w:t xml:space="preserve">Lucy_Trojans</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120000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5.0792</w:t>
            </w:r>
          </w:p>
        </w:tc>
        <w:tc>
          <w:tcPr>
            <w:tcW w:w="0" w:type="auto"/>
          </w:tcPr>
          <w:p>
            <w:pPr>
              <w:spacing w:line="240" w:lineRule="auto" w:before="0" w:after="0"/>
              <w:pStyle w:val="Compact"/>
            </w:pPr>
            <w:r>
              <w:rPr>
                <w:sz w:val="20"/>
                <w:szCs w:val="20"/>
              </w:rPr>
              <w:t xml:space="preserve">0.7404</w:t>
            </w:r>
          </w:p>
        </w:tc>
        <w:tc>
          <w:tcPr>
            <w:tcW w:w="0" w:type="auto"/>
          </w:tcPr>
          <w:p>
            <w:pPr>
              <w:spacing w:line="240" w:lineRule="auto" w:before="0" w:after="0"/>
              <w:pStyle w:val="Compact"/>
            </w:pPr>
            <w:r>
              <w:rPr>
                <w:sz w:val="20"/>
                <w:szCs w:val="20"/>
              </w:rPr>
              <w:t xml:space="preserve">Lucy spacecraft (NASA Science / Estevez decoding 2021); 2 m HGA, X-band, ~120 kbaud after HGA switch: science.nasa.gov/mission/lucy/spacecraft</w:t>
            </w:r>
          </w:p>
        </w:tc>
      </w:tr>
      <w:tr>
        <w:tc>
          <w:tcPr>
            <w:tcW w:w="0" w:type="auto"/>
          </w:tcPr>
          <w:p>
            <w:pPr>
              <w:spacing w:line="240" w:lineRule="auto" w:before="0" w:after="0"/>
              <w:pStyle w:val="Compact"/>
            </w:pPr>
            <w:r>
              <w:rPr>
                <w:sz w:val="20"/>
                <w:szCs w:val="20"/>
              </w:rPr>
              <w:t xml:space="preserve">Juno_Ka_gravity</w:t>
            </w:r>
          </w:p>
        </w:tc>
        <w:tc>
          <w:tcPr>
            <w:tcW w:w="0" w:type="auto"/>
          </w:tcPr>
          <w:p>
            <w:pPr>
              <w:spacing w:line="240" w:lineRule="auto" w:before="0" w:after="0"/>
              <w:pStyle w:val="Compact"/>
            </w:pPr>
            <w:r>
              <w:rPr>
                <w:sz w:val="20"/>
                <w:szCs w:val="20"/>
              </w:rPr>
              <w:t xml:space="preserve">Ka-band</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3.3979</w:t>
            </w:r>
          </w:p>
        </w:tc>
        <w:tc>
          <w:tcPr>
            <w:tcW w:w="0" w:type="auto"/>
          </w:tcPr>
          <w:p>
            <w:pPr>
              <w:spacing w:line="240" w:lineRule="auto" w:before="0" w:after="0"/>
              <w:pStyle w:val="Compact"/>
            </w:pPr>
            <w:r>
              <w:rPr>
                <w:sz w:val="20"/>
                <w:szCs w:val="20"/>
              </w:rPr>
              <w:t xml:space="preserve">0.7324</w:t>
            </w:r>
          </w:p>
        </w:tc>
        <w:tc>
          <w:tcPr>
            <w:tcW w:w="0" w:type="auto"/>
          </w:tcPr>
          <w:p>
            <w:pPr>
              <w:spacing w:line="240" w:lineRule="auto" w:before="0" w:after="0"/>
              <w:pStyle w:val="Compact"/>
            </w:pPr>
            <w:r>
              <w:rPr>
                <w:sz w:val="20"/>
                <w:szCs w:val="20"/>
              </w:rPr>
              <w:t xml:space="preserve">Juno KaTS DESCANSO Article 16; Ka translator 2.5 W (34 dBm) 32 GHz carrier for gravity science: descanso.jpl.nasa.gov/DPSummary/Juno_DESCANSO_Post121106H–Compact.pdf</w:t>
            </w:r>
          </w:p>
        </w:tc>
      </w:tr>
      <w:tr>
        <w:tc>
          <w:tcPr>
            <w:tcW w:w="0" w:type="auto"/>
          </w:tcPr>
          <w:p>
            <w:pPr>
              <w:spacing w:line="240" w:lineRule="auto" w:before="0" w:after="0"/>
              <w:pStyle w:val="Compact"/>
            </w:pPr>
            <w:r>
              <w:rPr>
                <w:sz w:val="20"/>
                <w:szCs w:val="20"/>
              </w:rPr>
              <w:t xml:space="preserve">Mariner_10_Mercury</w:t>
            </w:r>
          </w:p>
        </w:tc>
        <w:tc>
          <w:tcPr>
            <w:tcW w:w="0" w:type="auto"/>
          </w:tcPr>
          <w:p>
            <w:pPr>
              <w:spacing w:line="240" w:lineRule="auto" w:before="0" w:after="0"/>
              <w:pStyle w:val="Compact"/>
            </w:pPr>
            <w:r>
              <w:rPr>
                <w:sz w:val="20"/>
                <w:szCs w:val="20"/>
              </w:rPr>
              <w:t xml:space="preserve">X-band</w:t>
            </w:r>
          </w:p>
        </w:tc>
        <w:tc>
          <w:tcPr>
            <w:tcW w:w="0" w:type="auto"/>
          </w:tcPr>
          <w:p>
            <w:pPr>
              <w:spacing w:line="240" w:lineRule="auto" w:before="0" w:after="0"/>
              <w:pStyle w:val="Compact"/>
            </w:pPr>
            <w:r>
              <w:rPr>
                <w:sz w:val="20"/>
                <w:szCs w:val="20"/>
              </w:rPr>
              <w:t xml:space="preserve">117600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5.0704</w:t>
            </w:r>
          </w:p>
        </w:tc>
        <w:tc>
          <w:tcPr>
            <w:tcW w:w="0" w:type="auto"/>
          </w:tcPr>
          <w:p>
            <w:pPr>
              <w:spacing w:line="240" w:lineRule="auto" w:before="0" w:after="0"/>
              <w:pStyle w:val="Compact"/>
            </w:pPr>
            <w:r>
              <w:rPr>
                <w:sz w:val="20"/>
                <w:szCs w:val="20"/>
              </w:rPr>
              <w:t xml:space="preserve">-0.1549</w:t>
            </w:r>
          </w:p>
        </w:tc>
        <w:tc>
          <w:tcPr>
            <w:tcW w:w="0" w:type="auto"/>
          </w:tcPr>
          <w:p>
            <w:pPr>
              <w:spacing w:line="240" w:lineRule="auto" w:before="0" w:after="0"/>
              <w:pStyle w:val="Compact"/>
            </w:pPr>
            <w:r>
              <w:rPr>
                <w:sz w:val="20"/>
                <w:szCs w:val="20"/>
              </w:rPr>
              <w:t xml:space="preserve">Mariner 10 (NSSDCA); 1.37 m HGA, X-band added, up to 117.6 kbps at Mercury encounter [illustrative rate from era DSN tables]: nssdc.gsfc.nasa.gov</w:t>
            </w:r>
          </w:p>
        </w:tc>
      </w:tr>
    </w:tbl>
    <w:bookmarkEnd w:id="201"/>
    <w:bookmarkStart w:id="20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log10_rate</w:t>
            </w:r>
          </w:p>
        </w:tc>
        <w:tc>
          <w:tcPr>
            <w:tcW w:w="0" w:type="auto"/>
          </w:tcPr>
          <w:p>
            <w:pPr>
              <w:spacing w:line="240" w:lineRule="auto" w:before="0" w:after="0"/>
              <w:pStyle w:val="Compact"/>
            </w:pPr>
            <w:r>
              <w:rPr>
                <w:sz w:val="20"/>
                <w:szCs w:val="20"/>
              </w:rPr>
              <w:t xml:space="preserve">Base-10 logarithm of the achieved downlink telemetry rate (bits per second). Dependent variable; the link equation predicts that achievable rate scales multiplicatively with effective isotropic radiated power and inversely with range squared, so a log scale linearizes the relationship.</w:t>
            </w:r>
          </w:p>
        </w:tc>
        <w:tc>
          <w:tcPr>
            <w:tcW w:w="0" w:type="auto"/>
          </w:tcPr>
          <w:p>
            <w:pPr>
              <w:spacing w:line="240" w:lineRule="auto" w:before="0" w:after="0"/>
              <w:pStyle w:val="Compact"/>
            </w:pPr>
            <w:r>
              <w:rPr>
                <w:sz w:val="20"/>
                <w:szCs w:val="20"/>
              </w:rPr>
              <w:t xml:space="preserve">Computed from data_rate_bps; rates drawn from DESCANSO mission telecom summaries and NASA/JPL mission references (see per-row source column)</w:t>
            </w:r>
          </w:p>
        </w:tc>
      </w:tr>
      <w:tr>
        <w:tc>
          <w:tcPr>
            <w:tcW w:w="0" w:type="auto"/>
          </w:tcPr>
          <w:p>
            <w:pPr>
              <w:spacing w:line="240" w:lineRule="auto" w:before="0" w:after="0"/>
              <w:pStyle w:val="Compact"/>
            </w:pPr>
            <w:r>
              <w:rPr>
                <w:sz w:val="20"/>
                <w:szCs w:val="20"/>
              </w:rPr>
              <w:t xml:space="preserve">tx_power_w</w:t>
            </w:r>
          </w:p>
        </w:tc>
        <w:tc>
          <w:tcPr>
            <w:tcW w:w="0" w:type="auto"/>
          </w:tcPr>
          <w:p>
            <w:pPr>
              <w:spacing w:line="240" w:lineRule="auto" w:before="0" w:after="0"/>
              <w:pStyle w:val="Compact"/>
            </w:pPr>
            <w:r>
              <w:rPr>
                <w:sz w:val="20"/>
                <w:szCs w:val="20"/>
              </w:rPr>
              <w:t xml:space="preserve">Spacecraft downlink transmitter RF output power in watts (traveling-wave-tube amplifier or solid-state amplifier high-power setting). A primary driver of effective isotropic radiated power.</w:t>
            </w:r>
          </w:p>
        </w:tc>
        <w:tc>
          <w:tcPr>
            <w:tcW w:w="0" w:type="auto"/>
          </w:tcPr>
          <w:p>
            <w:pPr>
              <w:spacing w:line="240" w:lineRule="auto" w:before="0" w:after="0"/>
              <w:pStyle w:val="Compact"/>
            </w:pPr>
            <w:r>
              <w:rPr>
                <w:sz w:val="20"/>
                <w:szCs w:val="20"/>
              </w:rPr>
              <w:t xml:space="preserve">DESCANSO summaries and mission press kits (Voyager 18 W X-TWTA; Cassini 20 W; Juno 25 W; MRO/MAVEN/Psyche/Lucy 100 W; New Horizons 12 W; Parker 34 W Ka)</w:t>
            </w:r>
          </w:p>
        </w:tc>
      </w:tr>
      <w:tr>
        <w:tc>
          <w:tcPr>
            <w:tcW w:w="0" w:type="auto"/>
          </w:tcPr>
          <w:p>
            <w:pPr>
              <w:spacing w:line="240" w:lineRule="auto" w:before="0" w:after="0"/>
              <w:pStyle w:val="Compact"/>
            </w:pPr>
            <w:r>
              <w:rPr>
                <w:sz w:val="20"/>
                <w:szCs w:val="20"/>
              </w:rPr>
              <w:t xml:space="preserve">hga_diam_m</w:t>
            </w:r>
          </w:p>
        </w:tc>
        <w:tc>
          <w:tcPr>
            <w:tcW w:w="0" w:type="auto"/>
          </w:tcPr>
          <w:p>
            <w:pPr>
              <w:spacing w:line="240" w:lineRule="auto" w:before="0" w:after="0"/>
              <w:pStyle w:val="Compact"/>
            </w:pPr>
            <w:r>
              <w:rPr>
                <w:sz w:val="20"/>
                <w:szCs w:val="20"/>
              </w:rPr>
              <w:t xml:space="preserve">High-gain antenna reflector diameter in meters (0 where the documented rate was achieved through a low- or medium-gain antenna rather than the HGA). Larger aperture raises antenna gain and effective isotropic radiated power.</w:t>
            </w:r>
          </w:p>
        </w:tc>
        <w:tc>
          <w:tcPr>
            <w:tcW w:w="0" w:type="auto"/>
          </w:tcPr>
          <w:p>
            <w:pPr>
              <w:spacing w:line="240" w:lineRule="auto" w:before="0" w:after="0"/>
              <w:pStyle w:val="Compact"/>
            </w:pPr>
            <w:r>
              <w:rPr>
                <w:sz w:val="20"/>
                <w:szCs w:val="20"/>
              </w:rPr>
              <w:t xml:space="preserve">DESCANSO summaries and NASA mission pages (Voyager 3.66 m; Cassini 4.0 m; Magellan 3.7 m; Juno 2.5 m; New Horizons 2.1 m; MRO/Europa Clipper 3.0 m; Parker 0.6 m)</w:t>
            </w:r>
          </w:p>
        </w:tc>
      </w:tr>
      <w:tr>
        <w:tc>
          <w:tcPr>
            <w:tcW w:w="0" w:type="auto"/>
          </w:tcPr>
          <w:p>
            <w:pPr>
              <w:spacing w:line="240" w:lineRule="auto" w:before="0" w:after="0"/>
              <w:pStyle w:val="Compact"/>
            </w:pPr>
            <w:r>
              <w:rPr>
                <w:sz w:val="20"/>
                <w:szCs w:val="20"/>
              </w:rPr>
              <w:t xml:space="preserve">ka_band</w:t>
            </w:r>
          </w:p>
        </w:tc>
        <w:tc>
          <w:tcPr>
            <w:tcW w:w="0" w:type="auto"/>
          </w:tcPr>
          <w:p>
            <w:pPr>
              <w:spacing w:line="240" w:lineRule="auto" w:before="0" w:after="0"/>
              <w:pStyle w:val="Compact"/>
            </w:pPr>
            <w:r>
              <w:rPr>
                <w:sz w:val="20"/>
                <w:szCs w:val="20"/>
              </w:rPr>
              <w:t xml:space="preserve">Indicator equal to 1 when the downlink operated in Ka-band (about 32 GHz) and 0 for X-band or S-band. Higher carrier frequency yields higher antenna gain for a given aperture and wider allocated bandwidth.</w:t>
            </w:r>
          </w:p>
        </w:tc>
        <w:tc>
          <w:tcPr>
            <w:tcW w:w="0" w:type="auto"/>
          </w:tcPr>
          <w:p>
            <w:pPr>
              <w:spacing w:line="240" w:lineRule="auto" w:before="0" w:after="0"/>
              <w:pStyle w:val="Compact"/>
            </w:pPr>
            <w:r>
              <w:rPr>
                <w:sz w:val="20"/>
                <w:szCs w:val="20"/>
              </w:rPr>
              <w:t xml:space="preserve">DESCANSO and mission references (MRO Ka demo; Parker Solar Probe; Europa Clipper Ka; Juno KaTS gravity carrier)</w:t>
            </w:r>
          </w:p>
        </w:tc>
      </w:tr>
      <w:tr>
        <w:tc>
          <w:tcPr>
            <w:tcW w:w="0" w:type="auto"/>
          </w:tcPr>
          <w:p>
            <w:pPr>
              <w:spacing w:line="240" w:lineRule="auto" w:before="0" w:after="0"/>
              <w:pStyle w:val="Compact"/>
            </w:pPr>
            <w:r>
              <w:rPr>
                <w:sz w:val="20"/>
                <w:szCs w:val="20"/>
              </w:rPr>
              <w:t xml:space="preserve">log10_range</w:t>
            </w:r>
          </w:p>
        </w:tc>
        <w:tc>
          <w:tcPr>
            <w:tcW w:w="0" w:type="auto"/>
          </w:tcPr>
          <w:p>
            <w:pPr>
              <w:spacing w:line="240" w:lineRule="auto" w:before="0" w:after="0"/>
              <w:pStyle w:val="Compact"/>
            </w:pPr>
            <w:r>
              <w:rPr>
                <w:sz w:val="20"/>
                <w:szCs w:val="20"/>
              </w:rPr>
              <w:t xml:space="preserve">Base-10 logarithm of the spacecraft-to-Earth range in astronomical units at the time the rate was achieved. Free-space path loss rises with range squared, so distance is the dominant margin penalty.</w:t>
            </w:r>
          </w:p>
        </w:tc>
        <w:tc>
          <w:tcPr>
            <w:tcW w:w="0" w:type="auto"/>
          </w:tcPr>
          <w:p>
            <w:pPr>
              <w:spacing w:line="240" w:lineRule="auto" w:before="0" w:after="0"/>
              <w:pStyle w:val="Compact"/>
            </w:pPr>
            <w:r>
              <w:rPr>
                <w:sz w:val="20"/>
                <w:szCs w:val="20"/>
              </w:rPr>
              <w:t xml:space="preserve">Computed from range_au; encounter and cruise distances from NASA mission timelines and DESCANSO summaries</w:t>
            </w:r>
          </w:p>
        </w:tc>
      </w:tr>
    </w:tbl>
    <w:bookmarkEnd w:id="202"/>
    <w:bookmarkEnd w:id="203"/>
    <w:bookmarkEnd w:id="20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9" Type="http://schemas.openxmlformats.org/officeDocument/2006/relationships/image" Target="media/rId189.png"/><Relationship Id="rId197" Type="http://schemas.openxmlformats.org/officeDocument/2006/relationships/image" Target="media/rId197.png"/><Relationship Id="rId159" Type="http://schemas.openxmlformats.org/officeDocument/2006/relationships/hyperlink" Target="https://doi.org/10.1007/s11214-025-01222-1" TargetMode="External"/><Relationship Id="rId134" Type="http://schemas.openxmlformats.org/officeDocument/2006/relationships/hyperlink" Target="https://doi.org/10.1016/j.actaastro.2019.10.011" TargetMode="External"/><Relationship Id="rId175" Type="http://schemas.openxmlformats.org/officeDocument/2006/relationships/hyperlink" Target="https://doi.org/10.1016/j.actaastro.2022.05.022" TargetMode="External"/><Relationship Id="rId151" Type="http://schemas.openxmlformats.org/officeDocument/2006/relationships/hyperlink" Target="https://doi.org/10.1016/j.actaastro.2023.01.040" TargetMode="External"/><Relationship Id="rId136" Type="http://schemas.openxmlformats.org/officeDocument/2006/relationships/hyperlink" Target="https://doi.org/10.1016/j.actaastro.2023.07.014" TargetMode="External"/><Relationship Id="rId177" Type="http://schemas.openxmlformats.org/officeDocument/2006/relationships/hyperlink" Target="https://doi.org/10.1016/j.actaastro.2024.05.017" TargetMode="External"/><Relationship Id="rId185" Type="http://schemas.openxmlformats.org/officeDocument/2006/relationships/hyperlink" Target="https://doi.org/10.1016/j.actaastro.2024.07.022" TargetMode="External"/><Relationship Id="rId173" Type="http://schemas.openxmlformats.org/officeDocument/2006/relationships/hyperlink" Target="https://doi.org/10.1016/j.actaastro.2025.01.035" TargetMode="External"/><Relationship Id="rId183" Type="http://schemas.openxmlformats.org/officeDocument/2006/relationships/hyperlink" Target="https://doi.org/10.1016/j.actaastro.2025.04.038" TargetMode="External"/><Relationship Id="rId181" Type="http://schemas.openxmlformats.org/officeDocument/2006/relationships/hyperlink" Target="https://doi.org/10.1016/j.actaastro.2025.06.050" TargetMode="External"/><Relationship Id="rId171" Type="http://schemas.openxmlformats.org/officeDocument/2006/relationships/hyperlink" Target="https://doi.org/10.1016/j.actaastro.2025.08.042" TargetMode="External"/><Relationship Id="rId179" Type="http://schemas.openxmlformats.org/officeDocument/2006/relationships/hyperlink" Target="https://doi.org/10.1016/j.actaastro.2025.12.003" TargetMode="External"/><Relationship Id="rId138" Type="http://schemas.openxmlformats.org/officeDocument/2006/relationships/hyperlink" Target="https://doi.org/10.1016/j.actaastro.2025.12.026" TargetMode="External"/><Relationship Id="rId164" Type="http://schemas.openxmlformats.org/officeDocument/2006/relationships/hyperlink" Target="https://doi.org/10.64861/DDFP2152" TargetMode="External"/><Relationship Id="rId168" Type="http://schemas.openxmlformats.org/officeDocument/2006/relationships/hyperlink" Target="https://doi.org/10.64861/RRTQ9485" TargetMode="External"/></Relationships>
</file>

<file path=word/_rels/footnotes.xml.rels><?xml version='1.0' encoding='UTF-8' standalone='yes'?>
<Relationships xmlns="http://schemas.openxmlformats.org/package/2006/relationships"><Relationship Id="rId159" Type="http://schemas.openxmlformats.org/officeDocument/2006/relationships/hyperlink" Target="https://doi.org/10.1007/s11214-025-01222-1" TargetMode="External"/><Relationship Id="rId134" Type="http://schemas.openxmlformats.org/officeDocument/2006/relationships/hyperlink" Target="https://doi.org/10.1016/j.actaastro.2019.10.011" TargetMode="External"/><Relationship Id="rId175" Type="http://schemas.openxmlformats.org/officeDocument/2006/relationships/hyperlink" Target="https://doi.org/10.1016/j.actaastro.2022.05.022" TargetMode="External"/><Relationship Id="rId151" Type="http://schemas.openxmlformats.org/officeDocument/2006/relationships/hyperlink" Target="https://doi.org/10.1016/j.actaastro.2023.01.040" TargetMode="External"/><Relationship Id="rId136" Type="http://schemas.openxmlformats.org/officeDocument/2006/relationships/hyperlink" Target="https://doi.org/10.1016/j.actaastro.2023.07.014" TargetMode="External"/><Relationship Id="rId177" Type="http://schemas.openxmlformats.org/officeDocument/2006/relationships/hyperlink" Target="https://doi.org/10.1016/j.actaastro.2024.05.017" TargetMode="External"/><Relationship Id="rId185" Type="http://schemas.openxmlformats.org/officeDocument/2006/relationships/hyperlink" Target="https://doi.org/10.1016/j.actaastro.2024.07.022" TargetMode="External"/><Relationship Id="rId173" Type="http://schemas.openxmlformats.org/officeDocument/2006/relationships/hyperlink" Target="https://doi.org/10.1016/j.actaastro.2025.01.035" TargetMode="External"/><Relationship Id="rId183" Type="http://schemas.openxmlformats.org/officeDocument/2006/relationships/hyperlink" Target="https://doi.org/10.1016/j.actaastro.2025.04.038" TargetMode="External"/><Relationship Id="rId181" Type="http://schemas.openxmlformats.org/officeDocument/2006/relationships/hyperlink" Target="https://doi.org/10.1016/j.actaastro.2025.06.050" TargetMode="External"/><Relationship Id="rId171" Type="http://schemas.openxmlformats.org/officeDocument/2006/relationships/hyperlink" Target="https://doi.org/10.1016/j.actaastro.2025.08.042" TargetMode="External"/><Relationship Id="rId179" Type="http://schemas.openxmlformats.org/officeDocument/2006/relationships/hyperlink" Target="https://doi.org/10.1016/j.actaastro.2025.12.003" TargetMode="External"/><Relationship Id="rId138" Type="http://schemas.openxmlformats.org/officeDocument/2006/relationships/hyperlink" Target="https://doi.org/10.1016/j.actaastro.2025.12.026" TargetMode="External"/><Relationship Id="rId164" Type="http://schemas.openxmlformats.org/officeDocument/2006/relationships/hyperlink" Target="https://doi.org/10.64861/DDFP2152" TargetMode="External"/><Relationship Id="rId168" Type="http://schemas.openxmlformats.org/officeDocument/2006/relationships/hyperlink" Target="https://doi.org/10.64861/RRTQ94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Link-Budget Margin and Downlink Performance: An Econometric Regression of Achieved Data Return on Engineered Margin</dc:title>
  <dc:creator>Mira Vargas (1B-SCN-031)</dc:creator>
  <cp:keywords/>
  <dcterms:created xsi:type="dcterms:W3CDTF">2026-07-02T15:35:19Z</dcterms:created>
  <dcterms:modified xsi:type="dcterms:W3CDTF">2026-07-02T15:35:19Z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