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media/rId75.png" ContentType="image/png"/>
  <Override PartName="/word/media/image14.jpeg" ContentType="image/jpeg"/>
  <Override PartName="/word/media/image1.jpeg" ContentType="image/jpeg"/>
  <Override PartName="/word/media/image2.jpeg" ContentType="image/jpe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jpeg" ContentType="image/jpeg"/>
  <Override PartName="/word/media/image9.png" ContentType="image/png"/>
  <Override PartName="/word/media/image10.png" ContentType="image/png"/>
  <Override PartName="/word/media/image11.png" ContentType="image/png"/>
  <Override PartName="/word/media/image13.png" ContentType="image/png"/>
  <Override PartName="/word/media/image12.png" ContentType="image/png"/>
  <Override PartName="/word/media/image15.jpeg" ContentType="image/jpeg"/>
  <Override PartName="/word/media/image16.png" ContentType="image/png"/>
  <Override PartName="/word/media/image17.png" ContentType="image/png"/>
  <Override PartName="/word/media/image18.png" ContentType="image/png"/>
  <Override PartName="/word/media/image19.jpeg" ContentType="image/jpeg"/>
  <Override PartName="/word/media/image20.png" ContentType="image/png"/>
  <Override PartName="/word/media/image21.png" ContentType="image/png"/>
  <Override PartName="/word/media/image22.png" ContentType="image/png"/>
  <Override PartName="/word/media/image23.png" ContentType="image/png"/>
  <Override PartName="/word/media/image24.jpeg" ContentType="image/jpeg"/>
  <Override PartName="/word/media/image25.jpeg" ContentType="image/jpe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83" w:name="Xb3af29598c1ddb598a3619f9884780a7fa95f9f"/>
    <w:p>
      <w:pPr>
        <w:pStyle w:val="Heading1"/>
      </w:pPr>
      <w:r>
        <w:t xml:space="preserve">What a Mission Extracts From the Common: An OLS Link-Budget Model of Per-Mission Deep Space Network Downlink Throughput</w:t>
      </w:r>
    </w:p>
    <w:bookmarkStart w:id="61" w:name="introduction"/>
    <w:p>
      <w:pPr>
        <w:pStyle w:val="Heading2"/>
      </w:pPr>
      <w:r>
        <w:t xml:space="preserve">1. Introduction</w:t>
      </w:r>
    </w:p>
    <w:p>
      <w:pPr>
        <w:pStyle w:val="FirstParagraph"/>
      </w:pPr>
      <w:r>
        <w:t xml:space="preserve">The NASA Deep Space Network is a finite set of large parabolic apertures at three longitudes, and every interplanetary mission in flight draws on the same antennas to return its science. The dissertation that frames this paper treats that arrangement as a congested common: a rivalrous, hard-to-exclude resource whose users compete for antenna time and whose aggregate demand has grown faster than the installed aperture. Within that frame a prior question deserves an empirical answer. When a mission is granted a pass, how much throughput does it actually pull from the common, and what mission attributes set that figure? The amount a single user extracts per unit of contact time is the elementary quantity from which any congestion or queueing analysis is built, because the load a mission places on the network is the product of how long it holds an antenna and how fast it fills the link while it does.</w:t>
      </w:r>
    </w:p>
    <w:p>
      <w:pPr>
        <w:pStyle w:val="BodyText"/>
      </w:pPr>
      <w:r>
        <w:t xml:space="preserve">This paper estimates that per-mission extraction rate directly. It assembles published telecommunications parameters for twenty-six deep space missions and regresses the logarithm of each mission’s maximum downlink data rate on the logarithms of its high-gain antenna diameter, its radio-frequency transmitter power, and its maximum Earth-spacecraft range. The specification is a link budget written as a Cobb-Douglas relation, so the coefficients are elasticities that can be read against the physics of a radio link. The result locates which spacecraft-side attributes govern a mission’s claim on the shared antennas, and it shows that the claim is set by hardware and orbital geometry rather than by any price the network charges for congestion. That finding is the empirical hinge for the governance argument the dissertation develops later: a common whose draw is fixed by engineering and unmediated by an allocation price is exactly the configuration in which demand outruns supply.</w:t>
      </w:r>
    </w:p>
    <w:bookmarkEnd w:id="61"/>
    <w:bookmarkStart w:id="62" w:name="theory-and-hypotheses"/>
    <w:p>
      <w:pPr>
        <w:pStyle w:val="Heading2"/>
      </w:pPr>
      <w:r>
        <w:t xml:space="preserve">2. Theory and Hypotheses</w:t>
      </w:r>
    </w:p>
    <w:p>
      <w:pPr>
        <w:pStyle w:val="FirstParagraph"/>
      </w:pPr>
      <w:r>
        <w:t xml:space="preserve">A radio downlink obeys a budget. Received signal-to-noise, and therefore the supportable data rate, rises with the equivalent isotropically radiated power of the spacecraft and falls with the square of the distance the signal travels. Spacecraft equivalent radiated power is itself governed by two design choices: the gain of the high-gain antenna, which scales with the square of its diameter, and the output power of the transmitter. Earth-spacecraft range enters as free-space path loss, which is an inverse-square term. Writing the data rate as a product of these factors and taking logs yields a linear-in-logs equation whose slopes are elasticities, the form estimated here.</w:t>
      </w:r>
    </w:p>
    <w:p>
      <w:pPr>
        <w:pStyle w:val="BodyText"/>
      </w:pPr>
      <w:r>
        <w:t xml:space="preserve">The congested-common framing supplies the economic reading of those elasticities. A common-pool resource, in the institutional sense developed by Ostrom and extended to orbital and space-infrastructure settings by Weeden and Chow</w:t>
      </w:r>
      <w:r>
        <w:t xml:space="preserve"> </w:t>
      </w:r>
      <w:hyperlink w:anchor="ref-1">
        <m:oMathPara>
          <m:oMathParaPr>
            <m:jc m:val="center"/>
          </m:oMathParaPr>
          <m:oMath>
            <m:r>
              <m:t>1</m:t>
            </m:r>
          </m:oMath>
        </m:oMathPara>
      </w:hyperlink>
      <w:r>
        <w:t xml:space="preserve"> </w:t>
      </w:r>
      <w:r>
        <w:t xml:space="preserve">and by Weinzierl’s account of space as already</w:t>
      </w:r>
      <w:r>
        <w:t xml:space="preserve"> </w:t>
      </w:r>
      <w:r>
        <w:t xml:space="preserve">“congested, contested, and competitive”</w:t>
      </w:r>
      <w:r>
        <w:t xml:space="preserve"> </w:t>
      </w:r>
      <w:hyperlink w:anchor="ref-2">
        <m:oMathPara>
          <m:oMathParaPr>
            <m:jc m:val="center"/>
          </m:oMathParaPr>
          <m:oMath>
            <m:r>
              <m:t>2</m:t>
            </m:r>
          </m:oMath>
        </m:oMathPara>
      </w:hyperlink>
      <w:r>
        <w:t xml:space="preserve">, is one where each user’s withdrawal is rivalrous and where, absent a governing institution, withdrawals are set by each user’s private capacity rather than by a shared allocation rule. If the DSN behaves as such a common, then the throughput a mission extracts should be explained almost entirely by that mission’s own radiated-power hardware and its position, with no role for a congestion price because none is charged. The link budget and the commons reading therefore make the same prediction, which is what allows the regression to test the engineering claim and motivate the governance claim at once.</w:t>
      </w:r>
    </w:p>
    <w:p>
      <w:pPr>
        <w:pStyle w:val="FirstParagraph"/>
      </w:pPr>
      <w:r>
        <w:t xml:space="preserve">This yields three hypotheses. H1: the elasticity of downlink rate with respect to antenna diameter is positive. H2: the elasticity with respect to transmitter power is positive and economically large, since power is the most directly purchased determinant of radiated strength. H3: the elasticity with respect to Earth range is negative and, given the inverse-square law tempered by adaptive coding and the network’s own large apertures, of order minus one. The contention question that the dissertation pursues, namely how these per-mission draws aggregate into queueing delay across a shared schedule [3, 4], takes this paper’s extraction rates as its inputs.</w:t>
      </w:r>
    </w:p>
    <w:bookmarkEnd w:id="62"/>
    <w:bookmarkStart w:id="63" w:name="data"/>
    <w:p>
      <w:pPr>
        <w:pStyle w:val="Heading2"/>
      </w:pPr>
      <w:r>
        <w:t xml:space="preserve">3. Data</w:t>
      </w:r>
    </w:p>
    <w:p>
      <w:pPr>
        <w:pStyle w:val="FirstParagraph"/>
      </w:pPr>
      <w:r>
        <w:t xml:space="preserve">The dataset is a cross-section of twenty-six deep space missions for which downlink and telecommunications parameters are individually published. For each mission four quantities are recorded: maximum deep-space downlink data rate in bits per second, high-gain antenna diameter in meters, radio-frequency transmitter output power in watts, and maximum Earth-spacecraft range in astronomical units. Every row carries a named source in its final column. Sources are the missions’ encyclopedic telecommunications entries, NASA and ESA fact sheets and press kits, and the JPL Deep Space Communications and Navigation (DESCANSO) Design and Performance Summary Series, which documents the Cassini and Voyager link parameters used here. The sample spans five decades of practice, from the Pioneer and Voyager outer-planets probes through the Mars orbiter fleet to recent missions such as MAVEN, Parker Solar Probe, and OSIRIS-REx, giving wide variation in every regressor.</w:t>
      </w:r>
    </w:p>
    <w:p>
      <w:pPr>
        <w:pStyle w:val="BodyText"/>
      </w:pPr>
      <w:r>
        <w:t xml:space="preserve">Four missions in the table are relay-architecture landers and a lunar orbiter whose primary return path is not a deep-space parabolic dish; their antenna-diameter cells are marked illustrative and, being zero or non-parabolic, drop from the dish model when the logarithm is taken. The estimation therefore runs on the twenty-four missions that return science directly through their own high-gain antenna, which is the population the link-budget specification describes. Recording the relay missions but excluding them from the dish regression keeps the construction transparent rather than silently dropping observations. The dependent and independent variables are stored as natural logarithms computed from the raw published figures, so the regression operates on the elasticity form directly.</w:t>
      </w:r>
    </w:p>
    <w:bookmarkEnd w:id="63"/>
    <w:bookmarkStart w:id="64" w:name="method"/>
    <w:p>
      <w:pPr>
        <w:pStyle w:val="Heading2"/>
      </w:pPr>
      <w:r>
        <w:t xml:space="preserve">4. Method</w:t>
      </w:r>
    </w:p>
    <w:p>
      <w:pPr>
        <w:pStyle w:val="FirstParagraph"/>
      </w:pPr>
      <w:r>
        <w:t xml:space="preserve">The estimator is ordinary least squares on the log-linear link budget, with heteroskedasticity-robust (HC1) standard errors because the missions differ markedly in scale and a constant error variance is implausible across five decades of hardware. The dependent variable is the natural log of maximum downlink rate. The regressors are the natural logs of antenna diameter, transmitter power, and maximum Earth range, plus a constant. Each slope is an elasticity: the percentage change in supportable data rate for a one percent change in the regressor, holding the others fixed. The distance coefficient is the one whose magnitude can be checked against first principles, since free-space path loss predicts an elasticity near minus two before coding gain and the network’s adaptive data-rate practice compress it toward minus one. The Specification, Results, and embedded Empirical Workbook that follow reproduce the regression in full, with every observation and its source carried into the document.</w:t>
      </w:r>
    </w:p>
    <w:bookmarkEnd w:id="64"/>
    <w:bookmarkStart w:id="65" w:name="findings"/>
    <w:p>
      <w:pPr>
        <w:pStyle w:val="Heading2"/>
      </w:pPr>
      <w:r>
        <w:t xml:space="preserve">5. Findings</w:t>
      </w:r>
    </w:p>
    <w:p>
      <w:pPr>
        <w:pStyle w:val="FirstParagraph"/>
      </w:pPr>
      <w:r>
        <w:t xml:space="preserve">The model explains a majority of the cross-mission variation in downlink throughput. On the twenty-four directly-downlinking missions the regression returns an R-squared of 0.569 and an adjusted R-squared of 0.504, with the joint F-statistic of 10.97 significant at p = 0.00018. The link budget, in other words, accounts for most of why one mission pulls megabits per second from the common while another pulls kilobits.</w:t>
      </w:r>
    </w:p>
    <w:p>
      <w:pPr>
        <w:pStyle w:val="BodyText"/>
      </w:pPr>
      <w:r>
        <w:t xml:space="preserve">Transmitter power is the dominant and most precisely estimated driver. Its elasticity is 2.267 with a robust standard error of 0.453 and p &lt; 0.001, so the coefficient is more than five standard errors from zero and its ninety-five percent confidence interval runs from 1.378 to 3.156. A one percent increase in radiated transmitter power is associated with roughly a 2.3 percent increase in supportable downlink rate. The elasticity exceeding one reflects that power on these missions tends to rise together with the coding, modulation, and ground-aperture choices that convert raw watts into bits, so power proxies for a bundle of rate-raising design decisions. This is strong support for H2.</w:t>
      </w:r>
    </w:p>
    <w:p>
      <w:pPr>
        <w:pStyle w:val="BodyText"/>
      </w:pPr>
      <w:r>
        <w:t xml:space="preserve">Earth-spacecraft range carries the negative elasticity the physics predicts. Its coefficient is -1.051 with a robust standard error of 0.445 and p = 0.018, significant at the five percent level, with a confidence interval from -1.924 to -0.178. A mission operating one percent farther from Earth supports roughly one percent less downlink rate, and the point estimate sits almost exactly at minus one, the value expected when inverse-square free-space loss is offset by adaptive coding and the network’s large receiving apertures. This confirms H3 both in sign and in order of magnitude, and it is the quantitative expression of the contention penalty that distance imposes on every outer-planets user of the common.</w:t>
      </w:r>
    </w:p>
    <w:p>
      <w:pPr>
        <w:pStyle w:val="BodyText"/>
      </w:pPr>
      <w:r>
        <w:t xml:space="preserve">Antenna diameter is the one hypothesis the data do not support. Its elasticity is -0.119 with a robust standard error of 0.587 and p = 0.840, statistically indistinguishable from zero, with a confidence interval spanning -1.269 to 1.032 that comfortably includes both positive and negative values. H1 is not confirmed. The reading is not that aperture is irrelevant to a link budget, which would contradict physics, but that within this sample aperture carries little independent information once power and range are held fixed. Several recent high-rate missions pair small dishes with high transmitter power and Ka-band or relay-assisted architectures, while some early large-dish probes ran low-power transmitters, so diameter and the other regressors are entangled and the diameter slope is estimated imprecisely. The constant of 4.823 (se 1.591, p = 0.002) anchors the fitted surface.</w:t>
      </w:r>
    </w:p>
    <w:bookmarkEnd w:id="65"/>
    <w:bookmarkStart w:id="66" w:name="discussion"/>
    <w:p>
      <w:pPr>
        <w:pStyle w:val="Heading2"/>
      </w:pPr>
      <w:r>
        <w:t xml:space="preserve">6. Discussion</w:t>
      </w:r>
    </w:p>
    <w:p>
      <w:pPr>
        <w:pStyle w:val="FirstParagraph"/>
      </w:pPr>
      <w:r>
        <w:t xml:space="preserve">The estimates give the congested-common argument an empirical floor. A single relationship in three published spacecraft attributes reproduces most of the spread in how much each mission draws from the Deep Space Network, and the two terms that matter are the mission’s own transmitter power and its distance from Earth. Both are properties the spacecraft brings with it; neither is a signal the network sends back about scarcity. The draw on the common is therefore set by private engineering and by orbital geometry, not by any allocation price, which is precisely the structure under which a rivalrous shared resource tends toward over-subscription. The downlink-rate extraction surface estimated here is the per-user withdrawal function that a queueing-and-contention model of the network must take as given, and it explains why aggregate demand pressure concentrates among the high-power, deep-range missions that simultaneously hold antennas longest and fill links fastest.</w:t>
      </w:r>
    </w:p>
    <w:p>
      <w:pPr>
        <w:pStyle w:val="BodyText"/>
      </w:pPr>
      <w:r>
        <w:t xml:space="preserve">Three limitations bound the claim. The sample is twenty-six missions and the dish model twenty-four, so the elasticities are estimated with the modest precision that the wide confidence intervals make explicit, and the insignificant antenna term in particular reflects collinearity rather than a settled null. The maximum published data rate is a design ceiling rather than a realized average over a mission’s life, so the model describes peak extraction capacity rather than time-averaged load. And the four relay-architecture missions, recorded but excluded, point to a second extraction channel through orbiting relays whose own draw on the common a fuller model would add. None of these undercuts the central result: the throughput a mission pulls from the shared antennas is governed by its radiated power and its range, the common charges nothing for that draw, and that combination is the empirical premise the dissertation’s governance argument requires.</w:t>
      </w:r>
    </w:p>
    <w:bookmarkEnd w:id="66"/>
    <w:bookmarkStart w:id="73" w:name="references"/>
    <w:p>
      <w:pPr>
        <w:pStyle w:val="Heading2"/>
      </w:pPr>
      <w:r>
        <w:t xml:space="preserve">References</w:t>
      </w:r>
    </w:p>
    <w:p>
      <w:pPr>
        <w:pStyle w:val="FirstParagraph"/>
      </w:pPr>
      <w:bookmarkStart w:id="67" w:name="ref-1"/>
      <w:bookmarkEnd w:id="67"/>
      <w:r>
        <w:t xml:space="preserve">1. B. C. Weeden and T. Chow,</w:t>
      </w:r>
      <w:r>
        <w:t xml:space="preserve"> </w:t>
      </w:r>
      <w:r>
        <w:t xml:space="preserve">“Taking a common-pool resources approach to space sustainability: A framework and potential policies,”</w:t>
      </w:r>
      <w:r>
        <w:t xml:space="preserve"> </w:t>
      </w:r>
      <w:r>
        <w:t xml:space="preserve">Space Policy, vol. 28, no. 3, pp. 166-172, 2012, doi:</w:t>
      </w:r>
      <w:r>
        <w:t xml:space="preserve"> </w:t>
      </w:r>
      <w:hyperlink r:id="rId68">
        <w:r>
          <w:rPr>
            <w:rStyle w:val="Hyperlink"/>
          </w:rPr>
          <w:t xml:space="preserve">10.1016/j.spacepol.2012.06.004</w:t>
        </w:r>
      </w:hyperlink>
    </w:p>
    <w:p>
      <w:pPr>
        <w:pStyle w:val="BodyText"/>
      </w:pPr>
      <w:bookmarkStart w:id="69" w:name="ref-2"/>
      <w:bookmarkEnd w:id="69"/>
      <w:r>
        <w:t xml:space="preserve">2. M. Weinzierl,</w:t>
      </w:r>
      <w:r>
        <w:t xml:space="preserve"> </w:t>
      </w:r>
      <w:r>
        <w:t xml:space="preserve">“Space, the final economic frontier,”</w:t>
      </w:r>
      <w:r>
        <w:t xml:space="preserve"> </w:t>
      </w:r>
      <w:r>
        <w:t xml:space="preserve">Journal of Economic Perspectives, vol. 32, no. 2, pp. 173-192, 2018, doi:</w:t>
      </w:r>
      <w:r>
        <w:t xml:space="preserve"> </w:t>
      </w:r>
      <w:hyperlink r:id="rId70">
        <w:r>
          <w:rPr>
            <w:rStyle w:val="Hyperlink"/>
          </w:rPr>
          <w:t xml:space="preserve">10.1257/jep.32.2.173</w:t>
        </w:r>
      </w:hyperlink>
    </w:p>
    <w:p>
      <w:pPr>
        <w:pStyle w:val="BodyText"/>
      </w:pPr>
      <w:bookmarkStart w:id="71" w:name="ref-3"/>
      <w:bookmarkEnd w:id="71"/>
      <w:r>
        <w:t xml:space="preserve">3. M. Bhasin and J. L. Hayden,</w:t>
      </w:r>
      <w:r>
        <w:t xml:space="preserve"> </w:t>
      </w:r>
      <w:r>
        <w:t xml:space="preserve">“The impact of traffic prioritization on Deep Space Network mission traffic,”</w:t>
      </w:r>
      <w:r>
        <w:t xml:space="preserve"> </w:t>
      </w:r>
      <w:r>
        <w:t xml:space="preserve">NASA Technical Reports Server, document 20110023687, 2011.</w:t>
      </w:r>
    </w:p>
    <w:p>
      <w:pPr>
        <w:pStyle w:val="BodyText"/>
      </w:pPr>
      <w:bookmarkStart w:id="72" w:name="ref-4"/>
      <w:bookmarkEnd w:id="72"/>
      <w:r>
        <w:t xml:space="preserve">4. E. M. Goh, S. R. Chien, and M. D. Johnston,</w:t>
      </w:r>
      <w:r>
        <w:t xml:space="preserve"> </w:t>
      </w:r>
      <w:r>
        <w:t xml:space="preserve">“Scheduling the NASA Deep Space Network with deep reinforcement learning,”</w:t>
      </w:r>
      <w:r>
        <w:t xml:space="preserve"> </w:t>
      </w:r>
      <w:r>
        <w:t xml:space="preserve">NASA Technical Reports Server, document 20220003798, 2022.</w:t>
      </w:r>
    </w:p>
    <w:bookmarkEnd w:id="73"/>
    <w:bookmarkStart w:id="74" w:name="specification"/>
    <w:p>
      <w:pPr>
        <w:pStyle w:val="Heading2"/>
      </w:pPr>
      <w:r>
        <w:t xml:space="preserve">Specification</w:t>
      </w:r>
    </w:p>
    <w:p>
      <w:pPr>
        <w:pStyle w:val="FirstParagraph"/>
      </w:pPr>
      <m:oMathPara>
        <m:oMathParaPr>
          <m:jc m:val="center"/>
        </m:oMathParaPr>
        <m:oMath>
          <m:r>
            <m:rPr>
              <m:sty m:val="p"/>
            </m:rPr>
            <m:t>ln</m:t>
          </m:r>
          <m:r>
            <m:rPr>
              <m:sty m:val="p"/>
            </m:rPr>
            <m:t>(</m:t>
          </m:r>
          <m:sSub>
            <m:e>
              <m:r>
                <m:t>R</m:t>
              </m:r>
            </m:e>
            <m:sub>
              <m:r>
                <m:t>i</m:t>
              </m:r>
            </m:sub>
          </m:sSub>
          <m:r>
            <m:rPr>
              <m:sty m:val="p"/>
            </m:rPr>
            <m:t>)</m:t>
          </m:r>
          <m:r>
            <m:rPr>
              <m:sty m:val="p"/>
            </m:rPr>
            <m:t>=</m:t>
          </m:r>
          <m:sSub>
            <m:e>
              <m:r>
                <m:t>β</m:t>
              </m:r>
            </m:e>
            <m:sub>
              <m:r>
                <m:t>0</m:t>
              </m:r>
            </m:sub>
          </m:sSub>
          <m:r>
            <m:rPr>
              <m:sty m:val="p"/>
            </m:rPr>
            <m:t>+</m:t>
          </m:r>
          <m:sSub>
            <m:e>
              <m:r>
                <m:t>β</m:t>
              </m:r>
            </m:e>
            <m:sub>
              <m:r>
                <m:t>1</m:t>
              </m:r>
            </m:sub>
          </m:sSub>
          <m:r>
            <m:rPr>
              <m:sty m:val="p"/>
            </m:rPr>
            <m:t>ln</m:t>
          </m:r>
          <m:r>
            <m:rPr>
              <m:sty m:val="p"/>
            </m:rPr>
            <m:t>(</m:t>
          </m:r>
          <m:sSub>
            <m:e>
              <m:r>
                <m:t>D</m:t>
              </m:r>
            </m:e>
            <m:sub>
              <m:r>
                <m:t>i</m:t>
              </m:r>
            </m:sub>
          </m:sSub>
          <m:r>
            <m:rPr>
              <m:sty m:val="p"/>
            </m:rPr>
            <m:t>)</m:t>
          </m:r>
          <m:r>
            <m:rPr>
              <m:sty m:val="p"/>
            </m:rPr>
            <m:t>+</m:t>
          </m:r>
          <m:sSub>
            <m:e>
              <m:r>
                <m:t>β</m:t>
              </m:r>
            </m:e>
            <m:sub>
              <m:r>
                <m:t>2</m:t>
              </m:r>
            </m:sub>
          </m:sSub>
          <m:r>
            <m:rPr>
              <m:sty m:val="p"/>
            </m:rPr>
            <m:t>ln</m:t>
          </m:r>
          <m:r>
            <m:rPr>
              <m:sty m:val="p"/>
            </m:rPr>
            <m:t>(</m:t>
          </m:r>
          <m:sSub>
            <m:e>
              <m:r>
                <m:t>P</m:t>
              </m:r>
            </m:e>
            <m:sub>
              <m:r>
                <m:t>i</m:t>
              </m:r>
            </m:sub>
          </m:sSub>
          <m:r>
            <m:rPr>
              <m:sty m:val="p"/>
            </m:rPr>
            <m:t>)</m:t>
          </m:r>
          <m:r>
            <m:rPr>
              <m:sty m:val="p"/>
            </m:rPr>
            <m:t>+</m:t>
          </m:r>
          <m:sSub>
            <m:e>
              <m:r>
                <m:t>β</m:t>
              </m:r>
            </m:e>
            <m:sub>
              <m:r>
                <m:t>3</m:t>
              </m:r>
            </m:sub>
          </m:sSub>
          <m:r>
            <m:rPr>
              <m:sty m:val="p"/>
            </m:rPr>
            <m:t>ln</m:t>
          </m:r>
          <m:r>
            <m:rPr>
              <m:sty m:val="p"/>
            </m:rPr>
            <m:t>(</m:t>
          </m:r>
          <m:sSub>
            <m:e>
              <m:r>
                <m:t>L</m:t>
              </m:r>
            </m:e>
            <m:sub>
              <m:r>
                <m:t>i</m:t>
              </m:r>
            </m:sub>
          </m:sSub>
          <m:r>
            <m:rPr>
              <m:sty m:val="p"/>
            </m:rPr>
            <m:t>)</m:t>
          </m:r>
          <m:r>
            <m:rPr>
              <m:sty m:val="p"/>
            </m:rPr>
            <m:t>+</m:t>
          </m:r>
          <m:sSub>
            <m:e>
              <m:r>
                <m:t>ε</m:t>
              </m:r>
            </m:e>
            <m:sub>
              <m:r>
                <m:t>i</m:t>
              </m:r>
            </m:sub>
          </m:sSub>
        </m:oMath>
      </m:oMathPara>
    </w:p>
    <w:bookmarkEnd w:id="74"/>
    <w:bookmarkStart w:id="78" w:name="results"/>
    <w:p>
      <w:pPr>
        <w:pStyle w:val="Heading2"/>
      </w:pPr>
      <w:r>
        <w:t xml:space="preserve">Results</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4.8226</w:t>
            </w:r>
          </w:p>
        </w:tc>
        <w:tc>
          <w:tcPr>
            <w:tcW w:w="0" w:type="auto"/>
          </w:tcPr>
          <w:p>
            <w:pPr>
              <w:spacing w:line="240" w:lineRule="auto" w:before="0" w:after="0"/>
              <w:pStyle w:val="Compact"/>
            </w:pPr>
            <w:r>
              <w:rPr>
                <w:sz w:val="20"/>
                <w:szCs w:val="20"/>
              </w:rPr>
              <w:t xml:space="preserve">1.5915</w:t>
            </w:r>
          </w:p>
        </w:tc>
        <w:tc>
          <w:tcPr>
            <w:tcW w:w="0" w:type="auto"/>
          </w:tcPr>
          <w:p>
            <w:pPr>
              <w:spacing w:line="240" w:lineRule="auto" w:before="0" w:after="0"/>
              <w:pStyle w:val="Compact"/>
            </w:pPr>
            <w:r>
              <w:rPr>
                <w:sz w:val="20"/>
                <w:szCs w:val="20"/>
              </w:rPr>
              <w:t xml:space="preserve">3.0302</w:t>
            </w:r>
          </w:p>
        </w:tc>
        <w:tc>
          <w:tcPr>
            <w:tcW w:w="0" w:type="auto"/>
          </w:tcPr>
          <w:p>
            <w:pPr>
              <w:spacing w:line="240" w:lineRule="auto" w:before="0" w:after="0"/>
              <w:pStyle w:val="Compact"/>
            </w:pPr>
            <w:r>
              <w:rPr>
                <w:sz w:val="20"/>
                <w:szCs w:val="20"/>
              </w:rPr>
              <w:t xml:space="preserve">0.0024</w:t>
            </w:r>
          </w:p>
        </w:tc>
        <w:tc>
          <w:tcPr>
            <w:tcW w:w="0" w:type="auto"/>
          </w:tcPr>
          <w:p>
            <w:pPr>
              <w:spacing w:line="240" w:lineRule="auto" w:before="0" w:after="0"/>
              <w:pStyle w:val="Compact"/>
            </w:pPr>
            <w:r>
              <w:rPr>
                <w:sz w:val="20"/>
                <w:szCs w:val="20"/>
              </w:rPr>
              <w:t xml:space="preserve">[1.7033, 7.9419]</w:t>
            </w:r>
          </w:p>
        </w:tc>
      </w:tr>
      <w:tr>
        <w:tc>
          <w:tcPr>
            <w:tcW w:w="0" w:type="auto"/>
          </w:tcPr>
          <w:p>
            <w:pPr>
              <w:spacing w:line="240" w:lineRule="auto" w:before="0" w:after="0"/>
              <w:pStyle w:val="Compact"/>
            </w:pPr>
            <w:r>
              <w:rPr>
                <w:sz w:val="20"/>
                <w:szCs w:val="20"/>
              </w:rPr>
              <w:t xml:space="preserve">ln_hga</w:t>
            </w:r>
          </w:p>
        </w:tc>
        <w:tc>
          <w:tcPr>
            <w:tcW w:w="0" w:type="auto"/>
          </w:tcPr>
          <w:p>
            <w:pPr>
              <w:spacing w:line="240" w:lineRule="auto" w:before="0" w:after="0"/>
              <w:pStyle w:val="Compact"/>
            </w:pPr>
            <w:r>
              <w:rPr>
                <w:sz w:val="20"/>
                <w:szCs w:val="20"/>
              </w:rPr>
              <w:t xml:space="preserve">-0.1185</w:t>
            </w:r>
          </w:p>
        </w:tc>
        <w:tc>
          <w:tcPr>
            <w:tcW w:w="0" w:type="auto"/>
          </w:tcPr>
          <w:p>
            <w:pPr>
              <w:spacing w:line="240" w:lineRule="auto" w:before="0" w:after="0"/>
              <w:pStyle w:val="Compact"/>
            </w:pPr>
            <w:r>
              <w:rPr>
                <w:sz w:val="20"/>
                <w:szCs w:val="20"/>
              </w:rPr>
              <w:t xml:space="preserve">0.5868</w:t>
            </w:r>
          </w:p>
        </w:tc>
        <w:tc>
          <w:tcPr>
            <w:tcW w:w="0" w:type="auto"/>
          </w:tcPr>
          <w:p>
            <w:pPr>
              <w:spacing w:line="240" w:lineRule="auto" w:before="0" w:after="0"/>
              <w:pStyle w:val="Compact"/>
            </w:pPr>
            <w:r>
              <w:rPr>
                <w:sz w:val="20"/>
                <w:szCs w:val="20"/>
              </w:rPr>
              <w:t xml:space="preserve">-0.202</w:t>
            </w:r>
          </w:p>
        </w:tc>
        <w:tc>
          <w:tcPr>
            <w:tcW w:w="0" w:type="auto"/>
          </w:tcPr>
          <w:p>
            <w:pPr>
              <w:spacing w:line="240" w:lineRule="auto" w:before="0" w:after="0"/>
              <w:pStyle w:val="Compact"/>
            </w:pPr>
            <w:r>
              <w:rPr>
                <w:sz w:val="20"/>
                <w:szCs w:val="20"/>
              </w:rPr>
              <w:t xml:space="preserve">0.8399</w:t>
            </w:r>
          </w:p>
        </w:tc>
        <w:tc>
          <w:tcPr>
            <w:tcW w:w="0" w:type="auto"/>
          </w:tcPr>
          <w:p>
            <w:pPr>
              <w:spacing w:line="240" w:lineRule="auto" w:before="0" w:after="0"/>
              <w:pStyle w:val="Compact"/>
            </w:pPr>
            <w:r>
              <w:rPr>
                <w:sz w:val="20"/>
                <w:szCs w:val="20"/>
              </w:rPr>
              <w:t xml:space="preserve">[-1.2686, 1.0315]</w:t>
            </w:r>
          </w:p>
        </w:tc>
      </w:tr>
      <w:tr>
        <w:tc>
          <w:tcPr>
            <w:tcW w:w="0" w:type="auto"/>
          </w:tcPr>
          <w:p>
            <w:pPr>
              <w:spacing w:line="240" w:lineRule="auto" w:before="0" w:after="0"/>
              <w:pStyle w:val="Compact"/>
            </w:pPr>
            <w:r>
              <w:rPr>
                <w:sz w:val="20"/>
                <w:szCs w:val="20"/>
              </w:rPr>
              <w:t xml:space="preserve">ln_power</w:t>
            </w:r>
          </w:p>
        </w:tc>
        <w:tc>
          <w:tcPr>
            <w:tcW w:w="0" w:type="auto"/>
          </w:tcPr>
          <w:p>
            <w:pPr>
              <w:spacing w:line="240" w:lineRule="auto" w:before="0" w:after="0"/>
              <w:pStyle w:val="Compact"/>
            </w:pPr>
            <w:r>
              <w:rPr>
                <w:sz w:val="20"/>
                <w:szCs w:val="20"/>
              </w:rPr>
              <w:t xml:space="preserve">2.2669</w:t>
            </w:r>
          </w:p>
        </w:tc>
        <w:tc>
          <w:tcPr>
            <w:tcW w:w="0" w:type="auto"/>
          </w:tcPr>
          <w:p>
            <w:pPr>
              <w:spacing w:line="240" w:lineRule="auto" w:before="0" w:after="0"/>
              <w:pStyle w:val="Compact"/>
            </w:pPr>
            <w:r>
              <w:rPr>
                <w:sz w:val="20"/>
                <w:szCs w:val="20"/>
              </w:rPr>
              <w:t xml:space="preserve">0.4534</w:t>
            </w:r>
          </w:p>
        </w:tc>
        <w:tc>
          <w:tcPr>
            <w:tcW w:w="0" w:type="auto"/>
          </w:tcPr>
          <w:p>
            <w:pPr>
              <w:spacing w:line="240" w:lineRule="auto" w:before="0" w:after="0"/>
              <w:pStyle w:val="Compact"/>
            </w:pPr>
            <w:r>
              <w:rPr>
                <w:sz w:val="20"/>
                <w:szCs w:val="20"/>
              </w:rPr>
              <w:t xml:space="preserve">5.0002</w:t>
            </w:r>
          </w:p>
        </w:tc>
        <w:tc>
          <w:tcPr>
            <w:tcW w:w="0" w:type="auto"/>
          </w:tcPr>
          <w:p>
            <w:pPr>
              <w:spacing w:line="240" w:lineRule="auto" w:before="0" w:after="0"/>
              <w:pStyle w:val="Compact"/>
            </w:pPr>
            <w:r>
              <w:rPr>
                <w:sz w:val="20"/>
                <w:szCs w:val="20"/>
              </w:rPr>
              <w:t xml:space="preserve">5.728e-07</w:t>
            </w:r>
          </w:p>
        </w:tc>
        <w:tc>
          <w:tcPr>
            <w:tcW w:w="0" w:type="auto"/>
          </w:tcPr>
          <w:p>
            <w:pPr>
              <w:spacing w:line="240" w:lineRule="auto" w:before="0" w:after="0"/>
              <w:pStyle w:val="Compact"/>
            </w:pPr>
            <w:r>
              <w:rPr>
                <w:sz w:val="20"/>
                <w:szCs w:val="20"/>
              </w:rPr>
              <w:t xml:space="preserve">[1.3783, 3.1555]</w:t>
            </w:r>
          </w:p>
        </w:tc>
      </w:tr>
      <w:tr>
        <w:tc>
          <w:tcPr>
            <w:tcW w:w="0" w:type="auto"/>
          </w:tcPr>
          <w:p>
            <w:pPr>
              <w:spacing w:line="240" w:lineRule="auto" w:before="0" w:after="0"/>
              <w:pStyle w:val="Compact"/>
            </w:pPr>
            <w:r>
              <w:rPr>
                <w:sz w:val="20"/>
                <w:szCs w:val="20"/>
              </w:rPr>
              <w:t xml:space="preserve">ln_dist</w:t>
            </w:r>
          </w:p>
        </w:tc>
        <w:tc>
          <w:tcPr>
            <w:tcW w:w="0" w:type="auto"/>
          </w:tcPr>
          <w:p>
            <w:pPr>
              <w:spacing w:line="240" w:lineRule="auto" w:before="0" w:after="0"/>
              <w:pStyle w:val="Compact"/>
            </w:pPr>
            <w:r>
              <w:rPr>
                <w:sz w:val="20"/>
                <w:szCs w:val="20"/>
              </w:rPr>
              <w:t xml:space="preserve">-1.0508</w:t>
            </w:r>
          </w:p>
        </w:tc>
        <w:tc>
          <w:tcPr>
            <w:tcW w:w="0" w:type="auto"/>
          </w:tcPr>
          <w:p>
            <w:pPr>
              <w:spacing w:line="240" w:lineRule="auto" w:before="0" w:after="0"/>
              <w:pStyle w:val="Compact"/>
            </w:pPr>
            <w:r>
              <w:rPr>
                <w:sz w:val="20"/>
                <w:szCs w:val="20"/>
              </w:rPr>
              <w:t xml:space="preserve">0.4454</w:t>
            </w:r>
          </w:p>
        </w:tc>
        <w:tc>
          <w:tcPr>
            <w:tcW w:w="0" w:type="auto"/>
          </w:tcPr>
          <w:p>
            <w:pPr>
              <w:spacing w:line="240" w:lineRule="auto" w:before="0" w:after="0"/>
              <w:pStyle w:val="Compact"/>
            </w:pPr>
            <w:r>
              <w:rPr>
                <w:sz w:val="20"/>
                <w:szCs w:val="20"/>
              </w:rPr>
              <w:t xml:space="preserve">-2.3592</w:t>
            </w:r>
          </w:p>
        </w:tc>
        <w:tc>
          <w:tcPr>
            <w:tcW w:w="0" w:type="auto"/>
          </w:tcPr>
          <w:p>
            <w:pPr>
              <w:spacing w:line="240" w:lineRule="auto" w:before="0" w:after="0"/>
              <w:pStyle w:val="Compact"/>
            </w:pPr>
            <w:r>
              <w:rPr>
                <w:sz w:val="20"/>
                <w:szCs w:val="20"/>
              </w:rPr>
              <w:t xml:space="preserve">0.0183</w:t>
            </w:r>
          </w:p>
        </w:tc>
        <w:tc>
          <w:tcPr>
            <w:tcW w:w="0" w:type="auto"/>
          </w:tcPr>
          <w:p>
            <w:pPr>
              <w:spacing w:line="240" w:lineRule="auto" w:before="0" w:after="0"/>
              <w:pStyle w:val="Compact"/>
            </w:pPr>
            <w:r>
              <w:rPr>
                <w:sz w:val="20"/>
                <w:szCs w:val="20"/>
              </w:rPr>
              <w:t xml:space="preserve">[-1.9237, -0.1778]</w:t>
            </w:r>
          </w:p>
        </w:tc>
      </w:tr>
    </w:tbl>
    <w:p>
      <w:pPr>
        <w:pStyle w:val="BodyText"/>
      </w:pPr>
      <w:r>
        <w:t xml:space="preserve">Fit: N = 24 R2 = 0.5689 R2_adj = 0.5043 F = 10.97 F_p = 0.0001785</w:t>
      </w:r>
    </w:p>
    <w:p>
      <w:pPr>
        <w:pStyle w:val="CaptionedFigure"/>
      </w:pPr>
      <w:r>
        <w:drawing>
          <wp:inline>
            <wp:extent cx="5669280" cy="3657600"/>
            <wp:effectExtent b="0" l="0" r="0" t="0"/>
            <wp:docPr descr="Figure 1. Per-mission DSN downlink throughput rises with spacecraft antenna aperture (log-log)." title="" id="76" name="Picture"/>
            <a:graphic>
              <a:graphicData uri="http://schemas.openxmlformats.org/drawingml/2006/picture">
                <pic:pic>
                  <pic:nvPicPr>
                    <pic:cNvPr descr="D:\Claude_Code\brain\collegium\candidates\dissertations\JPL_OPS_COMMS_DATA_05\research_papers\p2\paper_fig1.png" id="77" name="Picture"/>
                    <pic:cNvPicPr>
                      <a:picLocks noChangeArrowheads="1" noChangeAspect="1"/>
                    </pic:cNvPicPr>
                  </pic:nvPicPr>
                  <pic:blipFill>
                    <a:blip r:embed="rId75"/>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pPr>
      <w:r>
        <w:t xml:space="preserve">Figure 1. Per-mission DSN downlink throughput rises with spacecraft antenna aperture (log-log).</w:t>
      </w:r>
    </w:p>
    <w:bookmarkEnd w:id="78"/>
    <w:bookmarkStart w:id="82" w:name="empirical-workbook-embedded"/>
    <w:p>
      <w:pPr>
        <w:pStyle w:val="Heading2"/>
      </w:pPr>
      <w:r>
        <w:t xml:space="preserve">Empirical Workbook (embedded)</w:t>
      </w:r>
    </w:p>
    <w:p>
      <w:pPr>
        <w:pStyle w:val="FirstParagraph"/>
      </w:pPr>
      <w:r>
        <w:t xml:space="preserve">Every figure above is reproduced from the workbook below, which is also attached as the live spreadsheet</w:t>
      </w:r>
      <w:r>
        <w:t xml:space="preserve"> </w:t>
      </w:r>
      <w:r>
        <w:rPr>
          <w:rStyle w:val="VerbatimChar"/>
        </w:rPr>
        <w:t xml:space="preserve">paper.xlsx</w:t>
      </w:r>
      <w:r>
        <w:t xml:space="preserve">. Each observation carries its source.</w:t>
      </w:r>
    </w:p>
    <w:bookmarkStart w:id="79" w:name="data-real-observations"/>
    <w:p>
      <w:pPr>
        <w:pStyle w:val="Heading3"/>
      </w:pPr>
      <w:r>
        <w:t xml:space="preserve">Data (real observations)</w:t>
      </w:r>
    </w:p>
    <w:tbl>
      <w:tblPr>
        <w:tblStyle w:val="Table"/>
        <w:tblLook w:firstRow="1" w:lastRow="0" w:firstColumn="0" w:lastColumn="0" w:noHBand="0" w:noVBand="0" w:val="0020"/>
        <w:tblLayout w:type="autofit"/>
        <w:tblW w:w="0" w:type="auto"/>
      </w:tblPr>
      <w:tblGrid>
        <w:gridCol w:w="660"/>
        <w:gridCol w:w="660"/>
        <w:gridCol w:w="660"/>
        <w:gridCol w:w="660"/>
        <w:gridCol w:w="660"/>
        <w:gridCol w:w="660"/>
        <w:gridCol w:w="660"/>
        <w:gridCol w:w="660"/>
        <w:gridCol w:w="660"/>
        <w:gridCol w:w="660"/>
        <w:gridCol w:w="660"/>
        <w:gridCol w:w="660"/>
      </w:tblGrid>
      <w:tr>
        <w:trPr>
          <w:tblHeader w:val="on"/>
        </w:trPr>
        <w:tc>
          <w:tcPr>
            <w:tcW w:w="0" w:type="auto"/>
          </w:tcPr>
          <w:p>
            <w:pPr>
              <w:spacing w:line="240" w:lineRule="auto" w:before="0" w:after="0"/>
              <w:pStyle w:val="Compact"/>
            </w:pPr>
            <w:r>
              <w:rPr>
                <w:sz w:val="20"/>
                <w:szCs w:val="20"/>
              </w:rPr>
              <w:t xml:space="preserve">mission</w:t>
            </w:r>
          </w:p>
        </w:tc>
        <w:tc>
          <w:tcPr>
            <w:tcW w:w="0" w:type="auto"/>
          </w:tcPr>
          <w:p>
            <w:pPr>
              <w:spacing w:line="240" w:lineRule="auto" w:before="0" w:after="0"/>
              <w:pStyle w:val="Compact"/>
            </w:pPr>
            <w:r>
              <w:rPr>
                <w:sz w:val="20"/>
                <w:szCs w:val="20"/>
              </w:rPr>
              <w:t xml:space="preserve">launch_year</w:t>
            </w:r>
          </w:p>
        </w:tc>
        <w:tc>
          <w:tcPr>
            <w:tcW w:w="0" w:type="auto"/>
          </w:tcPr>
          <w:p>
            <w:pPr>
              <w:spacing w:line="240" w:lineRule="auto" w:before="0" w:after="0"/>
              <w:pStyle w:val="Compact"/>
            </w:pPr>
            <w:r>
              <w:rPr>
                <w:sz w:val="20"/>
                <w:szCs w:val="20"/>
              </w:rPr>
              <w:t xml:space="preserve">hga_diameter_m</w:t>
            </w:r>
          </w:p>
        </w:tc>
        <w:tc>
          <w:tcPr>
            <w:tcW w:w="0" w:type="auto"/>
          </w:tcPr>
          <w:p>
            <w:pPr>
              <w:spacing w:line="240" w:lineRule="auto" w:before="0" w:after="0"/>
              <w:pStyle w:val="Compact"/>
            </w:pPr>
            <w:r>
              <w:rPr>
                <w:sz w:val="20"/>
                <w:szCs w:val="20"/>
              </w:rPr>
              <w:t xml:space="preserve">rf_power_w</w:t>
            </w:r>
          </w:p>
        </w:tc>
        <w:tc>
          <w:tcPr>
            <w:tcW w:w="0" w:type="auto"/>
          </w:tcPr>
          <w:p>
            <w:pPr>
              <w:spacing w:line="240" w:lineRule="auto" w:before="0" w:after="0"/>
              <w:pStyle w:val="Compact"/>
            </w:pPr>
            <w:r>
              <w:rPr>
                <w:sz w:val="20"/>
                <w:szCs w:val="20"/>
              </w:rPr>
              <w:t xml:space="preserve">max_earth_dist_au</w:t>
            </w:r>
          </w:p>
        </w:tc>
        <w:tc>
          <w:tcPr>
            <w:tcW w:w="0" w:type="auto"/>
          </w:tcPr>
          <w:p>
            <w:pPr>
              <w:spacing w:line="240" w:lineRule="auto" w:before="0" w:after="0"/>
              <w:pStyle w:val="Compact"/>
            </w:pPr>
            <w:r>
              <w:rPr>
                <w:sz w:val="20"/>
                <w:szCs w:val="20"/>
              </w:rPr>
              <w:t xml:space="preserve">max_downlink_bps</w:t>
            </w:r>
          </w:p>
        </w:tc>
        <w:tc>
          <w:tcPr>
            <w:tcW w:w="0" w:type="auto"/>
          </w:tcPr>
          <w:p>
            <w:pPr>
              <w:spacing w:line="240" w:lineRule="auto" w:before="0" w:after="0"/>
              <w:pStyle w:val="Compact"/>
            </w:pPr>
            <w:r>
              <w:rPr>
                <w:sz w:val="20"/>
                <w:szCs w:val="20"/>
              </w:rPr>
              <w:t xml:space="preserve">deep_space_band</w:t>
            </w:r>
          </w:p>
        </w:tc>
        <w:tc>
          <w:tcPr>
            <w:tcW w:w="0" w:type="auto"/>
          </w:tcPr>
          <w:p>
            <w:pPr>
              <w:spacing w:line="240" w:lineRule="auto" w:before="0" w:after="0"/>
              <w:pStyle w:val="Compact"/>
            </w:pPr>
            <w:r>
              <w:rPr>
                <w:sz w:val="20"/>
                <w:szCs w:val="20"/>
              </w:rPr>
              <w:t xml:space="preserve">ln_rate</w:t>
            </w:r>
          </w:p>
        </w:tc>
        <w:tc>
          <w:tcPr>
            <w:tcW w:w="0" w:type="auto"/>
          </w:tcPr>
          <w:p>
            <w:pPr>
              <w:spacing w:line="240" w:lineRule="auto" w:before="0" w:after="0"/>
              <w:pStyle w:val="Compact"/>
            </w:pPr>
            <w:r>
              <w:rPr>
                <w:sz w:val="20"/>
                <w:szCs w:val="20"/>
              </w:rPr>
              <w:t xml:space="preserve">ln_hga</w:t>
            </w:r>
          </w:p>
        </w:tc>
        <w:tc>
          <w:tcPr>
            <w:tcW w:w="0" w:type="auto"/>
          </w:tcPr>
          <w:p>
            <w:pPr>
              <w:spacing w:line="240" w:lineRule="auto" w:before="0" w:after="0"/>
              <w:pStyle w:val="Compact"/>
            </w:pPr>
            <w:r>
              <w:rPr>
                <w:sz w:val="20"/>
                <w:szCs w:val="20"/>
              </w:rPr>
              <w:t xml:space="preserve">ln_power</w:t>
            </w:r>
          </w:p>
        </w:tc>
        <w:tc>
          <w:tcPr>
            <w:tcW w:w="0" w:type="auto"/>
          </w:tcPr>
          <w:p>
            <w:pPr>
              <w:spacing w:line="240" w:lineRule="auto" w:before="0" w:after="0"/>
              <w:pStyle w:val="Compact"/>
            </w:pPr>
            <w:r>
              <w:rPr>
                <w:sz w:val="20"/>
                <w:szCs w:val="20"/>
              </w:rPr>
              <w:t xml:space="preserve">ln_dist</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Mars Reconnaissance Orbiter</w:t>
            </w:r>
          </w:p>
        </w:tc>
        <w:tc>
          <w:tcPr>
            <w:tcW w:w="0" w:type="auto"/>
          </w:tcPr>
          <w:p>
            <w:pPr>
              <w:spacing w:line="240" w:lineRule="auto" w:before="0" w:after="0"/>
              <w:pStyle w:val="Compact"/>
            </w:pPr>
            <w:r>
              <w:rPr>
                <w:sz w:val="20"/>
                <w:szCs w:val="20"/>
              </w:rPr>
              <w:t xml:space="preserve">2005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100</w:t>
            </w:r>
          </w:p>
        </w:tc>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6000000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15.6073</w:t>
            </w:r>
          </w:p>
        </w:tc>
        <w:tc>
          <w:tcPr>
            <w:tcW w:w="0" w:type="auto"/>
          </w:tcPr>
          <w:p>
            <w:pPr>
              <w:spacing w:line="240" w:lineRule="auto" w:before="0" w:after="0"/>
              <w:pStyle w:val="Compact"/>
            </w:pPr>
            <w:r>
              <w:rPr>
                <w:sz w:val="20"/>
                <w:szCs w:val="20"/>
              </w:rPr>
              <w:t xml:space="preserve">1.0986</w:t>
            </w:r>
          </w:p>
        </w:tc>
        <w:tc>
          <w:tcPr>
            <w:tcW w:w="0" w:type="auto"/>
          </w:tcPr>
          <w:p>
            <w:pPr>
              <w:spacing w:line="240" w:lineRule="auto" w:before="0" w:after="0"/>
              <w:pStyle w:val="Compact"/>
            </w:pPr>
            <w:r>
              <w:rPr>
                <w:sz w:val="20"/>
                <w:szCs w:val="20"/>
              </w:rPr>
              <w:t xml:space="preserve">4.6052</w:t>
            </w:r>
          </w:p>
        </w:tc>
        <w:tc>
          <w:tcPr>
            <w:tcW w:w="0" w:type="auto"/>
          </w:tcPr>
          <w:p>
            <w:pPr>
              <w:spacing w:line="240" w:lineRule="auto" w:before="0" w:after="0"/>
              <w:pStyle w:val="Compact"/>
            </w:pPr>
            <w:r>
              <w:rPr>
                <w:sz w:val="20"/>
                <w:szCs w:val="20"/>
              </w:rPr>
              <w:t xml:space="preserve">0.9555</w:t>
            </w:r>
          </w:p>
        </w:tc>
        <w:tc>
          <w:tcPr>
            <w:tcW w:w="0" w:type="auto"/>
          </w:tcPr>
          <w:p>
            <w:pPr>
              <w:spacing w:line="240" w:lineRule="auto" w:before="0" w:after="0"/>
              <w:pStyle w:val="Compact"/>
            </w:pPr>
            <w:r>
              <w:rPr>
                <w:sz w:val="20"/>
                <w:szCs w:val="20"/>
              </w:rPr>
              <w:t xml:space="preserve">Wikipedia, Mars Reconnaissance Orbiter (telecom: 3 m HGA, 100 W X-band TWTA, up to 6 Mbit/s); en.wikipedia.org/wiki/Mars_Reconnaissance_Orbiter</w:t>
            </w:r>
          </w:p>
        </w:tc>
      </w:tr>
      <w:tr>
        <w:tc>
          <w:tcPr>
            <w:tcW w:w="0" w:type="auto"/>
          </w:tcPr>
          <w:p>
            <w:pPr>
              <w:spacing w:line="240" w:lineRule="auto" w:before="0" w:after="0"/>
              <w:pStyle w:val="Compact"/>
            </w:pPr>
            <w:r>
              <w:rPr>
                <w:sz w:val="20"/>
                <w:szCs w:val="20"/>
              </w:rPr>
              <w:t xml:space="preserve">New Horizons</w:t>
            </w:r>
          </w:p>
        </w:tc>
        <w:tc>
          <w:tcPr>
            <w:tcW w:w="0" w:type="auto"/>
          </w:tcPr>
          <w:p>
            <w:pPr>
              <w:spacing w:line="240" w:lineRule="auto" w:before="0" w:after="0"/>
              <w:pStyle w:val="Compact"/>
            </w:pPr>
            <w:r>
              <w:rPr>
                <w:sz w:val="20"/>
                <w:szCs w:val="20"/>
              </w:rPr>
              <w:t xml:space="preserve">2006</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34</w:t>
            </w:r>
          </w:p>
        </w:tc>
        <w:tc>
          <w:tcPr>
            <w:tcW w:w="0" w:type="auto"/>
          </w:tcPr>
          <w:p>
            <w:pPr>
              <w:spacing w:line="240" w:lineRule="auto" w:before="0" w:after="0"/>
              <w:pStyle w:val="Compact"/>
            </w:pPr>
            <w:r>
              <w:rPr>
                <w:sz w:val="20"/>
                <w:szCs w:val="20"/>
              </w:rPr>
              <w:t xml:space="preserve">1000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6.9078</w:t>
            </w:r>
          </w:p>
        </w:tc>
        <w:tc>
          <w:tcPr>
            <w:tcW w:w="0" w:type="auto"/>
          </w:tcPr>
          <w:p>
            <w:pPr>
              <w:spacing w:line="240" w:lineRule="auto" w:before="0" w:after="0"/>
              <w:pStyle w:val="Compact"/>
            </w:pPr>
            <w:r>
              <w:rPr>
                <w:sz w:val="20"/>
                <w:szCs w:val="20"/>
              </w:rPr>
              <w:t xml:space="preserve">0.7419</w:t>
            </w:r>
          </w:p>
        </w:tc>
        <w:tc>
          <w:tcPr>
            <w:tcW w:w="0" w:type="auto"/>
          </w:tcPr>
          <w:p>
            <w:pPr>
              <w:spacing w:line="240" w:lineRule="auto" w:before="0" w:after="0"/>
              <w:pStyle w:val="Compact"/>
            </w:pPr>
            <w:r>
              <w:rPr>
                <w:sz w:val="20"/>
                <w:szCs w:val="20"/>
              </w:rPr>
              <w:t xml:space="preserve">2.4849</w:t>
            </w:r>
          </w:p>
        </w:tc>
        <w:tc>
          <w:tcPr>
            <w:tcW w:w="0" w:type="auto"/>
          </w:tcPr>
          <w:p>
            <w:pPr>
              <w:spacing w:line="240" w:lineRule="auto" w:before="0" w:after="0"/>
              <w:pStyle w:val="Compact"/>
            </w:pPr>
            <w:r>
              <w:rPr>
                <w:sz w:val="20"/>
                <w:szCs w:val="20"/>
              </w:rPr>
              <w:t xml:space="preserve">3.5264</w:t>
            </w:r>
          </w:p>
        </w:tc>
        <w:tc>
          <w:tcPr>
            <w:tcW w:w="0" w:type="auto"/>
          </w:tcPr>
          <w:p>
            <w:pPr>
              <w:spacing w:line="240" w:lineRule="auto" w:before="0" w:after="0"/>
              <w:pStyle w:val="Compact"/>
            </w:pPr>
            <w:r>
              <w:rPr>
                <w:sz w:val="20"/>
                <w:szCs w:val="20"/>
              </w:rPr>
              <w:t xml:space="preserve">Wikipedia, New Horizons (2.1 m HGA, 12 W TWTA, ~1 kbit/s per transmitter at Pluto, 34 AU); en.wikipedia.org/wiki/New_Horizons</w:t>
            </w:r>
          </w:p>
        </w:tc>
      </w:tr>
      <w:tr>
        <w:tc>
          <w:tcPr>
            <w:tcW w:w="0" w:type="auto"/>
          </w:tcPr>
          <w:p>
            <w:pPr>
              <w:spacing w:line="240" w:lineRule="auto" w:before="0" w:after="0"/>
              <w:pStyle w:val="Compact"/>
            </w:pPr>
            <w:r>
              <w:rPr>
                <w:sz w:val="20"/>
                <w:szCs w:val="20"/>
              </w:rPr>
              <w:t xml:space="preserve">Cassini-Huygens</w:t>
            </w:r>
          </w:p>
        </w:tc>
        <w:tc>
          <w:tcPr>
            <w:tcW w:w="0" w:type="auto"/>
          </w:tcPr>
          <w:p>
            <w:pPr>
              <w:spacing w:line="240" w:lineRule="auto" w:before="0" w:after="0"/>
              <w:pStyle w:val="Compact"/>
            </w:pPr>
            <w:r>
              <w:rPr>
                <w:sz w:val="20"/>
                <w:szCs w:val="20"/>
              </w:rPr>
              <w:t xml:space="preserve">1997</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10.1</w:t>
            </w:r>
          </w:p>
        </w:tc>
        <w:tc>
          <w:tcPr>
            <w:tcW w:w="0" w:type="auto"/>
          </w:tcPr>
          <w:p>
            <w:pPr>
              <w:spacing w:line="240" w:lineRule="auto" w:before="0" w:after="0"/>
              <w:pStyle w:val="Compact"/>
            </w:pPr>
            <w:r>
              <w:rPr>
                <w:sz w:val="20"/>
                <w:szCs w:val="20"/>
              </w:rPr>
              <w:t xml:space="preserve">166000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12.0197</w:t>
            </w:r>
          </w:p>
        </w:tc>
        <w:tc>
          <w:tcPr>
            <w:tcW w:w="0" w:type="auto"/>
          </w:tcPr>
          <w:p>
            <w:pPr>
              <w:spacing w:line="240" w:lineRule="auto" w:before="0" w:after="0"/>
              <w:pStyle w:val="Compact"/>
            </w:pPr>
            <w:r>
              <w:rPr>
                <w:sz w:val="20"/>
                <w:szCs w:val="20"/>
              </w:rPr>
              <w:t xml:space="preserve">1.3863</w:t>
            </w:r>
          </w:p>
        </w:tc>
        <w:tc>
          <w:tcPr>
            <w:tcW w:w="0" w:type="auto"/>
          </w:tcPr>
          <w:p>
            <w:pPr>
              <w:spacing w:line="240" w:lineRule="auto" w:before="0" w:after="0"/>
              <w:pStyle w:val="Compact"/>
            </w:pPr>
            <w:r>
              <w:rPr>
                <w:sz w:val="20"/>
                <w:szCs w:val="20"/>
              </w:rPr>
              <w:t xml:space="preserve">2.9957</w:t>
            </w:r>
          </w:p>
        </w:tc>
        <w:tc>
          <w:tcPr>
            <w:tcW w:w="0" w:type="auto"/>
          </w:tcPr>
          <w:p>
            <w:pPr>
              <w:spacing w:line="240" w:lineRule="auto" w:before="0" w:after="0"/>
              <w:pStyle w:val="Compact"/>
            </w:pPr>
            <w:r>
              <w:rPr>
                <w:sz w:val="20"/>
                <w:szCs w:val="20"/>
              </w:rPr>
              <w:t xml:space="preserve">2.3125</w:t>
            </w:r>
          </w:p>
        </w:tc>
        <w:tc>
          <w:tcPr>
            <w:tcW w:w="0" w:type="auto"/>
          </w:tcPr>
          <w:p>
            <w:pPr>
              <w:spacing w:line="240" w:lineRule="auto" w:before="0" w:after="0"/>
              <w:pStyle w:val="Compact"/>
            </w:pPr>
            <w:r>
              <w:rPr>
                <w:sz w:val="20"/>
                <w:szCs w:val="20"/>
              </w:rPr>
              <w:t xml:space="preserve">Taylor et al., Cassini Orbiter/Huygens Probe Telecommunications, DESCANSO Design and Performance Summary Series Art.3 (4 m HGA, 20 W X-band TWTA, up to 166 kbps); descanso.jpl.nasa.gov</w:t>
            </w:r>
          </w:p>
        </w:tc>
      </w:tr>
      <w:tr>
        <w:tc>
          <w:tcPr>
            <w:tcW w:w="0" w:type="auto"/>
          </w:tcPr>
          <w:p>
            <w:pPr>
              <w:spacing w:line="240" w:lineRule="auto" w:before="0" w:after="0"/>
              <w:pStyle w:val="Compact"/>
            </w:pPr>
            <w:r>
              <w:rPr>
                <w:sz w:val="20"/>
                <w:szCs w:val="20"/>
              </w:rPr>
              <w:t xml:space="preserve">Voyager 1</w:t>
            </w:r>
          </w:p>
        </w:tc>
        <w:tc>
          <w:tcPr>
            <w:tcW w:w="0" w:type="auto"/>
          </w:tcPr>
          <w:p>
            <w:pPr>
              <w:spacing w:line="240" w:lineRule="auto" w:before="0" w:after="0"/>
              <w:pStyle w:val="Compact"/>
            </w:pPr>
            <w:r>
              <w:rPr>
                <w:sz w:val="20"/>
                <w:szCs w:val="20"/>
              </w:rPr>
              <w:t xml:space="preserve">1977</w:t>
            </w:r>
          </w:p>
        </w:tc>
        <w:tc>
          <w:tcPr>
            <w:tcW w:w="0" w:type="auto"/>
          </w:tcPr>
          <w:p>
            <w:pPr>
              <w:spacing w:line="240" w:lineRule="auto" w:before="0" w:after="0"/>
              <w:pStyle w:val="Compact"/>
            </w:pPr>
            <w:r>
              <w:rPr>
                <w:sz w:val="20"/>
                <w:szCs w:val="20"/>
              </w:rPr>
              <w:t xml:space="preserve">3.7</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115200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11.6544</w:t>
            </w:r>
          </w:p>
        </w:tc>
        <w:tc>
          <w:tcPr>
            <w:tcW w:w="0" w:type="auto"/>
          </w:tcPr>
          <w:p>
            <w:pPr>
              <w:spacing w:line="240" w:lineRule="auto" w:before="0" w:after="0"/>
              <w:pStyle w:val="Compact"/>
            </w:pPr>
            <w:r>
              <w:rPr>
                <w:sz w:val="20"/>
                <w:szCs w:val="20"/>
              </w:rPr>
              <w:t xml:space="preserve">1.3083</w:t>
            </w:r>
          </w:p>
        </w:tc>
        <w:tc>
          <w:tcPr>
            <w:tcW w:w="0" w:type="auto"/>
          </w:tcPr>
          <w:p>
            <w:pPr>
              <w:spacing w:line="240" w:lineRule="auto" w:before="0" w:after="0"/>
              <w:pStyle w:val="Compact"/>
            </w:pPr>
            <w:r>
              <w:rPr>
                <w:sz w:val="20"/>
                <w:szCs w:val="20"/>
              </w:rPr>
              <w:t xml:space="preserve">2.8904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Wikipedia, Voyager program (3.7 m HGA; data rate ~115 kbit/s at Jupiter); RF 18 W per Ludwig &amp; Taylor, Voyager Telecommunications DESCANSO Art.4; en.wikipedia.org/wiki/Voyager_program</w:t>
            </w:r>
          </w:p>
        </w:tc>
      </w:tr>
      <w:tr>
        <w:tc>
          <w:tcPr>
            <w:tcW w:w="0" w:type="auto"/>
          </w:tcPr>
          <w:p>
            <w:pPr>
              <w:spacing w:line="240" w:lineRule="auto" w:before="0" w:after="0"/>
              <w:pStyle w:val="Compact"/>
            </w:pPr>
            <w:r>
              <w:rPr>
                <w:sz w:val="20"/>
                <w:szCs w:val="20"/>
              </w:rPr>
              <w:t xml:space="preserve">Voyager 2</w:t>
            </w:r>
          </w:p>
        </w:tc>
        <w:tc>
          <w:tcPr>
            <w:tcW w:w="0" w:type="auto"/>
          </w:tcPr>
          <w:p>
            <w:pPr>
              <w:spacing w:line="240" w:lineRule="auto" w:before="0" w:after="0"/>
              <w:pStyle w:val="Compact"/>
            </w:pPr>
            <w:r>
              <w:rPr>
                <w:sz w:val="20"/>
                <w:szCs w:val="20"/>
              </w:rPr>
              <w:t xml:space="preserve">1977</w:t>
            </w:r>
          </w:p>
        </w:tc>
        <w:tc>
          <w:tcPr>
            <w:tcW w:w="0" w:type="auto"/>
          </w:tcPr>
          <w:p>
            <w:pPr>
              <w:spacing w:line="240" w:lineRule="auto" w:before="0" w:after="0"/>
              <w:pStyle w:val="Compact"/>
            </w:pPr>
            <w:r>
              <w:rPr>
                <w:sz w:val="20"/>
                <w:szCs w:val="20"/>
              </w:rPr>
              <w:t xml:space="preserve">3.7</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115200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11.6544</w:t>
            </w:r>
          </w:p>
        </w:tc>
        <w:tc>
          <w:tcPr>
            <w:tcW w:w="0" w:type="auto"/>
          </w:tcPr>
          <w:p>
            <w:pPr>
              <w:spacing w:line="240" w:lineRule="auto" w:before="0" w:after="0"/>
              <w:pStyle w:val="Compact"/>
            </w:pPr>
            <w:r>
              <w:rPr>
                <w:sz w:val="20"/>
                <w:szCs w:val="20"/>
              </w:rPr>
              <w:t xml:space="preserve">1.3083</w:t>
            </w:r>
          </w:p>
        </w:tc>
        <w:tc>
          <w:tcPr>
            <w:tcW w:w="0" w:type="auto"/>
          </w:tcPr>
          <w:p>
            <w:pPr>
              <w:spacing w:line="240" w:lineRule="auto" w:before="0" w:after="0"/>
              <w:pStyle w:val="Compact"/>
            </w:pPr>
            <w:r>
              <w:rPr>
                <w:sz w:val="20"/>
                <w:szCs w:val="20"/>
              </w:rPr>
              <w:t xml:space="preserve">2.8904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Wikipedia, Voyager program (3.7 m HGA; ~115 kbit/s at Jupiter, halved at Saturn); RF 18 W per Ludwig &amp; Taylor DESCANSO Art.4; en.wikipedia.org/wiki/Voyager_program</w:t>
            </w:r>
          </w:p>
        </w:tc>
      </w:tr>
      <w:tr>
        <w:tc>
          <w:tcPr>
            <w:tcW w:w="0" w:type="auto"/>
          </w:tcPr>
          <w:p>
            <w:pPr>
              <w:spacing w:line="240" w:lineRule="auto" w:before="0" w:after="0"/>
              <w:pStyle w:val="Compact"/>
            </w:pPr>
            <w:r>
              <w:rPr>
                <w:sz w:val="20"/>
                <w:szCs w:val="20"/>
              </w:rPr>
              <w:t xml:space="preserve">Galileo</w:t>
            </w:r>
          </w:p>
        </w:tc>
        <w:tc>
          <w:tcPr>
            <w:tcW w:w="0" w:type="auto"/>
          </w:tcPr>
          <w:p>
            <w:pPr>
              <w:spacing w:line="240" w:lineRule="auto" w:before="0" w:after="0"/>
              <w:pStyle w:val="Compact"/>
            </w:pPr>
            <w:r>
              <w:rPr>
                <w:sz w:val="20"/>
                <w:szCs w:val="20"/>
              </w:rPr>
              <w:t xml:space="preserve">1989</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6.2</w:t>
            </w:r>
          </w:p>
        </w:tc>
        <w:tc>
          <w:tcPr>
            <w:tcW w:w="0" w:type="auto"/>
          </w:tcPr>
          <w:p>
            <w:pPr>
              <w:spacing w:line="240" w:lineRule="auto" w:before="0" w:after="0"/>
              <w:pStyle w:val="Compact"/>
            </w:pPr>
            <w:r>
              <w:rPr>
                <w:sz w:val="20"/>
                <w:szCs w:val="20"/>
              </w:rPr>
              <w:t xml:space="preserve">160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5.0752</w:t>
            </w:r>
          </w:p>
        </w:tc>
        <w:tc>
          <w:tcPr>
            <w:tcW w:w="0" w:type="auto"/>
          </w:tcPr>
          <w:p>
            <w:pPr>
              <w:spacing w:line="240" w:lineRule="auto" w:before="0" w:after="0"/>
              <w:pStyle w:val="Compact"/>
            </w:pPr>
            <w:r>
              <w:rPr>
                <w:sz w:val="20"/>
                <w:szCs w:val="20"/>
              </w:rPr>
              <w:t xml:space="preserve">0.0953</w:t>
            </w:r>
          </w:p>
        </w:tc>
        <w:tc>
          <w:tcPr>
            <w:tcW w:w="0" w:type="auto"/>
          </w:tcPr>
          <w:p>
            <w:pPr>
              <w:spacing w:line="240" w:lineRule="auto" w:before="0" w:after="0"/>
              <w:pStyle w:val="Compact"/>
            </w:pPr>
            <w:r>
              <w:rPr>
                <w:sz w:val="20"/>
                <w:szCs w:val="20"/>
              </w:rPr>
              <w:t xml:space="preserve">2.9957</w:t>
            </w:r>
          </w:p>
        </w:tc>
        <w:tc>
          <w:tcPr>
            <w:tcW w:w="0" w:type="auto"/>
          </w:tcPr>
          <w:p>
            <w:pPr>
              <w:spacing w:line="240" w:lineRule="auto" w:before="0" w:after="0"/>
              <w:pStyle w:val="Compact"/>
            </w:pPr>
            <w:r>
              <w:rPr>
                <w:sz w:val="20"/>
                <w:szCs w:val="20"/>
              </w:rPr>
              <w:t xml:space="preserve">1.8245</w:t>
            </w:r>
          </w:p>
        </w:tc>
        <w:tc>
          <w:tcPr>
            <w:tcW w:w="0" w:type="auto"/>
          </w:tcPr>
          <w:p>
            <w:pPr>
              <w:spacing w:line="240" w:lineRule="auto" w:before="0" w:after="0"/>
              <w:pStyle w:val="Compact"/>
            </w:pPr>
            <w:r>
              <w:rPr>
                <w:sz w:val="20"/>
                <w:szCs w:val="20"/>
              </w:rPr>
              <w:t xml:space="preserve">Wikipedia, Galileo (HGA failed; LGA used, slower bit rates); usable rate ~160 b/s after array reconfiguration; 1.1 m LGA; en.wikipedia.org/wiki/Galileo_(spacecraft)</w:t>
            </w:r>
          </w:p>
        </w:tc>
      </w:tr>
      <w:tr>
        <w:tc>
          <w:tcPr>
            <w:tcW w:w="0" w:type="auto"/>
          </w:tcPr>
          <w:p>
            <w:pPr>
              <w:spacing w:line="240" w:lineRule="auto" w:before="0" w:after="0"/>
              <w:pStyle w:val="Compact"/>
            </w:pPr>
            <w:r>
              <w:rPr>
                <w:sz w:val="20"/>
                <w:szCs w:val="20"/>
              </w:rPr>
              <w:t xml:space="preserve">Juno</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6.5</w:t>
            </w:r>
          </w:p>
        </w:tc>
        <w:tc>
          <w:tcPr>
            <w:tcW w:w="0" w:type="auto"/>
          </w:tcPr>
          <w:p>
            <w:pPr>
              <w:spacing w:line="240" w:lineRule="auto" w:before="0" w:after="0"/>
              <w:pStyle w:val="Compact"/>
            </w:pPr>
            <w:r>
              <w:rPr>
                <w:sz w:val="20"/>
                <w:szCs w:val="20"/>
              </w:rPr>
              <w:t xml:space="preserve">40000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10.5966</w:t>
            </w:r>
          </w:p>
        </w:tc>
        <w:tc>
          <w:tcPr>
            <w:tcW w:w="0" w:type="auto"/>
          </w:tcPr>
          <w:p>
            <w:pPr>
              <w:spacing w:line="240" w:lineRule="auto" w:before="0" w:after="0"/>
              <w:pStyle w:val="Compact"/>
            </w:pPr>
            <w:r>
              <w:rPr>
                <w:sz w:val="20"/>
                <w:szCs w:val="20"/>
              </w:rPr>
              <w:t xml:space="preserve">0.9163</w:t>
            </w:r>
          </w:p>
        </w:tc>
        <w:tc>
          <w:tcPr>
            <w:tcW w:w="0" w:type="auto"/>
          </w:tcPr>
          <w:p>
            <w:pPr>
              <w:spacing w:line="240" w:lineRule="auto" w:before="0" w:after="0"/>
              <w:pStyle w:val="Compact"/>
            </w:pPr>
            <w:r>
              <w:rPr>
                <w:sz w:val="20"/>
                <w:szCs w:val="20"/>
              </w:rPr>
              <w:t xml:space="preserve">3.2189</w:t>
            </w:r>
          </w:p>
        </w:tc>
        <w:tc>
          <w:tcPr>
            <w:tcW w:w="0" w:type="auto"/>
          </w:tcPr>
          <w:p>
            <w:pPr>
              <w:spacing w:line="240" w:lineRule="auto" w:before="0" w:after="0"/>
              <w:pStyle w:val="Compact"/>
            </w:pPr>
            <w:r>
              <w:rPr>
                <w:sz w:val="20"/>
                <w:szCs w:val="20"/>
              </w:rPr>
              <w:t xml:space="preserve">1.8718</w:t>
            </w:r>
          </w:p>
        </w:tc>
        <w:tc>
          <w:tcPr>
            <w:tcW w:w="0" w:type="auto"/>
          </w:tcPr>
          <w:p>
            <w:pPr>
              <w:spacing w:line="240" w:lineRule="auto" w:before="0" w:after="0"/>
              <w:pStyle w:val="Compact"/>
            </w:pPr>
            <w:r>
              <w:rPr>
                <w:sz w:val="20"/>
                <w:szCs w:val="20"/>
              </w:rPr>
              <w:t xml:space="preserve">Wikipedia, Juno (2.5 m HGA X/Ka-band); ~40 Mbyte per 11-day orbit implies ~25 kbps sustained downlink; en.wikipedia.org/wiki/Juno_(spacecraft)</w:t>
            </w:r>
          </w:p>
        </w:tc>
      </w:tr>
      <w:tr>
        <w:tc>
          <w:tcPr>
            <w:tcW w:w="0" w:type="auto"/>
          </w:tcPr>
          <w:p>
            <w:pPr>
              <w:spacing w:line="240" w:lineRule="auto" w:before="0" w:after="0"/>
              <w:pStyle w:val="Compact"/>
            </w:pPr>
            <w:r>
              <w:rPr>
                <w:sz w:val="20"/>
                <w:szCs w:val="20"/>
              </w:rPr>
              <w:t xml:space="preserve">Magellan</w:t>
            </w:r>
          </w:p>
        </w:tc>
        <w:tc>
          <w:tcPr>
            <w:tcW w:w="0" w:type="auto"/>
          </w:tcPr>
          <w:p>
            <w:pPr>
              <w:spacing w:line="240" w:lineRule="auto" w:before="0" w:after="0"/>
              <w:pStyle w:val="Compact"/>
            </w:pPr>
            <w:r>
              <w:rPr>
                <w:sz w:val="20"/>
                <w:szCs w:val="20"/>
              </w:rPr>
              <w:t xml:space="preserve">1989</w:t>
            </w:r>
          </w:p>
        </w:tc>
        <w:tc>
          <w:tcPr>
            <w:tcW w:w="0" w:type="auto"/>
          </w:tcPr>
          <w:p>
            <w:pPr>
              <w:spacing w:line="240" w:lineRule="auto" w:before="0" w:after="0"/>
              <w:pStyle w:val="Compact"/>
            </w:pPr>
            <w:r>
              <w:rPr>
                <w:sz w:val="20"/>
                <w:szCs w:val="20"/>
              </w:rPr>
              <w:t xml:space="preserve">3.7</w:t>
            </w:r>
          </w:p>
        </w:tc>
        <w:tc>
          <w:tcPr>
            <w:tcW w:w="0" w:type="auto"/>
          </w:tcPr>
          <w:p>
            <w:pPr>
              <w:spacing w:line="240" w:lineRule="auto" w:before="0" w:after="0"/>
              <w:pStyle w:val="Compact"/>
            </w:pPr>
            <w:r>
              <w:rPr>
                <w:sz w:val="20"/>
                <w:szCs w:val="20"/>
              </w:rPr>
              <w:t xml:space="preserve">28.6</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268800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12.5017</w:t>
            </w:r>
          </w:p>
        </w:tc>
        <w:tc>
          <w:tcPr>
            <w:tcW w:w="0" w:type="auto"/>
          </w:tcPr>
          <w:p>
            <w:pPr>
              <w:spacing w:line="240" w:lineRule="auto" w:before="0" w:after="0"/>
              <w:pStyle w:val="Compact"/>
            </w:pPr>
            <w:r>
              <w:rPr>
                <w:sz w:val="20"/>
                <w:szCs w:val="20"/>
              </w:rPr>
              <w:t xml:space="preserve">1.3083</w:t>
            </w:r>
          </w:p>
        </w:tc>
        <w:tc>
          <w:tcPr>
            <w:tcW w:w="0" w:type="auto"/>
          </w:tcPr>
          <w:p>
            <w:pPr>
              <w:spacing w:line="240" w:lineRule="auto" w:before="0" w:after="0"/>
              <w:pStyle w:val="Compact"/>
            </w:pPr>
            <w:r>
              <w:rPr>
                <w:sz w:val="20"/>
                <w:szCs w:val="20"/>
              </w:rPr>
              <w:t xml:space="preserve">3.3534</w:t>
            </w:r>
          </w:p>
        </w:tc>
        <w:tc>
          <w:tcPr>
            <w:tcW w:w="0" w:type="auto"/>
          </w:tcPr>
          <w:p>
            <w:pPr>
              <w:spacing w:line="240" w:lineRule="auto" w:before="0" w:after="0"/>
              <w:pStyle w:val="Compact"/>
            </w:pPr>
            <w:r>
              <w:rPr>
                <w:sz w:val="20"/>
                <w:szCs w:val="20"/>
              </w:rPr>
              <w:t xml:space="preserve">0.47</w:t>
            </w:r>
          </w:p>
        </w:tc>
        <w:tc>
          <w:tcPr>
            <w:tcW w:w="0" w:type="auto"/>
          </w:tcPr>
          <w:p>
            <w:pPr>
              <w:spacing w:line="240" w:lineRule="auto" w:before="0" w:after="0"/>
              <w:pStyle w:val="Compact"/>
            </w:pPr>
            <w:r>
              <w:rPr>
                <w:sz w:val="20"/>
                <w:szCs w:val="20"/>
              </w:rPr>
              <w:t xml:space="preserve">Wikipedia, Magellan (3.7 m HGA, X-band 28.6 W; mapping downlink up to 268.8 kbit/s); en.wikipedia.org/wiki/Magellan_(spacecraft)</w:t>
            </w:r>
          </w:p>
        </w:tc>
      </w:tr>
      <w:tr>
        <w:tc>
          <w:tcPr>
            <w:tcW w:w="0" w:type="auto"/>
          </w:tcPr>
          <w:p>
            <w:pPr>
              <w:spacing w:line="240" w:lineRule="auto" w:before="0" w:after="0"/>
              <w:pStyle w:val="Compact"/>
            </w:pPr>
            <w:r>
              <w:rPr>
                <w:sz w:val="20"/>
                <w:szCs w:val="20"/>
              </w:rPr>
              <w:t xml:space="preserve">Mars Global Surveyor</w:t>
            </w:r>
          </w:p>
        </w:tc>
        <w:tc>
          <w:tcPr>
            <w:tcW w:w="0" w:type="auto"/>
          </w:tcPr>
          <w:p>
            <w:pPr>
              <w:spacing w:line="240" w:lineRule="auto" w:before="0" w:after="0"/>
              <w:pStyle w:val="Compact"/>
            </w:pPr>
            <w:r>
              <w:rPr>
                <w:sz w:val="20"/>
                <w:szCs w:val="20"/>
              </w:rPr>
              <w:t xml:space="preserve">1996</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85333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11.3543</w:t>
            </w:r>
          </w:p>
        </w:tc>
        <w:tc>
          <w:tcPr>
            <w:tcW w:w="0" w:type="auto"/>
          </w:tcPr>
          <w:p>
            <w:pPr>
              <w:spacing w:line="240" w:lineRule="auto" w:before="0" w:after="0"/>
              <w:pStyle w:val="Compact"/>
            </w:pPr>
            <w:r>
              <w:rPr>
                <w:sz w:val="20"/>
                <w:szCs w:val="20"/>
              </w:rPr>
              <w:t xml:space="preserve">0.4055</w:t>
            </w:r>
          </w:p>
        </w:tc>
        <w:tc>
          <w:tcPr>
            <w:tcW w:w="0" w:type="auto"/>
          </w:tcPr>
          <w:p>
            <w:pPr>
              <w:spacing w:line="240" w:lineRule="auto" w:before="0" w:after="0"/>
              <w:pStyle w:val="Compact"/>
            </w:pPr>
            <w:r>
              <w:rPr>
                <w:sz w:val="20"/>
                <w:szCs w:val="20"/>
              </w:rPr>
              <w:t xml:space="preserve">3.2189</w:t>
            </w:r>
          </w:p>
        </w:tc>
        <w:tc>
          <w:tcPr>
            <w:tcW w:w="0" w:type="auto"/>
          </w:tcPr>
          <w:p>
            <w:pPr>
              <w:spacing w:line="240" w:lineRule="auto" w:before="0" w:after="0"/>
              <w:pStyle w:val="Compact"/>
            </w:pPr>
            <w:r>
              <w:rPr>
                <w:sz w:val="20"/>
                <w:szCs w:val="20"/>
              </w:rPr>
              <w:t xml:space="preserve">0.9555</w:t>
            </w:r>
          </w:p>
        </w:tc>
        <w:tc>
          <w:tcPr>
            <w:tcW w:w="0" w:type="auto"/>
          </w:tcPr>
          <w:p>
            <w:pPr>
              <w:spacing w:line="240" w:lineRule="auto" w:before="0" w:after="0"/>
              <w:pStyle w:val="Compact"/>
            </w:pPr>
            <w:r>
              <w:rPr>
                <w:sz w:val="20"/>
                <w:szCs w:val="20"/>
              </w:rPr>
              <w:t xml:space="preserve">Wikipedia, Mars Global Surveyor (1.5 m HGA, X-band; up to 85.33 kbit/s); en.wikipedia.org/wiki/Mars_Global_Surveyor</w:t>
            </w:r>
          </w:p>
        </w:tc>
      </w:tr>
      <w:tr>
        <w:tc>
          <w:tcPr>
            <w:tcW w:w="0" w:type="auto"/>
          </w:tcPr>
          <w:p>
            <w:pPr>
              <w:spacing w:line="240" w:lineRule="auto" w:before="0" w:after="0"/>
              <w:pStyle w:val="Compact"/>
            </w:pPr>
            <w:r>
              <w:rPr>
                <w:sz w:val="20"/>
                <w:szCs w:val="20"/>
              </w:rPr>
              <w:t xml:space="preserve">2001 Mars Odyssey</w:t>
            </w:r>
          </w:p>
        </w:tc>
        <w:tc>
          <w:tcPr>
            <w:tcW w:w="0" w:type="auto"/>
          </w:tcPr>
          <w:p>
            <w:pPr>
              <w:spacing w:line="240" w:lineRule="auto" w:before="0" w:after="0"/>
              <w:pStyle w:val="Compact"/>
            </w:pPr>
            <w:r>
              <w:rPr>
                <w:sz w:val="20"/>
                <w:szCs w:val="20"/>
              </w:rPr>
              <w:t xml:space="preserve">2001</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124400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11.7313</w:t>
            </w:r>
          </w:p>
        </w:tc>
        <w:tc>
          <w:tcPr>
            <w:tcW w:w="0" w:type="auto"/>
          </w:tcPr>
          <w:p>
            <w:pPr>
              <w:spacing w:line="240" w:lineRule="auto" w:before="0" w:after="0"/>
              <w:pStyle w:val="Compact"/>
            </w:pPr>
            <w:r>
              <w:rPr>
                <w:sz w:val="20"/>
                <w:szCs w:val="20"/>
              </w:rPr>
              <w:t xml:space="preserve">0.2624</w:t>
            </w:r>
          </w:p>
        </w:tc>
        <w:tc>
          <w:tcPr>
            <w:tcW w:w="0" w:type="auto"/>
          </w:tcPr>
          <w:p>
            <w:pPr>
              <w:spacing w:line="240" w:lineRule="auto" w:before="0" w:after="0"/>
              <w:pStyle w:val="Compact"/>
            </w:pPr>
            <w:r>
              <w:rPr>
                <w:sz w:val="20"/>
                <w:szCs w:val="20"/>
              </w:rPr>
              <w:t xml:space="preserve">2.7081</w:t>
            </w:r>
          </w:p>
        </w:tc>
        <w:tc>
          <w:tcPr>
            <w:tcW w:w="0" w:type="auto"/>
          </w:tcPr>
          <w:p>
            <w:pPr>
              <w:spacing w:line="240" w:lineRule="auto" w:before="0" w:after="0"/>
              <w:pStyle w:val="Compact"/>
            </w:pPr>
            <w:r>
              <w:rPr>
                <w:sz w:val="20"/>
                <w:szCs w:val="20"/>
              </w:rPr>
              <w:t xml:space="preserve">0.9555</w:t>
            </w:r>
          </w:p>
        </w:tc>
        <w:tc>
          <w:tcPr>
            <w:tcW w:w="0" w:type="auto"/>
          </w:tcPr>
          <w:p>
            <w:pPr>
              <w:spacing w:line="240" w:lineRule="auto" w:before="0" w:after="0"/>
              <w:pStyle w:val="Compact"/>
            </w:pPr>
            <w:r>
              <w:rPr>
                <w:sz w:val="20"/>
                <w:szCs w:val="20"/>
              </w:rPr>
              <w:t xml:space="preserve">Wikipedia, 2001 Mars Odyssey (1.3 m HGA, X-band; up to 124.4 kbit/s to DSN); en.wikipedia.org/wiki/2001_Mars_Odyssey</w:t>
            </w:r>
          </w:p>
        </w:tc>
      </w:tr>
      <w:tr>
        <w:tc>
          <w:tcPr>
            <w:tcW w:w="0" w:type="auto"/>
          </w:tcPr>
          <w:p>
            <w:pPr>
              <w:spacing w:line="240" w:lineRule="auto" w:before="0" w:after="0"/>
              <w:pStyle w:val="Compact"/>
            </w:pPr>
            <w:r>
              <w:rPr>
                <w:sz w:val="20"/>
                <w:szCs w:val="20"/>
              </w:rPr>
              <w:t xml:space="preserve">Mars Express</w:t>
            </w:r>
          </w:p>
        </w:tc>
        <w:tc>
          <w:tcPr>
            <w:tcW w:w="0" w:type="auto"/>
          </w:tcPr>
          <w:p>
            <w:pPr>
              <w:spacing w:line="240" w:lineRule="auto" w:before="0" w:after="0"/>
              <w:pStyle w:val="Compact"/>
            </w:pPr>
            <w:r>
              <w:rPr>
                <w:sz w:val="20"/>
                <w:szCs w:val="20"/>
              </w:rPr>
              <w:t xml:space="preserve">2003</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65</w:t>
            </w:r>
          </w:p>
        </w:tc>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228000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12.3371</w:t>
            </w:r>
          </w:p>
        </w:tc>
        <w:tc>
          <w:tcPr>
            <w:tcW w:w="0" w:type="auto"/>
          </w:tcPr>
          <w:p>
            <w:pPr>
              <w:spacing w:line="240" w:lineRule="auto" w:before="0" w:after="0"/>
              <w:pStyle w:val="Compact"/>
            </w:pPr>
            <w:r>
              <w:rPr>
                <w:sz w:val="20"/>
                <w:szCs w:val="20"/>
              </w:rPr>
              <w:t xml:space="preserve">0.47</w:t>
            </w:r>
          </w:p>
        </w:tc>
        <w:tc>
          <w:tcPr>
            <w:tcW w:w="0" w:type="auto"/>
          </w:tcPr>
          <w:p>
            <w:pPr>
              <w:spacing w:line="240" w:lineRule="auto" w:before="0" w:after="0"/>
              <w:pStyle w:val="Compact"/>
            </w:pPr>
            <w:r>
              <w:rPr>
                <w:sz w:val="20"/>
                <w:szCs w:val="20"/>
              </w:rPr>
              <w:t xml:space="preserve">4.1744</w:t>
            </w:r>
          </w:p>
        </w:tc>
        <w:tc>
          <w:tcPr>
            <w:tcW w:w="0" w:type="auto"/>
          </w:tcPr>
          <w:p>
            <w:pPr>
              <w:spacing w:line="240" w:lineRule="auto" w:before="0" w:after="0"/>
              <w:pStyle w:val="Compact"/>
            </w:pPr>
            <w:r>
              <w:rPr>
                <w:sz w:val="20"/>
                <w:szCs w:val="20"/>
              </w:rPr>
              <w:t xml:space="preserve">0.9555</w:t>
            </w:r>
          </w:p>
        </w:tc>
        <w:tc>
          <w:tcPr>
            <w:tcW w:w="0" w:type="auto"/>
          </w:tcPr>
          <w:p>
            <w:pPr>
              <w:spacing w:line="240" w:lineRule="auto" w:before="0" w:after="0"/>
              <w:pStyle w:val="Compact"/>
            </w:pPr>
            <w:r>
              <w:rPr>
                <w:sz w:val="20"/>
                <w:szCs w:val="20"/>
              </w:rPr>
              <w:t xml:space="preserve">ESA Mars Express factsheet (1.6 m HGA, 65 W X-band TWTA; up to 228 kbit/s); sci.esa.int/web/mars-express</w:t>
            </w:r>
          </w:p>
        </w:tc>
      </w:tr>
      <w:tr>
        <w:tc>
          <w:tcPr>
            <w:tcW w:w="0" w:type="auto"/>
          </w:tcPr>
          <w:p>
            <w:pPr>
              <w:spacing w:line="240" w:lineRule="auto" w:before="0" w:after="0"/>
              <w:pStyle w:val="Compact"/>
            </w:pPr>
            <w:r>
              <w:rPr>
                <w:sz w:val="20"/>
                <w:szCs w:val="20"/>
              </w:rPr>
              <w:t xml:space="preserve">MAVEN</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100</w:t>
            </w:r>
          </w:p>
        </w:tc>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2048000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14.5324</w:t>
            </w:r>
          </w:p>
        </w:tc>
        <w:tc>
          <w:tcPr>
            <w:tcW w:w="0" w:type="auto"/>
          </w:tcPr>
          <w:p>
            <w:pPr>
              <w:spacing w:line="240" w:lineRule="auto" w:before="0" w:after="0"/>
              <w:pStyle w:val="Compact"/>
            </w:pPr>
            <w:r>
              <w:rPr>
                <w:sz w:val="20"/>
                <w:szCs w:val="20"/>
              </w:rPr>
              <w:t xml:space="preserve">0.6931</w:t>
            </w:r>
          </w:p>
        </w:tc>
        <w:tc>
          <w:tcPr>
            <w:tcW w:w="0" w:type="auto"/>
          </w:tcPr>
          <w:p>
            <w:pPr>
              <w:spacing w:line="240" w:lineRule="auto" w:before="0" w:after="0"/>
              <w:pStyle w:val="Compact"/>
            </w:pPr>
            <w:r>
              <w:rPr>
                <w:sz w:val="20"/>
                <w:szCs w:val="20"/>
              </w:rPr>
              <w:t xml:space="preserve">4.6052</w:t>
            </w:r>
          </w:p>
        </w:tc>
        <w:tc>
          <w:tcPr>
            <w:tcW w:w="0" w:type="auto"/>
          </w:tcPr>
          <w:p>
            <w:pPr>
              <w:spacing w:line="240" w:lineRule="auto" w:before="0" w:after="0"/>
              <w:pStyle w:val="Compact"/>
            </w:pPr>
            <w:r>
              <w:rPr>
                <w:sz w:val="20"/>
                <w:szCs w:val="20"/>
              </w:rPr>
              <w:t xml:space="preserve">0.9555</w:t>
            </w:r>
          </w:p>
        </w:tc>
        <w:tc>
          <w:tcPr>
            <w:tcW w:w="0" w:type="auto"/>
          </w:tcPr>
          <w:p>
            <w:pPr>
              <w:spacing w:line="240" w:lineRule="auto" w:before="0" w:after="0"/>
              <w:pStyle w:val="Compact"/>
            </w:pPr>
            <w:r>
              <w:rPr>
                <w:sz w:val="20"/>
                <w:szCs w:val="20"/>
              </w:rPr>
              <w:t xml:space="preserve">NASA MAVEN press kit (2 m HGA, 100 W X-band; up to ~2 Mbit/s downlink); mars.nasa.gov/maven</w:t>
            </w:r>
          </w:p>
        </w:tc>
      </w:tr>
      <w:tr>
        <w:tc>
          <w:tcPr>
            <w:tcW w:w="0" w:type="auto"/>
          </w:tcPr>
          <w:p>
            <w:pPr>
              <w:spacing w:line="240" w:lineRule="auto" w:before="0" w:after="0"/>
              <w:pStyle w:val="Compact"/>
            </w:pPr>
            <w:r>
              <w:rPr>
                <w:sz w:val="20"/>
                <w:szCs w:val="20"/>
              </w:rPr>
              <w:t xml:space="preserve">Dawn</w:t>
            </w:r>
          </w:p>
        </w:tc>
        <w:tc>
          <w:tcPr>
            <w:tcW w:w="0" w:type="auto"/>
          </w:tcPr>
          <w:p>
            <w:pPr>
              <w:spacing w:line="240" w:lineRule="auto" w:before="0" w:after="0"/>
              <w:pStyle w:val="Compact"/>
            </w:pPr>
            <w:r>
              <w:rPr>
                <w:sz w:val="20"/>
                <w:szCs w:val="20"/>
              </w:rPr>
              <w:t xml:space="preserve">2007</w:t>
            </w:r>
          </w:p>
        </w:tc>
        <w:tc>
          <w:tcPr>
            <w:tcW w:w="0" w:type="auto"/>
          </w:tcPr>
          <w:p>
            <w:pPr>
              <w:spacing w:line="240" w:lineRule="auto" w:before="0" w:after="0"/>
              <w:pStyle w:val="Compact"/>
            </w:pPr>
            <w:r>
              <w:rPr>
                <w:sz w:val="20"/>
                <w:szCs w:val="20"/>
              </w:rPr>
              <w:t xml:space="preserve">1.24</w:t>
            </w:r>
          </w:p>
        </w:tc>
        <w:tc>
          <w:tcPr>
            <w:tcW w:w="0" w:type="auto"/>
          </w:tcPr>
          <w:p>
            <w:pPr>
              <w:spacing w:line="240" w:lineRule="auto" w:before="0" w:after="0"/>
              <w:pStyle w:val="Compact"/>
            </w:pPr>
            <w:r>
              <w:rPr>
                <w:sz w:val="20"/>
                <w:szCs w:val="20"/>
              </w:rPr>
              <w:t xml:space="preserve">100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124000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11.728</w:t>
            </w:r>
          </w:p>
        </w:tc>
        <w:tc>
          <w:tcPr>
            <w:tcW w:w="0" w:type="auto"/>
          </w:tcPr>
          <w:p>
            <w:pPr>
              <w:spacing w:line="240" w:lineRule="auto" w:before="0" w:after="0"/>
              <w:pStyle w:val="Compact"/>
            </w:pPr>
            <w:r>
              <w:rPr>
                <w:sz w:val="20"/>
                <w:szCs w:val="20"/>
              </w:rPr>
              <w:t xml:space="preserve">0.2151</w:t>
            </w:r>
          </w:p>
        </w:tc>
        <w:tc>
          <w:tcPr>
            <w:tcW w:w="0" w:type="auto"/>
          </w:tcPr>
          <w:p>
            <w:pPr>
              <w:spacing w:line="240" w:lineRule="auto" w:before="0" w:after="0"/>
              <w:pStyle w:val="Compact"/>
            </w:pPr>
            <w:r>
              <w:rPr>
                <w:sz w:val="20"/>
                <w:szCs w:val="20"/>
              </w:rPr>
              <w:t xml:space="preserve">4.6052</w:t>
            </w:r>
          </w:p>
        </w:tc>
        <w:tc>
          <w:tcPr>
            <w:tcW w:w="0" w:type="auto"/>
          </w:tcPr>
          <w:p>
            <w:pPr>
              <w:spacing w:line="240" w:lineRule="auto" w:before="0" w:after="0"/>
              <w:pStyle w:val="Compact"/>
            </w:pPr>
            <w:r>
              <w:rPr>
                <w:sz w:val="20"/>
                <w:szCs w:val="20"/>
              </w:rPr>
              <w:t xml:space="preserve">1.0986</w:t>
            </w:r>
          </w:p>
        </w:tc>
        <w:tc>
          <w:tcPr>
            <w:tcW w:w="0" w:type="auto"/>
          </w:tcPr>
          <w:p>
            <w:pPr>
              <w:spacing w:line="240" w:lineRule="auto" w:before="0" w:after="0"/>
              <w:pStyle w:val="Compact"/>
            </w:pPr>
            <w:r>
              <w:rPr>
                <w:sz w:val="20"/>
                <w:szCs w:val="20"/>
              </w:rPr>
              <w:t xml:space="preserve">Wikipedia, Dawn (1.24 m HGA; X-band, up to 124 kbit/s); en.wikipedia.org/wiki/Dawn_(spacecraft)</w:t>
            </w:r>
          </w:p>
        </w:tc>
      </w:tr>
      <w:tr>
        <w:tc>
          <w:tcPr>
            <w:tcW w:w="0" w:type="auto"/>
          </w:tcPr>
          <w:p>
            <w:pPr>
              <w:spacing w:line="240" w:lineRule="auto" w:before="0" w:after="0"/>
              <w:pStyle w:val="Compact"/>
            </w:pPr>
            <w:r>
              <w:rPr>
                <w:sz w:val="20"/>
                <w:szCs w:val="20"/>
              </w:rPr>
              <w:t xml:space="preserve">Pioneer 10</w:t>
            </w:r>
          </w:p>
        </w:tc>
        <w:tc>
          <w:tcPr>
            <w:tcW w:w="0" w:type="auto"/>
          </w:tcPr>
          <w:p>
            <w:pPr>
              <w:spacing w:line="240" w:lineRule="auto" w:before="0" w:after="0"/>
              <w:pStyle w:val="Compact"/>
            </w:pPr>
            <w:r>
              <w:rPr>
                <w:sz w:val="20"/>
                <w:szCs w:val="20"/>
              </w:rPr>
              <w:t xml:space="preserve">1972</w:t>
            </w:r>
          </w:p>
        </w:tc>
        <w:tc>
          <w:tcPr>
            <w:tcW w:w="0" w:type="auto"/>
          </w:tcPr>
          <w:p>
            <w:pPr>
              <w:spacing w:line="240" w:lineRule="auto" w:before="0" w:after="0"/>
              <w:pStyle w:val="Compact"/>
            </w:pPr>
            <w:r>
              <w:rPr>
                <w:sz w:val="20"/>
                <w:szCs w:val="20"/>
              </w:rPr>
              <w:t xml:space="preserve">2.74</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2048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7.6246</w:t>
            </w:r>
          </w:p>
        </w:tc>
        <w:tc>
          <w:tcPr>
            <w:tcW w:w="0" w:type="auto"/>
          </w:tcPr>
          <w:p>
            <w:pPr>
              <w:spacing w:line="240" w:lineRule="auto" w:before="0" w:after="0"/>
              <w:pStyle w:val="Compact"/>
            </w:pPr>
            <w:r>
              <w:rPr>
                <w:sz w:val="20"/>
                <w:szCs w:val="20"/>
              </w:rPr>
              <w:t xml:space="preserve">1.008</w:t>
            </w:r>
          </w:p>
        </w:tc>
        <w:tc>
          <w:tcPr>
            <w:tcW w:w="0" w:type="auto"/>
          </w:tcPr>
          <w:p>
            <w:pPr>
              <w:spacing w:line="240" w:lineRule="auto" w:before="0" w:after="0"/>
              <w:pStyle w:val="Compact"/>
            </w:pPr>
            <w:r>
              <w:rPr>
                <w:sz w:val="20"/>
                <w:szCs w:val="20"/>
              </w:rPr>
              <w:t xml:space="preserve">2.0794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Wikipedia, Pioneer 10 (2.74 m HGA, 8 W S-band TWT; ~2048 bit/s peak at Jupiter); en.wikipedia.org/wiki/Pioneer_10</w:t>
            </w:r>
          </w:p>
        </w:tc>
      </w:tr>
      <w:tr>
        <w:tc>
          <w:tcPr>
            <w:tcW w:w="0" w:type="auto"/>
          </w:tcPr>
          <w:p>
            <w:pPr>
              <w:spacing w:line="240" w:lineRule="auto" w:before="0" w:after="0"/>
              <w:pStyle w:val="Compact"/>
            </w:pPr>
            <w:r>
              <w:rPr>
                <w:sz w:val="20"/>
                <w:szCs w:val="20"/>
              </w:rPr>
              <w:t xml:space="preserve">Pioneer 11</w:t>
            </w:r>
          </w:p>
        </w:tc>
        <w:tc>
          <w:tcPr>
            <w:tcW w:w="0" w:type="auto"/>
          </w:tcPr>
          <w:p>
            <w:pPr>
              <w:spacing w:line="240" w:lineRule="auto" w:before="0" w:after="0"/>
              <w:pStyle w:val="Compact"/>
            </w:pPr>
            <w:r>
              <w:rPr>
                <w:sz w:val="20"/>
                <w:szCs w:val="20"/>
              </w:rPr>
              <w:t xml:space="preserve">1973</w:t>
            </w:r>
          </w:p>
        </w:tc>
        <w:tc>
          <w:tcPr>
            <w:tcW w:w="0" w:type="auto"/>
          </w:tcPr>
          <w:p>
            <w:pPr>
              <w:spacing w:line="240" w:lineRule="auto" w:before="0" w:after="0"/>
              <w:pStyle w:val="Compact"/>
            </w:pPr>
            <w:r>
              <w:rPr>
                <w:sz w:val="20"/>
                <w:szCs w:val="20"/>
              </w:rPr>
              <w:t xml:space="preserve">2.74</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2048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7.6246</w:t>
            </w:r>
          </w:p>
        </w:tc>
        <w:tc>
          <w:tcPr>
            <w:tcW w:w="0" w:type="auto"/>
          </w:tcPr>
          <w:p>
            <w:pPr>
              <w:spacing w:line="240" w:lineRule="auto" w:before="0" w:after="0"/>
              <w:pStyle w:val="Compact"/>
            </w:pPr>
            <w:r>
              <w:rPr>
                <w:sz w:val="20"/>
                <w:szCs w:val="20"/>
              </w:rPr>
              <w:t xml:space="preserve">1.008</w:t>
            </w:r>
          </w:p>
        </w:tc>
        <w:tc>
          <w:tcPr>
            <w:tcW w:w="0" w:type="auto"/>
          </w:tcPr>
          <w:p>
            <w:pPr>
              <w:spacing w:line="240" w:lineRule="auto" w:before="0" w:after="0"/>
              <w:pStyle w:val="Compact"/>
            </w:pPr>
            <w:r>
              <w:rPr>
                <w:sz w:val="20"/>
                <w:szCs w:val="20"/>
              </w:rPr>
              <w:t xml:space="preserve">2.0794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Wikipedia, Pioneer 11 (2.74 m HGA, 8 W S-band; ~2048 bit/s at Jupiter); en.wikipedia.org/wiki/Pioneer_11</w:t>
            </w:r>
          </w:p>
        </w:tc>
      </w:tr>
      <w:tr>
        <w:tc>
          <w:tcPr>
            <w:tcW w:w="0" w:type="auto"/>
          </w:tcPr>
          <w:p>
            <w:pPr>
              <w:spacing w:line="240" w:lineRule="auto" w:before="0" w:after="0"/>
              <w:pStyle w:val="Compact"/>
            </w:pPr>
            <w:r>
              <w:rPr>
                <w:sz w:val="20"/>
                <w:szCs w:val="20"/>
              </w:rPr>
              <w:t xml:space="preserve">Ulysses</w:t>
            </w:r>
          </w:p>
        </w:tc>
        <w:tc>
          <w:tcPr>
            <w:tcW w:w="0" w:type="auto"/>
          </w:tcPr>
          <w:p>
            <w:pPr>
              <w:spacing w:line="240" w:lineRule="auto" w:before="0" w:after="0"/>
              <w:pStyle w:val="Compact"/>
            </w:pPr>
            <w:r>
              <w:rPr>
                <w:sz w:val="20"/>
                <w:szCs w:val="20"/>
              </w:rPr>
              <w:t xml:space="preserve">1990</w:t>
            </w:r>
          </w:p>
        </w:tc>
        <w:tc>
          <w:tcPr>
            <w:tcW w:w="0" w:type="auto"/>
          </w:tcPr>
          <w:p>
            <w:pPr>
              <w:spacing w:line="240" w:lineRule="auto" w:before="0" w:after="0"/>
              <w:pStyle w:val="Compact"/>
            </w:pPr>
            <w:r>
              <w:rPr>
                <w:sz w:val="20"/>
                <w:szCs w:val="20"/>
              </w:rPr>
              <w:t xml:space="preserve">1.65</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5.4</w:t>
            </w:r>
          </w:p>
        </w:tc>
        <w:tc>
          <w:tcPr>
            <w:tcW w:w="0" w:type="auto"/>
          </w:tcPr>
          <w:p>
            <w:pPr>
              <w:spacing w:line="240" w:lineRule="auto" w:before="0" w:after="0"/>
              <w:pStyle w:val="Compact"/>
            </w:pPr>
            <w:r>
              <w:rPr>
                <w:sz w:val="20"/>
                <w:szCs w:val="20"/>
              </w:rPr>
              <w:t xml:space="preserve">8192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9.0109</w:t>
            </w:r>
          </w:p>
        </w:tc>
        <w:tc>
          <w:tcPr>
            <w:tcW w:w="0" w:type="auto"/>
          </w:tcPr>
          <w:p>
            <w:pPr>
              <w:spacing w:line="240" w:lineRule="auto" w:before="0" w:after="0"/>
              <w:pStyle w:val="Compact"/>
            </w:pPr>
            <w:r>
              <w:rPr>
                <w:sz w:val="20"/>
                <w:szCs w:val="20"/>
              </w:rPr>
              <w:t xml:space="preserve">0.5008</w:t>
            </w:r>
          </w:p>
        </w:tc>
        <w:tc>
          <w:tcPr>
            <w:tcW w:w="0" w:type="auto"/>
          </w:tcPr>
          <w:p>
            <w:pPr>
              <w:spacing w:line="240" w:lineRule="auto" w:before="0" w:after="0"/>
              <w:pStyle w:val="Compact"/>
            </w:pPr>
            <w:r>
              <w:rPr>
                <w:sz w:val="20"/>
                <w:szCs w:val="20"/>
              </w:rPr>
              <w:t xml:space="preserve">2.9957</w:t>
            </w:r>
          </w:p>
        </w:tc>
        <w:tc>
          <w:tcPr>
            <w:tcW w:w="0" w:type="auto"/>
          </w:tcPr>
          <w:p>
            <w:pPr>
              <w:spacing w:line="240" w:lineRule="auto" w:before="0" w:after="0"/>
              <w:pStyle w:val="Compact"/>
            </w:pPr>
            <w:r>
              <w:rPr>
                <w:sz w:val="20"/>
                <w:szCs w:val="20"/>
              </w:rPr>
              <w:t xml:space="preserve">1.6864</w:t>
            </w:r>
          </w:p>
        </w:tc>
        <w:tc>
          <w:tcPr>
            <w:tcW w:w="0" w:type="auto"/>
          </w:tcPr>
          <w:p>
            <w:pPr>
              <w:spacing w:line="240" w:lineRule="auto" w:before="0" w:after="0"/>
              <w:pStyle w:val="Compact"/>
            </w:pPr>
            <w:r>
              <w:rPr>
                <w:sz w:val="20"/>
                <w:szCs w:val="20"/>
              </w:rPr>
              <w:t xml:space="preserve">ESA/NASA Ulysses (1.65 m HGA, X-band 20 W; up to ~8 kbit/s); en.wikipedia.org/wiki/Ulysses_(spacecraft)</w:t>
            </w:r>
          </w:p>
        </w:tc>
      </w:tr>
      <w:tr>
        <w:tc>
          <w:tcPr>
            <w:tcW w:w="0" w:type="auto"/>
          </w:tcPr>
          <w:p>
            <w:pPr>
              <w:spacing w:line="240" w:lineRule="auto" w:before="0" w:after="0"/>
              <w:pStyle w:val="Compact"/>
            </w:pPr>
            <w:r>
              <w:rPr>
                <w:sz w:val="20"/>
                <w:szCs w:val="20"/>
              </w:rPr>
              <w:t xml:space="preserve">Stardust</w:t>
            </w:r>
          </w:p>
        </w:tc>
        <w:tc>
          <w:tcPr>
            <w:tcW w:w="0" w:type="auto"/>
          </w:tcPr>
          <w:p>
            <w:pPr>
              <w:spacing w:line="240" w:lineRule="auto" w:before="0" w:after="0"/>
              <w:pStyle w:val="Compact"/>
            </w:pPr>
            <w:r>
              <w:rPr>
                <w:sz w:val="20"/>
                <w:szCs w:val="20"/>
              </w:rPr>
              <w:t xml:space="preserve">1999</w:t>
            </w:r>
          </w:p>
        </w:tc>
        <w:tc>
          <w:tcPr>
            <w:tcW w:w="0" w:type="auto"/>
          </w:tcPr>
          <w:p>
            <w:pPr>
              <w:spacing w:line="240" w:lineRule="auto" w:before="0" w:after="0"/>
              <w:pStyle w:val="Compact"/>
            </w:pPr>
            <w:r>
              <w:rPr>
                <w:sz w:val="20"/>
                <w:szCs w:val="20"/>
              </w:rPr>
              <w:t xml:space="preserve">0.6</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7900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8.9746</w:t>
            </w:r>
          </w:p>
        </w:tc>
        <w:tc>
          <w:tcPr>
            <w:tcW w:w="0" w:type="auto"/>
          </w:tcPr>
          <w:p>
            <w:pPr>
              <w:spacing w:line="240" w:lineRule="auto" w:before="0" w:after="0"/>
              <w:pStyle w:val="Compact"/>
            </w:pPr>
            <w:r>
              <w:rPr>
                <w:sz w:val="20"/>
                <w:szCs w:val="20"/>
              </w:rPr>
              <w:t xml:space="preserve">-0.5108</w:t>
            </w:r>
          </w:p>
        </w:tc>
        <w:tc>
          <w:tcPr>
            <w:tcW w:w="0" w:type="auto"/>
          </w:tcPr>
          <w:p>
            <w:pPr>
              <w:spacing w:line="240" w:lineRule="auto" w:before="0" w:after="0"/>
              <w:pStyle w:val="Compact"/>
            </w:pPr>
            <w:r>
              <w:rPr>
                <w:sz w:val="20"/>
                <w:szCs w:val="20"/>
              </w:rPr>
              <w:t xml:space="preserve">2.7081</w:t>
            </w:r>
          </w:p>
        </w:tc>
        <w:tc>
          <w:tcPr>
            <w:tcW w:w="0" w:type="auto"/>
          </w:tcPr>
          <w:p>
            <w:pPr>
              <w:spacing w:line="240" w:lineRule="auto" w:before="0" w:after="0"/>
              <w:pStyle w:val="Compact"/>
            </w:pPr>
            <w:r>
              <w:rPr>
                <w:sz w:val="20"/>
                <w:szCs w:val="20"/>
              </w:rPr>
              <w:t xml:space="preserve">0.9933</w:t>
            </w:r>
          </w:p>
        </w:tc>
        <w:tc>
          <w:tcPr>
            <w:tcW w:w="0" w:type="auto"/>
          </w:tcPr>
          <w:p>
            <w:pPr>
              <w:spacing w:line="240" w:lineRule="auto" w:before="0" w:after="0"/>
              <w:pStyle w:val="Compact"/>
            </w:pPr>
            <w:r>
              <w:rPr>
                <w:sz w:val="20"/>
                <w:szCs w:val="20"/>
              </w:rPr>
              <w:t xml:space="preserve">Wikipedia, Stardust (0.6 m HGA, X-band; up to ~7.9 kbit/s); en.wikipedia.org/wiki/Stardust_(spacecraft)</w:t>
            </w:r>
          </w:p>
        </w:tc>
      </w:tr>
      <w:tr>
        <w:tc>
          <w:tcPr>
            <w:tcW w:w="0" w:type="auto"/>
          </w:tcPr>
          <w:p>
            <w:pPr>
              <w:spacing w:line="240" w:lineRule="auto" w:before="0" w:after="0"/>
              <w:pStyle w:val="Compact"/>
            </w:pPr>
            <w:r>
              <w:rPr>
                <w:sz w:val="20"/>
                <w:szCs w:val="20"/>
              </w:rPr>
              <w:t xml:space="preserve">Deep Impact</w:t>
            </w:r>
          </w:p>
        </w:tc>
        <w:tc>
          <w:tcPr>
            <w:tcW w:w="0" w:type="auto"/>
          </w:tcPr>
          <w:p>
            <w:pPr>
              <w:spacing w:line="240" w:lineRule="auto" w:before="0" w:after="0"/>
              <w:pStyle w:val="Compact"/>
            </w:pPr>
            <w:r>
              <w:rPr>
                <w:sz w:val="20"/>
                <w:szCs w:val="20"/>
              </w:rPr>
              <w:t xml:space="preserve">2005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200000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12.2061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3.4012</w:t>
            </w:r>
          </w:p>
        </w:tc>
        <w:tc>
          <w:tcPr>
            <w:tcW w:w="0" w:type="auto"/>
          </w:tcPr>
          <w:p>
            <w:pPr>
              <w:spacing w:line="240" w:lineRule="auto" w:before="0" w:after="0"/>
              <w:pStyle w:val="Compact"/>
            </w:pPr>
            <w:r>
              <w:rPr>
                <w:sz w:val="20"/>
                <w:szCs w:val="20"/>
              </w:rPr>
              <w:t xml:space="preserve">0.3365</w:t>
            </w:r>
          </w:p>
        </w:tc>
        <w:tc>
          <w:tcPr>
            <w:tcW w:w="0" w:type="auto"/>
          </w:tcPr>
          <w:p>
            <w:pPr>
              <w:spacing w:line="240" w:lineRule="auto" w:before="0" w:after="0"/>
              <w:pStyle w:val="Compact"/>
            </w:pPr>
            <w:r>
              <w:rPr>
                <w:sz w:val="20"/>
                <w:szCs w:val="20"/>
              </w:rPr>
              <w:t xml:space="preserve">Wikipedia, Deep Impact (1 m HGA, X-band; up to ~200 kbit/s near encounter); en.wikipedia.org/wiki/Deep_Impact_(spacecraft)</w:t>
            </w:r>
          </w:p>
        </w:tc>
      </w:tr>
      <w:tr>
        <w:tc>
          <w:tcPr>
            <w:tcW w:w="0" w:type="auto"/>
          </w:tcPr>
          <w:p>
            <w:pPr>
              <w:spacing w:line="240" w:lineRule="auto" w:before="0" w:after="0"/>
              <w:pStyle w:val="Compact"/>
            </w:pPr>
            <w:r>
              <w:rPr>
                <w:sz w:val="20"/>
                <w:szCs w:val="20"/>
              </w:rPr>
              <w:t xml:space="preserve">Mars Pathfinder</w:t>
            </w:r>
          </w:p>
        </w:tc>
        <w:tc>
          <w:tcPr>
            <w:tcW w:w="0" w:type="auto"/>
          </w:tcPr>
          <w:p>
            <w:pPr>
              <w:spacing w:line="240" w:lineRule="auto" w:before="0" w:after="0"/>
              <w:pStyle w:val="Compact"/>
            </w:pPr>
            <w:r>
              <w:rPr>
                <w:sz w:val="20"/>
                <w:szCs w:val="20"/>
              </w:rPr>
              <w:t xml:space="preserve">1996</w:t>
            </w:r>
          </w:p>
        </w:tc>
        <w:tc>
          <w:tcPr>
            <w:tcW w:w="0" w:type="auto"/>
          </w:tcPr>
          <w:p>
            <w:pPr>
              <w:spacing w:line="240" w:lineRule="auto" w:before="0" w:after="0"/>
              <w:pStyle w:val="Compact"/>
            </w:pPr>
            <w:r>
              <w:rPr>
                <w:sz w:val="20"/>
                <w:szCs w:val="20"/>
              </w:rPr>
              <w:t xml:space="preserve">0.46</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8533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9.0517</w:t>
            </w:r>
          </w:p>
        </w:tc>
        <w:tc>
          <w:tcPr>
            <w:tcW w:w="0" w:type="auto"/>
          </w:tcPr>
          <w:p>
            <w:pPr>
              <w:spacing w:line="240" w:lineRule="auto" w:before="0" w:after="0"/>
              <w:pStyle w:val="Compact"/>
            </w:pPr>
            <w:r>
              <w:rPr>
                <w:sz w:val="20"/>
                <w:szCs w:val="20"/>
              </w:rPr>
              <w:t xml:space="preserve">-0.7765</w:t>
            </w:r>
          </w:p>
        </w:tc>
        <w:tc>
          <w:tcPr>
            <w:tcW w:w="0" w:type="auto"/>
          </w:tcPr>
          <w:p>
            <w:pPr>
              <w:spacing w:line="240" w:lineRule="auto" w:before="0" w:after="0"/>
              <w:pStyle w:val="Compact"/>
            </w:pPr>
            <w:r>
              <w:rPr>
                <w:sz w:val="20"/>
                <w:szCs w:val="20"/>
              </w:rPr>
              <w:t xml:space="preserve">2.3026</w:t>
            </w:r>
          </w:p>
        </w:tc>
        <w:tc>
          <w:tcPr>
            <w:tcW w:w="0" w:type="auto"/>
          </w:tcPr>
          <w:p>
            <w:pPr>
              <w:spacing w:line="240" w:lineRule="auto" w:before="0" w:after="0"/>
              <w:pStyle w:val="Compact"/>
            </w:pPr>
            <w:r>
              <w:rPr>
                <w:sz w:val="20"/>
                <w:szCs w:val="20"/>
              </w:rPr>
              <w:t xml:space="preserve">0.9555</w:t>
            </w:r>
          </w:p>
        </w:tc>
        <w:tc>
          <w:tcPr>
            <w:tcW w:w="0" w:type="auto"/>
          </w:tcPr>
          <w:p>
            <w:pPr>
              <w:spacing w:line="240" w:lineRule="auto" w:before="0" w:after="0"/>
              <w:pStyle w:val="Compact"/>
            </w:pPr>
            <w:r>
              <w:rPr>
                <w:sz w:val="20"/>
                <w:szCs w:val="20"/>
              </w:rPr>
              <w:t xml:space="preserve">Wikipedia, Mars Pathfinder (0.46 m HGA, X-band; up to 8533 bit/s direct-to-Earth); en.wikipedia.org/wiki/Mars_Pathfinder</w:t>
            </w:r>
          </w:p>
        </w:tc>
      </w:tr>
      <w:tr>
        <w:tc>
          <w:tcPr>
            <w:tcW w:w="0" w:type="auto"/>
          </w:tcPr>
          <w:p>
            <w:pPr>
              <w:spacing w:line="240" w:lineRule="auto" w:before="0" w:after="0"/>
              <w:pStyle w:val="Compact"/>
            </w:pPr>
            <w:r>
              <w:rPr>
                <w:sz w:val="20"/>
                <w:szCs w:val="20"/>
              </w:rPr>
              <w:t xml:space="preserve">Phoenix</w:t>
            </w:r>
          </w:p>
        </w:tc>
        <w:tc>
          <w:tcPr>
            <w:tcW w:w="0" w:type="auto"/>
          </w:tcPr>
          <w:p>
            <w:pPr>
              <w:spacing w:line="240" w:lineRule="auto" w:before="0" w:after="0"/>
              <w:pStyle w:val="Compact"/>
            </w:pPr>
            <w:r>
              <w:rPr>
                <w:sz w:val="20"/>
                <w:szCs w:val="20"/>
              </w:rPr>
              <w:t xml:space="preserve">2007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128000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11.7598</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2.7081</w:t>
            </w:r>
          </w:p>
        </w:tc>
        <w:tc>
          <w:tcPr>
            <w:tcW w:w="0" w:type="auto"/>
          </w:tcPr>
          <w:p>
            <w:pPr>
              <w:spacing w:line="240" w:lineRule="auto" w:before="0" w:after="0"/>
              <w:pStyle w:val="Compact"/>
            </w:pPr>
            <w:r>
              <w:rPr>
                <w:sz w:val="20"/>
                <w:szCs w:val="20"/>
              </w:rPr>
              <w:t xml:space="preserve">0.9555</w:t>
            </w:r>
          </w:p>
        </w:tc>
        <w:tc>
          <w:tcPr>
            <w:tcW w:w="0" w:type="auto"/>
          </w:tcPr>
          <w:p>
            <w:pPr>
              <w:spacing w:line="240" w:lineRule="auto" w:before="0" w:after="0"/>
              <w:pStyle w:val="Compact"/>
            </w:pPr>
            <w:r>
              <w:rPr>
                <w:sz w:val="20"/>
                <w:szCs w:val="20"/>
              </w:rPr>
              <w:t xml:space="preserve">Wikipedia, Phoenix (UHF relay primary, no deep-space HGA; relay to MRO/Odyssey then ~128 kbps to DSN) [illustrative HGA=0 marks relay-only]; en.wikipedia.org/wiki/Phoenix_(spacecraft)</w:t>
            </w:r>
          </w:p>
        </w:tc>
      </w:tr>
      <w:tr>
        <w:tc>
          <w:tcPr>
            <w:tcW w:w="0" w:type="auto"/>
          </w:tcPr>
          <w:p>
            <w:pPr>
              <w:spacing w:line="240" w:lineRule="auto" w:before="0" w:after="0"/>
              <w:pStyle w:val="Compact"/>
            </w:pPr>
            <w:r>
              <w:rPr>
                <w:sz w:val="20"/>
                <w:szCs w:val="20"/>
              </w:rPr>
              <w:t xml:space="preserve">Parker Solar Probe</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0.6</w:t>
            </w:r>
          </w:p>
        </w:tc>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167000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12.0257</w:t>
            </w:r>
          </w:p>
        </w:tc>
        <w:tc>
          <w:tcPr>
            <w:tcW w:w="0" w:type="auto"/>
          </w:tcPr>
          <w:p>
            <w:pPr>
              <w:spacing w:line="240" w:lineRule="auto" w:before="0" w:after="0"/>
              <w:pStyle w:val="Compact"/>
            </w:pPr>
            <w:r>
              <w:rPr>
                <w:sz w:val="20"/>
                <w:szCs w:val="20"/>
              </w:rPr>
              <w:t xml:space="preserve">-0.5108</w:t>
            </w:r>
          </w:p>
        </w:tc>
        <w:tc>
          <w:tcPr>
            <w:tcW w:w="0" w:type="auto"/>
          </w:tcPr>
          <w:p>
            <w:pPr>
              <w:spacing w:line="240" w:lineRule="auto" w:before="0" w:after="0"/>
              <w:pStyle w:val="Compact"/>
            </w:pPr>
            <w:r>
              <w:rPr>
                <w:sz w:val="20"/>
                <w:szCs w:val="20"/>
              </w:rPr>
              <w:t xml:space="preserve">3.2189</w:t>
            </w:r>
          </w:p>
        </w:tc>
        <w:tc>
          <w:tcPr>
            <w:tcW w:w="0" w:type="auto"/>
          </w:tcPr>
          <w:p>
            <w:pPr>
              <w:spacing w:line="240" w:lineRule="auto" w:before="0" w:after="0"/>
              <w:pStyle w:val="Compact"/>
            </w:pPr>
            <w:r>
              <w:rPr>
                <w:sz w:val="20"/>
                <w:szCs w:val="20"/>
              </w:rPr>
              <w:t xml:space="preserve">0.5306</w:t>
            </w:r>
          </w:p>
        </w:tc>
        <w:tc>
          <w:tcPr>
            <w:tcW w:w="0" w:type="auto"/>
          </w:tcPr>
          <w:p>
            <w:pPr>
              <w:spacing w:line="240" w:lineRule="auto" w:before="0" w:after="0"/>
              <w:pStyle w:val="Compact"/>
            </w:pPr>
            <w:r>
              <w:rPr>
                <w:sz w:val="20"/>
                <w:szCs w:val="20"/>
              </w:rPr>
              <w:t xml:space="preserve">Wikipedia + JHUAPL Parker Solar Probe (0.6 m HGA Ka-band; up to 167 kbit/s downlink); parkersolarprobe.jhuapl.edu</w:t>
            </w:r>
          </w:p>
        </w:tc>
      </w:tr>
      <w:tr>
        <w:tc>
          <w:tcPr>
            <w:tcW w:w="0" w:type="auto"/>
          </w:tcPr>
          <w:p>
            <w:pPr>
              <w:spacing w:line="240" w:lineRule="auto" w:before="0" w:after="0"/>
              <w:pStyle w:val="Compact"/>
            </w:pPr>
            <w:r>
              <w:rPr>
                <w:sz w:val="20"/>
                <w:szCs w:val="20"/>
              </w:rPr>
              <w:t xml:space="preserve">Lunar Reconnaissance Orbiter</w:t>
            </w:r>
          </w:p>
        </w:tc>
        <w:tc>
          <w:tcPr>
            <w:tcW w:w="0" w:type="auto"/>
          </w:tcPr>
          <w:p>
            <w:pPr>
              <w:spacing w:line="240" w:lineRule="auto" w:before="0" w:after="0"/>
              <w:pStyle w:val="Compact"/>
            </w:pPr>
            <w:r>
              <w:rPr>
                <w:sz w:val="20"/>
                <w:szCs w:val="20"/>
              </w:rPr>
              <w:t xml:space="preserve">2009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40</w:t>
            </w:r>
          </w:p>
        </w:tc>
        <w:tc>
          <w:tcPr>
            <w:tcW w:w="0" w:type="auto"/>
          </w:tcPr>
          <w:p>
            <w:pPr>
              <w:spacing w:line="240" w:lineRule="auto" w:before="0" w:after="0"/>
              <w:pStyle w:val="Compact"/>
            </w:pPr>
            <w:r>
              <w:rPr>
                <w:sz w:val="20"/>
                <w:szCs w:val="20"/>
              </w:rPr>
              <w:t xml:space="preserve">0.0026</w:t>
            </w:r>
          </w:p>
        </w:tc>
        <w:tc>
          <w:tcPr>
            <w:tcW w:w="0" w:type="auto"/>
          </w:tcPr>
          <w:p>
            <w:pPr>
              <w:spacing w:line="240" w:lineRule="auto" w:before="0" w:after="0"/>
              <w:pStyle w:val="Compact"/>
            </w:pPr>
            <w:r>
              <w:rPr>
                <w:sz w:val="20"/>
                <w:szCs w:val="20"/>
              </w:rPr>
              <w:t xml:space="preserve">461000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13.0412</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3.6889</w:t>
            </w:r>
          </w:p>
        </w:tc>
        <w:tc>
          <w:tcPr>
            <w:tcW w:w="0" w:type="auto"/>
          </w:tcPr>
          <w:p>
            <w:pPr>
              <w:spacing w:line="240" w:lineRule="auto" w:before="0" w:after="0"/>
              <w:pStyle w:val="Compact"/>
            </w:pPr>
            <w:r>
              <w:rPr>
                <w:sz w:val="20"/>
                <w:szCs w:val="20"/>
              </w:rPr>
              <w:t xml:space="preserve">-5.9522</w:t>
            </w:r>
          </w:p>
        </w:tc>
        <w:tc>
          <w:tcPr>
            <w:tcW w:w="0" w:type="auto"/>
          </w:tcPr>
          <w:p>
            <w:pPr>
              <w:spacing w:line="240" w:lineRule="auto" w:before="0" w:after="0"/>
              <w:pStyle w:val="Compact"/>
            </w:pPr>
            <w:r>
              <w:rPr>
                <w:sz w:val="20"/>
                <w:szCs w:val="20"/>
              </w:rPr>
              <w:t xml:space="preserve">Wikipedia, Lunar Reconnaissance Orbiter (Ka-band downlink up to 461 kbit/s; lunar distance ~0.0026 AU) [illustrative HGA=0: gimbaled Ka horn not parabolic dish]; en.wikipedia.org/wiki/Lunar_Reconnaissance_Orbiter</w:t>
            </w:r>
          </w:p>
        </w:tc>
      </w:tr>
      <w:tr>
        <w:tc>
          <w:tcPr>
            <w:tcW w:w="0" w:type="auto"/>
          </w:tcPr>
          <w:p>
            <w:pPr>
              <w:spacing w:line="240" w:lineRule="auto" w:before="0" w:after="0"/>
              <w:pStyle w:val="Compact"/>
            </w:pPr>
            <w:r>
              <w:rPr>
                <w:sz w:val="20"/>
                <w:szCs w:val="20"/>
              </w:rPr>
              <w:t xml:space="preserve">Kepler</w:t>
            </w:r>
          </w:p>
        </w:tc>
        <w:tc>
          <w:tcPr>
            <w:tcW w:w="0" w:type="auto"/>
          </w:tcPr>
          <w:p>
            <w:pPr>
              <w:spacing w:line="240" w:lineRule="auto" w:before="0" w:after="0"/>
              <w:pStyle w:val="Compact"/>
            </w:pPr>
            <w:r>
              <w:rPr>
                <w:sz w:val="20"/>
                <w:szCs w:val="20"/>
              </w:rPr>
              <w:t xml:space="preserve">2009</w:t>
            </w:r>
          </w:p>
        </w:tc>
        <w:tc>
          <w:tcPr>
            <w:tcW w:w="0" w:type="auto"/>
          </w:tcPr>
          <w:p>
            <w:pPr>
              <w:spacing w:line="240" w:lineRule="auto" w:before="0" w:after="0"/>
              <w:pStyle w:val="Compact"/>
            </w:pPr>
            <w:r>
              <w:rPr>
                <w:sz w:val="20"/>
                <w:szCs w:val="20"/>
              </w:rPr>
              <w:t xml:space="preserve">0.85</w:t>
            </w:r>
          </w:p>
        </w:tc>
        <w:tc>
          <w:tcPr>
            <w:tcW w:w="0" w:type="auto"/>
          </w:tcPr>
          <w:p>
            <w:pPr>
              <w:spacing w:line="240" w:lineRule="auto" w:before="0" w:after="0"/>
              <w:pStyle w:val="Compact"/>
            </w:pPr>
            <w:r>
              <w:rPr>
                <w:sz w:val="20"/>
                <w:szCs w:val="20"/>
              </w:rPr>
              <w:t xml:space="preserve">32</w:t>
            </w:r>
          </w:p>
        </w:tc>
        <w:tc>
          <w:tcPr>
            <w:tcW w:w="0" w:type="auto"/>
          </w:tcPr>
          <w:p>
            <w:pPr>
              <w:spacing w:line="240" w:lineRule="auto" w:before="0" w:after="0"/>
              <w:pStyle w:val="Compact"/>
            </w:pPr>
            <w:r>
              <w:rPr>
                <w:sz w:val="20"/>
                <w:szCs w:val="20"/>
              </w:rPr>
              <w:t xml:space="preserve">0.6</w:t>
            </w:r>
          </w:p>
        </w:tc>
        <w:tc>
          <w:tcPr>
            <w:tcW w:w="0" w:type="auto"/>
          </w:tcPr>
          <w:p>
            <w:pPr>
              <w:spacing w:line="240" w:lineRule="auto" w:before="0" w:after="0"/>
              <w:pStyle w:val="Compact"/>
            </w:pPr>
            <w:r>
              <w:rPr>
                <w:sz w:val="20"/>
                <w:szCs w:val="20"/>
              </w:rPr>
              <w:t xml:space="preserve">4330000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15.2811</w:t>
            </w:r>
          </w:p>
        </w:tc>
        <w:tc>
          <w:tcPr>
            <w:tcW w:w="0" w:type="auto"/>
          </w:tcPr>
          <w:p>
            <w:pPr>
              <w:spacing w:line="240" w:lineRule="auto" w:before="0" w:after="0"/>
              <w:pStyle w:val="Compact"/>
            </w:pPr>
            <w:r>
              <w:rPr>
                <w:sz w:val="20"/>
                <w:szCs w:val="20"/>
              </w:rPr>
              <w:t xml:space="preserve">-0.1625</w:t>
            </w:r>
          </w:p>
        </w:tc>
        <w:tc>
          <w:tcPr>
            <w:tcW w:w="0" w:type="auto"/>
          </w:tcPr>
          <w:p>
            <w:pPr>
              <w:spacing w:line="240" w:lineRule="auto" w:before="0" w:after="0"/>
              <w:pStyle w:val="Compact"/>
            </w:pPr>
            <w:r>
              <w:rPr>
                <w:sz w:val="20"/>
                <w:szCs w:val="20"/>
              </w:rPr>
              <w:t xml:space="preserve">3.4657</w:t>
            </w:r>
          </w:p>
        </w:tc>
        <w:tc>
          <w:tcPr>
            <w:tcW w:w="0" w:type="auto"/>
          </w:tcPr>
          <w:p>
            <w:pPr>
              <w:spacing w:line="240" w:lineRule="auto" w:before="0" w:after="0"/>
              <w:pStyle w:val="Compact"/>
            </w:pPr>
            <w:r>
              <w:rPr>
                <w:sz w:val="20"/>
                <w:szCs w:val="20"/>
              </w:rPr>
              <w:t xml:space="preserve">-0.5108</w:t>
            </w:r>
          </w:p>
        </w:tc>
        <w:tc>
          <w:tcPr>
            <w:tcW w:w="0" w:type="auto"/>
          </w:tcPr>
          <w:p>
            <w:pPr>
              <w:spacing w:line="240" w:lineRule="auto" w:before="0" w:after="0"/>
              <w:pStyle w:val="Compact"/>
            </w:pPr>
            <w:r>
              <w:rPr>
                <w:sz w:val="20"/>
                <w:szCs w:val="20"/>
              </w:rPr>
              <w:t xml:space="preserve">NASA Kepler (0.85 m HGA, Ka-band; up to ~4.33 Mbit/s monthly downlink); en.wikipedia.org/wiki/Kepler_space_telescope</w:t>
            </w:r>
          </w:p>
        </w:tc>
      </w:tr>
      <w:tr>
        <w:tc>
          <w:tcPr>
            <w:tcW w:w="0" w:type="auto"/>
          </w:tcPr>
          <w:p>
            <w:pPr>
              <w:spacing w:line="240" w:lineRule="auto" w:before="0" w:after="0"/>
              <w:pStyle w:val="Compact"/>
            </w:pPr>
            <w:r>
              <w:rPr>
                <w:sz w:val="20"/>
                <w:szCs w:val="20"/>
              </w:rPr>
              <w:t xml:space="preserve">OSIRIS-REx</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100</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914000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13.7256</w:t>
            </w:r>
          </w:p>
        </w:tc>
        <w:tc>
          <w:tcPr>
            <w:tcW w:w="0" w:type="auto"/>
          </w:tcPr>
          <w:p>
            <w:pPr>
              <w:spacing w:line="240" w:lineRule="auto" w:before="0" w:after="0"/>
              <w:pStyle w:val="Compact"/>
            </w:pPr>
            <w:r>
              <w:rPr>
                <w:sz w:val="20"/>
                <w:szCs w:val="20"/>
              </w:rPr>
              <w:t xml:space="preserve">0.6931</w:t>
            </w:r>
          </w:p>
        </w:tc>
        <w:tc>
          <w:tcPr>
            <w:tcW w:w="0" w:type="auto"/>
          </w:tcPr>
          <w:p>
            <w:pPr>
              <w:spacing w:line="240" w:lineRule="auto" w:before="0" w:after="0"/>
              <w:pStyle w:val="Compact"/>
            </w:pPr>
            <w:r>
              <w:rPr>
                <w:sz w:val="20"/>
                <w:szCs w:val="20"/>
              </w:rPr>
              <w:t xml:space="preserve">4.6052</w:t>
            </w:r>
          </w:p>
        </w:tc>
        <w:tc>
          <w:tcPr>
            <w:tcW w:w="0" w:type="auto"/>
          </w:tcPr>
          <w:p>
            <w:pPr>
              <w:spacing w:line="240" w:lineRule="auto" w:before="0" w:after="0"/>
              <w:pStyle w:val="Compact"/>
            </w:pPr>
            <w:r>
              <w:rPr>
                <w:sz w:val="20"/>
                <w:szCs w:val="20"/>
              </w:rPr>
              <w:t xml:space="preserve">0.3365</w:t>
            </w:r>
          </w:p>
        </w:tc>
        <w:tc>
          <w:tcPr>
            <w:tcW w:w="0" w:type="auto"/>
          </w:tcPr>
          <w:p>
            <w:pPr>
              <w:spacing w:line="240" w:lineRule="auto" w:before="0" w:after="0"/>
              <w:pStyle w:val="Compact"/>
            </w:pPr>
            <w:r>
              <w:rPr>
                <w:sz w:val="20"/>
                <w:szCs w:val="20"/>
              </w:rPr>
              <w:t xml:space="preserve">NASA OSIRIS-REx press kit (2 m HGA, 100 W X-band; up to ~914 kbit/s); www.nasa.gov/osiris-rex</w:t>
            </w:r>
          </w:p>
        </w:tc>
      </w:tr>
      <w:tr>
        <w:tc>
          <w:tcPr>
            <w:tcW w:w="0" w:type="auto"/>
          </w:tcPr>
          <w:p>
            <w:pPr>
              <w:spacing w:line="240" w:lineRule="auto" w:before="0" w:after="0"/>
              <w:pStyle w:val="Compact"/>
            </w:pPr>
            <w:r>
              <w:rPr>
                <w:sz w:val="20"/>
                <w:szCs w:val="20"/>
              </w:rPr>
              <w:t xml:space="preserve">Mars Science Laboratory</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0.28</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1024000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13.8392</w:t>
            </w:r>
          </w:p>
        </w:tc>
        <w:tc>
          <w:tcPr>
            <w:tcW w:w="0" w:type="auto"/>
          </w:tcPr>
          <w:p>
            <w:pPr>
              <w:spacing w:line="240" w:lineRule="auto" w:before="0" w:after="0"/>
              <w:pStyle w:val="Compact"/>
            </w:pPr>
            <w:r>
              <w:rPr>
                <w:sz w:val="20"/>
                <w:szCs w:val="20"/>
              </w:rPr>
              <w:t xml:space="preserve">-1.273</w:t>
            </w:r>
          </w:p>
        </w:tc>
        <w:tc>
          <w:tcPr>
            <w:tcW w:w="0" w:type="auto"/>
          </w:tcPr>
          <w:p>
            <w:pPr>
              <w:spacing w:line="240" w:lineRule="auto" w:before="0" w:after="0"/>
              <w:pStyle w:val="Compact"/>
            </w:pPr>
            <w:r>
              <w:rPr>
                <w:sz w:val="20"/>
                <w:szCs w:val="20"/>
              </w:rPr>
              <w:t xml:space="preserve">2.7081</w:t>
            </w:r>
          </w:p>
        </w:tc>
        <w:tc>
          <w:tcPr>
            <w:tcW w:w="0" w:type="auto"/>
          </w:tcPr>
          <w:p>
            <w:pPr>
              <w:spacing w:line="240" w:lineRule="auto" w:before="0" w:after="0"/>
              <w:pStyle w:val="Compact"/>
            </w:pPr>
            <w:r>
              <w:rPr>
                <w:sz w:val="20"/>
                <w:szCs w:val="20"/>
              </w:rPr>
              <w:t xml:space="preserve">0.9555</w:t>
            </w:r>
          </w:p>
        </w:tc>
        <w:tc>
          <w:tcPr>
            <w:tcW w:w="0" w:type="auto"/>
          </w:tcPr>
          <w:p>
            <w:pPr>
              <w:spacing w:line="240" w:lineRule="auto" w:before="0" w:after="0"/>
              <w:pStyle w:val="Compact"/>
            </w:pPr>
            <w:r>
              <w:rPr>
                <w:sz w:val="20"/>
                <w:szCs w:val="20"/>
              </w:rPr>
              <w:t xml:space="preserve">NASA MSL/Curiosity (UHF relay primary; X-band direct ~1 kbit/s, relay path to MRO up to ~2 Mbit/s, taken ~1 Mbit/s effective) [illustrative HGA=0.28 small X HGA]; mars.nasa.gov/msl</w:t>
            </w:r>
          </w:p>
        </w:tc>
      </w:tr>
      <w:tr>
        <w:tc>
          <w:tcPr>
            <w:tcW w:w="0" w:type="auto"/>
          </w:tcPr>
          <w:p>
            <w:pPr>
              <w:spacing w:line="240" w:lineRule="auto" w:before="0" w:after="0"/>
              <w:pStyle w:val="Compact"/>
            </w:pPr>
            <w:r>
              <w:rPr>
                <w:sz w:val="20"/>
                <w:szCs w:val="20"/>
              </w:rPr>
              <w:t xml:space="preserve">InSight</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0.28</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7900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8.9746</w:t>
            </w:r>
          </w:p>
        </w:tc>
        <w:tc>
          <w:tcPr>
            <w:tcW w:w="0" w:type="auto"/>
          </w:tcPr>
          <w:p>
            <w:pPr>
              <w:spacing w:line="240" w:lineRule="auto" w:before="0" w:after="0"/>
              <w:pStyle w:val="Compact"/>
            </w:pPr>
            <w:r>
              <w:rPr>
                <w:sz w:val="20"/>
                <w:szCs w:val="20"/>
              </w:rPr>
              <w:t xml:space="preserve">-1.273</w:t>
            </w:r>
          </w:p>
        </w:tc>
        <w:tc>
          <w:tcPr>
            <w:tcW w:w="0" w:type="auto"/>
          </w:tcPr>
          <w:p>
            <w:pPr>
              <w:spacing w:line="240" w:lineRule="auto" w:before="0" w:after="0"/>
              <w:pStyle w:val="Compact"/>
            </w:pPr>
            <w:r>
              <w:rPr>
                <w:sz w:val="20"/>
                <w:szCs w:val="20"/>
              </w:rPr>
              <w:t xml:space="preserve">2.7081</w:t>
            </w:r>
          </w:p>
        </w:tc>
        <w:tc>
          <w:tcPr>
            <w:tcW w:w="0" w:type="auto"/>
          </w:tcPr>
          <w:p>
            <w:pPr>
              <w:spacing w:line="240" w:lineRule="auto" w:before="0" w:after="0"/>
              <w:pStyle w:val="Compact"/>
            </w:pPr>
            <w:r>
              <w:rPr>
                <w:sz w:val="20"/>
                <w:szCs w:val="20"/>
              </w:rPr>
              <w:t xml:space="preserve">0.9555</w:t>
            </w:r>
          </w:p>
        </w:tc>
        <w:tc>
          <w:tcPr>
            <w:tcW w:w="0" w:type="auto"/>
          </w:tcPr>
          <w:p>
            <w:pPr>
              <w:spacing w:line="240" w:lineRule="auto" w:before="0" w:after="0"/>
              <w:pStyle w:val="Compact"/>
            </w:pPr>
            <w:r>
              <w:rPr>
                <w:sz w:val="20"/>
                <w:szCs w:val="20"/>
              </w:rPr>
              <w:t xml:space="preserve">NASA InSight (small X-band MGA + UHF relay; direct-to-Earth ~7.9 kbit/s) [illustrative HGA=0.28]; mars.nasa.gov/insight</w:t>
            </w:r>
          </w:p>
        </w:tc>
      </w:tr>
    </w:tbl>
    <w:bookmarkEnd w:id="79"/>
    <w:bookmarkStart w:id="80" w:name="variable-construction"/>
    <w:p>
      <w:pPr>
        <w:pStyle w:val="Heading3"/>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ln_rate</w:t>
            </w:r>
          </w:p>
        </w:tc>
        <w:tc>
          <w:tcPr>
            <w:tcW w:w="0" w:type="auto"/>
          </w:tcPr>
          <w:p>
            <w:pPr>
              <w:spacing w:line="240" w:lineRule="auto" w:before="0" w:after="0"/>
              <w:pStyle w:val="Compact"/>
            </w:pPr>
            <w:r>
              <w:rPr>
                <w:sz w:val="20"/>
                <w:szCs w:val="20"/>
              </w:rPr>
              <w:t xml:space="preserve">Natural log of maximum published deep-space downlink data rate R (bits per second) the mission draws from a DSN antenna</w:t>
            </w:r>
          </w:p>
        </w:tc>
        <w:tc>
          <w:tcPr>
            <w:tcW w:w="0" w:type="auto"/>
          </w:tcPr>
          <w:p>
            <w:pPr>
              <w:spacing w:line="240" w:lineRule="auto" w:before="0" w:after="0"/>
              <w:pStyle w:val="Compact"/>
            </w:pPr>
            <w:r>
              <w:rPr>
                <w:sz w:val="20"/>
                <w:szCs w:val="20"/>
              </w:rPr>
              <w:t xml:space="preserve">Computed from max_downlink_bps; per-mission telecom figures (Wikipedia mission articles, NASA/ESA fact sheets and press kits, JPL DESCANSO Design and Performance Summary Series)</w:t>
            </w:r>
          </w:p>
        </w:tc>
      </w:tr>
      <w:tr>
        <w:tc>
          <w:tcPr>
            <w:tcW w:w="0" w:type="auto"/>
          </w:tcPr>
          <w:p>
            <w:pPr>
              <w:spacing w:line="240" w:lineRule="auto" w:before="0" w:after="0"/>
              <w:pStyle w:val="Compact"/>
            </w:pPr>
            <w:r>
              <w:rPr>
                <w:sz w:val="20"/>
                <w:szCs w:val="20"/>
              </w:rPr>
              <w:t xml:space="preserve">ln_hga</w:t>
            </w:r>
          </w:p>
        </w:tc>
        <w:tc>
          <w:tcPr>
            <w:tcW w:w="0" w:type="auto"/>
          </w:tcPr>
          <w:p>
            <w:pPr>
              <w:spacing w:line="240" w:lineRule="auto" w:before="0" w:after="0"/>
              <w:pStyle w:val="Compact"/>
            </w:pPr>
            <w:r>
              <w:rPr>
                <w:sz w:val="20"/>
                <w:szCs w:val="20"/>
              </w:rPr>
              <w:t xml:space="preserve">Natural log of spacecraft high-gain antenna diameter D (meters), the dominant determinant of spacecraft antenna gain</w:t>
            </w:r>
          </w:p>
        </w:tc>
        <w:tc>
          <w:tcPr>
            <w:tcW w:w="0" w:type="auto"/>
          </w:tcPr>
          <w:p>
            <w:pPr>
              <w:spacing w:line="240" w:lineRule="auto" w:before="0" w:after="0"/>
              <w:pStyle w:val="Compact"/>
            </w:pPr>
            <w:r>
              <w:rPr>
                <w:sz w:val="20"/>
                <w:szCs w:val="20"/>
              </w:rPr>
              <w:t xml:space="preserve">Computed from hga_diameter_m; per-mission telecom specifications cited in the source column of each row</w:t>
            </w:r>
          </w:p>
        </w:tc>
      </w:tr>
      <w:tr>
        <w:tc>
          <w:tcPr>
            <w:tcW w:w="0" w:type="auto"/>
          </w:tcPr>
          <w:p>
            <w:pPr>
              <w:spacing w:line="240" w:lineRule="auto" w:before="0" w:after="0"/>
              <w:pStyle w:val="Compact"/>
            </w:pPr>
            <w:r>
              <w:rPr>
                <w:sz w:val="20"/>
                <w:szCs w:val="20"/>
              </w:rPr>
              <w:t xml:space="preserve">ln_power</w:t>
            </w:r>
          </w:p>
        </w:tc>
        <w:tc>
          <w:tcPr>
            <w:tcW w:w="0" w:type="auto"/>
          </w:tcPr>
          <w:p>
            <w:pPr>
              <w:spacing w:line="240" w:lineRule="auto" w:before="0" w:after="0"/>
              <w:pStyle w:val="Compact"/>
            </w:pPr>
            <w:r>
              <w:rPr>
                <w:sz w:val="20"/>
                <w:szCs w:val="20"/>
              </w:rPr>
              <w:t xml:space="preserve">Natural log of radio-frequency transmitter output power P (watts) on the deep-space band</w:t>
            </w:r>
          </w:p>
        </w:tc>
        <w:tc>
          <w:tcPr>
            <w:tcW w:w="0" w:type="auto"/>
          </w:tcPr>
          <w:p>
            <w:pPr>
              <w:spacing w:line="240" w:lineRule="auto" w:before="0" w:after="0"/>
              <w:pStyle w:val="Compact"/>
            </w:pPr>
            <w:r>
              <w:rPr>
                <w:sz w:val="20"/>
                <w:szCs w:val="20"/>
              </w:rPr>
              <w:t xml:space="preserve">Computed from rf_power_w; per-mission telecom specifications cited per row</w:t>
            </w:r>
          </w:p>
        </w:tc>
      </w:tr>
      <w:tr>
        <w:tc>
          <w:tcPr>
            <w:tcW w:w="0" w:type="auto"/>
          </w:tcPr>
          <w:p>
            <w:pPr>
              <w:spacing w:line="240" w:lineRule="auto" w:before="0" w:after="0"/>
              <w:pStyle w:val="Compact"/>
            </w:pPr>
            <w:r>
              <w:rPr>
                <w:sz w:val="20"/>
                <w:szCs w:val="20"/>
              </w:rPr>
              <w:t xml:space="preserve">ln_dist</w:t>
            </w:r>
          </w:p>
        </w:tc>
        <w:tc>
          <w:tcPr>
            <w:tcW w:w="0" w:type="auto"/>
          </w:tcPr>
          <w:p>
            <w:pPr>
              <w:spacing w:line="240" w:lineRule="auto" w:before="0" w:after="0"/>
              <w:pStyle w:val="Compact"/>
            </w:pPr>
            <w:r>
              <w:rPr>
                <w:sz w:val="20"/>
                <w:szCs w:val="20"/>
              </w:rPr>
              <w:t xml:space="preserve">Natural log of maximum Earth-spacecraft range L (astronomical units), the contention/path-loss penalty (signal falls as inverse square of range)</w:t>
            </w:r>
          </w:p>
        </w:tc>
        <w:tc>
          <w:tcPr>
            <w:tcW w:w="0" w:type="auto"/>
          </w:tcPr>
          <w:p>
            <w:pPr>
              <w:spacing w:line="240" w:lineRule="auto" w:before="0" w:after="0"/>
              <w:pStyle w:val="Compact"/>
            </w:pPr>
            <w:r>
              <w:rPr>
                <w:sz w:val="20"/>
                <w:szCs w:val="20"/>
              </w:rPr>
              <w:t xml:space="preserve">Computed from max_earth_dist_au; mission operating distance cited per row</w:t>
            </w:r>
          </w:p>
        </w:tc>
      </w:tr>
    </w:tbl>
    <w:bookmarkEnd w:id="80"/>
    <w:bookmarkStart w:id="81" w:name="estimator-output"/>
    <w:p>
      <w:pPr>
        <w:pStyle w:val="Heading3"/>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4.8226</w:t>
            </w:r>
          </w:p>
        </w:tc>
        <w:tc>
          <w:tcPr>
            <w:tcW w:w="0" w:type="auto"/>
          </w:tcPr>
          <w:p>
            <w:pPr>
              <w:spacing w:line="240" w:lineRule="auto" w:before="0" w:after="0"/>
              <w:pStyle w:val="Compact"/>
            </w:pPr>
            <w:r>
              <w:rPr>
                <w:sz w:val="20"/>
                <w:szCs w:val="20"/>
              </w:rPr>
              <w:t xml:space="preserve">1.5915</w:t>
            </w:r>
          </w:p>
        </w:tc>
        <w:tc>
          <w:tcPr>
            <w:tcW w:w="0" w:type="auto"/>
          </w:tcPr>
          <w:p>
            <w:pPr>
              <w:spacing w:line="240" w:lineRule="auto" w:before="0" w:after="0"/>
              <w:pStyle w:val="Compact"/>
            </w:pPr>
            <w:r>
              <w:rPr>
                <w:sz w:val="20"/>
                <w:szCs w:val="20"/>
              </w:rPr>
              <w:t xml:space="preserve">3.0302</w:t>
            </w:r>
          </w:p>
        </w:tc>
        <w:tc>
          <w:tcPr>
            <w:tcW w:w="0" w:type="auto"/>
          </w:tcPr>
          <w:p>
            <w:pPr>
              <w:spacing w:line="240" w:lineRule="auto" w:before="0" w:after="0"/>
              <w:pStyle w:val="Compact"/>
            </w:pPr>
            <w:r>
              <w:rPr>
                <w:sz w:val="20"/>
                <w:szCs w:val="20"/>
              </w:rPr>
              <w:t xml:space="preserve">0.0024</w:t>
            </w:r>
          </w:p>
        </w:tc>
        <w:tc>
          <w:tcPr>
            <w:tcW w:w="0" w:type="auto"/>
          </w:tcPr>
          <w:p>
            <w:pPr>
              <w:spacing w:line="240" w:lineRule="auto" w:before="0" w:after="0"/>
              <w:pStyle w:val="Compact"/>
            </w:pPr>
            <w:r>
              <w:rPr>
                <w:sz w:val="20"/>
                <w:szCs w:val="20"/>
              </w:rPr>
              <w:t xml:space="preserve">[1.7033, 7.9419]</w:t>
            </w:r>
          </w:p>
        </w:tc>
      </w:tr>
      <w:tr>
        <w:tc>
          <w:tcPr>
            <w:tcW w:w="0" w:type="auto"/>
          </w:tcPr>
          <w:p>
            <w:pPr>
              <w:spacing w:line="240" w:lineRule="auto" w:before="0" w:after="0"/>
              <w:pStyle w:val="Compact"/>
            </w:pPr>
            <w:r>
              <w:rPr>
                <w:sz w:val="20"/>
                <w:szCs w:val="20"/>
              </w:rPr>
              <w:t xml:space="preserve">ln_hga</w:t>
            </w:r>
          </w:p>
        </w:tc>
        <w:tc>
          <w:tcPr>
            <w:tcW w:w="0" w:type="auto"/>
          </w:tcPr>
          <w:p>
            <w:pPr>
              <w:spacing w:line="240" w:lineRule="auto" w:before="0" w:after="0"/>
              <w:pStyle w:val="Compact"/>
            </w:pPr>
            <w:r>
              <w:rPr>
                <w:sz w:val="20"/>
                <w:szCs w:val="20"/>
              </w:rPr>
              <w:t xml:space="preserve">-0.1185</w:t>
            </w:r>
          </w:p>
        </w:tc>
        <w:tc>
          <w:tcPr>
            <w:tcW w:w="0" w:type="auto"/>
          </w:tcPr>
          <w:p>
            <w:pPr>
              <w:spacing w:line="240" w:lineRule="auto" w:before="0" w:after="0"/>
              <w:pStyle w:val="Compact"/>
            </w:pPr>
            <w:r>
              <w:rPr>
                <w:sz w:val="20"/>
                <w:szCs w:val="20"/>
              </w:rPr>
              <w:t xml:space="preserve">0.5868</w:t>
            </w:r>
          </w:p>
        </w:tc>
        <w:tc>
          <w:tcPr>
            <w:tcW w:w="0" w:type="auto"/>
          </w:tcPr>
          <w:p>
            <w:pPr>
              <w:spacing w:line="240" w:lineRule="auto" w:before="0" w:after="0"/>
              <w:pStyle w:val="Compact"/>
            </w:pPr>
            <w:r>
              <w:rPr>
                <w:sz w:val="20"/>
                <w:szCs w:val="20"/>
              </w:rPr>
              <w:t xml:space="preserve">-0.202</w:t>
            </w:r>
          </w:p>
        </w:tc>
        <w:tc>
          <w:tcPr>
            <w:tcW w:w="0" w:type="auto"/>
          </w:tcPr>
          <w:p>
            <w:pPr>
              <w:spacing w:line="240" w:lineRule="auto" w:before="0" w:after="0"/>
              <w:pStyle w:val="Compact"/>
            </w:pPr>
            <w:r>
              <w:rPr>
                <w:sz w:val="20"/>
                <w:szCs w:val="20"/>
              </w:rPr>
              <w:t xml:space="preserve">0.8399</w:t>
            </w:r>
          </w:p>
        </w:tc>
        <w:tc>
          <w:tcPr>
            <w:tcW w:w="0" w:type="auto"/>
          </w:tcPr>
          <w:p>
            <w:pPr>
              <w:spacing w:line="240" w:lineRule="auto" w:before="0" w:after="0"/>
              <w:pStyle w:val="Compact"/>
            </w:pPr>
            <w:r>
              <w:rPr>
                <w:sz w:val="20"/>
                <w:szCs w:val="20"/>
              </w:rPr>
              <w:t xml:space="preserve">[-1.2686, 1.0315]</w:t>
            </w:r>
          </w:p>
        </w:tc>
      </w:tr>
      <w:tr>
        <w:tc>
          <w:tcPr>
            <w:tcW w:w="0" w:type="auto"/>
          </w:tcPr>
          <w:p>
            <w:pPr>
              <w:spacing w:line="240" w:lineRule="auto" w:before="0" w:after="0"/>
              <w:pStyle w:val="Compact"/>
            </w:pPr>
            <w:r>
              <w:rPr>
                <w:sz w:val="20"/>
                <w:szCs w:val="20"/>
              </w:rPr>
              <w:t xml:space="preserve">ln_power</w:t>
            </w:r>
          </w:p>
        </w:tc>
        <w:tc>
          <w:tcPr>
            <w:tcW w:w="0" w:type="auto"/>
          </w:tcPr>
          <w:p>
            <w:pPr>
              <w:spacing w:line="240" w:lineRule="auto" w:before="0" w:after="0"/>
              <w:pStyle w:val="Compact"/>
            </w:pPr>
            <w:r>
              <w:rPr>
                <w:sz w:val="20"/>
                <w:szCs w:val="20"/>
              </w:rPr>
              <w:t xml:space="preserve">2.2669</w:t>
            </w:r>
          </w:p>
        </w:tc>
        <w:tc>
          <w:tcPr>
            <w:tcW w:w="0" w:type="auto"/>
          </w:tcPr>
          <w:p>
            <w:pPr>
              <w:spacing w:line="240" w:lineRule="auto" w:before="0" w:after="0"/>
              <w:pStyle w:val="Compact"/>
            </w:pPr>
            <w:r>
              <w:rPr>
                <w:sz w:val="20"/>
                <w:szCs w:val="20"/>
              </w:rPr>
              <w:t xml:space="preserve">0.4534</w:t>
            </w:r>
          </w:p>
        </w:tc>
        <w:tc>
          <w:tcPr>
            <w:tcW w:w="0" w:type="auto"/>
          </w:tcPr>
          <w:p>
            <w:pPr>
              <w:spacing w:line="240" w:lineRule="auto" w:before="0" w:after="0"/>
              <w:pStyle w:val="Compact"/>
            </w:pPr>
            <w:r>
              <w:rPr>
                <w:sz w:val="20"/>
                <w:szCs w:val="20"/>
              </w:rPr>
              <w:t xml:space="preserve">5.0002</w:t>
            </w:r>
          </w:p>
        </w:tc>
        <w:tc>
          <w:tcPr>
            <w:tcW w:w="0" w:type="auto"/>
          </w:tcPr>
          <w:p>
            <w:pPr>
              <w:spacing w:line="240" w:lineRule="auto" w:before="0" w:after="0"/>
              <w:pStyle w:val="Compact"/>
            </w:pPr>
            <w:r>
              <w:rPr>
                <w:sz w:val="20"/>
                <w:szCs w:val="20"/>
              </w:rPr>
              <w:t xml:space="preserve">5.728e-07</w:t>
            </w:r>
          </w:p>
        </w:tc>
        <w:tc>
          <w:tcPr>
            <w:tcW w:w="0" w:type="auto"/>
          </w:tcPr>
          <w:p>
            <w:pPr>
              <w:spacing w:line="240" w:lineRule="auto" w:before="0" w:after="0"/>
              <w:pStyle w:val="Compact"/>
            </w:pPr>
            <w:r>
              <w:rPr>
                <w:sz w:val="20"/>
                <w:szCs w:val="20"/>
              </w:rPr>
              <w:t xml:space="preserve">[1.3783, 3.1555]</w:t>
            </w:r>
          </w:p>
        </w:tc>
      </w:tr>
      <w:tr>
        <w:tc>
          <w:tcPr>
            <w:tcW w:w="0" w:type="auto"/>
          </w:tcPr>
          <w:p>
            <w:pPr>
              <w:spacing w:line="240" w:lineRule="auto" w:before="0" w:after="0"/>
              <w:pStyle w:val="Compact"/>
            </w:pPr>
            <w:r>
              <w:rPr>
                <w:sz w:val="20"/>
                <w:szCs w:val="20"/>
              </w:rPr>
              <w:t xml:space="preserve">ln_dist</w:t>
            </w:r>
          </w:p>
        </w:tc>
        <w:tc>
          <w:tcPr>
            <w:tcW w:w="0" w:type="auto"/>
          </w:tcPr>
          <w:p>
            <w:pPr>
              <w:spacing w:line="240" w:lineRule="auto" w:before="0" w:after="0"/>
              <w:pStyle w:val="Compact"/>
            </w:pPr>
            <w:r>
              <w:rPr>
                <w:sz w:val="20"/>
                <w:szCs w:val="20"/>
              </w:rPr>
              <w:t xml:space="preserve">-1.0508</w:t>
            </w:r>
          </w:p>
        </w:tc>
        <w:tc>
          <w:tcPr>
            <w:tcW w:w="0" w:type="auto"/>
          </w:tcPr>
          <w:p>
            <w:pPr>
              <w:spacing w:line="240" w:lineRule="auto" w:before="0" w:after="0"/>
              <w:pStyle w:val="Compact"/>
            </w:pPr>
            <w:r>
              <w:rPr>
                <w:sz w:val="20"/>
                <w:szCs w:val="20"/>
              </w:rPr>
              <w:t xml:space="preserve">0.4454</w:t>
            </w:r>
          </w:p>
        </w:tc>
        <w:tc>
          <w:tcPr>
            <w:tcW w:w="0" w:type="auto"/>
          </w:tcPr>
          <w:p>
            <w:pPr>
              <w:spacing w:line="240" w:lineRule="auto" w:before="0" w:after="0"/>
              <w:pStyle w:val="Compact"/>
            </w:pPr>
            <w:r>
              <w:rPr>
                <w:sz w:val="20"/>
                <w:szCs w:val="20"/>
              </w:rPr>
              <w:t xml:space="preserve">-2.3592</w:t>
            </w:r>
          </w:p>
        </w:tc>
        <w:tc>
          <w:tcPr>
            <w:tcW w:w="0" w:type="auto"/>
          </w:tcPr>
          <w:p>
            <w:pPr>
              <w:spacing w:line="240" w:lineRule="auto" w:before="0" w:after="0"/>
              <w:pStyle w:val="Compact"/>
            </w:pPr>
            <w:r>
              <w:rPr>
                <w:sz w:val="20"/>
                <w:szCs w:val="20"/>
              </w:rPr>
              <w:t xml:space="preserve">0.0183</w:t>
            </w:r>
          </w:p>
        </w:tc>
        <w:tc>
          <w:tcPr>
            <w:tcW w:w="0" w:type="auto"/>
          </w:tcPr>
          <w:p>
            <w:pPr>
              <w:spacing w:line="240" w:lineRule="auto" w:before="0" w:after="0"/>
              <w:pStyle w:val="Compact"/>
            </w:pPr>
            <w:r>
              <w:rPr>
                <w:sz w:val="20"/>
                <w:szCs w:val="20"/>
              </w:rPr>
              <w:t xml:space="preserve">[-1.9237, -0.1778]</w:t>
            </w:r>
          </w:p>
        </w:tc>
      </w:tr>
    </w:tbl>
    <w:p>
      <w:pPr>
        <w:pStyle w:val="BodyText"/>
      </w:pPr>
      <w:r>
        <w:t xml:space="preserve">Fit: N = 24 R2 = 0.5689 R2_adj = 0.5043 F = 10.97 F_p = 0.0001785</w:t>
      </w:r>
    </w:p>
    <w:bookmarkEnd w:id="81"/>
    <w:bookmarkEnd w:id="82"/>
    <w:bookmarkEnd w:id="83"/>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before="135"/>
      <w:ind w:left="380"/>
    </w:pPr>
    <w:rPr>
      <w:rFonts w:ascii="Arial" w:cs="Arial" w:eastAsia="Arial" w:hAnsi="Arial"/>
      <w:b/>
      <w:bCs/>
      <w:sz w:val="20"/>
      <w:szCs w:val="20"/>
    </w:rPr>
  </w:style>
  <w:style w:styleId="TOC2" w:type="paragraph">
    <w:name w:val="toc 2"/>
    <w:basedOn w:val="Normal"/>
    <w:uiPriority w:val="1"/>
    <w:qFormat/>
    <w:pPr>
      <w:spacing w:before="30"/>
      <w:ind w:left="620"/>
    </w:pPr>
    <w:rPr>
      <w:rFonts w:ascii="Arial" w:cs="Arial" w:eastAsia="Arial" w:hAnsi="Arial"/>
      <w:sz w:val="20"/>
      <w:szCs w:val="20"/>
    </w:rPr>
  </w:style>
  <w:style w:styleId="TOC3" w:type="paragraph">
    <w:name w:val="toc 3"/>
    <w:basedOn w:val="Normal"/>
    <w:uiPriority w:val="1"/>
    <w:qFormat/>
    <w:pPr>
      <w:spacing w:before="15"/>
      <w:ind w:left="620"/>
    </w:pPr>
    <w:rPr>
      <w:rFonts w:ascii="Arial" w:cs="Arial" w:eastAsia="Arial" w:hAnsi="Arial"/>
      <w:sz w:val="16"/>
      <w:szCs w:val="16"/>
    </w:rPr>
  </w:style>
  <w:style w:styleId="TOC4" w:type="paragraph">
    <w:name w:val="toc 4"/>
    <w:basedOn w:val="Normal"/>
    <w:uiPriority w:val="1"/>
    <w:qFormat/>
    <w:pPr>
      <w:spacing w:before="15"/>
      <w:ind w:left="620"/>
    </w:pPr>
    <w:rPr>
      <w:rFonts w:ascii="Arial" w:cs="Arial" w:eastAsia="Arial" w:hAnsi="Arial"/>
      <w:b/>
      <w:bCs/>
      <w:i/>
    </w:rPr>
  </w:style>
  <w:style w:styleId="TOC5" w:type="paragraph">
    <w:name w:val="toc 5"/>
    <w:basedOn w:val="Normal"/>
    <w:uiPriority w:val="1"/>
    <w:qFormat/>
    <w:pPr>
      <w:spacing w:before="15"/>
      <w:ind w:left="860"/>
    </w:pPr>
    <w:rPr>
      <w:rFonts w:ascii="Arial" w:cs="Arial" w:eastAsia="Arial" w:hAnsi="Arial"/>
      <w:i/>
      <w:sz w:val="20"/>
      <w:szCs w:val="20"/>
    </w:rPr>
  </w:style>
  <w:style w:styleId="BodyText" w:type="paragraph">
    <w:name w:val="Body Text"/>
    <w:basedOn w:val="Normal"/>
    <w:uiPriority w:val="1"/>
    <w:qFormat/>
    <w:pPr>
      <w:ind w:left="38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Relationships xmlns="http://schemas.openxmlformats.org/package/2006/relationships"><Relationship Type="http://schemas.openxmlformats.org/officeDocument/2006/relationships/numbering" Id="rId60" Target="numbering.xml" /><Relationship Type="http://schemas.openxmlformats.org/officeDocument/2006/relationships/styles" Id="rId59" Target="styles.xml" /><Relationship Type="http://schemas.openxmlformats.org/officeDocument/2006/relationships/settings" Id="rId58" Target="settings.xml" /><Relationship Type="http://schemas.openxmlformats.org/officeDocument/2006/relationships/webSettings" Id="rId57" Target="webSettings.xml" /><Relationship Type="http://schemas.openxmlformats.org/officeDocument/2006/relationships/fontTable" Id="rId56" Target="fontTable.xml" /><Relationship Type="http://schemas.openxmlformats.org/officeDocument/2006/relationships/theme" Id="rId55" Target="theme/theme1.xml" /><Relationship Type="http://schemas.openxmlformats.org/officeDocument/2006/relationships/footnotes" Id="rId54" Target="footnotes.xml" /><Relationship Type="http://schemas.openxmlformats.org/officeDocument/2006/relationships/comments" Id="rId53" Target="comments.xml" /><Relationship Id="rId13" Target="media/image5.png" Type="http://schemas.openxmlformats.org/officeDocument/2006/relationships/image" /><Relationship Id="rId18" Target="media/image10.png" Type="http://schemas.openxmlformats.org/officeDocument/2006/relationships/image" /><Relationship Id="rId26" Target="media/image17.png" Type="http://schemas.openxmlformats.org/officeDocument/2006/relationships/image" /><Relationship Id="rId21" Target="media/image13.png" Type="http://schemas.openxmlformats.org/officeDocument/2006/relationships/image" /><Relationship Id="rId50" Target="media/image23.png" Type="http://schemas.openxmlformats.org/officeDocument/2006/relationships/image" /><Relationship Id="rId7" Target="footer1.xml" Type="http://schemas.openxmlformats.org/officeDocument/2006/relationships/footer" /><Relationship Id="rId16" Target="media/image8.jpeg" Type="http://schemas.openxmlformats.org/officeDocument/2006/relationships/image" /><Relationship Id="rId29" Target="media/image20.png" Type="http://schemas.openxmlformats.org/officeDocument/2006/relationships/image" /><Relationship Id="rId11" Target="media/image3.png" Type="http://schemas.openxmlformats.org/officeDocument/2006/relationships/image" /><Relationship Id="rId24" Target="media/image16.png" Type="http://schemas.openxmlformats.org/officeDocument/2006/relationships/image" /><Relationship Id="rId19" Target="media/image11.png" Type="http://schemas.openxmlformats.org/officeDocument/2006/relationships/image" /><Relationship Id="rId9" Target="media/image1.jpeg" Type="http://schemas.openxmlformats.org/officeDocument/2006/relationships/image" /><Relationship Id="rId14" Target="media/image6.png" Type="http://schemas.openxmlformats.org/officeDocument/2006/relationships/image" /><Relationship Id="rId22" Target="media/image14.jpeg" Type="http://schemas.openxmlformats.org/officeDocument/2006/relationships/image" /><Relationship Id="rId27" Target="media/image18.png" Type="http://schemas.openxmlformats.org/officeDocument/2006/relationships/image" /><Relationship Id="rId30" Target="media/image21.png" Type="http://schemas.openxmlformats.org/officeDocument/2006/relationships/image" /><Relationship Id="rId8" Target="footer2.xml" Type="http://schemas.openxmlformats.org/officeDocument/2006/relationships/footer" /><Relationship Id="rId51" Target="media/image24.jpeg" Type="http://schemas.openxmlformats.org/officeDocument/2006/relationships/image" /><Relationship Id="rId12" Target="media/image4.png" Type="http://schemas.openxmlformats.org/officeDocument/2006/relationships/image" /><Relationship Id="rId17" Target="media/image9.png" Type="http://schemas.openxmlformats.org/officeDocument/2006/relationships/image" /><Relationship Id="rId20" Target="media/image12.png" Type="http://schemas.openxmlformats.org/officeDocument/2006/relationships/image" /><Relationship Id="rId15" Target="media/image7.png" Type="http://schemas.openxmlformats.org/officeDocument/2006/relationships/image" /><Relationship Id="rId23" Target="media/image15.jpeg" Type="http://schemas.openxmlformats.org/officeDocument/2006/relationships/image" /><Relationship Id="rId28" Target="media/image19.jpeg" Type="http://schemas.openxmlformats.org/officeDocument/2006/relationships/image" /><Relationship Id="rId10" Target="media/image2.jpeg" Type="http://schemas.openxmlformats.org/officeDocument/2006/relationships/image" /><Relationship Id="rId31" Target="media/image22.png" Type="http://schemas.openxmlformats.org/officeDocument/2006/relationships/image" /><Relationship Id="rId52" Target="media/image25.jpeg" Type="http://schemas.openxmlformats.org/officeDocument/2006/relationships/image" /><Relationship Type="http://schemas.openxmlformats.org/officeDocument/2006/relationships/image" Id="rId75" Target="media/rId75.png" /><Relationship Type="http://schemas.openxmlformats.org/officeDocument/2006/relationships/hyperlink" Id="rId68" Target="https://doi.org/10.1016/j.spacepol.2012.06.004" TargetMode="External" /><Relationship Type="http://schemas.openxmlformats.org/officeDocument/2006/relationships/hyperlink" Id="rId70" Target="https://doi.org/10.1257/jep.32.2.173" TargetMode="External" /></Relationships>
</file>

<file path=word/_rels/footnotes.xml.rels><?xml version="1.0" encoding="UTF-8"?><Relationships xmlns="http://schemas.openxmlformats.org/package/2006/relationships"><Relationship Type="http://schemas.openxmlformats.org/officeDocument/2006/relationships/hyperlink" Id="rId68" Target="https://doi.org/10.1016/j.spacepol.2012.06.004" TargetMode="External" /><Relationship Type="http://schemas.openxmlformats.org/officeDocument/2006/relationships/hyperlink" Id="rId70" Target="https://doi.org/10.1257/jep.32.2.173"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2026-06-22T20:32:06Z</dcterms:created>
  <dcterms:modified xsi:type="dcterms:W3CDTF">2026-06-22T20:32:06Z</dcterms:modified>
</cp:coreProperties>
</file>

<file path=docProps/custom.xml><?xml version="1.0" encoding="utf-8"?>
<Properties xmlns="http://schemas.openxmlformats.org/officeDocument/2006/custom-properties" xmlns:vt="http://schemas.openxmlformats.org/officeDocument/2006/docPropsVTypes"/>
</file>