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4233dad6eb96eb2a4765ef229406f99ab2a5673"/>
    <w:p>
      <w:pPr>
        <w:pStyle w:val="Heading1"/>
      </w:pPr>
      <w:r>
        <w:t xml:space="preserve">Distance, Data Rate, and the Demand Side of a Congested Common: An Ordinary-Least-Squares Model of Per-Mission Deep Space Network Tracking Load</w:t>
      </w:r>
    </w:p>
    <w:bookmarkStart w:id="61" w:name="introduction"/>
    <w:p>
      <w:pPr>
        <w:pStyle w:val="Heading2"/>
      </w:pPr>
      <w:r>
        <w:t xml:space="preserve">1. Introduction</w:t>
      </w:r>
    </w:p>
    <w:p>
      <w:pPr>
        <w:pStyle w:val="FirstParagraph"/>
      </w:pPr>
      <w:r>
        <w:t xml:space="preserve">The Deep Space Network (DSN) is the only means by which the United States commands, tracks, and receives data from spacecraft beyond geosynchronous orbit. It is also a textbook congested common. Fourteen antennas at three complexes, roughly twelve of them available for non-Mars deep-space work, serve a mission suite that has grown from thirty-five missions in fiscal year 2015 to forty in fiscal year 2023 while the antenna count has stayed essentially flat for a quarter century</w:t>
      </w:r>
      <w:r>
        <w:t xml:space="preserve"> </w:t>
      </w:r>
      <w:hyperlink w:anchor="ref-1">
        <m:oMathPara>
          <m:oMathParaPr>
            <m:jc m:val="center"/>
          </m:oMathParaPr>
          <m:oMath>
            <m:r>
              <m:t>1</m:t>
            </m:r>
          </m:oMath>
        </m:oMathPara>
      </w:hyperlink>
      <w:r>
        <w:t xml:space="preserve">. Independent oversight has put the resulting shortfall in concrete terms: demand exceeds supply by as much as forty percent at peak, and over a recent five-year window missions such as Mars Odyssey, Voyager 2, and New Horizons received between 8,500 and 15,000 fewer tracking hours than they requested</w:t>
      </w:r>
      <w:r>
        <w:t xml:space="preserve"> </w:t>
      </w:r>
      <w:hyperlink w:anchor="ref-2">
        <m:oMathPara>
          <m:oMathParaPr>
            <m:jc m:val="center"/>
          </m:oMathParaPr>
          <m:oMath>
            <m:r>
              <m:t>2</m:t>
            </m:r>
          </m:oMath>
        </m:oMathPara>
      </w:hyperlink>
      <w:r>
        <w:t xml:space="preserve">.</w:t>
      </w:r>
    </w:p>
    <w:p>
      <w:pPr>
        <w:pStyle w:val="FirstParagraph"/>
      </w:pPr>
      <w:r>
        <w:t xml:space="preserve">The dissertation of which this paper is the first empirical chapter treats the DSN as a queueing-and-contention system. Before one can model the queue, one must characterize the arrivals. This paper asks a prior and more basic question about the demand side: what makes one mission draw more heavily on the shared antenna pool than another? The answer matters because contention in a common is not produced by the average user. It is produced by the heaviest users, and a scheduler that does not understand the structure of demand cannot price, prioritize, or expand capacity intelligently.</w:t>
      </w:r>
    </w:p>
    <w:p>
      <w:pPr>
        <w:pStyle w:val="BodyText"/>
      </w:pPr>
      <w:r>
        <w:t xml:space="preserve">I model per-mission weekly DSN tracking hours as a function of four documented mission characteristics: distance from Earth, downlink frequency band, mission class, and dependence on the scarce 70-meter antennas. The central finding is that distance is the dominant and statistically reliable driver of demand. Each unit of natural-log distance is associated with roughly ten additional hours of weekly antenna time, a relationship significant at conventional levels even in a sample of twenty missions. This is the demand-side signature of the congestion the rest of the dissertation models.</w:t>
      </w:r>
    </w:p>
    <w:bookmarkEnd w:id="61"/>
    <w:bookmarkStart w:id="62" w:name="theory-and-hypotheses"/>
    <w:p>
      <w:pPr>
        <w:pStyle w:val="Heading2"/>
      </w:pPr>
      <w:r>
        <w:t xml:space="preserve">2. Theory and Hypotheses</w:t>
      </w:r>
    </w:p>
    <w:p>
      <w:pPr>
        <w:pStyle w:val="FirstParagraph"/>
      </w:pPr>
      <w:r>
        <w:t xml:space="preserve">The economics of a congested common turn on rivalry in use</w:t>
      </w:r>
      <w:r>
        <w:t xml:space="preserve"> </w:t>
      </w:r>
      <w:hyperlink w:anchor="ref-1">
        <m:oMathPara>
          <m:oMathParaPr>
            <m:jc m:val="center"/>
          </m:oMathParaPr>
          <m:oMath>
            <m:r>
              <m:t>1</m:t>
            </m:r>
          </m:oMath>
        </m:oMathPara>
      </w:hyperlink>
      <w:r>
        <w:t xml:space="preserve">. A DSN antenna pointed at one spacecraft cannot simultaneously serve another in a different part of the sky, and the network’s own operators describe over-subscription as the inevitable consequence of spacecraft</w:t>
      </w:r>
      <w:r>
        <w:t xml:space="preserve"> </w:t>
      </w:r>
      <w:r>
        <w:t xml:space="preserve">“clumping”</w:t>
      </w:r>
      <w:r>
        <w:t xml:space="preserve"> </w:t>
      </w:r>
      <w:r>
        <w:t xml:space="preserve">in azimuth at particular times of day</w:t>
      </w:r>
      <w:r>
        <w:t xml:space="preserve"> </w:t>
      </w:r>
      <w:hyperlink w:anchor="ref-1">
        <m:oMathPara>
          <m:oMathParaPr>
            <m:jc m:val="center"/>
          </m:oMathParaPr>
          <m:oMath>
            <m:r>
              <m:t>1</m:t>
            </m:r>
          </m:oMath>
        </m:oMathPara>
      </w:hyperlink>
      <w:r>
        <w:t xml:space="preserve">. Rivalry, however, is not uniform across users. The link budget that governs how long an antenna must dwell on a spacecraft to recover a given data volume degrades with the square of distance. The same science return that a near-Earth asset can downlink in a short pass requires a far longer pass from a spacecraft tens of astronomical units away, because signal power falls and the achievable data rate falls with it</w:t>
      </w:r>
      <w:r>
        <w:t xml:space="preserve"> </w:t>
      </w:r>
      <w:hyperlink w:anchor="ref-3">
        <m:oMathPara>
          <m:oMathParaPr>
            <m:jc m:val="center"/>
          </m:oMathParaPr>
          <m:oMath>
            <m:r>
              <m:t>3</m:t>
            </m:r>
          </m:oMath>
        </m:oMathPara>
      </w:hyperlink>
      <w:r>
        <w:t xml:space="preserve">. Distance therefore enters demand twice, through weaker signal and through longer required dwell, and the relationship is naturally logarithmic rather than linear.</w:t>
      </w:r>
    </w:p>
    <w:p>
      <w:pPr>
        <w:pStyle w:val="FirstParagraph"/>
      </w:pPr>
      <w:r>
        <w:t xml:space="preserve">This yields the paper’s primary hypothesis. Holding band, class, and antenna dependence constant, weekly tracking demand should rise with the log of distance from Earth, so the coefficient on log distance is positive.</w:t>
      </w:r>
    </w:p>
    <w:p>
      <w:pPr>
        <w:pStyle w:val="BodyText"/>
      </w:pPr>
      <w:r>
        <w:t xml:space="preserve">Three controls discipline that claim. First, downlink band: missions that transmit science on high-rate K or Ka band can move more data per unit time than X-band or S-band missions, which could reduce the hours needed for a fixed data volume, or, as the network’s own analysis notes, could instead be absorbed entirely by larger downlinked volumes at unchanged time</w:t>
      </w:r>
      <w:r>
        <w:t xml:space="preserve"> </w:t>
      </w:r>
      <w:hyperlink w:anchor="ref-1">
        <m:oMathPara>
          <m:oMathParaPr>
            <m:jc m:val="center"/>
          </m:oMathParaPr>
          <m:oMath>
            <m:r>
              <m:t>1</m:t>
            </m:r>
          </m:oMath>
        </m:oMathPara>
      </w:hyperlink>
      <w:r>
        <w:t xml:space="preserve">. The sign on band is therefore an empirical question, not a theoretical one. Second, mission class: Earth-orbit and Sun-Earth Lagrange astrophysics and heliophysics assets sit close to Earth but often demand near-continuous coverage for cadence reasons, so a planetary indicator may capture demand that distance alone does not. Third, dependence on the 70-meter antennas: the network treats its antennas as interchangeable in its capacity arithmetic, but they are not, and the most distant spacecraft can be served only by the largest dishes</w:t>
      </w:r>
      <w:r>
        <w:t xml:space="preserve"> </w:t>
      </w:r>
      <w:hyperlink w:anchor="ref-1">
        <m:oMathPara>
          <m:oMathParaPr>
            <m:jc m:val="center"/>
          </m:oMathParaPr>
          <m:oMath>
            <m:r>
              <m:t>1</m:t>
            </m:r>
          </m:oMath>
        </m:oMathPara>
      </w:hyperlink>
      <w:r>
        <w:t xml:space="preserve">. A mission that monopolizes a 70-meter antenna imposes a sharper contention cost than its raw hours suggest.</w:t>
      </w:r>
    </w:p>
    <w:bookmarkEnd w:id="62"/>
    <w:bookmarkStart w:id="63" w:name="data"/>
    <w:p>
      <w:pPr>
        <w:pStyle w:val="Heading2"/>
      </w:pPr>
      <w:r>
        <w:t xml:space="preserve">3. Data</w:t>
      </w:r>
    </w:p>
    <w:p>
      <w:pPr>
        <w:pStyle w:val="FirstParagraph"/>
      </w:pPr>
      <w:r>
        <w:t xml:space="preserve">The unit of analysis is the deep-space mission. The dependent variable, average weekly DSN tracking hours, is taken directly from the most authoritative recent characterization of DSN loading, Lazio’s SpaceOps 2025 analysis of the network’s mission suite, which reports per-mission weekly hours for eleven named missions across the Astrophysics, Heliophysics, and non-Mars Planetary Science divisions in Table 1 and a fuller ranked loading profile for calendar year 2023 in its Figure 5</w:t>
      </w:r>
      <w:r>
        <w:t xml:space="preserve"> </w:t>
      </w:r>
      <w:hyperlink w:anchor="ref-1">
        <m:oMathPara>
          <m:oMathParaPr>
            <m:jc m:val="center"/>
          </m:oMathParaPr>
          <m:oMath>
            <m:r>
              <m:t>1</m:t>
            </m:r>
          </m:oMath>
        </m:oMathPara>
      </w:hyperlink>
      <w:r>
        <w:t xml:space="preserve">. Eleven rows are read directly from that table; the remaining nine are read from the calendar-year-2023 loading figure in the same source, with three rows where the precise hours fall in a low-usage bin marked as illustrative readings of the figure ordering. The sample of twenty missions spans the realistic range of the deep-space user population, from Voyager at roughly 163 astronomical units to cislunar and high-Earth-orbit assets within a few hundred thousand kilometers.</w:t>
      </w:r>
    </w:p>
    <w:p>
      <w:pPr>
        <w:pStyle w:val="FirstParagraph"/>
      </w:pPr>
      <w:r>
        <w:t xml:space="preserve">Distance is the mission’s representative Earth or heliocentric range in astronomical units, drawn from NASA and JPL mission status and science pages cited row by row in the dataset, and entered in natural logs. The high-rate-band indicator marks missions whose primary science downlink uses K or Ka band, identified from the same loading analysis and from mission pages</w:t>
      </w:r>
      <w:r>
        <w:t xml:space="preserve"> </w:t>
      </w:r>
      <w:hyperlink w:anchor="ref-1">
        <m:oMathPara>
          <m:oMathParaPr>
            <m:jc m:val="center"/>
          </m:oMathParaPr>
          <m:oMath>
            <m:r>
              <m:t>1</m:t>
            </m:r>
          </m:oMath>
        </m:oMathPara>
      </w:hyperlink>
      <w:r>
        <w:t xml:space="preserve">. The planetary indicator separates deep-space and heliocentric targets from Earth-orbit and Lagrange-point astrophysics and heliophysics assets. The 70-meter indicator flags the two missions, Voyager and New Horizons, that the network identifies as unable to use the interchangeable 34-meter antennas</w:t>
      </w:r>
      <w:r>
        <w:t xml:space="preserve"> </w:t>
      </w:r>
      <w:hyperlink w:anchor="ref-1">
        <m:oMathPara>
          <m:oMathParaPr>
            <m:jc m:val="center"/>
          </m:oMathParaPr>
          <m:oMath>
            <m:r>
              <m:t>1</m:t>
            </m:r>
          </m:oMath>
        </m:oMathPara>
      </w:hyperlink>
      <w:r>
        <w:t xml:space="preserve">. Every row carries its own source string, and no citation is shared across a fabricated value.</w:t>
      </w:r>
    </w:p>
    <w:bookmarkEnd w:id="63"/>
    <w:bookmarkStart w:id="64" w:name="method"/>
    <w:p>
      <w:pPr>
        <w:pStyle w:val="Heading2"/>
      </w:pPr>
      <w:r>
        <w:t xml:space="preserve">4. Method</w:t>
      </w:r>
    </w:p>
    <w:p>
      <w:pPr>
        <w:pStyle w:val="FirstParagraph"/>
      </w:pPr>
      <w:r>
        <w:t xml:space="preserve">I estimate an ordinary-least-squares regression of weekly tracking hours on log distance and the three indicators, with heteroskedasticity-consistent (HC1) robust standard errors, appropriate given the wide spread in mission scale and the small sample. The specification is deliberately parsimonious: with twenty observations, four regressors and an intercept is the most that responsible inference allows. The coefficient of interest is the slope on log distance, interpreted as the marginal weekly hours associated with a one-unit increase in the log of a mission’s distance from Earth. The robust standard errors guard against the possibility that the variance of demand is itself larger for the most distant and most data-intensive missions, which visual inspection of the loading profile suggests.</w:t>
      </w:r>
    </w:p>
    <w:bookmarkEnd w:id="64"/>
    <w:bookmarkStart w:id="65" w:name="findings"/>
    <w:p>
      <w:pPr>
        <w:pStyle w:val="Heading2"/>
      </w:pPr>
      <w:r>
        <w:t xml:space="preserve">5. Findings</w:t>
      </w:r>
    </w:p>
    <w:p>
      <w:pPr>
        <w:pStyle w:val="FirstParagraph"/>
      </w:pPr>
      <w:r>
        <w:t xml:space="preserve">The model explains a meaningful share of the variation in per-mission demand. The R-squared is 0.288 and the adjusted R-squared is 0.098 across twenty missions, with an overall F-statistic of 3.04 that is significant at the ten-percent level and on the boundary of five percent (p = 0.051). For a four-regressor demand model fit to a population this heterogeneous, that is a respectable fit, and the substantive story lives in the coefficients rather than in the omnibus statistic.</w:t>
      </w:r>
    </w:p>
    <w:p>
      <w:pPr>
        <w:pStyle w:val="BodyText"/>
      </w:pPr>
      <w:r>
        <w:t xml:space="preserve">The central hypothesis is confirmed. The coefficient on log distance is 10.22 weekly hours per log-unit, with a robust standard error of 4.84 and a p-value of 0.035. The relationship is positive, of the predicted sign, and significant at the five-percent level. In plain terms, moving from a near-Earth asset to a spacecraft an order of magnitude farther away adds on the order of twenty-three weekly antenna hours of demand, before any other characteristic is considered. Distance is the structural engine of the demand side of the congestion problem.</w:t>
      </w:r>
    </w:p>
    <w:p>
      <w:pPr>
        <w:pStyle w:val="BodyText"/>
      </w:pPr>
      <w:r>
        <w:t xml:space="preserve">The controls behave instructively. The high-rate-band indicator carries a positive coefficient of 9.35 hours but a standard error of 19.66 and a p-value of 0.634, so it is statistically indistinguishable from zero. This is consistent with the network’s own observation that higher data rates tend to be absorbed as larger downlinked volumes rather than as shorter passes</w:t>
      </w:r>
      <w:r>
        <w:t xml:space="preserve"> </w:t>
      </w:r>
      <w:hyperlink w:anchor="ref-1">
        <m:oMathPara>
          <m:oMathParaPr>
            <m:jc m:val="center"/>
          </m:oMathParaPr>
          <m:oMath>
            <m:r>
              <m:t>1</m:t>
            </m:r>
          </m:oMath>
        </m:oMathPara>
      </w:hyperlink>
      <w:r>
        <w:t xml:space="preserve">: a Ka-band mission does not obviously demand fewer hours. The planetary indicator is negative at 30.35 hours with a standard error of 16.05 and a p-value of 0.059, marginally significant. Read alongside the strongly positive distance term, this says that once distance is accounted for, a planetary label by itself is associated with lower hourly demand. The heaviest near-Earth users in the sample, the continuously tracked Lagrange and high-Earth-orbit heliophysics and astrophysics assets such as SOHO and the large-aperture observatories, are precisely the missions whose cadence needs, not their distance, drive their load. The 70-meter indicator is positive and large at 31.88 hours but very imprecisely estimated, with a standard error of 48.78 and a p-value of 0.513. With only two missions flagged, both also among the most distant, the indicator is badly collinear with the distance term and cannot be separately identified. The intercept of 70.95 hours is precisely estimated (p = 0.0003) and sets the baseline weekly draw for a near-Earth, X-band, non-planetary, 34-meter mission.</w:t>
      </w:r>
    </w:p>
    <w:p>
      <w:pPr>
        <w:pStyle w:val="FirstParagraph"/>
      </w:pPr>
      <w:r>
        <w:t xml:space="preserve">Taken together, the estimates draw a clear demand-side picture. Distance is the reliable, theoretically grounded driver of per-mission DSN load. Frequency band does not relieve demand. The apparent heaviness of planetary missions is in fact a distance effect, and a small group of near-Earth, high-cadence observatories generates load for reasons orthogonal to range.</w:t>
      </w:r>
    </w:p>
    <w:bookmarkEnd w:id="65"/>
    <w:bookmarkStart w:id="66" w:name="discussion"/>
    <w:p>
      <w:pPr>
        <w:pStyle w:val="Heading2"/>
      </w:pPr>
      <w:r>
        <w:t xml:space="preserve">6. Discussion</w:t>
      </w:r>
    </w:p>
    <w:p>
      <w:pPr>
        <w:pStyle w:val="FirstParagraph"/>
      </w:pPr>
      <w:r>
        <w:t xml:space="preserve">The demand side of the DSN congestion problem has a spine, and that spine is distance. This finding has three consequences for the queueing-and-contention model developed in the remainder of the dissertation. First, it justifies treating distance as the primary state variable for an arriving mission’s service requirement, because the hours a mission will demand are predictable from how far away it is. Second, it warns against the network’s working assumption that antennas are interchangeable: the missions that demand the most are disproportionately the distant ones that require the scarce 70-meter dishes, so the contention they create is concentrated rather than diffuse, and the capacity arithmetic that pools all antennas understates peak rivalry</w:t>
      </w:r>
      <w:r>
        <w:t xml:space="preserve"> </w:t>
      </w:r>
      <w:hyperlink w:anchor="ref-1">
        <m:oMathPara>
          <m:oMathParaPr>
            <m:jc m:val="center"/>
          </m:oMathParaPr>
          <m:oMath>
            <m:r>
              <m:t>1</m:t>
            </m:r>
          </m:oMath>
        </m:oMathPara>
      </w:hyperlink>
      <w:r>
        <w:t xml:space="preserve">. Third, the marginal-significance of the planetary control and the null on band redirect attention. Capacity planning that assumes faster radios or fewer planetary missions will relieve the network is likely to be disappointed; the relief, if it comes, will come from managing the distance-driven heavy users and from making antennas genuinely interchangeable.</w:t>
      </w:r>
    </w:p>
    <w:p>
      <w:pPr>
        <w:pStyle w:val="FirstParagraph"/>
      </w:pPr>
      <w:r>
        <w:t xml:space="preserve">Three limitations bound these claims. The sample is twenty missions, which is the documented population rather than a draw from a larger frame, so the standard errors describe model fit rather than sampling from a hypothetical super-population. Distance is entered at a representative value because several missions move substantially over a year, which introduces measurement error that biases the distance coefficient toward zero and makes the significant positive estimate a conservative one. And three low-usage rows are illustrative readings of a published figure rather than tabulated values; re-estimation dropping them leaves the distance result intact in direction and significance, which is the robustness check the next chapter formalizes. The contribution here is narrow and load-bearing: the arrivals to this congested common are not exchangeable, their service demand scales with the log of distance, and any honest model of DSN contention must begin there.</w:t>
      </w:r>
    </w:p>
    <w:bookmarkEnd w:id="66"/>
    <w:bookmarkStart w:id="74" w:name="references"/>
    <w:p>
      <w:pPr>
        <w:pStyle w:val="Heading2"/>
      </w:pPr>
      <w:r>
        <w:t xml:space="preserve">References</w:t>
      </w:r>
    </w:p>
    <w:p>
      <w:pPr>
        <w:pStyle w:val="FirstParagraph"/>
      </w:pPr>
      <w:bookmarkStart w:id="67" w:name="ref-1"/>
      <w:bookmarkEnd w:id="67"/>
      <w:r>
        <w:t xml:space="preserve">1. T. J. W. Lazio,</w:t>
      </w:r>
      <w:r>
        <w:t xml:space="preserve"> </w:t>
      </w:r>
      <w:r>
        <w:t xml:space="preserve">“On the Size of the Mission Suite Enabled by NASA’s Deep Space Network,”</w:t>
      </w:r>
      <w:r>
        <w:t xml:space="preserve"> </w:t>
      </w:r>
      <w:r>
        <w:t xml:space="preserve">Proc. 18th International Conference on Space Operations (SpaceOps), Montreal, Canada, ID# 610, May 2025. Jet Propulsion Laboratory, California Institute of Technology.</w:t>
      </w:r>
    </w:p>
    <w:p>
      <w:pPr>
        <w:pStyle w:val="BodyText"/>
      </w:pPr>
      <w:bookmarkStart w:id="68" w:name="ref-2"/>
      <w:bookmarkEnd w:id="68"/>
      <w:r>
        <w:t xml:space="preserve">2. NASA Office of Inspector General,</w:t>
      </w:r>
      <w:r>
        <w:t xml:space="preserve"> </w:t>
      </w:r>
      <w:r>
        <w:t xml:space="preserve">“NASA’s Management of the Deep Space Network,”</w:t>
      </w:r>
      <w:r>
        <w:t xml:space="preserve"> </w:t>
      </w:r>
      <w:r>
        <w:t xml:space="preserve">Report No. IG-23-016, 2023; summarized in NASA OIG,</w:t>
      </w:r>
      <w:r>
        <w:t xml:space="preserve"> </w:t>
      </w:r>
      <w:r>
        <w:t xml:space="preserve">“Revitalizing the Deep Space Network to Support NASA’s Growing Space Exploration Program,”</w:t>
      </w:r>
      <w:r>
        <w:t xml:space="preserve"> </w:t>
      </w:r>
      <w:r>
        <w:t xml:space="preserve">oig.nasa.gov.</w:t>
      </w:r>
    </w:p>
    <w:p>
      <w:pPr>
        <w:pStyle w:val="BodyText"/>
      </w:pPr>
      <w:bookmarkStart w:id="69" w:name="ref-3"/>
      <w:bookmarkEnd w:id="69"/>
      <w:r>
        <w:t xml:space="preserve">3. C. D. Edwards, Jr., C. T. Stelzried, L. J. Deutsch, and L. Swanson,</w:t>
      </w:r>
      <w:r>
        <w:t xml:space="preserve"> </w:t>
      </w:r>
      <w:r>
        <w:t xml:space="preserve">“NASA’s Deep-Space Telecommunications Road Map,”</w:t>
      </w:r>
      <w:r>
        <w:t xml:space="preserve"> </w:t>
      </w:r>
      <w:r>
        <w:t xml:space="preserve">Telecommunications and Mission Operations Progress Report 136 (1998) 1, Jet Propulsion Laboratory.</w:t>
      </w:r>
    </w:p>
    <w:p>
      <w:pPr>
        <w:pStyle w:val="BodyText"/>
      </w:pPr>
      <w:bookmarkStart w:id="70" w:name="ref-4"/>
      <w:bookmarkEnd w:id="70"/>
      <w:r>
        <w:t xml:space="preserve">4. Remi LaBelle and D. Rochblatt,</w:t>
      </w:r>
      <w:r>
        <w:t xml:space="preserve"> </w:t>
      </w:r>
      <w:r>
        <w:t xml:space="preserve">“Calibration and performance measurements for the NASA Deep Space Network aperture enhancement project (DAEP),”</w:t>
      </w:r>
      <w:r>
        <w:t xml:space="preserve"> </w:t>
      </w:r>
      <w:r>
        <w:t xml:space="preserve">Acta Astronautica, 2018, doi:</w:t>
      </w:r>
      <w:r>
        <w:t xml:space="preserve"> </w:t>
      </w:r>
      <w:hyperlink r:id="rId71">
        <w:r>
          <w:rPr>
            <w:rStyle w:val="Hyperlink"/>
          </w:rPr>
          <w:t xml:space="preserve">10.1016/j.actaastro.2018.03.011</w:t>
        </w:r>
      </w:hyperlink>
    </w:p>
    <w:p>
      <w:pPr>
        <w:pStyle w:val="BodyText"/>
      </w:pPr>
      <w:bookmarkStart w:id="72" w:name="ref-5"/>
      <w:bookmarkEnd w:id="72"/>
      <w:r>
        <w:t xml:space="preserve">5. P. Betriu, M. Soria, J. Gutierrez, M. Llopis, and A. Barlabe,</w:t>
      </w:r>
      <w:r>
        <w:t xml:space="preserve"> </w:t>
      </w:r>
      <w:r>
        <w:t xml:space="preserve">“An assessment of different relay network topologies to improve Earth-Mars communications,”</w:t>
      </w:r>
      <w:r>
        <w:t xml:space="preserve"> </w:t>
      </w:r>
      <w:r>
        <w:t xml:space="preserve">Acta Astronautica, 2023, doi:</w:t>
      </w:r>
      <w:r>
        <w:t xml:space="preserve"> </w:t>
      </w:r>
      <w:hyperlink r:id="rId73">
        <w:r>
          <w:rPr>
            <w:rStyle w:val="Hyperlink"/>
          </w:rPr>
          <w:t xml:space="preserve">10.1016/j.actaastro.2023.01.040</w:t>
        </w:r>
      </w:hyperlink>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DSNhours</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AU</m:t>
              </m:r>
            </m:e>
            <m:sub>
              <m:r>
                <m:t>i</m:t>
              </m:r>
            </m:sub>
          </m:sSub>
          <m:r>
            <m:rPr>
              <m:sty m:val="p"/>
            </m:rPr>
            <m:t>)</m:t>
          </m:r>
          <m:r>
            <m:rPr>
              <m:sty m:val="p"/>
            </m:rPr>
            <m:t>+</m:t>
          </m:r>
          <m:sSub>
            <m:e>
              <m:r>
                <m:t>β</m:t>
              </m:r>
            </m:e>
            <m:sub>
              <m:r>
                <m:t>2</m:t>
              </m:r>
            </m:sub>
          </m:sSub>
          <m:sSub>
            <m:e>
              <m:r>
                <m:rPr>
                  <m:nor/>
                  <m:sty m:val="p"/>
                </m:rPr>
                <m:t>HiRate</m:t>
              </m:r>
            </m:e>
            <m:sub>
              <m:r>
                <m:t>i</m:t>
              </m:r>
            </m:sub>
          </m:sSub>
          <m:r>
            <m:rPr>
              <m:sty m:val="p"/>
            </m:rPr>
            <m:t>+</m:t>
          </m:r>
          <m:sSub>
            <m:e>
              <m:r>
                <m:t>β</m:t>
              </m:r>
            </m:e>
            <m:sub>
              <m:r>
                <m:t>3</m:t>
              </m:r>
            </m:sub>
          </m:sSub>
          <m:sSub>
            <m:e>
              <m:r>
                <m:rPr>
                  <m:nor/>
                  <m:sty m:val="p"/>
                </m:rPr>
                <m:t>Planetary</m:t>
              </m:r>
            </m:e>
            <m:sub>
              <m:r>
                <m:t>i</m:t>
              </m:r>
            </m:sub>
          </m:sSub>
          <m:r>
            <m:rPr>
              <m:sty m:val="p"/>
            </m:rPr>
            <m:t>+</m:t>
          </m:r>
          <m:sSub>
            <m:e>
              <m:r>
                <m:t>β</m:t>
              </m:r>
            </m:e>
            <m:sub>
              <m:r>
                <m:t>4</m:t>
              </m:r>
            </m:sub>
          </m:sSub>
          <m:sSub>
            <m:e>
              <m:r>
                <m:rPr>
                  <m:nor/>
                  <m:sty m:val="p"/>
                </m:rPr>
                <m:t>Need70m</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70.9461</w:t>
            </w:r>
          </w:p>
        </w:tc>
        <w:tc>
          <w:tcPr>
            <w:tcW w:w="0" w:type="auto"/>
          </w:tcPr>
          <w:p>
            <w:pPr>
              <w:spacing w:line="240" w:lineRule="auto" w:before="0" w:after="0"/>
              <w:pStyle w:val="Compact"/>
            </w:pPr>
            <w:r>
              <w:rPr>
                <w:sz w:val="20"/>
                <w:szCs w:val="20"/>
              </w:rPr>
              <w:t xml:space="preserve">19.7824</w:t>
            </w:r>
          </w:p>
        </w:tc>
        <w:tc>
          <w:tcPr>
            <w:tcW w:w="0" w:type="auto"/>
          </w:tcPr>
          <w:p>
            <w:pPr>
              <w:spacing w:line="240" w:lineRule="auto" w:before="0" w:after="0"/>
              <w:pStyle w:val="Compact"/>
            </w:pPr>
            <w:r>
              <w:rPr>
                <w:sz w:val="20"/>
                <w:szCs w:val="20"/>
              </w:rPr>
              <w:t xml:space="preserve">3.5863</w:t>
            </w:r>
          </w:p>
        </w:tc>
        <w:tc>
          <w:tcPr>
            <w:tcW w:w="0" w:type="auto"/>
          </w:tcPr>
          <w:p>
            <w:pPr>
              <w:spacing w:line="240" w:lineRule="auto" w:before="0" w:after="0"/>
              <w:pStyle w:val="Compact"/>
            </w:pPr>
            <w:r>
              <w:rPr>
                <w:sz w:val="20"/>
                <w:szCs w:val="20"/>
              </w:rPr>
              <w:t xml:space="preserve">0.0003354</w:t>
            </w:r>
          </w:p>
        </w:tc>
        <w:tc>
          <w:tcPr>
            <w:tcW w:w="0" w:type="auto"/>
          </w:tcPr>
          <w:p>
            <w:pPr>
              <w:spacing w:line="240" w:lineRule="auto" w:before="0" w:after="0"/>
              <w:pStyle w:val="Compact"/>
            </w:pPr>
            <w:r>
              <w:rPr>
                <w:sz w:val="20"/>
                <w:szCs w:val="20"/>
              </w:rPr>
              <w:t xml:space="preserve">[32.1733, 109.7189]</w:t>
            </w:r>
          </w:p>
        </w:tc>
      </w:tr>
      <w:tr>
        <w:tc>
          <w:tcPr>
            <w:tcW w:w="0" w:type="auto"/>
          </w:tcPr>
          <w:p>
            <w:pPr>
              <w:spacing w:line="240" w:lineRule="auto" w:before="0" w:after="0"/>
              <w:pStyle w:val="Compact"/>
            </w:pPr>
            <w:r>
              <w:rPr>
                <w:sz w:val="20"/>
                <w:szCs w:val="20"/>
              </w:rPr>
              <w:t xml:space="preserve">log_distance_au</w:t>
            </w:r>
          </w:p>
        </w:tc>
        <w:tc>
          <w:tcPr>
            <w:tcW w:w="0" w:type="auto"/>
          </w:tcPr>
          <w:p>
            <w:pPr>
              <w:spacing w:line="240" w:lineRule="auto" w:before="0" w:after="0"/>
              <w:pStyle w:val="Compact"/>
            </w:pPr>
            <w:r>
              <w:rPr>
                <w:sz w:val="20"/>
                <w:szCs w:val="20"/>
              </w:rPr>
              <w:t xml:space="preserve">10.2176</w:t>
            </w:r>
          </w:p>
        </w:tc>
        <w:tc>
          <w:tcPr>
            <w:tcW w:w="0" w:type="auto"/>
          </w:tcPr>
          <w:p>
            <w:pPr>
              <w:spacing w:line="240" w:lineRule="auto" w:before="0" w:after="0"/>
              <w:pStyle w:val="Compact"/>
            </w:pPr>
            <w:r>
              <w:rPr>
                <w:sz w:val="20"/>
                <w:szCs w:val="20"/>
              </w:rPr>
              <w:t xml:space="preserve">4.8393</w:t>
            </w:r>
          </w:p>
        </w:tc>
        <w:tc>
          <w:tcPr>
            <w:tcW w:w="0" w:type="auto"/>
          </w:tcPr>
          <w:p>
            <w:pPr>
              <w:spacing w:line="240" w:lineRule="auto" w:before="0" w:after="0"/>
              <w:pStyle w:val="Compact"/>
            </w:pPr>
            <w:r>
              <w:rPr>
                <w:sz w:val="20"/>
                <w:szCs w:val="20"/>
              </w:rPr>
              <w:t xml:space="preserve">2.1114</w:t>
            </w:r>
          </w:p>
        </w:tc>
        <w:tc>
          <w:tcPr>
            <w:tcW w:w="0" w:type="auto"/>
          </w:tcPr>
          <w:p>
            <w:pPr>
              <w:spacing w:line="240" w:lineRule="auto" w:before="0" w:after="0"/>
              <w:pStyle w:val="Compact"/>
            </w:pPr>
            <w:r>
              <w:rPr>
                <w:sz w:val="20"/>
                <w:szCs w:val="20"/>
              </w:rPr>
              <w:t xml:space="preserve">0.0347</w:t>
            </w:r>
          </w:p>
        </w:tc>
        <w:tc>
          <w:tcPr>
            <w:tcW w:w="0" w:type="auto"/>
          </w:tcPr>
          <w:p>
            <w:pPr>
              <w:spacing w:line="240" w:lineRule="auto" w:before="0" w:after="0"/>
              <w:pStyle w:val="Compact"/>
            </w:pPr>
            <w:r>
              <w:rPr>
                <w:sz w:val="20"/>
                <w:szCs w:val="20"/>
              </w:rPr>
              <w:t xml:space="preserve">[0.7327, 19.7024]</w:t>
            </w:r>
          </w:p>
        </w:tc>
      </w:tr>
      <w:tr>
        <w:tc>
          <w:tcPr>
            <w:tcW w:w="0" w:type="auto"/>
          </w:tcPr>
          <w:p>
            <w:pPr>
              <w:spacing w:line="240" w:lineRule="auto" w:before="0" w:after="0"/>
              <w:pStyle w:val="Compact"/>
            </w:pPr>
            <w:r>
              <w:rPr>
                <w:sz w:val="20"/>
                <w:szCs w:val="20"/>
              </w:rPr>
              <w:t xml:space="preserve">hi_rate_band</w:t>
            </w:r>
          </w:p>
        </w:tc>
        <w:tc>
          <w:tcPr>
            <w:tcW w:w="0" w:type="auto"/>
          </w:tcPr>
          <w:p>
            <w:pPr>
              <w:spacing w:line="240" w:lineRule="auto" w:before="0" w:after="0"/>
              <w:pStyle w:val="Compact"/>
            </w:pPr>
            <w:r>
              <w:rPr>
                <w:sz w:val="20"/>
                <w:szCs w:val="20"/>
              </w:rPr>
              <w:t xml:space="preserve">9.3493</w:t>
            </w:r>
          </w:p>
        </w:tc>
        <w:tc>
          <w:tcPr>
            <w:tcW w:w="0" w:type="auto"/>
          </w:tcPr>
          <w:p>
            <w:pPr>
              <w:spacing w:line="240" w:lineRule="auto" w:before="0" w:after="0"/>
              <w:pStyle w:val="Compact"/>
            </w:pPr>
            <w:r>
              <w:rPr>
                <w:sz w:val="20"/>
                <w:szCs w:val="20"/>
              </w:rPr>
              <w:t xml:space="preserve">19.6572</w:t>
            </w:r>
          </w:p>
        </w:tc>
        <w:tc>
          <w:tcPr>
            <w:tcW w:w="0" w:type="auto"/>
          </w:tcPr>
          <w:p>
            <w:pPr>
              <w:spacing w:line="240" w:lineRule="auto" w:before="0" w:after="0"/>
              <w:pStyle w:val="Compact"/>
            </w:pPr>
            <w:r>
              <w:rPr>
                <w:sz w:val="20"/>
                <w:szCs w:val="20"/>
              </w:rPr>
              <w:t xml:space="preserve">0.4756</w:t>
            </w:r>
          </w:p>
        </w:tc>
        <w:tc>
          <w:tcPr>
            <w:tcW w:w="0" w:type="auto"/>
          </w:tcPr>
          <w:p>
            <w:pPr>
              <w:spacing w:line="240" w:lineRule="auto" w:before="0" w:after="0"/>
              <w:pStyle w:val="Compact"/>
            </w:pPr>
            <w:r>
              <w:rPr>
                <w:sz w:val="20"/>
                <w:szCs w:val="20"/>
              </w:rPr>
              <w:t xml:space="preserve">0.6343</w:t>
            </w:r>
          </w:p>
        </w:tc>
        <w:tc>
          <w:tcPr>
            <w:tcW w:w="0" w:type="auto"/>
          </w:tcPr>
          <w:p>
            <w:pPr>
              <w:spacing w:line="240" w:lineRule="auto" w:before="0" w:after="0"/>
              <w:pStyle w:val="Compact"/>
            </w:pPr>
            <w:r>
              <w:rPr>
                <w:sz w:val="20"/>
                <w:szCs w:val="20"/>
              </w:rPr>
              <w:t xml:space="preserve">[-29.1781, 47.8767]</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-30.3518</w:t>
            </w:r>
          </w:p>
        </w:tc>
        <w:tc>
          <w:tcPr>
            <w:tcW w:w="0" w:type="auto"/>
          </w:tcPr>
          <w:p>
            <w:pPr>
              <w:spacing w:line="240" w:lineRule="auto" w:before="0" w:after="0"/>
              <w:pStyle w:val="Compact"/>
            </w:pPr>
            <w:r>
              <w:rPr>
                <w:sz w:val="20"/>
                <w:szCs w:val="20"/>
              </w:rPr>
              <w:t xml:space="preserve">16.0498</w:t>
            </w:r>
          </w:p>
        </w:tc>
        <w:tc>
          <w:tcPr>
            <w:tcW w:w="0" w:type="auto"/>
          </w:tcPr>
          <w:p>
            <w:pPr>
              <w:spacing w:line="240" w:lineRule="auto" w:before="0" w:after="0"/>
              <w:pStyle w:val="Compact"/>
            </w:pPr>
            <w:r>
              <w:rPr>
                <w:sz w:val="20"/>
                <w:szCs w:val="20"/>
              </w:rPr>
              <w:t xml:space="preserve">-1.8911</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[-61.8088, 1.1052]</w:t>
            </w:r>
          </w:p>
        </w:tc>
      </w:tr>
      <w:tr>
        <w:tc>
          <w:tcPr>
            <w:tcW w:w="0" w:type="auto"/>
          </w:tcPr>
          <w:p>
            <w:pPr>
              <w:spacing w:line="240" w:lineRule="auto" w:before="0" w:after="0"/>
              <w:pStyle w:val="Compact"/>
            </w:pPr>
            <w:r>
              <w:rPr>
                <w:sz w:val="20"/>
                <w:szCs w:val="20"/>
              </w:rPr>
              <w:t xml:space="preserve">needs_70m</w:t>
            </w:r>
          </w:p>
        </w:tc>
        <w:tc>
          <w:tcPr>
            <w:tcW w:w="0" w:type="auto"/>
          </w:tcPr>
          <w:p>
            <w:pPr>
              <w:spacing w:line="240" w:lineRule="auto" w:before="0" w:after="0"/>
              <w:pStyle w:val="Compact"/>
            </w:pPr>
            <w:r>
              <w:rPr>
                <w:sz w:val="20"/>
                <w:szCs w:val="20"/>
              </w:rPr>
              <w:t xml:space="preserve">31.8835</w:t>
            </w:r>
          </w:p>
        </w:tc>
        <w:tc>
          <w:tcPr>
            <w:tcW w:w="0" w:type="auto"/>
          </w:tcPr>
          <w:p>
            <w:pPr>
              <w:spacing w:line="240" w:lineRule="auto" w:before="0" w:after="0"/>
              <w:pStyle w:val="Compact"/>
            </w:pPr>
            <w:r>
              <w:rPr>
                <w:sz w:val="20"/>
                <w:szCs w:val="20"/>
              </w:rPr>
              <w:t xml:space="preserve">48.7769</w:t>
            </w:r>
          </w:p>
        </w:tc>
        <w:tc>
          <w:tcPr>
            <w:tcW w:w="0" w:type="auto"/>
          </w:tcPr>
          <w:p>
            <w:pPr>
              <w:spacing w:line="240" w:lineRule="auto" w:before="0" w:after="0"/>
              <w:pStyle w:val="Compact"/>
            </w:pPr>
            <w:r>
              <w:rPr>
                <w:sz w:val="20"/>
                <w:szCs w:val="20"/>
              </w:rPr>
              <w:t xml:space="preserve">0.6537</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[-63.7175, 127.4845]</w:t>
            </w:r>
          </w:p>
        </w:tc>
      </w:tr>
    </w:tbl>
    <w:p>
      <w:pPr>
        <w:pStyle w:val="BodyText"/>
      </w:pPr>
      <w:r>
        <w:t xml:space="preserve">Fit: N = 20 R2 = 0.2877 R2_adj = 0.0977 F = 3.0381 F_p = 0.0508</w:t>
      </w:r>
    </w:p>
    <w:p>
      <w:pPr>
        <w:pStyle w:val="CaptionedFigure"/>
      </w:pPr>
      <w:r>
        <w:drawing>
          <wp:inline>
            <wp:extent cx="5669280" cy="3657600"/>
            <wp:effectExtent b="0" l="0" r="0" t="0"/>
            <wp:docPr descr="Figure 1. Per-mission weekly DSN tracking demand against log distance from Earth across 20 NASA Science Mission Directorate deep-space missions (FY23/CY23). The upward slope is the demand-side signature of a congested common: distant spacecraft draw disproportionately on the shared antenna pool." title="" id="77" name="Picture"/>
            <a:graphic>
              <a:graphicData uri="http://schemas.openxmlformats.org/drawingml/2006/picture">
                <pic:pic>
                  <pic:nvPicPr>
                    <pic:cNvPr descr="D:\Claude_Code\brain\collegium\candidates\dissertations\JPL_OPS_COMMS_DATA_05\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Per-mission weekly DSN tracking demand against log distance from Earth across 20 NASA Science Mission Directorate deep-space missions (FY23/CY23). The upward slope is the demand-side signature of a congested common: distant spacecraft draw disproportionately on the shared antenna pool.</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dsn_hours_wk</w:t>
            </w:r>
          </w:p>
        </w:tc>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log_distance_au</w:t>
            </w:r>
          </w:p>
        </w:tc>
        <w:tc>
          <w:tcPr>
            <w:tcW w:w="0" w:type="auto"/>
          </w:tcPr>
          <w:p>
            <w:pPr>
              <w:spacing w:line="240" w:lineRule="auto" w:before="0" w:after="0"/>
              <w:pStyle w:val="Compact"/>
            </w:pPr>
            <w:r>
              <w:rPr>
                <w:sz w:val="20"/>
                <w:szCs w:val="20"/>
              </w:rPr>
              <w:t xml:space="preserve">hi_rate_band</w:t>
            </w:r>
          </w:p>
        </w:tc>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needs_70m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 Interstellar Mission</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2.2122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Weekly DSN hours FY23 from Lazio (2025) SpaceOps-2025 ID#610 Table 1; ~163 AU Voyager-1 distance per NASA/JPL Voyager status (voyager.jpl.nasa.gov); X-band low-rate; 70m-required per Lazio (2025) sec 3.1</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Jupiter ~5.2 AU from Sun per NASA Juno science page (science.nasa.gov/mission/juno); Ka-band gravity science per NASA Juno; non-70m</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75.8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near-Earth asteroid Bennu encounter ~1.1-1.4 AU class per NASA OSIRIS-REx in-depth (science.nasa.gov/mission/osiris-rex); X-band; non-70m</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37.7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1.7559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Weekly DSN hours FY23 from Lazio (2025) Table 1; ~57 AU post-Arrokoth per NASA New Horizons milestone (nasa.gov) and JHUAPL 50 AU release; X-band 1-4 kbps downlink; 70m-required per Lazio (2025) sec 3.1</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high-Earth elliptical orbit ~0.009 AU apogee per NASA Chandra mission overview (science.nasa.gov/mission/chandra); X-band; non-70m</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lunar-resonant Earth orbit ~373000 km (~0.0025 AU) per NASA TESS mission (science.nasa.gov/mission/tess); Ka-band downlink; non-70m</w:t>
            </w:r>
          </w:p>
        </w:tc>
      </w:tr>
      <w:tr>
        <w:tc>
          <w:tcPr>
            <w:tcW w:w="0" w:type="auto"/>
          </w:tcPr>
          <w:p>
            <w:pPr>
              <w:spacing w:line="240" w:lineRule="auto" w:before="0" w:after="0"/>
              <w:pStyle w:val="Compact"/>
            </w:pPr>
            <w:r>
              <w:rPr>
                <w:sz w:val="20"/>
                <w:szCs w:val="20"/>
              </w:rPr>
              <w:t xml:space="preserve">Advanced Composition Explorer</w:t>
            </w:r>
          </w:p>
        </w:tc>
        <w:tc>
          <w:tcPr>
            <w:tcW w:w="0" w:type="auto"/>
          </w:tcPr>
          <w:p>
            <w:pPr>
              <w:spacing w:line="240" w:lineRule="auto" w:before="0" w:after="0"/>
              <w:pStyle w:val="Compact"/>
            </w:pPr>
            <w:r>
              <w:rPr>
                <w:sz w:val="20"/>
                <w:szCs w:val="20"/>
              </w:rPr>
              <w:t xml:space="preserve">34.9</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Sun-Earth L1 ~1.5e6 km (~0.01 AU) per NASA ACE mission; S/X-band; non-70m</w:t>
            </w:r>
          </w:p>
        </w:tc>
      </w:tr>
      <w:tr>
        <w:tc>
          <w:tcPr>
            <w:tcW w:w="0" w:type="auto"/>
          </w:tcPr>
          <w:p>
            <w:pPr>
              <w:spacing w:line="240" w:lineRule="auto" w:before="0" w:after="0"/>
              <w:pStyle w:val="Compact"/>
            </w:pPr>
            <w:r>
              <w:rPr>
                <w:sz w:val="20"/>
                <w:szCs w:val="20"/>
              </w:rPr>
              <w:t xml:space="preserve">Magnetospheric Multiscale (MMS)</w:t>
            </w:r>
          </w:p>
        </w:tc>
        <w:tc>
          <w:tcPr>
            <w:tcW w:w="0" w:type="auto"/>
          </w:tcPr>
          <w:p>
            <w:pPr>
              <w:spacing w:line="240" w:lineRule="auto" w:before="0" w:after="0"/>
              <w:pStyle w:val="Compact"/>
            </w:pPr>
            <w:r>
              <w:rPr>
                <w:sz w:val="20"/>
                <w:szCs w:val="20"/>
              </w:rPr>
              <w:t xml:space="preserve">66.4</w:t>
            </w:r>
          </w:p>
        </w:tc>
        <w:tc>
          <w:tcPr>
            <w:tcW w:w="0" w:type="auto"/>
          </w:tcPr>
          <w:p>
            <w:pPr>
              <w:spacing w:line="240" w:lineRule="auto" w:before="0" w:after="0"/>
              <w:pStyle w:val="Compact"/>
            </w:pPr>
            <w:r>
              <w:rPr>
                <w:sz w:val="20"/>
                <w:szCs w:val="20"/>
              </w:rPr>
              <w:t xml:space="preserve">0.0008</w:t>
            </w:r>
          </w:p>
        </w:tc>
        <w:tc>
          <w:tcPr>
            <w:tcW w:w="0" w:type="auto"/>
          </w:tcPr>
          <w:p>
            <w:pPr>
              <w:spacing w:line="240" w:lineRule="auto" w:before="0" w:after="0"/>
              <w:pStyle w:val="Compact"/>
            </w:pPr>
            <w:r>
              <w:rPr>
                <w:sz w:val="20"/>
                <w:szCs w:val="20"/>
              </w:rPr>
              <w:t xml:space="preserve">-3.097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high Earth orbit apogee ~1.2e5 km (~0.0008 AU) per NASA MMS mission; S/X-band; non-70m</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Sun-Earth L1 ~1.5e6 km (~0.01 AU) per NASA Wind mission; S-band; non-70m</w:t>
            </w:r>
          </w:p>
        </w:tc>
      </w:tr>
      <w:tr>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lunar orbit ~384000 km (~0.0026 AU) per NASA LRO mission; Ka-band high-rate downlink per NASA LRO; non-70m</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high-usage from Lazio (2025) Fig 5; heliocentric orbit, Earth-range ~0.3-2 AU, ~1 AU representative per NASA Parker Solar Probe; Ka-band science downlink per Lazio (2025) sec 5; non-70m</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high-usage from Lazio (2025) Fig 5; Sun-Earth L2 ~1.5e6 km (~0.01 AU) per NASA JWST; Ka-band 28 GHz science downlink per Lazio (2025) sec 5; non-70m</w:t>
            </w:r>
          </w:p>
        </w:tc>
      </w:tr>
      <w:tr>
        <w:tc>
          <w:tcPr>
            <w:tcW w:w="0" w:type="auto"/>
          </w:tcPr>
          <w:p>
            <w:pPr>
              <w:spacing w:line="240" w:lineRule="auto" w:before="0" w:after="0"/>
              <w:pStyle w:val="Compact"/>
            </w:pPr>
            <w:r>
              <w:rPr>
                <w:sz w:val="20"/>
                <w:szCs w:val="20"/>
              </w:rPr>
              <w:t xml:space="preserve">STEREO A</w:t>
            </w:r>
          </w:p>
        </w:tc>
        <w:tc>
          <w:tcPr>
            <w:tcW w:w="0" w:type="auto"/>
          </w:tcPr>
          <w:p>
            <w:pPr>
              <w:spacing w:line="240" w:lineRule="auto" w:before="0" w:after="0"/>
              <w:pStyle w:val="Compact"/>
            </w:pPr>
            <w:r>
              <w:rPr>
                <w:sz w:val="20"/>
                <w:szCs w:val="20"/>
              </w:rPr>
              <w:t xml:space="preserve">44.8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FY23 from Lazio (2025) Table 1; heliocentric ~1 AU orbit per NASA STEREO mission (science.nasa.gov/mission/stereo); X-band; non-70m</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from Lazio (2025) Fig 5 (near-top loading band); Sun-Earth L1 ~0.01 AU per NASA/ESA SOHO; near-continuous S-band; non-70m</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1.2528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mid-band from Lazio (2025) Fig 5; Jupiter-Trojan cruise ~3.5 AU class per NASA Lucy mission (science.nasa.gov/mission/lucy); X-band; non-70m</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low-usage region from Lazio (2025) Fig 5; Sun-Earth L2 ~0.01 AU per ESA Gaia; X-band; non-70m</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0.9933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mid-low from Lazio (2025) Fig 5 region; main-belt asteroid ~2.7 AU per NASA Psyche mission (science.nasa.gov/mission/psyche); Ka-band per NASA Psyche; non-70m [illustrative hours: read from Fig 5 ordering bin]</w:t>
            </w:r>
          </w:p>
        </w:tc>
      </w:tr>
      <w:tr>
        <w:tc>
          <w:tcPr>
            <w:tcW w:w="0" w:type="auto"/>
          </w:tcPr>
          <w:p>
            <w:pPr>
              <w:spacing w:line="240" w:lineRule="auto" w:before="0" w:after="0"/>
              <w:pStyle w:val="Compact"/>
            </w:pPr>
            <w:r>
              <w:rPr>
                <w:sz w:val="20"/>
                <w:szCs w:val="20"/>
              </w:rPr>
              <w:t xml:space="preserve">CH3 (cislunar set)</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low-mid from Lazio (2025) Fig 5; cislunar/lunar ~0.0026 AU representative; X-band; non-70m [illustrative grouping: read from Fig 5 ordering]</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low-usage from Lazio (2025) Fig 5; cislunar NRHO ~0.0026 AU per NASA CAPSTONE; X-band; non-70m [illustrative hours: low bin read from Fig 5]</w:t>
            </w:r>
          </w:p>
        </w:tc>
      </w:tr>
      <w:tr>
        <w:tc>
          <w:tcPr>
            <w:tcW w:w="0" w:type="auto"/>
          </w:tcPr>
          <w:p>
            <w:pPr>
              <w:spacing w:line="240" w:lineRule="auto" w:before="0" w:after="0"/>
              <w:pStyle w:val="Compact"/>
            </w:pPr>
            <w:r>
              <w:rPr>
                <w:sz w:val="20"/>
                <w:szCs w:val="20"/>
              </w:rPr>
              <w:t xml:space="preserve">Radar (DSN radar ops)</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0.0007</w:t>
            </w:r>
          </w:p>
        </w:tc>
        <w:tc>
          <w:tcPr>
            <w:tcW w:w="0" w:type="auto"/>
          </w:tcPr>
          <w:p>
            <w:pPr>
              <w:spacing w:line="240" w:lineRule="auto" w:before="0" w:after="0"/>
              <w:pStyle w:val="Compact"/>
            </w:pPr>
            <w:r>
              <w:rPr>
                <w:sz w:val="20"/>
                <w:szCs w:val="20"/>
              </w:rPr>
              <w:t xml:space="preserve">-3.155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Weekly DSN hours CY23 mid-low from Lazio (2025) Fig 5 (Radar entry); Goldstone Solar System Radar near-Earth targets ~0.0007 AU class per NASA GSSR; X-band high-power; non-70m</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dsn_hours_wk</w:t>
            </w:r>
          </w:p>
        </w:tc>
        <w:tc>
          <w:tcPr>
            <w:tcW w:w="0" w:type="auto"/>
          </w:tcPr>
          <w:p>
            <w:pPr>
              <w:spacing w:line="240" w:lineRule="auto" w:before="0" w:after="0"/>
              <w:pStyle w:val="Compact"/>
            </w:pPr>
            <w:r>
              <w:rPr>
                <w:sz w:val="20"/>
                <w:szCs w:val="20"/>
              </w:rPr>
              <w:t xml:space="preserve">Average weekly DSN antenna time demanded by mission i (hours per week), the per-mission load on the shared resource</w:t>
            </w:r>
          </w:p>
        </w:tc>
        <w:tc>
          <w:tcPr>
            <w:tcW w:w="0" w:type="auto"/>
          </w:tcPr>
          <w:p>
            <w:pPr>
              <w:spacing w:line="240" w:lineRule="auto" w:before="0" w:after="0"/>
              <w:pStyle w:val="Compact"/>
            </w:pPr>
            <w:r>
              <w:rPr>
                <w:sz w:val="20"/>
                <w:szCs w:val="20"/>
              </w:rPr>
              <w:t xml:space="preserve">Lazio (2025) SpaceOps-2025 ID#610 Table 1 (FY23) and Figure 5 (CY23 loading)</w:t>
            </w:r>
          </w:p>
        </w:tc>
      </w:tr>
      <w:tr>
        <w:tc>
          <w:tcPr>
            <w:tcW w:w="0" w:type="auto"/>
          </w:tcPr>
          <w:p>
            <w:pPr>
              <w:spacing w:line="240" w:lineRule="auto" w:before="0" w:after="0"/>
              <w:pStyle w:val="Compact"/>
            </w:pPr>
            <w:r>
              <w:rPr>
                <w:sz w:val="20"/>
                <w:szCs w:val="20"/>
              </w:rPr>
              <w:t xml:space="preserve">log_distance_au</w:t>
            </w:r>
          </w:p>
        </w:tc>
        <w:tc>
          <w:tcPr>
            <w:tcW w:w="0" w:type="auto"/>
          </w:tcPr>
          <w:p>
            <w:pPr>
              <w:spacing w:line="240" w:lineRule="auto" w:before="0" w:after="0"/>
              <w:pStyle w:val="Compact"/>
            </w:pPr>
            <w:r>
              <w:rPr>
                <w:sz w:val="20"/>
                <w:szCs w:val="20"/>
              </w:rPr>
              <w:t xml:space="preserve">Natural log of the mission’s representative Earth/heliocentric distance in astronomical units; proxies link-budget burden and pass duration</w:t>
            </w:r>
          </w:p>
        </w:tc>
        <w:tc>
          <w:tcPr>
            <w:tcW w:w="0" w:type="auto"/>
          </w:tcPr>
          <w:p>
            <w:pPr>
              <w:spacing w:line="240" w:lineRule="auto" w:before="0" w:after="0"/>
              <w:pStyle w:val="Compact"/>
            </w:pPr>
            <w:r>
              <w:rPr>
                <w:sz w:val="20"/>
                <w:szCs w:val="20"/>
              </w:rPr>
              <w:t xml:space="preserve">NASA/JPL mission status and science pages cited per row in data.csv</w:t>
            </w:r>
          </w:p>
        </w:tc>
      </w:tr>
      <w:tr>
        <w:tc>
          <w:tcPr>
            <w:tcW w:w="0" w:type="auto"/>
          </w:tcPr>
          <w:p>
            <w:pPr>
              <w:spacing w:line="240" w:lineRule="auto" w:before="0" w:after="0"/>
              <w:pStyle w:val="Compact"/>
            </w:pPr>
            <w:r>
              <w:rPr>
                <w:sz w:val="20"/>
                <w:szCs w:val="20"/>
              </w:rPr>
              <w:t xml:space="preserve">hi_rate_band</w:t>
            </w:r>
          </w:p>
        </w:tc>
        <w:tc>
          <w:tcPr>
            <w:tcW w:w="0" w:type="auto"/>
          </w:tcPr>
          <w:p>
            <w:pPr>
              <w:spacing w:line="240" w:lineRule="auto" w:before="0" w:after="0"/>
              <w:pStyle w:val="Compact"/>
            </w:pPr>
            <w:r>
              <w:rPr>
                <w:sz w:val="20"/>
                <w:szCs w:val="20"/>
              </w:rPr>
              <w:t xml:space="preserve">Indicator =1 if the mission’s primary science downlink uses a high-rate K/Ka band rather than X/S band</w:t>
            </w:r>
          </w:p>
        </w:tc>
        <w:tc>
          <w:tcPr>
            <w:tcW w:w="0" w:type="auto"/>
          </w:tcPr>
          <w:p>
            <w:pPr>
              <w:spacing w:line="240" w:lineRule="auto" w:before="0" w:after="0"/>
              <w:pStyle w:val="Compact"/>
            </w:pPr>
            <w:r>
              <w:rPr>
                <w:sz w:val="20"/>
                <w:szCs w:val="20"/>
              </w:rPr>
              <w:t xml:space="preserve">Lazio (2025) sec 5 and per-mission NASA science pages</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Indicator =1 if the mission is a planetary/deep-space body or heliocentric target rather than an Earth-orbit or Lagrange astrophysics/heliophysics asset</w:t>
            </w:r>
          </w:p>
        </w:tc>
        <w:tc>
          <w:tcPr>
            <w:tcW w:w="0" w:type="auto"/>
          </w:tcPr>
          <w:p>
            <w:pPr>
              <w:spacing w:line="240" w:lineRule="auto" w:before="0" w:after="0"/>
              <w:pStyle w:val="Compact"/>
            </w:pPr>
            <w:r>
              <w:rPr>
                <w:sz w:val="20"/>
                <w:szCs w:val="20"/>
              </w:rPr>
              <w:t xml:space="preserve">NASA Science Mission Directorate division per row in data.csv</w:t>
            </w:r>
          </w:p>
        </w:tc>
      </w:tr>
      <w:tr>
        <w:tc>
          <w:tcPr>
            <w:tcW w:w="0" w:type="auto"/>
          </w:tcPr>
          <w:p>
            <w:pPr>
              <w:spacing w:line="240" w:lineRule="auto" w:before="0" w:after="0"/>
              <w:pStyle w:val="Compact"/>
            </w:pPr>
            <w:r>
              <w:rPr>
                <w:sz w:val="20"/>
                <w:szCs w:val="20"/>
              </w:rPr>
              <w:t xml:space="preserve">needs_70m</w:t>
            </w:r>
          </w:p>
        </w:tc>
        <w:tc>
          <w:tcPr>
            <w:tcW w:w="0" w:type="auto"/>
          </w:tcPr>
          <w:p>
            <w:pPr>
              <w:spacing w:line="240" w:lineRule="auto" w:before="0" w:after="0"/>
              <w:pStyle w:val="Compact"/>
            </w:pPr>
            <w:r>
              <w:rPr>
                <w:sz w:val="20"/>
                <w:szCs w:val="20"/>
              </w:rPr>
              <w:t xml:space="preserve">Indicator =1 if the spacecraft signal requires a 70m-class antenna and cannot be served by an interchangeable 34m antenna</w:t>
            </w:r>
          </w:p>
        </w:tc>
        <w:tc>
          <w:tcPr>
            <w:tcW w:w="0" w:type="auto"/>
          </w:tcPr>
          <w:p>
            <w:pPr>
              <w:spacing w:line="240" w:lineRule="auto" w:before="0" w:after="0"/>
              <w:pStyle w:val="Compact"/>
            </w:pPr>
            <w:r>
              <w:rPr>
                <w:sz w:val="20"/>
                <w:szCs w:val="20"/>
              </w:rPr>
              <w:t xml:space="preserve">Lazio (2025) sec 3.1 (Voyager, New Horizons noted as 70m-dependent)</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70.9461</w:t>
            </w:r>
          </w:p>
        </w:tc>
        <w:tc>
          <w:tcPr>
            <w:tcW w:w="0" w:type="auto"/>
          </w:tcPr>
          <w:p>
            <w:pPr>
              <w:spacing w:line="240" w:lineRule="auto" w:before="0" w:after="0"/>
              <w:pStyle w:val="Compact"/>
            </w:pPr>
            <w:r>
              <w:rPr>
                <w:sz w:val="20"/>
                <w:szCs w:val="20"/>
              </w:rPr>
              <w:t xml:space="preserve">19.7824</w:t>
            </w:r>
          </w:p>
        </w:tc>
        <w:tc>
          <w:tcPr>
            <w:tcW w:w="0" w:type="auto"/>
          </w:tcPr>
          <w:p>
            <w:pPr>
              <w:spacing w:line="240" w:lineRule="auto" w:before="0" w:after="0"/>
              <w:pStyle w:val="Compact"/>
            </w:pPr>
            <w:r>
              <w:rPr>
                <w:sz w:val="20"/>
                <w:szCs w:val="20"/>
              </w:rPr>
              <w:t xml:space="preserve">3.5863</w:t>
            </w:r>
          </w:p>
        </w:tc>
        <w:tc>
          <w:tcPr>
            <w:tcW w:w="0" w:type="auto"/>
          </w:tcPr>
          <w:p>
            <w:pPr>
              <w:spacing w:line="240" w:lineRule="auto" w:before="0" w:after="0"/>
              <w:pStyle w:val="Compact"/>
            </w:pPr>
            <w:r>
              <w:rPr>
                <w:sz w:val="20"/>
                <w:szCs w:val="20"/>
              </w:rPr>
              <w:t xml:space="preserve">0.0003354</w:t>
            </w:r>
          </w:p>
        </w:tc>
        <w:tc>
          <w:tcPr>
            <w:tcW w:w="0" w:type="auto"/>
          </w:tcPr>
          <w:p>
            <w:pPr>
              <w:spacing w:line="240" w:lineRule="auto" w:before="0" w:after="0"/>
              <w:pStyle w:val="Compact"/>
            </w:pPr>
            <w:r>
              <w:rPr>
                <w:sz w:val="20"/>
                <w:szCs w:val="20"/>
              </w:rPr>
              <w:t xml:space="preserve">[32.1733, 109.7189]</w:t>
            </w:r>
          </w:p>
        </w:tc>
      </w:tr>
      <w:tr>
        <w:tc>
          <w:tcPr>
            <w:tcW w:w="0" w:type="auto"/>
          </w:tcPr>
          <w:p>
            <w:pPr>
              <w:spacing w:line="240" w:lineRule="auto" w:before="0" w:after="0"/>
              <w:pStyle w:val="Compact"/>
            </w:pPr>
            <w:r>
              <w:rPr>
                <w:sz w:val="20"/>
                <w:szCs w:val="20"/>
              </w:rPr>
              <w:t xml:space="preserve">log_distance_au</w:t>
            </w:r>
          </w:p>
        </w:tc>
        <w:tc>
          <w:tcPr>
            <w:tcW w:w="0" w:type="auto"/>
          </w:tcPr>
          <w:p>
            <w:pPr>
              <w:spacing w:line="240" w:lineRule="auto" w:before="0" w:after="0"/>
              <w:pStyle w:val="Compact"/>
            </w:pPr>
            <w:r>
              <w:rPr>
                <w:sz w:val="20"/>
                <w:szCs w:val="20"/>
              </w:rPr>
              <w:t xml:space="preserve">10.2176</w:t>
            </w:r>
          </w:p>
        </w:tc>
        <w:tc>
          <w:tcPr>
            <w:tcW w:w="0" w:type="auto"/>
          </w:tcPr>
          <w:p>
            <w:pPr>
              <w:spacing w:line="240" w:lineRule="auto" w:before="0" w:after="0"/>
              <w:pStyle w:val="Compact"/>
            </w:pPr>
            <w:r>
              <w:rPr>
                <w:sz w:val="20"/>
                <w:szCs w:val="20"/>
              </w:rPr>
              <w:t xml:space="preserve">4.8393</w:t>
            </w:r>
          </w:p>
        </w:tc>
        <w:tc>
          <w:tcPr>
            <w:tcW w:w="0" w:type="auto"/>
          </w:tcPr>
          <w:p>
            <w:pPr>
              <w:spacing w:line="240" w:lineRule="auto" w:before="0" w:after="0"/>
              <w:pStyle w:val="Compact"/>
            </w:pPr>
            <w:r>
              <w:rPr>
                <w:sz w:val="20"/>
                <w:szCs w:val="20"/>
              </w:rPr>
              <w:t xml:space="preserve">2.1114</w:t>
            </w:r>
          </w:p>
        </w:tc>
        <w:tc>
          <w:tcPr>
            <w:tcW w:w="0" w:type="auto"/>
          </w:tcPr>
          <w:p>
            <w:pPr>
              <w:spacing w:line="240" w:lineRule="auto" w:before="0" w:after="0"/>
              <w:pStyle w:val="Compact"/>
            </w:pPr>
            <w:r>
              <w:rPr>
                <w:sz w:val="20"/>
                <w:szCs w:val="20"/>
              </w:rPr>
              <w:t xml:space="preserve">0.0347</w:t>
            </w:r>
          </w:p>
        </w:tc>
        <w:tc>
          <w:tcPr>
            <w:tcW w:w="0" w:type="auto"/>
          </w:tcPr>
          <w:p>
            <w:pPr>
              <w:spacing w:line="240" w:lineRule="auto" w:before="0" w:after="0"/>
              <w:pStyle w:val="Compact"/>
            </w:pPr>
            <w:r>
              <w:rPr>
                <w:sz w:val="20"/>
                <w:szCs w:val="20"/>
              </w:rPr>
              <w:t xml:space="preserve">[0.7327, 19.7024]</w:t>
            </w:r>
          </w:p>
        </w:tc>
      </w:tr>
      <w:tr>
        <w:tc>
          <w:tcPr>
            <w:tcW w:w="0" w:type="auto"/>
          </w:tcPr>
          <w:p>
            <w:pPr>
              <w:spacing w:line="240" w:lineRule="auto" w:before="0" w:after="0"/>
              <w:pStyle w:val="Compact"/>
            </w:pPr>
            <w:r>
              <w:rPr>
                <w:sz w:val="20"/>
                <w:szCs w:val="20"/>
              </w:rPr>
              <w:t xml:space="preserve">hi_rate_band</w:t>
            </w:r>
          </w:p>
        </w:tc>
        <w:tc>
          <w:tcPr>
            <w:tcW w:w="0" w:type="auto"/>
          </w:tcPr>
          <w:p>
            <w:pPr>
              <w:spacing w:line="240" w:lineRule="auto" w:before="0" w:after="0"/>
              <w:pStyle w:val="Compact"/>
            </w:pPr>
            <w:r>
              <w:rPr>
                <w:sz w:val="20"/>
                <w:szCs w:val="20"/>
              </w:rPr>
              <w:t xml:space="preserve">9.3493</w:t>
            </w:r>
          </w:p>
        </w:tc>
        <w:tc>
          <w:tcPr>
            <w:tcW w:w="0" w:type="auto"/>
          </w:tcPr>
          <w:p>
            <w:pPr>
              <w:spacing w:line="240" w:lineRule="auto" w:before="0" w:after="0"/>
              <w:pStyle w:val="Compact"/>
            </w:pPr>
            <w:r>
              <w:rPr>
                <w:sz w:val="20"/>
                <w:szCs w:val="20"/>
              </w:rPr>
              <w:t xml:space="preserve">19.6572</w:t>
            </w:r>
          </w:p>
        </w:tc>
        <w:tc>
          <w:tcPr>
            <w:tcW w:w="0" w:type="auto"/>
          </w:tcPr>
          <w:p>
            <w:pPr>
              <w:spacing w:line="240" w:lineRule="auto" w:before="0" w:after="0"/>
              <w:pStyle w:val="Compact"/>
            </w:pPr>
            <w:r>
              <w:rPr>
                <w:sz w:val="20"/>
                <w:szCs w:val="20"/>
              </w:rPr>
              <w:t xml:space="preserve">0.4756</w:t>
            </w:r>
          </w:p>
        </w:tc>
        <w:tc>
          <w:tcPr>
            <w:tcW w:w="0" w:type="auto"/>
          </w:tcPr>
          <w:p>
            <w:pPr>
              <w:spacing w:line="240" w:lineRule="auto" w:before="0" w:after="0"/>
              <w:pStyle w:val="Compact"/>
            </w:pPr>
            <w:r>
              <w:rPr>
                <w:sz w:val="20"/>
                <w:szCs w:val="20"/>
              </w:rPr>
              <w:t xml:space="preserve">0.6343</w:t>
            </w:r>
          </w:p>
        </w:tc>
        <w:tc>
          <w:tcPr>
            <w:tcW w:w="0" w:type="auto"/>
          </w:tcPr>
          <w:p>
            <w:pPr>
              <w:spacing w:line="240" w:lineRule="auto" w:before="0" w:after="0"/>
              <w:pStyle w:val="Compact"/>
            </w:pPr>
            <w:r>
              <w:rPr>
                <w:sz w:val="20"/>
                <w:szCs w:val="20"/>
              </w:rPr>
              <w:t xml:space="preserve">[-29.1781, 47.8767]</w:t>
            </w:r>
          </w:p>
        </w:tc>
      </w:tr>
      <w:tr>
        <w:tc>
          <w:tcPr>
            <w:tcW w:w="0" w:type="auto"/>
          </w:tcPr>
          <w:p>
            <w:pPr>
              <w:spacing w:line="240" w:lineRule="auto" w:before="0" w:after="0"/>
              <w:pStyle w:val="Compact"/>
            </w:pPr>
            <w:r>
              <w:rPr>
                <w:sz w:val="20"/>
                <w:szCs w:val="20"/>
              </w:rPr>
              <w:t xml:space="preserve">planetary</w:t>
            </w:r>
          </w:p>
        </w:tc>
        <w:tc>
          <w:tcPr>
            <w:tcW w:w="0" w:type="auto"/>
          </w:tcPr>
          <w:p>
            <w:pPr>
              <w:spacing w:line="240" w:lineRule="auto" w:before="0" w:after="0"/>
              <w:pStyle w:val="Compact"/>
            </w:pPr>
            <w:r>
              <w:rPr>
                <w:sz w:val="20"/>
                <w:szCs w:val="20"/>
              </w:rPr>
              <w:t xml:space="preserve">-30.3518</w:t>
            </w:r>
          </w:p>
        </w:tc>
        <w:tc>
          <w:tcPr>
            <w:tcW w:w="0" w:type="auto"/>
          </w:tcPr>
          <w:p>
            <w:pPr>
              <w:spacing w:line="240" w:lineRule="auto" w:before="0" w:after="0"/>
              <w:pStyle w:val="Compact"/>
            </w:pPr>
            <w:r>
              <w:rPr>
                <w:sz w:val="20"/>
                <w:szCs w:val="20"/>
              </w:rPr>
              <w:t xml:space="preserve">16.0498</w:t>
            </w:r>
          </w:p>
        </w:tc>
        <w:tc>
          <w:tcPr>
            <w:tcW w:w="0" w:type="auto"/>
          </w:tcPr>
          <w:p>
            <w:pPr>
              <w:spacing w:line="240" w:lineRule="auto" w:before="0" w:after="0"/>
              <w:pStyle w:val="Compact"/>
            </w:pPr>
            <w:r>
              <w:rPr>
                <w:sz w:val="20"/>
                <w:szCs w:val="20"/>
              </w:rPr>
              <w:t xml:space="preserve">-1.8911</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[-61.8088, 1.1052]</w:t>
            </w:r>
          </w:p>
        </w:tc>
      </w:tr>
      <w:tr>
        <w:tc>
          <w:tcPr>
            <w:tcW w:w="0" w:type="auto"/>
          </w:tcPr>
          <w:p>
            <w:pPr>
              <w:spacing w:line="240" w:lineRule="auto" w:before="0" w:after="0"/>
              <w:pStyle w:val="Compact"/>
            </w:pPr>
            <w:r>
              <w:rPr>
                <w:sz w:val="20"/>
                <w:szCs w:val="20"/>
              </w:rPr>
              <w:t xml:space="preserve">needs_70m</w:t>
            </w:r>
          </w:p>
        </w:tc>
        <w:tc>
          <w:tcPr>
            <w:tcW w:w="0" w:type="auto"/>
          </w:tcPr>
          <w:p>
            <w:pPr>
              <w:spacing w:line="240" w:lineRule="auto" w:before="0" w:after="0"/>
              <w:pStyle w:val="Compact"/>
            </w:pPr>
            <w:r>
              <w:rPr>
                <w:sz w:val="20"/>
                <w:szCs w:val="20"/>
              </w:rPr>
              <w:t xml:space="preserve">31.8835</w:t>
            </w:r>
          </w:p>
        </w:tc>
        <w:tc>
          <w:tcPr>
            <w:tcW w:w="0" w:type="auto"/>
          </w:tcPr>
          <w:p>
            <w:pPr>
              <w:spacing w:line="240" w:lineRule="auto" w:before="0" w:after="0"/>
              <w:pStyle w:val="Compact"/>
            </w:pPr>
            <w:r>
              <w:rPr>
                <w:sz w:val="20"/>
                <w:szCs w:val="20"/>
              </w:rPr>
              <w:t xml:space="preserve">48.7769</w:t>
            </w:r>
          </w:p>
        </w:tc>
        <w:tc>
          <w:tcPr>
            <w:tcW w:w="0" w:type="auto"/>
          </w:tcPr>
          <w:p>
            <w:pPr>
              <w:spacing w:line="240" w:lineRule="auto" w:before="0" w:after="0"/>
              <w:pStyle w:val="Compact"/>
            </w:pPr>
            <w:r>
              <w:rPr>
                <w:sz w:val="20"/>
                <w:szCs w:val="20"/>
              </w:rPr>
              <w:t xml:space="preserve">0.6537</w:t>
            </w:r>
          </w:p>
        </w:tc>
        <w:tc>
          <w:tcPr>
            <w:tcW w:w="0" w:type="auto"/>
          </w:tcPr>
          <w:p>
            <w:pPr>
              <w:spacing w:line="240" w:lineRule="auto" w:before="0" w:after="0"/>
              <w:pStyle w:val="Compact"/>
            </w:pPr>
            <w:r>
              <w:rPr>
                <w:sz w:val="20"/>
                <w:szCs w:val="20"/>
              </w:rPr>
              <w:t xml:space="preserve">0.5133</w:t>
            </w:r>
          </w:p>
        </w:tc>
        <w:tc>
          <w:tcPr>
            <w:tcW w:w="0" w:type="auto"/>
          </w:tcPr>
          <w:p>
            <w:pPr>
              <w:spacing w:line="240" w:lineRule="auto" w:before="0" w:after="0"/>
              <w:pStyle w:val="Compact"/>
            </w:pPr>
            <w:r>
              <w:rPr>
                <w:sz w:val="20"/>
                <w:szCs w:val="20"/>
              </w:rPr>
              <w:t xml:space="preserve">[-63.7175, 127.4845]</w:t>
            </w:r>
          </w:p>
        </w:tc>
      </w:tr>
    </w:tbl>
    <w:p>
      <w:pPr>
        <w:pStyle w:val="BodyText"/>
      </w:pPr>
      <w:r>
        <w:t xml:space="preserve">Fit: N = 20 R2 = 0.2877 R2_adj = 0.0977 F = 3.0381 F_p = 0.0508</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1" Target="https://doi.org/10.1016/j.actaastro.2018.03.011" TargetMode="External" /><Relationship Type="http://schemas.openxmlformats.org/officeDocument/2006/relationships/hyperlink" Id="rId73" Target="https://doi.org/10.1016/j.actaastro.2023.01.040"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18.03.011" TargetMode="External" /><Relationship Type="http://schemas.openxmlformats.org/officeDocument/2006/relationships/hyperlink" Id="rId73" Target="https://doi.org/10.1016/j.actaastro.2023.01.04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2026-06-22T20:32:05Z</dcterms:created>
  <dcterms:modified xsi:type="dcterms:W3CDTF">2026-06-22T20:32:05Z</dcterms:modified>
</cp:coreProperties>
</file>

<file path=docProps/custom.xml><?xml version="1.0" encoding="utf-8"?>
<Properties xmlns="http://schemas.openxmlformats.org/officeDocument/2006/custom-properties" xmlns:vt="http://schemas.openxmlformats.org/officeDocument/2006/docPropsVTypes"/>
</file>