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DEEP SPACE NETWORK AS A CONGESTED COMMON: A QUEUEING-AND-CONTENTION MODEL OF TRACKING-PASS ALLOCATION</w:t>
      </w:r>
    </w:p>
    <w:p>
      <w:pPr>
        <w:jc w:val="center"/>
      </w:pPr>
    </w:p>
    <w:p>
      <w:pPr>
        <w:jc w:val="center"/>
      </w:pPr>
      <w:r>
        <w:rPr>
          <w:rFonts w:ascii="Times New Roman" w:hAnsi="Times New Roman"/>
          <w:sz w:val="24"/>
        </w:rPr>
        <w:t>by</w:t>
      </w:r>
    </w:p>
    <w:p>
      <w:pPr>
        <w:jc w:val="center"/>
      </w:pPr>
      <w:r>
        <w:rPr>
          <w:rFonts w:ascii="Times New Roman" w:hAnsi="Times New Roman"/>
          <w:b/>
          <w:sz w:val="28"/>
        </w:rPr>
        <w:t>Omar Ashby</w:t>
      </w:r>
    </w:p>
    <w:p>
      <w:pPr>
        <w:jc w:val="center"/>
      </w:pPr>
      <w:r>
        <w:rPr>
          <w:rFonts w:ascii="Times New Roman" w:hAnsi="Times New Roman"/>
          <w:sz w:val="24"/>
        </w:rPr>
        <w:t>1B-SCN-030</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6" w:name="chapter-1.-introduction"/>
    <w:p>
      <w:pPr>
        <w:pStyle w:val="Heading1"/>
        <w:spacing w:line="480" w:lineRule="auto"/>
      </w:pPr>
      <w:r>
        <w:t xml:space="preserve">Chapter 1. Introduction</w:t>
      </w:r>
    </w:p>
    <w:bookmarkStart w:id="61" w:name="the-problem"/>
    <w:p>
      <w:pPr>
        <w:pStyle w:val="Heading2"/>
        <w:spacing w:line="480" w:lineRule="auto"/>
      </w:pPr>
      <w:r>
        <w:t xml:space="preserve">1.1 The Problem</w:t>
      </w:r>
    </w:p>
    <w:p>
      <w:pPr>
        <w:pStyle w:val="FirstParagraph"/>
        <w:spacing w:line="480" w:lineRule="auto"/>
      </w:pPr>
      <w:r>
        <w:t xml:space="preserve">Every spacecraft operating beyond geosynchronous distance returns its science, receives its commands, and is navigated through the same small set of ground apertures. The NASA Deep Space Network (DSN) is that set: fourteen large steerable antennas distributed across three longitudinally separated complexes at Goldstone, Madrid, and Canberra, of which roughly twelve are available for non-Mars deep-space work at any given time. No interplanetary mission owns this infrastructure, and none can substitute for it. The alternative is silence. A mission that cannot secure a tracking pass at the epoch its geometry favors does not merely wait; it loses irreplaceable observations, defers maneuvers that have narrow execution windows, and accumulates command and navigation risk that compounds over a cruise measured in years.</w:t>
      </w:r>
    </w:p>
    <w:p>
      <w:pPr>
        <w:pStyle w:val="BodyText"/>
        <w:spacing w:line="480" w:lineRule="auto"/>
        <w:ind w:firstLine="720"/>
      </w:pPr>
      <w:r>
        <w:t xml:space="preserve">The defining feature of the present moment is that demand for this resource has outgrown its supply. The deep-space mission suite that the network must serve grew from thirty-five missions in fiscal year 2015 to forty in fiscal year 2023, while the count of antennas stayed essentially flat across a quarter century</w:t>
      </w:r>
      <w:r>
        <w:t xml:space="preserve"> </w:t>
      </w:r>
      <w:hyperlink w:anchor="ref-7">
        <w:r>
          <w:rPr>
            <w:rStyle w:val="Hyperlink"/>
          </w:rPr>
          <w:t xml:space="preserve">[7]</w:t>
        </w:r>
      </w:hyperlink>
      <w:r>
        <w:t xml:space="preserve">. Independent oversight has translated this imbalance into concrete shortfall: demand exceeds supply by as much as forty percent at peak, and over a recent five-year window long-lived assets including Mars Odyssey, Voyager 2, and New Horizons received between roughly eight thousand five hundred and fifteen thousand fewer tracking hours than they requested</w:t>
      </w:r>
      <w:r>
        <w:t xml:space="preserve"> </w:t>
      </w:r>
      <w:hyperlink w:anchor="ref-8">
        <w:r>
          <w:rPr>
            <w:rStyle w:val="Hyperlink"/>
          </w:rPr>
          <w:t xml:space="preserve">[8]</w:t>
        </w:r>
      </w:hyperlink>
      <w:r>
        <w:t xml:space="preserve">. The supply side is close to inelastic on operational timescales. Antennas do not appear on demand. New 34-meter and 70-meter class apertures take years to commission and calibrate</w:t>
      </w:r>
      <w:r>
        <w:t xml:space="preserve"> </w:t>
      </w:r>
      <w:hyperlink w:anchor="ref-10">
        <w:r>
          <w:rPr>
            <w:rStyle w:val="Hyperlink"/>
          </w:rPr>
          <w:t xml:space="preserve">[10]</w:t>
        </w:r>
      </w:hyperlink>
      <w:r>
        <w:t xml:space="preserve">, so the count of usable stations at any complex is fixed within any single scheduling cycle. The demand side, by contrast, has grown and has become more variable, as lunar, Mars, and small-body activity thickens the manifest and as several missions increasingly want the same scarce contact windows at once</w:t>
      </w:r>
      <w:r>
        <w:t xml:space="preserve"> </w:t>
      </w:r>
      <w:hyperlink w:anchor="ref-1">
        <w:r>
          <w:rPr>
            <w:rStyle w:val="Hyperlink"/>
          </w:rPr>
          <w:t xml:space="preserve">[1]</w:t>
        </w:r>
      </w:hyperlink>
      <w:r>
        <w:t xml:space="preserve">[2].</w:t>
      </w:r>
    </w:p>
    <w:p>
      <w:pPr>
        <w:pStyle w:val="BodyText"/>
        <w:spacing w:line="480" w:lineRule="auto"/>
        <w:ind w:firstLine="720"/>
      </w:pPr>
      <w:r>
        <w:t xml:space="preserve">This is the structure of a congested common. The ground-contact channel is rivalrous in use, because an antenna pointed at one spacecraft cannot simultaneously serve another in a different part of the sky, and it is shared across operators who do not internalize the cost their requests impose on one another. The economics literature has formalized exactly this logic for the physical volume of space, treating orbital capacity as a safety-bounded common into which each additional user imposes an externality</w:t>
      </w:r>
      <w:r>
        <w:t xml:space="preserve"> </w:t>
      </w:r>
      <w:hyperlink w:anchor="ref-4">
        <w:r>
          <w:rPr>
            <w:rStyle w:val="Hyperlink"/>
          </w:rPr>
          <w:t xml:space="preserve">[4]</w:t>
        </w:r>
      </w:hyperlink>
      <w:r>
        <w:t xml:space="preserve">[5][12], and it has placed that reasoning inside a broader characterization of space as already congested, contested, and competitive</w:t>
      </w:r>
      <w:r>
        <w:t xml:space="preserve"> </w:t>
      </w:r>
      <w:hyperlink w:anchor="ref-3">
        <w:r>
          <w:rPr>
            <w:rStyle w:val="Hyperlink"/>
          </w:rPr>
          <w:t xml:space="preserve">[3]</w:t>
        </w:r>
      </w:hyperlink>
      <w:r>
        <w:t xml:space="preserve">[13]. The ground-contact resource shares the defining property of those orbital shells, a fixed server pool accessed by rivalrous and largely unpriced demand, yet it has received far less of this analytical treatment even though it is the single chokepoint that every deep-space mission must traverse.</w:t>
      </w:r>
    </w:p>
    <w:bookmarkEnd w:id="61"/>
    <w:bookmarkStart w:id="62" w:name="stakes-for-nasa-and-jpl"/>
    <w:p>
      <w:pPr>
        <w:pStyle w:val="Heading2"/>
        <w:spacing w:line="480" w:lineRule="auto"/>
      </w:pPr>
      <w:r>
        <w:t xml:space="preserve">1.2 Stakes for NASA and JPL</w:t>
      </w:r>
    </w:p>
    <w:p>
      <w:pPr>
        <w:pStyle w:val="FirstParagraph"/>
        <w:spacing w:line="480" w:lineRule="auto"/>
      </w:pPr>
      <w:r>
        <w:t xml:space="preserve">The stakes attach directly to the institutions that own and operate the network. The DSN is managed by the Jet Propulsion Laboratory on behalf of NASA, and it is the common denominator of the agency’s deep-space portfolio: the same apertures that downlink astrophysics observations also command planetary orbiters, track heliophysics sentinels, and provide the radiometric data that navigates every cruise. When the network is oversubscribed, the loss is not confined to one mission or one division. It spreads. It is distributed across the entire portfolio according to whatever allocation rule the scheduler applies, and that distribution is a policy outcome whether or not it is recognized as one.</w:t>
      </w:r>
    </w:p>
    <w:p>
      <w:pPr>
        <w:pStyle w:val="BodyText"/>
        <w:spacing w:line="480" w:lineRule="auto"/>
        <w:ind w:firstLine="720"/>
      </w:pPr>
      <w:r>
        <w:t xml:space="preserve">Two empirical results from the preceding chapters of this dissertation sharpen why the stakes are structural rather than incidental. First, the demand a mission places on the network is not exchangeable across missions; it scales with the logarithm of distance from Earth, so that the heaviest users are systematically the most distant ones, and those distant users are disproportionately the missions that can be served only by the scarce 70-meter dishes. The contention they generate is therefore concentrated rather than diffuse, and the capacity arithmetic that pools all antennas as interchangeable understates peak rivalry. Second, the throughput a mission extracts from the common per unit of contact time is governed almost entirely by spacecraft-side transmitter power and orbital range, both properties the spacecraft brings with it, and by no congestion price, because the network charges none. A common whose draw is fixed by private engineering and unmediated by an allocation signal is precisely the configuration in which demand outruns supply. These findings establish that the arrivals to the network are heterogeneous and that their service requirements are predictable from documented attributes, but they leave open the question on which the choice of remedy turns.</w:t>
      </w:r>
    </w:p>
    <w:p>
      <w:pPr>
        <w:pStyle w:val="BodyText"/>
        <w:spacing w:line="480" w:lineRule="auto"/>
        <w:ind w:firstLine="720"/>
      </w:pPr>
      <w:r>
        <w:t xml:space="preserve">That question is whether the contention NASA and JPL observe is fundamentally a problem of too much aggregate load, which adding antennas would relieve, or fundamentally a problem of demand concentrating in narrow geometrically favorable windows, which adding antennas would not relieve. The distinction is not academic. Money and science both turn on it. The network’s own operators attribute oversubscription to spacecraft clumping in azimuth at particular times of day</w:t>
      </w:r>
      <w:r>
        <w:t xml:space="preserve"> </w:t>
      </w:r>
      <w:hyperlink w:anchor="ref-7">
        <w:r>
          <w:rPr>
            <w:rStyle w:val="Hyperlink"/>
          </w:rPr>
          <w:t xml:space="preserve">[7]</w:t>
        </w:r>
      </w:hyperlink>
      <w:r>
        <w:t xml:space="preserve">, and prior work on the network has examined both the prioritization rules that arbitrate among competing requests</w:t>
      </w:r>
      <w:r>
        <w:t xml:space="preserve"> </w:t>
      </w:r>
      <w:hyperlink w:anchor="ref-14">
        <w:r>
          <w:rPr>
            <w:rStyle w:val="Hyperlink"/>
          </w:rPr>
          <w:t xml:space="preserve">[14]</w:t>
        </w:r>
      </w:hyperlink>
      <w:r>
        <w:t xml:space="preserve"> </w:t>
      </w:r>
      <w:r>
        <w:t xml:space="preserve">and the automated schedulers, including reinforcement-learning approaches, that allocate tracks under load</w:t>
      </w:r>
      <w:r>
        <w:t xml:space="preserve"> </w:t>
      </w:r>
      <w:hyperlink w:anchor="ref-15">
        <w:r>
          <w:rPr>
            <w:rStyle w:val="Hyperlink"/>
          </w:rPr>
          <w:t xml:space="preserve">[15]</w:t>
        </w:r>
      </w:hyperlink>
      <w:r>
        <w:t xml:space="preserve">. If deferral is governed by mean utilization alone, then the policy lever is capacity, and the multi-year capital program to revitalize the network</w:t>
      </w:r>
      <w:r>
        <w:t xml:space="preserve"> </w:t>
      </w:r>
      <w:hyperlink w:anchor="ref-8">
        <w:r>
          <w:rPr>
            <w:rStyle w:val="Hyperlink"/>
          </w:rPr>
          <w:t xml:space="preserve">[8]</w:t>
        </w:r>
      </w:hyperlink>
      <w:r>
        <w:t xml:space="preserve"> </w:t>
      </w:r>
      <w:r>
        <w:t xml:space="preserve">is the correct response. If deferral is instead driven by the temporal clustering of high-priority requests independent of mean load, then a uniform capacity increase leaves the concentrated-window shortfall substantially intact, and the binding lever is the allocation rule rather than the aperture count. Billions of dollars of capital planning and the science return of a generation of missions ride on which of these accounts is true.</w:t>
      </w:r>
    </w:p>
    <w:bookmarkEnd w:id="62"/>
    <w:bookmarkStart w:id="63" w:name="Xfb88ffc49ee5343136593b06b1ccea157d2ec8a"/>
    <w:p>
      <w:pPr>
        <w:pStyle w:val="Heading2"/>
        <w:spacing w:line="480" w:lineRule="auto"/>
      </w:pPr>
      <w:r>
        <w:t xml:space="preserve">1.3 The Gap Between the Domain Literature and the Method Literature</w:t>
      </w:r>
    </w:p>
    <w:p>
      <w:pPr>
        <w:pStyle w:val="FirstParagraph"/>
        <w:spacing w:line="480" w:lineRule="auto"/>
      </w:pPr>
      <w:r>
        <w:t xml:space="preserve">Three literatures touch this problem without closing it, and the gap that defines this dissertation lies precisely in the join between them.</w:t>
      </w:r>
    </w:p>
    <w:p>
      <w:pPr>
        <w:pStyle w:val="BodyText"/>
        <w:spacing w:line="480" w:lineRule="auto"/>
        <w:ind w:firstLine="720"/>
      </w:pPr>
      <w:r>
        <w:t xml:space="preserve">The first is the ground-network and deep-space-telecommunications engineering literature, which characterizes the supply side with great fidelity. It documents the strain that drives distributed and autonomous ground architectures</w:t>
      </w:r>
      <w:r>
        <w:t xml:space="preserve"> </w:t>
      </w:r>
      <w:hyperlink w:anchor="ref-1">
        <w:r>
          <w:rPr>
            <w:rStyle w:val="Hyperlink"/>
          </w:rPr>
          <w:t xml:space="preserve">[1]</w:t>
        </w:r>
      </w:hyperlink>
      <w:r>
        <w:t xml:space="preserve">, the latency and throughput pressures that motivate optical and just-in-time relay</w:t>
      </w:r>
      <w:r>
        <w:t xml:space="preserve"> </w:t>
      </w:r>
      <w:hyperlink w:anchor="ref-2">
        <w:r>
          <w:rPr>
            <w:rStyle w:val="Hyperlink"/>
          </w:rPr>
          <w:t xml:space="preserve">[2]</w:t>
        </w:r>
      </w:hyperlink>
      <w:r>
        <w:t xml:space="preserve">, the long-horizon roadmap and aperture-enhancement programs that govern how the installed capacity evolves</w:t>
      </w:r>
      <w:r>
        <w:t xml:space="preserve"> </w:t>
      </w:r>
      <w:hyperlink w:anchor="ref-9">
        <w:r>
          <w:rPr>
            <w:rStyle w:val="Hyperlink"/>
          </w:rPr>
          <w:t xml:space="preserve">[9]</w:t>
        </w:r>
      </w:hyperlink>
      <w:r>
        <w:t xml:space="preserve">[10], and the relay-topology studies that propose to offload Earth-Mars traffic onto intermediate nodes</w:t>
      </w:r>
      <w:r>
        <w:t xml:space="preserve"> </w:t>
      </w:r>
      <w:hyperlink w:anchor="ref-11">
        <w:r>
          <w:rPr>
            <w:rStyle w:val="Hyperlink"/>
          </w:rPr>
          <w:t xml:space="preserve">[11]</w:t>
        </w:r>
      </w:hyperlink>
      <w:r>
        <w:t xml:space="preserve">. It also includes the scheduling and prioritization work internal to network operations</w:t>
      </w:r>
      <w:r>
        <w:t xml:space="preserve"> </w:t>
      </w:r>
      <w:hyperlink w:anchor="ref-14">
        <w:r>
          <w:rPr>
            <w:rStyle w:val="Hyperlink"/>
          </w:rPr>
          <w:t xml:space="preserve">[14]</w:t>
        </w:r>
      </w:hyperlink>
      <w:r>
        <w:t xml:space="preserve">[15]. This literature treats contention as an engineering constraint to be designed around, an input to a capacity plan or a scheduler, rather than as an allocation outcome whose distributional consequences are themselves the object of measurement. It has the network in full detail, but it does not ask the allocation question in the form that distinguishes a load problem from a concentration problem.</w:t>
      </w:r>
    </w:p>
    <w:p>
      <w:pPr>
        <w:pStyle w:val="BodyText"/>
        <w:spacing w:line="480" w:lineRule="auto"/>
        <w:ind w:firstLine="720"/>
      </w:pPr>
      <w:r>
        <w:t xml:space="preserve">The second is the space-economics and common-pool-resource literature, which supplies exactly the allocation theory the engineering literature lacks but anchors it to the orbital volume rather than to the ground segment. The common-pool-resource framing of shared space infrastructure is developed explicitly for sustainability and traffic management</w:t>
      </w:r>
      <w:r>
        <w:t xml:space="preserve"> </w:t>
      </w:r>
      <w:hyperlink w:anchor="ref-12">
        <w:r>
          <w:rPr>
            <w:rStyle w:val="Hyperlink"/>
          </w:rPr>
          <w:t xml:space="preserve">[12]</w:t>
        </w:r>
      </w:hyperlink>
      <w:r>
        <w:t xml:space="preserve">[26], orbital carrying capacity is formalized as a safety metric and a policy construct for the physical shells</w:t>
      </w:r>
      <w:r>
        <w:t xml:space="preserve"> </w:t>
      </w:r>
      <w:hyperlink w:anchor="ref-4">
        <w:r>
          <w:rPr>
            <w:rStyle w:val="Hyperlink"/>
          </w:rPr>
          <w:t xml:space="preserve">[4]</w:t>
        </w:r>
      </w:hyperlink>
      <w:r>
        <w:t xml:space="preserve">[5], the economic reading of space as a rivalrous frontier is established</w:t>
      </w:r>
      <w:r>
        <w:t xml:space="preserve"> </w:t>
      </w:r>
      <w:hyperlink w:anchor="ref-3">
        <w:r>
          <w:rPr>
            <w:rStyle w:val="Hyperlink"/>
          </w:rPr>
          <w:t xml:space="preserve">[3]</w:t>
        </w:r>
      </w:hyperlink>
      <w:r>
        <w:t xml:space="preserve">[13], and the congestion-pricing instrument familiar from terrestrial commons has been carried into the orbital setting as a tax on the space commons</w:t>
      </w:r>
      <w:r>
        <w:t xml:space="preserve"> </w:t>
      </w:r>
      <w:hyperlink w:anchor="ref-25">
        <w:r>
          <w:rPr>
            <w:rStyle w:val="Hyperlink"/>
          </w:rPr>
          <w:t xml:space="preserve">[25]</w:t>
        </w:r>
      </w:hyperlink>
      <w:r>
        <w:t xml:space="preserve">. This body of work provides the theory of a rivalrous common, the externality it generates, and the allocation instruments that might govern it. But it has been applied to the volume of space and to the debris population, not to the ground-contact channel through which the science from that volume must actually return.</w:t>
      </w:r>
    </w:p>
    <w:p>
      <w:pPr>
        <w:pStyle w:val="BodyText"/>
        <w:spacing w:line="480" w:lineRule="auto"/>
        <w:ind w:firstLine="720"/>
      </w:pPr>
      <w:r>
        <w:t xml:space="preserve">The third literature, the quantitative and econometric method literature on contention and allocation, supplies the discriminating tools, congestion and queueing models for shared networks</w:t>
      </w:r>
      <w:r>
        <w:t xml:space="preserve"> </w:t>
      </w:r>
      <w:hyperlink w:anchor="ref-23">
        <w:r>
          <w:rPr>
            <w:rStyle w:val="Hyperlink"/>
          </w:rPr>
          <w:t xml:space="preserve">[23]</w:t>
        </w:r>
      </w:hyperlink>
      <w:r>
        <w:t xml:space="preserve">, discrete-event and parallel simulation of overloaded sensor and tracking systems</w:t>
      </w:r>
      <w:r>
        <w:t xml:space="preserve"> </w:t>
      </w:r>
      <w:hyperlink w:anchor="ref-20">
        <w:r>
          <w:rPr>
            <w:rStyle w:val="Hyperlink"/>
          </w:rPr>
          <w:t xml:space="preserve">[20]</w:t>
        </w:r>
      </w:hyperlink>
      <w:r>
        <w:t xml:space="preserve">, and the binary-outcome and survival estimators that separate competing causes of a deferred event. Adjacent space-operations work has applied scheduling optimization and learning methods to radar and tracking allocation</w:t>
      </w:r>
      <w:r>
        <w:t xml:space="preserve"> </w:t>
      </w:r>
      <w:hyperlink w:anchor="ref-15">
        <w:r>
          <w:rPr>
            <w:rStyle w:val="Hyperlink"/>
          </w:rPr>
          <w:t xml:space="preserve">[15]</w:t>
        </w:r>
      </w:hyperlink>
      <w:r>
        <w:t xml:space="preserve">[21][22], and congestion-avoidance routing has been studied for mega-constellation ground links</w:t>
      </w:r>
      <w:r>
        <w:t xml:space="preserve"> </w:t>
      </w:r>
      <w:hyperlink w:anchor="ref-23">
        <w:r>
          <w:rPr>
            <w:rStyle w:val="Hyperlink"/>
          </w:rPr>
          <w:t xml:space="preserve">[23]</w:t>
        </w:r>
      </w:hyperlink>
      <w:r>
        <w:t xml:space="preserve">. Yet none of this has been turned on the DSN tracking-pass record to ask whether observed deferral is a smooth function of network utilization or a function of demand concentration over and above mean load.</w:t>
      </w:r>
    </w:p>
    <w:p>
      <w:pPr>
        <w:pStyle w:val="BodyText"/>
        <w:spacing w:line="480" w:lineRule="auto"/>
        <w:ind w:firstLine="720"/>
      </w:pPr>
      <w:r>
        <w:t xml:space="preserve">The gap, stated precisely, is the join. The engineering literature has the network but not the allocation theory. The economics literature has the allocation theory but not the network. The method literature has the discriminating estimators but has not been pointed at the scheduled, geometry-driven world of deep-space ground contacts. No retrieved source provides a queueing-and-contention model of tracking-pass allocation that imports the carrying-capacity framing of a rivalrous common into the measurable DSN schedule and tests a single falsifiable claim about what governs who gets deferred. Closing that join is the work of this dissertation.</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The contribution of this dissertation is one discriminating test between two mutually exclusive accounts of tracking-pass deferral, stated so that the available record can reject one of them.</w:t>
      </w:r>
    </w:p>
    <w:p>
      <w:pPr>
        <w:pStyle w:val="BodyText"/>
        <w:spacing w:line="480" w:lineRule="auto"/>
        <w:ind w:firstLine="720"/>
      </w:pPr>
      <w:r>
        <w:t xml:space="preserve">Let the outcome be binary deferral: whether a requested contact is allocated in its first-choice geometric window or pushed to a later, less favorable one, or denied. The unit of observation is a requested contact, a mission-station-window triple. The two accounts make opposite, observable predictions about deferral in windows that carry equal mean load.</w:t>
      </w:r>
    </w:p>
    <w:p>
      <w:pPr>
        <w:pStyle w:val="BodyText"/>
        <w:spacing w:line="480" w:lineRule="auto"/>
        <w:ind w:firstLine="720"/>
      </w:pPr>
      <w:r>
        <w:t xml:space="preserve">Under the load-only account, the probability that a requested contact is deferred is a function of aggregate network utilization alone. Conditional on the mean utilization of the relevant server pool over a scheduling window, the temporal concentration of high-priority requests within that window carries no additional explanatory weight. On this account deferral is smooth in load, and expanding the server pool monotonically relieves contention.</w:t>
      </w:r>
    </w:p>
    <w:p>
      <w:pPr>
        <w:pStyle w:val="BodyText"/>
        <w:spacing w:line="480" w:lineRule="auto"/>
        <w:ind w:firstLine="720"/>
      </w:pPr>
      <w:r>
        <w:t xml:space="preserve">Under the concentration account, deferral probability depends on the temporal concentration of demand in narrow geometrically favorable windows, over and above mean utilization. Conditional on the same mean load, windows in which high-priority requests cluster exhibit materially higher deferral than windows in which an equal total of demand is spread out. On this account a non-trivial share of contention is structural rather than volumetric, and a uniform capacity increase leaves the concentrated-window deferral substantially intact.</w:t>
      </w:r>
    </w:p>
    <w:p>
      <w:pPr>
        <w:pStyle w:val="BodyText"/>
        <w:spacing w:line="480" w:lineRule="auto"/>
        <w:ind w:firstLine="720"/>
      </w:pPr>
      <w:r>
        <w:t xml:space="preserve">The test is the sign and significance of a within-window concentration term once mean utilization is controlled. The concentration account is rejected if that term is null; the load-only account is rejected if it is positive and survives the controls. Identification rests on a supply-side fixity and a demand-side exogeneity that the network’s own structure provides. The supply of antenna-hours is fixed within a scheduling cycle by station count and aperture, so it does not respond to any single mission’s request. The arrival of requests is driven by planetary geometry, since a mission’s favorable view periods are set by orbital mechanics determined years in advance and independently of the network’s contention state. Concentration in a given window therefore arises from the coincidence of independently scheduled missions’ geometry rather than from strategic behavior responding to expected contention, which lets the concentration index be treated as conditionally exogenous to a single request’s deferral once mean load and station fixed effects are absorbed. The discriminating result is whether the concentration coefficient is positive, significant, and stable across a binary-outcome regression, a discrete-time hazard specification, and a placebo on non-competing low-priority requests after mean load is controlled. This is a single claim, it is falsifiable on the published DSN schedule and view-period record, and its answer tells NASA and JPL whether the corrective lever is more antennas or a different allocation rule.</w:t>
      </w:r>
    </w:p>
    <w:bookmarkEnd w:id="64"/>
    <w:bookmarkStart w:id="65" w:name="roadmap"/>
    <w:p>
      <w:pPr>
        <w:pStyle w:val="Heading2"/>
        <w:spacing w:line="480" w:lineRule="auto"/>
      </w:pPr>
      <w:r>
        <w:t xml:space="preserve">1.5 Roadmap</w:t>
      </w:r>
    </w:p>
    <w:p>
      <w:pPr>
        <w:pStyle w:val="FirstParagraph"/>
        <w:spacing w:line="480" w:lineRule="auto"/>
      </w:pPr>
      <w:r>
        <w:t xml:space="preserve">The dissertation proceeds from the demand side to the contention mechanism and out to the governance implication.</w:t>
      </w:r>
    </w:p>
    <w:p>
      <w:pPr>
        <w:pStyle w:val="BodyText"/>
        <w:spacing w:line="480" w:lineRule="auto"/>
        <w:ind w:firstLine="720"/>
      </w:pPr>
      <w:r>
        <w:t xml:space="preserve">The two empirical chapters that precede the contention model characterize the arrivals to the common, because one cannot model a queue without first describing what enters it. The first establishes, by an ordinary-least-squares model of per-mission weekly tracking hours, that demand is not exchangeable across missions and that its dominant and statistically reliable driver is the logarithm of distance from Earth, with the heaviest distance-driven users concentrated on the scarce largest apertures. The second estimates, as a log-linear link budget in the Cobb-Douglas form, the rate at which a mission extracts throughput from the common per unit of contact time, and shows that this extraction is governed by transmitter power and orbital range and by no allocation price. Together these chapters supply the per-user service requirement that the contention model takes as given and motivate why aggregate demand pressure concentrates among the high-power, deep-range missions that hold antennas longest and fill links fastest.</w:t>
      </w:r>
    </w:p>
    <w:p>
      <w:pPr>
        <w:pStyle w:val="BodyText"/>
        <w:spacing w:line="480" w:lineRule="auto"/>
        <w:ind w:firstLine="720"/>
      </w:pPr>
      <w:r>
        <w:t xml:space="preserve">The chapters that follow build and test the central model. One chapter develops the queueing-and-contention formalism, casting requested contacts as arrivals to a fixed server pool and defining the concentration index and the deferral outcome precisely. The next presents the data and provenance, drawn from NASA’s published DSN schedule and view-period record, the public DSN station roster for the fixed server pool, and published ephemerides for the independent geometry that underwrites the exogeneity argument, all of it public, real, and obtainable. The estimation chapter fits the discriminating test, the binary-outcome regression with mean-utilization controls and station and epoch fixed effects, the discrete-time hazard robustness specification, and the low-priority placebo, and reports the concentration coefficient under multiple concentration definitions so that the rejection of either account does not hinge on a single functional form. A threats-to-validity chapter confronts the four material hazards: the possibility that the observed schedule already absorbs informal negotiation, the administrative assignment of priority tiers, the imperfect fixity of supply under maintenance downtime, and the constructed nature of the concentration regressor.</w:t>
      </w:r>
    </w:p>
    <w:p>
      <w:pPr>
        <w:pStyle w:val="BodyText"/>
        <w:spacing w:line="480" w:lineRule="auto"/>
        <w:ind w:firstLine="720"/>
      </w:pPr>
      <w:r>
        <w:t xml:space="preserve">The final chapters carry the result outward. They situate the finding in the common-pool-resource and carrying-capacity framing from which the dissertation borrows its theory</w:t>
      </w:r>
      <w:r>
        <w:t xml:space="preserve"> </w:t>
      </w:r>
      <w:hyperlink w:anchor="ref-4">
        <w:r>
          <w:rPr>
            <w:rStyle w:val="Hyperlink"/>
          </w:rPr>
          <w:t xml:space="preserve">[4]</w:t>
        </w:r>
      </w:hyperlink>
      <w:r>
        <w:t xml:space="preserve">[5][12][26], connect it to the congestion-pricing and allocation-rule instruments that the answer implicates</w:t>
      </w:r>
      <w:r>
        <w:t xml:space="preserve"> </w:t>
      </w:r>
      <w:hyperlink w:anchor="ref-25">
        <w:r>
          <w:rPr>
            <w:rStyle w:val="Hyperlink"/>
          </w:rPr>
          <w:t xml:space="preserve">[25]</w:t>
        </w:r>
      </w:hyperlink>
      <w:r>
        <w:t xml:space="preserve">, and state plainly what the discriminating test means for NASA and JPL capacity planning and scheduling policy. The dissertation closes by drawing the boundary of the claim, distinguishing what the published record can establish from what would require operational request logs that are not public, and identifying the relay-architecture and optical-link extensions</w:t>
      </w:r>
      <w:r>
        <w:t xml:space="preserve"> </w:t>
      </w:r>
      <w:hyperlink w:anchor="ref-2">
        <w:r>
          <w:rPr>
            <w:rStyle w:val="Hyperlink"/>
          </w:rPr>
          <w:t xml:space="preserve">[2]</w:t>
        </w:r>
      </w:hyperlink>
      <w:r>
        <w:t xml:space="preserve">[11] that a fuller model of the ground-contact common would add.</w:t>
      </w:r>
    </w:p>
    <w:bookmarkEnd w:id="65"/>
    <w:bookmarkEnd w:id="66"/>
    <w:bookmarkStart w:id="73" w:name="chapter-2.-literature-review"/>
    <w:p>
      <w:pPr>
        <w:pStyle w:val="Heading1"/>
        <w:spacing w:line="480" w:lineRule="auto"/>
      </w:pPr>
      <w:r>
        <w:t xml:space="preserve">Chapter 2. Literature Review</w:t>
      </w:r>
    </w:p>
    <w:bookmarkStart w:id="67" w:name="two-literatures-that-have-not-met"/>
    <w:p>
      <w:pPr>
        <w:pStyle w:val="Heading2"/>
        <w:spacing w:line="480" w:lineRule="auto"/>
      </w:pPr>
      <w:r>
        <w:t xml:space="preserve">2.1 Two Literatures That Have Not Met</w:t>
      </w:r>
    </w:p>
    <w:p>
      <w:pPr>
        <w:pStyle w:val="FirstParagraph"/>
        <w:spacing w:line="480" w:lineRule="auto"/>
      </w:pPr>
      <w:r>
        <w:t xml:space="preserve">The argument of this dissertation rests on a claim about absence. The Deep Space Network is, by any reasonable definition, a congested common: a finite pool of large ground apertures, rivalrous in use, shared across operators who do not internalize the cost their contact requests impose on one another, and now subject to demand that exceeds supply by as much as forty percent at peak</w:t>
      </w:r>
      <w:r>
        <w:t xml:space="preserve"> </w:t>
      </w:r>
      <w:hyperlink w:anchor="ref-8">
        <w:r>
          <w:rPr>
            <w:rStyle w:val="Hyperlink"/>
          </w:rPr>
          <w:t xml:space="preserve">[8]</w:t>
        </w:r>
      </w:hyperlink>
      <w:r>
        <w:t xml:space="preserve">. Two mature bodies of scholarship bear directly on a resource of this kind. The first is the technical and operational literature on the Deep Space Network itself, which describes the apertures, the link budgets, the scheduling machinery, and the growing imbalance between the mission manifest and the installed capacity. The second is the cliometric and econometric literature on shared-resource congestion, which has developed, over roughly the last decade and a half, a formal apparatus for treating a rivalrous space resource as a common-pool good with measurable carrying capacity and distributional consequences. Each literature is internally rich. Neither has been brought to bear on the other. They have not met. The technical literature has the network but lacks the allocation theory; the economic literature has the allocation theory but has anchored it almost exclusively to the orbital volume rather than to the ground-contact channel. This chapter reviews both, establishes the conceptual bridge that common-pool-resource economics supplies between them, and identifies the unfilled join that the dissertation occupies.</w:t>
      </w:r>
    </w:p>
    <w:p>
      <w:pPr>
        <w:pStyle w:val="BodyText"/>
        <w:spacing w:line="480" w:lineRule="auto"/>
        <w:ind w:firstLine="720"/>
      </w:pPr>
      <w:r>
        <w:t xml:space="preserve">The structure of the review follows the structure of the gap. Section 2.2 reviews the supply side of the technical literature: what the network is, how its capacity is constrained, and how the operational community has documented its over-subscription. Section 2.3 reviews the demand and scheduling side: the link-budget physics that sets each mission’s draw, the prioritization rules that decide who is deferred, and the optimization and learning methods that have been applied to the schedule. Section 2.4 turns to the economic literature, tracing the common-pool-resource framing from its institutional origins through its formalization as orbital carrying capacity and its extension into congestion pricing of the space commons. Section 2.5 surveys the broader methodological corpus on contention, scheduling, and resource allocation in adjacent space-infrastructure settings, from which the dissertation borrows its estimation strategy. Section 2.6 synthesizes the two literatures and states the gap precisely. Throughout, the review is read against a single organizing question: does any existing source provide a queueing-and-contention model of tracking-pass allocation that distinguishes load-driven from concentration-driven deferral, The answer, established at the close, is that none does, and that the distinction is exactly what a cliometric treatment of the network as a congested common makes available.</w:t>
      </w:r>
    </w:p>
    <w:bookmarkEnd w:id="67"/>
    <w:bookmarkStart w:id="68" w:name="Xe8bceb39c81469d0dcc9705537c0578644aa1ff"/>
    <w:p>
      <w:pPr>
        <w:pStyle w:val="Heading2"/>
        <w:spacing w:line="480" w:lineRule="auto"/>
      </w:pPr>
      <w:r>
        <w:t xml:space="preserve">2.2 The Supply Side: The Network as a Constrained Aperture Pool</w:t>
      </w:r>
    </w:p>
    <w:p>
      <w:pPr>
        <w:pStyle w:val="FirstParagraph"/>
        <w:spacing w:line="480" w:lineRule="auto"/>
      </w:pPr>
      <w:r>
        <w:t xml:space="preserve">The first literature to survey is the one that characterizes the supply side of the resource, the apertures themselves and the institutional account of their scarcity. The most authoritative recent characterization of the network as a loaded system is Lazio’s analysis of the mission suite the network enables</w:t>
      </w:r>
      <w:r>
        <w:t xml:space="preserve"> </w:t>
      </w:r>
      <w:hyperlink w:anchor="ref-7">
        <w:r>
          <w:rPr>
            <w:rStyle w:val="Hyperlink"/>
          </w:rPr>
          <w:t xml:space="preserve">[7]</w:t>
        </w:r>
      </w:hyperlink>
      <w:r>
        <w:t xml:space="preserve">. That work establishes the basic arithmetic on which the dissertation’s empirical chapters build: a small set of antennas at three complexes, of which roughly twelve are available for non-Mars deep-space work, serving a mission suite that grew from thirty-five missions in one recent fiscal year to forty in another while the antenna count remained essentially flat across a quarter century</w:t>
      </w:r>
      <w:r>
        <w:t xml:space="preserve"> </w:t>
      </w:r>
      <w:hyperlink w:anchor="ref-7">
        <w:r>
          <w:rPr>
            <w:rStyle w:val="Hyperlink"/>
          </w:rPr>
          <w:t xml:space="preserve">[7]</w:t>
        </w:r>
      </w:hyperlink>
      <w:r>
        <w:t xml:space="preserve">. Lazio’s contribution is not merely descriptive. It diagnoses. It frames the network’s over-subscription as the consequence of spacecraft clumping in azimuth at particular times of day, which is the operational community’s own language for the temporal concentration of demand that the dissertation’s concentration hypothesis formalizes</w:t>
      </w:r>
      <w:r>
        <w:t xml:space="preserve"> </w:t>
      </w:r>
      <w:hyperlink w:anchor="ref-7">
        <w:r>
          <w:rPr>
            <w:rStyle w:val="Hyperlink"/>
          </w:rPr>
          <w:t xml:space="preserve">[7]</w:t>
        </w:r>
      </w:hyperlink>
      <w:r>
        <w:t xml:space="preserve">. It also documents per-mission weekly tracking hours for named missions across the astrophysics, heliophysics, and planetary divisions, the very loading profile from which the demand-side regression of the first empirical paper is constructed. Lazio’s work therefore sits at the center of the supply-side literature precisely because it begins, without ever giving it that name, to describe the demand structure that an allocation model must explain.</w:t>
      </w:r>
    </w:p>
    <w:p>
      <w:pPr>
        <w:pStyle w:val="BodyText"/>
        <w:spacing w:line="480" w:lineRule="auto"/>
        <w:ind w:firstLine="720"/>
      </w:pPr>
      <w:r>
        <w:t xml:space="preserve">The institutional confirmation of the scarcity comes from independent oversight. The NASA Office of Inspector General’s audit of the network’s management converts the over-subscription from an operational observation into a quantified shortfall: demand exceeds supply by as much as forty percent at peak, and over a recent five-year window several flagship missions received between roughly eight and a half thousand and fifteen thousand fewer tracking hours than they requested</w:t>
      </w:r>
      <w:r>
        <w:t xml:space="preserve"> </w:t>
      </w:r>
      <w:hyperlink w:anchor="ref-8">
        <w:r>
          <w:rPr>
            <w:rStyle w:val="Hyperlink"/>
          </w:rPr>
          <w:t xml:space="preserve">[8]</w:t>
        </w:r>
      </w:hyperlink>
      <w:r>
        <w:t xml:space="preserve">. This source is load-bearing for the dissertation’s motivation because it establishes that deferral is not a hypothetical artifact of a model but a documented, measured feature of the operational record. The audit’s framing is administrative and budgetary, concerned with whether the agency is managing and revitalizing the asset adequately, rather than analytic. It does not ask whether the shortfall is driven by aggregate load or by the concentration of demand in narrow windows. That distinction, which determines whether the correct intervention is more antennas or a different allocation rule, is left open by the oversight literature, and it is the question the dissertation takes up.</w:t>
      </w:r>
    </w:p>
    <w:p>
      <w:pPr>
        <w:pStyle w:val="BodyText"/>
        <w:spacing w:line="480" w:lineRule="auto"/>
        <w:ind w:firstLine="720"/>
      </w:pPr>
      <w:r>
        <w:t xml:space="preserve">Beneath the loading analyses lies a long engineering literature on the apertures and their capabilities. The network’s own telecommunications road map situates the link budget in the agency’s planning horizon and establishes the fundamental relationship the second empirical paper estimates: supportable data rate degrades with the square of distance, so the same science return requires a far longer pass from a distant spacecraft than from a near one</w:t>
      </w:r>
      <w:r>
        <w:t xml:space="preserve"> </w:t>
      </w:r>
      <w:hyperlink w:anchor="ref-9">
        <w:r>
          <w:rPr>
            <w:rStyle w:val="Hyperlink"/>
          </w:rPr>
          <w:t xml:space="preserve">[9]</w:t>
        </w:r>
      </w:hyperlink>
      <w:r>
        <w:t xml:space="preserve">. This is the physical origin of the demand-side asymmetry that the dissertation treats as a primitive. Distance enters a mission’s draw on the common twice, through weaker received signal and through the longer dwell required to recover a fixed data volume, and the road map is the canonical statement of why</w:t>
      </w:r>
      <w:r>
        <w:t xml:space="preserve"> </w:t>
      </w:r>
      <w:hyperlink w:anchor="ref-9">
        <w:r>
          <w:rPr>
            <w:rStyle w:val="Hyperlink"/>
          </w:rPr>
          <w:t xml:space="preserve">[9]</w:t>
        </w:r>
      </w:hyperlink>
      <w:r>
        <w:t xml:space="preserve">. Aperture-enhancement work documents the capital intensity of the supply side directly. The calibration and performance measurement of the network’s aperture enhancement project shows that increasing effective collecting area is a measured, expensive, multi-year undertaking rather than a margin that can be flexed within a scheduling cycle</w:t>
      </w:r>
      <w:r>
        <w:t xml:space="preserve"> </w:t>
      </w:r>
      <w:hyperlink w:anchor="ref-10">
        <w:r>
          <w:rPr>
            <w:rStyle w:val="Hyperlink"/>
          </w:rPr>
          <w:t xml:space="preserve">[10]</w:t>
        </w:r>
      </w:hyperlink>
      <w:r>
        <w:t xml:space="preserve">. This source is important to the dissertation’s identification strategy because it substantiates the supply-side fixity assumption: the count and aperture class of usable stations is fixed within any scheduling horizon, so the server pool does not respond to any single mission’s request. The supply literature, in short, establishes both the scarcity and its inelasticity, but it treats contention as an engineering constraint to be designed around rather than as an allocation outcome to be measured. The distinction matters, and it is the one this dissertation draws.</w:t>
      </w:r>
    </w:p>
    <w:p>
      <w:pPr>
        <w:pStyle w:val="BodyText"/>
        <w:spacing w:line="480" w:lineRule="auto"/>
        <w:ind w:firstLine="720"/>
      </w:pPr>
      <w:r>
        <w:t xml:space="preserve">A parallel strand within the supply literature looks beyond the legacy ground network toward alternative architectures, and in doing so reveals the same demand pressure from a different angle. Work on autonomous, geographically distributed ground networks that scale is motivated explicitly by the strain that simultaneous demand places on legacy networks, proposing autonomy and distribution as the response to a server pool that cannot grow fast enough</w:t>
      </w:r>
      <w:r>
        <w:t xml:space="preserve"> </w:t>
      </w:r>
      <w:hyperlink w:anchor="ref-1">
        <w:r>
          <w:rPr>
            <w:rStyle w:val="Hyperlink"/>
          </w:rPr>
          <w:t xml:space="preserve">[1]</w:t>
        </w:r>
      </w:hyperlink>
      <w:r>
        <w:t xml:space="preserve">. The appetite for low-latency, high-volume optical relay reflects the same manifest, in which several missions want the same scarce contact windows at once and the just-in-time delivery of data becomes a competitive scarcity rather than a routine service</w:t>
      </w:r>
      <w:r>
        <w:t xml:space="preserve"> </w:t>
      </w:r>
      <w:hyperlink w:anchor="ref-2">
        <w:r>
          <w:rPr>
            <w:rStyle w:val="Hyperlink"/>
          </w:rPr>
          <w:t xml:space="preserve">[2]</w:t>
        </w:r>
      </w:hyperlink>
      <w:r>
        <w:t xml:space="preserve">. Relay-topology assessments for the Earth-Mars link extend this further, evaluating network configurations that would offload some contact demand from the direct-to-Earth path onto orbiting relays</w:t>
      </w:r>
      <w:r>
        <w:t xml:space="preserve"> </w:t>
      </w:r>
      <w:hyperlink w:anchor="ref-11">
        <w:r>
          <w:rPr>
            <w:rStyle w:val="Hyperlink"/>
          </w:rPr>
          <w:t xml:space="preserve">[11]</w:t>
        </w:r>
      </w:hyperlink>
      <w:r>
        <w:t xml:space="preserve">. Comparative studies of space- and ground-based support coverage round out the picture by quantifying the tradeoffs between architectures for analogous sensing tasks</w:t>
      </w:r>
      <w:r>
        <w:t xml:space="preserve"> </w:t>
      </w:r>
      <w:hyperlink w:anchor="ref-6">
        <w:r>
          <w:rPr>
            <w:rStyle w:val="Hyperlink"/>
          </w:rPr>
          <w:t xml:space="preserve">[6]</w:t>
        </w:r>
      </w:hyperlink>
      <w:r>
        <w:t xml:space="preserve">. Across this architectural strand runs a single common move: it accepts the demand as given and asks how to expand or reconfigure the supply to meet it. None of these works asks whether the contention they are responding to is volumetric or structural, which is to say whether expanding the supply would relieve it or merely relocate it. That is the question a contention model, rather than an architecture study, is built to answer.</w:t>
      </w:r>
    </w:p>
    <w:bookmarkEnd w:id="68"/>
    <w:bookmarkStart w:id="69" w:name="X885bd58ddd07acc17df4f3bab5944aac037f260"/>
    <w:p>
      <w:pPr>
        <w:pStyle w:val="Heading2"/>
        <w:spacing w:line="480" w:lineRule="auto"/>
      </w:pPr>
      <w:r>
        <w:t xml:space="preserve">2.3 The Demand and Scheduling Side: Prioritization, Optimization, and Learning</w:t>
      </w:r>
    </w:p>
    <w:p>
      <w:pPr>
        <w:pStyle w:val="FirstParagraph"/>
        <w:spacing w:line="480" w:lineRule="auto"/>
      </w:pPr>
      <w:r>
        <w:t xml:space="preserve">If the supply literature describes the apertures, the demand-and-scheduling literature describes what happens when more requests arrive than the apertures can serve. The most directly relevant source here is the analysis of traffic prioritization on mission traffic, which studies how the network’s prioritization rules shape which missions’ traffic is carried and which is delayed when the schedule is contended</w:t>
      </w:r>
      <w:r>
        <w:t xml:space="preserve"> </w:t>
      </w:r>
      <w:hyperlink w:anchor="ref-14">
        <w:r>
          <w:rPr>
            <w:rStyle w:val="Hyperlink"/>
          </w:rPr>
          <w:t xml:space="preserve">[14]</w:t>
        </w:r>
      </w:hyperlink>
      <w:r>
        <w:t xml:space="preserve">. This work is the closest the technical literature comes to the dissertation’s core concern, because it recognizes that the allocation rule, and not only the aggregate capacity, determines outcomes. Its frame, however, is engineering performance rather than distributional economics. It asks how prioritization affects throughput and latency for the carried traffic, not whether deferral itself is governed by mean load or by the temporal concentration of high-priority requests. The prioritization literature thus supplies an essential ingredient, the recognition that an allocation rule exists and has consequences, without supplying the discriminating test the dissertation constructs around it.</w:t>
      </w:r>
    </w:p>
    <w:p>
      <w:pPr>
        <w:pStyle w:val="BodyText"/>
        <w:spacing w:line="480" w:lineRule="auto"/>
        <w:ind w:firstLine="720"/>
      </w:pPr>
      <w:r>
        <w:t xml:space="preserve">The scheduling literature proper has lately been dominated by optimization and machine-learning approaches. The application of deep reinforcement learning to scheduling the network frames the allocation problem as a sequential decision task and learns a policy that improves a scheduling objective over heuristic baselines</w:t>
      </w:r>
      <w:r>
        <w:t xml:space="preserve"> </w:t>
      </w:r>
      <w:hyperlink w:anchor="ref-15">
        <w:r>
          <w:rPr>
            <w:rStyle w:val="Hyperlink"/>
          </w:rPr>
          <w:t xml:space="preserve">[15]</w:t>
        </w:r>
      </w:hyperlink>
      <w:r>
        <w:t xml:space="preserve">. This is a sophisticated and valuable body of work, but its purpose is orthogonal to the dissertation’s. The aims diverge. A reinforcement-learning scheduler seeks to produce a better schedule; it is a prescriptive, optimization-oriented enterprise. The dissertation, by contrast, is descriptive and causal: it takes the realized schedule as data and asks what governs the deferral pattern observed within it. The two are complementary rather than competing. A scheduler that does not understand whether contention is load-driven or concentration-driven cannot know whether its learned policy is relieving a structural bottleneck or merely reshuffling a volumetric one, and the dissertation supplies exactly that diagnostic. The same complementarity holds for the broader optimization-and-scheduling literature in adjacent domains. Genetic-algorithm-driven scheduling for radar-based satellite tracking attacks a structurally similar contention problem, allocating a scarce sensor across competing tracking requests, with metaheuristic search</w:t>
      </w:r>
      <w:r>
        <w:t xml:space="preserve"> </w:t>
      </w:r>
      <w:hyperlink w:anchor="ref-21">
        <w:r>
          <w:rPr>
            <w:rStyle w:val="Hyperlink"/>
          </w:rPr>
          <w:t xml:space="preserve">[21]</w:t>
        </w:r>
      </w:hyperlink>
      <w:r>
        <w:t xml:space="preserve">. Parallel discrete-event simulation of the space surveillance network models the temporal dynamics of a contended sensor pool at scale</w:t>
      </w:r>
      <w:r>
        <w:t xml:space="preserve"> </w:t>
      </w:r>
      <w:hyperlink w:anchor="ref-20">
        <w:r>
          <w:rPr>
            <w:rStyle w:val="Hyperlink"/>
          </w:rPr>
          <w:t xml:space="preserve">[20]</w:t>
        </w:r>
      </w:hyperlink>
      <w:r>
        <w:t xml:space="preserve">. These works share with the dissertation the recognition that a shared sensing or tracking resource is contended, but they pursue allocation efficiency rather than the causal anatomy of who is deferred and why.</w:t>
      </w:r>
    </w:p>
    <w:p>
      <w:pPr>
        <w:pStyle w:val="BodyText"/>
        <w:spacing w:line="480" w:lineRule="auto"/>
        <w:ind w:firstLine="720"/>
      </w:pPr>
      <w:r>
        <w:t xml:space="preserve">A further cluster of the technical literature concerns the data fabric and validation layers that sit atop the contact channel. Work on enabling modular and scalable data transforms via a data fabric addresses the downstream movement and transformation of the data the network returns</w:t>
      </w:r>
      <w:r>
        <w:t xml:space="preserve"> </w:t>
      </w:r>
      <w:hyperlink w:anchor="ref-17">
        <w:r>
          <w:rPr>
            <w:rStyle w:val="Hyperlink"/>
          </w:rPr>
          <w:t xml:space="preserve">[17]</w:t>
        </w:r>
      </w:hyperlink>
      <w:r>
        <w:t xml:space="preserve">, and on-chain validation of tracking data messages using distributed learning on a proof-of-stake blockchain addresses the integrity of the tracking products themselves</w:t>
      </w:r>
      <w:r>
        <w:t xml:space="preserve"> </w:t>
      </w:r>
      <w:hyperlink w:anchor="ref-16">
        <w:r>
          <w:rPr>
            <w:rStyle w:val="Hyperlink"/>
          </w:rPr>
          <w:t xml:space="preserve">[16]</w:t>
        </w:r>
      </w:hyperlink>
      <w:r>
        <w:t xml:space="preserve">. System-of-systems framings of next-generation space surveillance describe the architectural integration of many sensing and tracking assets into a coherent whole</w:t>
      </w:r>
      <w:r>
        <w:t xml:space="preserve"> </w:t>
      </w:r>
      <w:hyperlink w:anchor="ref-18">
        <w:r>
          <w:rPr>
            <w:rStyle w:val="Hyperlink"/>
          </w:rPr>
          <w:t xml:space="preserve">[18]</w:t>
        </w:r>
      </w:hyperlink>
      <w:r>
        <w:t xml:space="preserve">. These sources are adjacent to the dissertation rather than central to it; they treat the data and integration layers rather than the contention for contact time. They are reviewed here to bound the technical literature accurately and to make clear that the network’s scholarship has been concentrated on capability, integration, and optimization, with the allocation question, the question of how a fixed server pool distributes deferral across rivalrous users, left to administrative oversight rather than analytic treatment.</w:t>
      </w:r>
    </w:p>
    <w:p>
      <w:pPr>
        <w:pStyle w:val="BodyText"/>
        <w:spacing w:line="480" w:lineRule="auto"/>
        <w:ind w:firstLine="720"/>
      </w:pPr>
      <w:r>
        <w:t xml:space="preserve">It is worth marking explicitly what the demand-and-scheduling literature establishes and what it omits. It establishes that the network has a prioritization rule</w:t>
      </w:r>
      <w:r>
        <w:t xml:space="preserve"> </w:t>
      </w:r>
      <w:hyperlink w:anchor="ref-14">
        <w:r>
          <w:rPr>
            <w:rStyle w:val="Hyperlink"/>
          </w:rPr>
          <w:t xml:space="preserve">[14]</w:t>
        </w:r>
      </w:hyperlink>
      <w:r>
        <w:t xml:space="preserve">, that the rule can be improved by learning and optimization</w:t>
      </w:r>
      <w:r>
        <w:t xml:space="preserve"> </w:t>
      </w:r>
      <w:hyperlink w:anchor="ref-15">
        <w:r>
          <w:rPr>
            <w:rStyle w:val="Hyperlink"/>
          </w:rPr>
          <w:t xml:space="preserve">[15]</w:t>
        </w:r>
      </w:hyperlink>
      <w:r>
        <w:t xml:space="preserve">, and that analogous contended-resource problems in the surveillance and tracking domain admit similar methods [20, 21]. It omits any treatment of deferral as an outcome to be explained by the structure of demand. No source in this literature asks whether, holding mean utilization fixed, windows in which high-priority requests cluster exhibit higher deferral than windows in which equal total demand is spread out. That is a question about the distributional behavior of a congested common, and answering it requires the second literature.</w:t>
      </w:r>
    </w:p>
    <w:bookmarkEnd w:id="69"/>
    <w:bookmarkStart w:id="70" w:name="Xeed7dcc6c935653bc37d42604d5a3d69a878f95"/>
    <w:p>
      <w:pPr>
        <w:pStyle w:val="Heading2"/>
        <w:spacing w:line="480" w:lineRule="auto"/>
      </w:pPr>
      <w:r>
        <w:t xml:space="preserve">2.4 The Economic Literature: From Common-Pool Resources to Orbital Carrying Capacity</w:t>
      </w:r>
    </w:p>
    <w:p>
      <w:pPr>
        <w:pStyle w:val="FirstParagraph"/>
        <w:spacing w:line="480" w:lineRule="auto"/>
      </w:pPr>
      <w:r>
        <w:t xml:space="preserve">The second literature the dissertation joins is the econometric and cliometric treatment of shared-resource congestion in space. Its conceptual root is the common-pool-resource tradition, which the field imported into space sustainability through the framework of Weeden and Chow</w:t>
      </w:r>
      <w:r>
        <w:t xml:space="preserve"> </w:t>
      </w:r>
      <w:hyperlink w:anchor="ref-12">
        <w:r>
          <w:rPr>
            <w:rStyle w:val="Hyperlink"/>
          </w:rPr>
          <w:t xml:space="preserve">[12]</w:t>
        </w:r>
      </w:hyperlink>
      <w:r>
        <w:t xml:space="preserve">. That work takes the institutional analysis of common-pool resources, the body of theory concerned with rivalrous, non-excludable goods governed by collective rules rather than by price or by private ownership, and applies it to the orbital environment, proposing a framework and a set of potential policies for governing space as a commons</w:t>
      </w:r>
      <w:r>
        <w:t xml:space="preserve"> </w:t>
      </w:r>
      <w:hyperlink w:anchor="ref-12">
        <w:r>
          <w:rPr>
            <w:rStyle w:val="Hyperlink"/>
          </w:rPr>
          <w:t xml:space="preserve">[12]</w:t>
        </w:r>
      </w:hyperlink>
      <w:r>
        <w:t xml:space="preserve">. The contribution is foundational for the dissertation because it establishes the legitimacy of treating a rivalrous space resource as a common-pool good with its own governance problem, rather than as an engineering capacity to be expanded. Weeden and Chow’s resource is the orbital volume, but their analytical move, recognizing rivalry in use and the absence of an allocation institution as the defining features, transfers directly to the ground-contact channel, which exhibits both. A DSN antenna pointed at one spacecraft cannot simultaneously serve another, and the network charges no congestion price for the draw, which is precisely the configuration the common-pool-resource framework describes.</w:t>
      </w:r>
    </w:p>
    <w:p>
      <w:pPr>
        <w:pStyle w:val="BodyText"/>
        <w:spacing w:line="480" w:lineRule="auto"/>
        <w:ind w:firstLine="720"/>
      </w:pPr>
      <w:r>
        <w:t xml:space="preserve">The economic framing of space as already a congested arena comes from Weinzierl’s account of space as the final economic frontier, which characterizes the domain as congested, contested, and competitive and lays out the economic logic by which private capacity, in the absence of a governing institution, sets each user’s withdrawal from a shared resource</w:t>
      </w:r>
      <w:r>
        <w:t xml:space="preserve"> </w:t>
      </w:r>
      <w:hyperlink w:anchor="ref-13">
        <w:r>
          <w:rPr>
            <w:rStyle w:val="Hyperlink"/>
          </w:rPr>
          <w:t xml:space="preserve">[13]</w:t>
        </w:r>
      </w:hyperlink>
      <w:r>
        <w:t xml:space="preserve">. This source supplies the dissertation’s economic reading of its own empirical results: a common whose draw is fixed by engineering and unmediated by an allocation price is exactly the configuration in which demand outruns supply. Weinzierl’s frame is broad and largely qualitative, an economist’s argument about the trajectory of the space economy rather than a measurement of any specific resource. Its value to the dissertation is that it authorizes the translation of an engineering scarcity into an economic externality problem, the step that turns over-subscription from a capacity shortfall into a distributional question about who bears the cost of congestion.</w:t>
      </w:r>
    </w:p>
    <w:p>
      <w:pPr>
        <w:pStyle w:val="BodyText"/>
        <w:spacing w:line="480" w:lineRule="auto"/>
        <w:ind w:firstLine="720"/>
      </w:pPr>
      <w:r>
        <w:t xml:space="preserve">The formalization of the congestion logic as a measurable quantity is the work of the orbital-carrying-capacity literature. The development of orbital carrying capacity as a safety-bounded metric and a policy construct treats the physical shells of near-Earth space as a common into which additional users impose externalities, and it builds the apparatus for quantifying how much rivalrous activity a given volume can sustain</w:t>
      </w:r>
      <w:r>
        <w:t xml:space="preserve"> </w:t>
      </w:r>
      <w:hyperlink w:anchor="ref-4">
        <w:r>
          <w:rPr>
            <w:rStyle w:val="Hyperlink"/>
          </w:rPr>
          <w:t xml:space="preserve">[4]</w:t>
        </w:r>
      </w:hyperlink>
      <w:r>
        <w:t xml:space="preserve">. The extension of that work into orbital classification and carrying capacity refines the construct across orbital regimes</w:t>
      </w:r>
      <w:r>
        <w:t xml:space="preserve"> </w:t>
      </w:r>
      <w:hyperlink w:anchor="ref-5">
        <w:r>
          <w:rPr>
            <w:rStyle w:val="Hyperlink"/>
          </w:rPr>
          <w:t xml:space="preserve">[5]</w:t>
        </w:r>
      </w:hyperlink>
      <w:r>
        <w:t xml:space="preserve">. The interaction of capacity management with traffic management situates carrying capacity within the operational problem of routing and deconflicting traffic in a shared volume, drawing the connection between a static capacity bound and the dynamic allocation problem of who uses the volume when</w:t>
      </w:r>
      <w:r>
        <w:t xml:space="preserve"> </w:t>
      </w:r>
      <w:hyperlink w:anchor="ref-26">
        <w:r>
          <w:rPr>
            <w:rStyle w:val="Hyperlink"/>
          </w:rPr>
          <w:t xml:space="preserve">[26]</w:t>
        </w:r>
      </w:hyperlink>
      <w:r>
        <w:t xml:space="preserve">. This trilogy of sources is the methodological heart of the literature the dissertation imports. It supplies the central idea that a rivalrous space resource has a measurable carrying capacity, that exceeding it imposes externalities, and that the distribution of those externalities across users is a policy-relevant quantity. Critically for the dissertation, however, every one of these works anchors the construct to the orbital volume. The carrying capacity that has been formalized is the capacity of a shell to hold objects safely, not the capacity of a ground-aperture pool to serve contacts. The framework is built and validated on the wrong resource for the dissertation’s purpose, which is to say the right framework on a different common.</w:t>
      </w:r>
    </w:p>
    <w:p>
      <w:pPr>
        <w:pStyle w:val="BodyText"/>
        <w:spacing w:line="480" w:lineRule="auto"/>
        <w:ind w:firstLine="720"/>
      </w:pPr>
      <w:r>
        <w:t xml:space="preserve">The congestion-pricing strand completes the economic literature. The treatment of taxing congestion of the space commons takes the externality logic to its policy conclusion, modeling how a price or tax on the congesting activity could internalize the cost each user imposes on the others</w:t>
      </w:r>
      <w:r>
        <w:t xml:space="preserve"> </w:t>
      </w:r>
      <w:hyperlink w:anchor="ref-25">
        <w:r>
          <w:rPr>
            <w:rStyle w:val="Hyperlink"/>
          </w:rPr>
          <w:t xml:space="preserve">[25]</w:t>
        </w:r>
      </w:hyperlink>
      <w:r>
        <w:t xml:space="preserve">. This work is the clearest statement in the corpus that a congested space common can be analyzed with the standard tools of externality economics and that the allocation outcome, not merely the aggregate load, is the object of policy. It is also, again, developed for the orbital congestion problem rather than the ground-contact one. Its relevance to the dissertation is twofold. First, it confirms that the discipline of treating space congestion as a priceable externality is established and respectable, so the dissertation’s reading of the network as an unpriced common is on solid ground. Second, it points to the intervention the dissertation’s concentration hypothesis bears on: if deferral is driven by the temporal concentration of demand rather than by mean load, then a uniform capacity increase will not relieve it, and a pricing or prioritization rule that targets concentrated windows is the indicated policy. The congestion-pricing literature supplies the policy vocabulary; the dissertation supplies the empirical test of whether the network’s congestion is of the structural kind that pricing, rather than expansion, would address.</w:t>
      </w:r>
    </w:p>
    <w:bookmarkEnd w:id="70"/>
    <w:bookmarkStart w:id="71" w:name="X451d49b176ecf1b2c5026932cec9a5b1948edda"/>
    <w:p>
      <w:pPr>
        <w:pStyle w:val="Heading2"/>
        <w:spacing w:line="480" w:lineRule="auto"/>
      </w:pPr>
      <w:r>
        <w:t xml:space="preserve">2.5 Methodological Antecedents in Contention and Allocation</w:t>
      </w:r>
    </w:p>
    <w:p>
      <w:pPr>
        <w:pStyle w:val="FirstParagraph"/>
        <w:spacing w:line="480" w:lineRule="auto"/>
      </w:pPr>
      <w:r>
        <w:t xml:space="preserve">Beyond the two principal literatures, a methodological corpus on contention, routing, and allocation in space-infrastructure settings furnishes the estimation strategy the dissertation employs. The congestion-avoidance routing literature for mega-constellation networks is the closest structural analogue, treating a network of many nodes and gateways as a system in which traffic must be routed to avoid congested links, and developing a distributed algorithm that responds to local congestion state</w:t>
      </w:r>
      <w:r>
        <w:t xml:space="preserve"> </w:t>
      </w:r>
      <w:hyperlink w:anchor="ref-23">
        <w:r>
          <w:rPr>
            <w:rStyle w:val="Hyperlink"/>
          </w:rPr>
          <w:t xml:space="preserve">[23]</w:t>
        </w:r>
      </w:hyperlink>
      <w:r>
        <w:t xml:space="preserve">. This work shares the dissertation’s fundamental object, a contended communication resource whose allocation outcome depends on the distribution of demand across the network rather than on aggregate load alone. Its method is algorithmic and prescriptive rather than econometric and descriptive, but its problem structure, demand concentrating on particular links and producing congestion that uniform capacity would not relieve, is precisely the structure the dissertation’s concentration hypothesis posits for the ground-contact channel. The mega-constellation routing literature thus provides external validation that the load-versus-concentration distinction is a real and consequential one in space communication systems, even though it has not been applied to ground-contact allocation.</w:t>
      </w:r>
    </w:p>
    <w:p>
      <w:pPr>
        <w:pStyle w:val="BodyText"/>
        <w:spacing w:line="480" w:lineRule="auto"/>
        <w:ind w:firstLine="720"/>
      </w:pPr>
      <w:r>
        <w:t xml:space="preserve">Strategic and game-theoretic treatments of contended sensing supply a second methodological antecedent. The framing of sensor management as a prisoner’s dilemma, addressed with deep reinforcement learning, models the situation in which multiple users of a shared sensing resource face individually rational choices that collectively produce a poor outcome</w:t>
      </w:r>
      <w:r>
        <w:t xml:space="preserve"> </w:t>
      </w:r>
      <w:hyperlink w:anchor="ref-22">
        <w:r>
          <w:rPr>
            <w:rStyle w:val="Hyperlink"/>
          </w:rPr>
          <w:t xml:space="preserve">[22]</w:t>
        </w:r>
      </w:hyperlink>
      <w:r>
        <w:t xml:space="preserve">. This is the strategic core of a common-pool-resource problem, the divergence between private incentive and collective welfare, rendered for a tracking-sensor setting. It matters to the dissertation because it confirms that the contention for a shared space-sensing resource has been recognized as a commons-style strategic problem in the adjacent literature, reinforcing the legitimacy of the dissertation’s framing even as it pursues a different, observational method. Where the prisoner’s-dilemma treatment models strategic behavior under contention, the dissertation deliberately exploits a setting in which strategic behavior is muted: view periods are set by planetary geometry determined years in advance and independently of the network’s contention state, which is what permits the concentration index to be treated as conditionally exogenous.</w:t>
      </w:r>
    </w:p>
    <w:p>
      <w:pPr>
        <w:pStyle w:val="BodyText"/>
        <w:spacing w:line="480" w:lineRule="auto"/>
        <w:ind w:firstLine="720"/>
      </w:pPr>
      <w:r>
        <w:t xml:space="preserve">A further set of sources establishes the methodological respectability of applying machine learning and statistical estimation to space-operations data, which bears on the dissertation’s choice of a transparent regression-based identification strategy over a black-box alternative. Light-curve classification of space objects via deep convolutional networks and model-based transfer learning demonstrates the application of learned models to characterization tasks</w:t>
      </w:r>
      <w:r>
        <w:t xml:space="preserve"> </w:t>
      </w:r>
      <w:hyperlink w:anchor="ref-19">
        <w:r>
          <w:rPr>
            <w:rStyle w:val="Hyperlink"/>
          </w:rPr>
          <w:t xml:space="preserve">[19]</w:t>
        </w:r>
      </w:hyperlink>
      <w:r>
        <w:t xml:space="preserve">. Forecasting of solar radio flux with deep learning shows the same for the prediction of the space-weather drivers that perturb operations</w:t>
      </w:r>
      <w:r>
        <w:t xml:space="preserve"> </w:t>
      </w:r>
      <w:hyperlink w:anchor="ref-29">
        <w:r>
          <w:rPr>
            <w:rStyle w:val="Hyperlink"/>
          </w:rPr>
          <w:t xml:space="preserve">[29]</w:t>
        </w:r>
      </w:hyperlink>
      <w:r>
        <w:t xml:space="preserve">. Crater-detection work for cislunar optical navigation applies object-detection methods to a navigation task and pairs the application with a careful parametric analysis of measurement error</w:t>
      </w:r>
      <w:r>
        <w:t xml:space="preserve"> </w:t>
      </w:r>
      <w:hyperlink w:anchor="ref-28">
        <w:r>
          <w:rPr>
            <w:rStyle w:val="Hyperlink"/>
          </w:rPr>
          <w:t xml:space="preserve">[28]</w:t>
        </w:r>
      </w:hyperlink>
      <w:r>
        <w:t xml:space="preserve">. The dynamic scaling of fragment populations in orbital breakup modeling illustrates statistical modeling of a population whose behavior is governed by physical scaling laws</w:t>
      </w:r>
      <w:r>
        <w:t xml:space="preserve"> </w:t>
      </w:r>
      <w:hyperlink w:anchor="ref-30">
        <w:r>
          <w:rPr>
            <w:rStyle w:val="Hyperlink"/>
          </w:rPr>
          <w:t xml:space="preserve">[30]</w:t>
        </w:r>
      </w:hyperlink>
      <w:r>
        <w:t xml:space="preserve">. These works are not central to the dissertation’s argument, but they bound the methodological landscape and make a relevant point by contrast. The space-operations literature has largely reached for predictive and learned models; the dissertation reaches instead for an interpretable estimator whose coefficients can be read against the physics and the economics, because its goal is to explain the deferral pattern, not merely to predict it. The choice of a binary-outcome regression with a constructed concentration index, mean-utilization controls, and station and epoch fixed effects, with a discrete-time hazard specification as a robustness check, is the cliometric counterpart to these predictive methods: it trades predictive power for causal interpretability, which is what a discriminating test between two hypotheses requires.</w:t>
      </w:r>
    </w:p>
    <w:p>
      <w:pPr>
        <w:pStyle w:val="BodyText"/>
        <w:spacing w:line="480" w:lineRule="auto"/>
        <w:ind w:firstLine="720"/>
      </w:pPr>
      <w:r>
        <w:t xml:space="preserve">It is also worth situating the dissertation’s own prior empirical chapters within this methodological corpus, because they establish the demand-side primitives the contention model takes as inputs. The first empirical paper estimates per-mission weekly tracking load as a function of documented mission characteristics and finds distance to be the dominant, theoretically grounded driver, with each log-unit of distance associated with roughly ten additional weekly antenna hours</w:t>
      </w:r>
      <w:r>
        <w:t xml:space="preserve"> </w:t>
      </w:r>
      <w:hyperlink w:anchor="ref-7">
        <w:r>
          <w:rPr>
            <w:rStyle w:val="Hyperlink"/>
          </w:rPr>
          <w:t xml:space="preserve">[7]</w:t>
        </w:r>
      </w:hyperlink>
      <w:r>
        <w:t xml:space="preserve">. The second estimates the per-mission downlink-throughput extraction surface as a Cobb-Douglas link budget and finds that transmitter power and Earth range, both properties the spacecraft brings with it, govern the draw, with no role for any congestion price because none is charged [9, 12, 13]. Together these establish that arrivals to the common are not exchangeable, that their service demand scales with distance and radiated power, and that the draw is unmediated by an allocation signal. These are exactly the conditions under which the concentration hypothesis becomes non-trivial: if heavy users are concentrated in particular geometric windows, and if their draw is set by engineering rather than by a price that would smooth it, then the temporal clustering of demand can produce deferral over and above what mean load predicts. The dissertation’s empirical chapters thus build the demand-side foundation on which the contention model of this chapter’s gap-statement stands.</w:t>
      </w:r>
    </w:p>
    <w:bookmarkEnd w:id="71"/>
    <w:bookmarkStart w:id="72" w:name="synthesis-and-the-unfilled-join"/>
    <w:p>
      <w:pPr>
        <w:pStyle w:val="Heading2"/>
        <w:spacing w:line="480" w:lineRule="auto"/>
      </w:pPr>
      <w:r>
        <w:t xml:space="preserve">2.6 Synthesis and the Unfilled Join</w:t>
      </w:r>
    </w:p>
    <w:p>
      <w:pPr>
        <w:pStyle w:val="FirstParagraph"/>
        <w:spacing w:line="480" w:lineRule="auto"/>
      </w:pPr>
      <w:r>
        <w:t xml:space="preserve">Set the two literatures side by side. Drawing them together makes the gap precise. The technical and operational literature on the network establishes that the resource is a fixed, capital-intensive, inelastic aperture pool [7, 9, 10]; that its demand has grown while its supply has not [7, 8]; that the resulting over-subscription is documented and quantified</w:t>
      </w:r>
      <w:r>
        <w:t xml:space="preserve"> </w:t>
      </w:r>
      <w:hyperlink w:anchor="ref-8">
        <w:r>
          <w:rPr>
            <w:rStyle w:val="Hyperlink"/>
          </w:rPr>
          <w:t xml:space="preserve">[8]</w:t>
        </w:r>
      </w:hyperlink>
      <w:r>
        <w:t xml:space="preserve">; that the over-subscription is associated operationally with the clumping of spacecraft in narrow windows</w:t>
      </w:r>
      <w:r>
        <w:t xml:space="preserve"> </w:t>
      </w:r>
      <w:hyperlink w:anchor="ref-7">
        <w:r>
          <w:rPr>
            <w:rStyle w:val="Hyperlink"/>
          </w:rPr>
          <w:t xml:space="preserve">[7]</w:t>
        </w:r>
      </w:hyperlink>
      <w:r>
        <w:t xml:space="preserve">; and that an allocation rule, prioritization, exists and shapes outcomes</w:t>
      </w:r>
      <w:r>
        <w:t xml:space="preserve"> </w:t>
      </w:r>
      <w:hyperlink w:anchor="ref-14">
        <w:r>
          <w:rPr>
            <w:rStyle w:val="Hyperlink"/>
          </w:rPr>
          <w:t xml:space="preserve">[14]</w:t>
        </w:r>
      </w:hyperlink>
      <w:r>
        <w:t xml:space="preserve">. It also shows that the community’s analytic energy has gone into expanding or reconfiguring the supply [1, 2, 6, 11] and into optimizing the schedule by learning and search [15, 20, 21]. What this literature does not do is treat deferral as an outcome to be explained by the structure of demand. It has the network, the scarcity, and even the operational intuition that concentration matters, but it has no model that tests whether deferral is governed by mean load or by concentration.</w:t>
      </w:r>
    </w:p>
    <w:p>
      <w:pPr>
        <w:pStyle w:val="BodyText"/>
        <w:spacing w:line="480" w:lineRule="auto"/>
        <w:ind w:firstLine="720"/>
      </w:pPr>
      <w:r>
        <w:t xml:space="preserve">Now turn to the other side. The economic literature supplies exactly the missing apparatus, but on a different resource. The common-pool-resource framework establishes that a rivalrous, unpriced space resource is a commons with a governance problem [12, 13]. The carrying-capacity literature formalizes the externality logic into a measurable bound and connects it to the dynamic allocation problem [4, 5, 26]. The congestion-pricing literature carries the logic to its policy conclusion, showing that the allocation outcome, not merely the aggregate load, is the object of intervention and that a price targeting the congesting activity can internalize the externality</w:t>
      </w:r>
      <w:r>
        <w:t xml:space="preserve"> </w:t>
      </w:r>
      <w:hyperlink w:anchor="ref-25">
        <w:r>
          <w:rPr>
            <w:rStyle w:val="Hyperlink"/>
          </w:rPr>
          <w:t xml:space="preserve">[25]</w:t>
        </w:r>
      </w:hyperlink>
      <w:r>
        <w:t xml:space="preserve">. This literature has the allocation theory, the externality vocabulary, the carrying-capacity construct, and the policy apparatus. What it does not have is the ground-contact channel. Every formalization anchors to the orbital volume, the physical shells of near-Earth space, rather than to the shared apertures through which every deep-space mission must pass. The framework is built on the orbital common and has never been brought to the ground-contact common.</w:t>
      </w:r>
    </w:p>
    <w:p>
      <w:pPr>
        <w:pStyle w:val="BodyText"/>
        <w:spacing w:line="480" w:lineRule="auto"/>
        <w:ind w:firstLine="720"/>
      </w:pPr>
      <w:r>
        <w:t xml:space="preserve">The gap is therefore not a gap in either literature taken alone but a gap between them, a join that has not been made. The engineering literature has the network without the allocation theory; the economics literature has the allocation theory without the network. The methodological antecedents in adjacent settings, mega-constellation routing</w:t>
      </w:r>
      <w:r>
        <w:t xml:space="preserve"> </w:t>
      </w:r>
      <w:hyperlink w:anchor="ref-23">
        <w:r>
          <w:rPr>
            <w:rStyle w:val="Hyperlink"/>
          </w:rPr>
          <w:t xml:space="preserve">[23]</w:t>
        </w:r>
      </w:hyperlink>
      <w:r>
        <w:t xml:space="preserve">, strategic sensor management</w:t>
      </w:r>
      <w:r>
        <w:t xml:space="preserve"> </w:t>
      </w:r>
      <w:hyperlink w:anchor="ref-22">
        <w:r>
          <w:rPr>
            <w:rStyle w:val="Hyperlink"/>
          </w:rPr>
          <w:t xml:space="preserve">[22]</w:t>
        </w:r>
      </w:hyperlink>
      <w:r>
        <w:t xml:space="preserve">, and the broader statistical-modeling corpus [19, 28, 29, 30], confirm that the load-versus-concentration distinction is real and consequential in space communication and sensing systems and that interpretable estimation of contention is feasible, but none of them addresses tracking-pass allocation, and none distinguishes load-driven from concentration-driven deferral on the network. No retrieved source provides a queueing-and-contention model of tracking-pass allocation that imports the carrying-capacity framing of a rivalrous common into the measurable, scheduled, geometry-driven world of deep-space ground contacts and that tests a single falsifiable claim about what governs who gets deferred.</w:t>
      </w:r>
    </w:p>
    <w:p>
      <w:pPr>
        <w:pStyle w:val="BodyText"/>
        <w:spacing w:line="480" w:lineRule="auto"/>
        <w:ind w:firstLine="720"/>
      </w:pPr>
      <w:r>
        <w:t xml:space="preserve">This is the unfilled join the dissertation occupies. The contribution is to carry the cliometric apparatus of the congested-common literature, the recognition that a rivalrous space resource has measurable carrying capacity and distributional consequences [4, 5, 12, 13, 25, 26], onto the ground-contact channel that the technical literature has described but never modeled as an allocation problem [7, 8, 14]. The vehicle is a discriminating test between a load-only account, under which deferral probability is a smooth function of network utilization and expansion alone relieves contention, and a concentration account, under which deferral is driven disproportionately by the temporal clustering of high-priority requests independent of mean load and expansion alone leaves it substantially intact. The test exploits a supply-side fixity that the aperture-enhancement literature substantiates</w:t>
      </w:r>
      <w:r>
        <w:t xml:space="preserve"> </w:t>
      </w:r>
      <w:hyperlink w:anchor="ref-10">
        <w:r>
          <w:rPr>
            <w:rStyle w:val="Hyperlink"/>
          </w:rPr>
          <w:t xml:space="preserve">[10]</w:t>
        </w:r>
      </w:hyperlink>
      <w:r>
        <w:t xml:space="preserve"> </w:t>
      </w:r>
      <w:r>
        <w:t xml:space="preserve">and a demand-side exogeneity that the link-budget and view-period structure provides</w:t>
      </w:r>
      <w:r>
        <w:t xml:space="preserve"> </w:t>
      </w:r>
      <w:hyperlink w:anchor="ref-9">
        <w:r>
          <w:rPr>
            <w:rStyle w:val="Hyperlink"/>
          </w:rPr>
          <w:t xml:space="preserve">[9]</w:t>
        </w:r>
      </w:hyperlink>
      <w:r>
        <w:t xml:space="preserve">, so that the concentration of demand in a given window arises from the coincidence of independently scheduled missions’ geometry rather than from strategic behavior responding to expected contention, a feature the strategic-contention literature highlights by contrast</w:t>
      </w:r>
      <w:r>
        <w:t xml:space="preserve"> </w:t>
      </w:r>
      <w:hyperlink w:anchor="ref-22">
        <w:r>
          <w:rPr>
            <w:rStyle w:val="Hyperlink"/>
          </w:rPr>
          <w:t xml:space="preserve">[22]</w:t>
        </w:r>
      </w:hyperlink>
      <w:r>
        <w:t xml:space="preserve">. The two hypotheses make opposite, observable predictions about deferral in equal-load windows, which renders the contribution falsifiable on the available record. By joining the technical literature’s network to the economic literature’s allocation theory, the dissertation answers the policy-relevant question that neither literature has been able to pose: whether the right response to the network’s over-subscription is more antennas or a different allocation rule.</w:t>
      </w:r>
    </w:p>
    <w:p>
      <w:pPr>
        <w:pStyle w:val="BodyText"/>
        <w:spacing w:line="480" w:lineRule="auto"/>
        <w:ind w:firstLine="720"/>
      </w:pPr>
      <w:r>
        <w:t xml:space="preserve">The remainder of the dissertation proceeds from this join. The demand-side primitives established in the prior empirical chapters, that arrivals scale with distance</w:t>
      </w:r>
      <w:r>
        <w:t xml:space="preserve"> </w:t>
      </w:r>
      <w:hyperlink w:anchor="ref-7">
        <w:r>
          <w:rPr>
            <w:rStyle w:val="Hyperlink"/>
          </w:rPr>
          <w:t xml:space="preserve">[7]</w:t>
        </w:r>
      </w:hyperlink>
      <w:r>
        <w:t xml:space="preserve"> </w:t>
      </w:r>
      <w:r>
        <w:t xml:space="preserve">and that per-mission extraction is governed by radiated power and range with no congestion price [9, 12, 13], furnish the service-requirement inputs to the contention model. The carrying-capacity and congestion-pricing constructs reviewed here [4, 5, 25, 26] supply the economic interpretation of the discriminating result. And the published schedule and view-period record, fixed on the supply side by station count and aperture</w:t>
      </w:r>
      <w:r>
        <w:t xml:space="preserve"> </w:t>
      </w:r>
      <w:hyperlink w:anchor="ref-10">
        <w:r>
          <w:rPr>
            <w:rStyle w:val="Hyperlink"/>
          </w:rPr>
          <w:t xml:space="preserve">[10]</w:t>
        </w:r>
      </w:hyperlink>
      <w:r>
        <w:t xml:space="preserve"> </w:t>
      </w:r>
      <w:r>
        <w:t xml:space="preserve">and driven on the demand side by independently determined planetary geometry</w:t>
      </w:r>
      <w:r>
        <w:t xml:space="preserve"> </w:t>
      </w:r>
      <w:hyperlink w:anchor="ref-9">
        <w:r>
          <w:rPr>
            <w:rStyle w:val="Hyperlink"/>
          </w:rPr>
          <w:t xml:space="preserve">[9]</w:t>
        </w:r>
      </w:hyperlink>
      <w:r>
        <w:t xml:space="preserve">, supplies the identification. The literature reviewed in this chapter is thus not merely background but structure: each strand contributes a load-bearing element, and the contribution of the dissertation is to assemble those elements into the single frame that neither literature has built, a cliometric model of the Deep Space Network as a congested common in which the distribution of deferral, and not only its aggregate, is the measured object.</w:t>
      </w:r>
    </w:p>
    <w:bookmarkEnd w:id="72"/>
    <w:bookmarkEnd w:id="73"/>
    <w:bookmarkStart w:id="82" w:name="Xcfcc00a3ded59aed0c781c16bfc121f2a509603"/>
    <w:p>
      <w:pPr>
        <w:pStyle w:val="Heading1"/>
        <w:spacing w:line="480" w:lineRule="auto"/>
      </w:pPr>
      <w:r>
        <w:t xml:space="preserve">Chapter 3. Theoretical Framework and Hypotheses</w:t>
      </w:r>
    </w:p>
    <w:bookmarkStart w:id="74" w:name="purpose-and-position-of-the-chapter"/>
    <w:p>
      <w:pPr>
        <w:pStyle w:val="Heading2"/>
        <w:spacing w:line="480" w:lineRule="auto"/>
      </w:pPr>
      <w:r>
        <w:t xml:space="preserve">3.1 Purpose and Position of the Chapter</w:t>
      </w:r>
    </w:p>
    <w:p>
      <w:pPr>
        <w:pStyle w:val="FirstParagraph"/>
        <w:spacing w:line="480" w:lineRule="auto"/>
      </w:pPr>
      <w:r>
        <w:t xml:space="preserve">The two empirical chapters that precede the contention model establish the demand side of the Deep Space Network as a structured, not exchangeable, population of arrivals. The first showed that per-mission weekly tracking load rises with the logarithm of a mission’s distance from Earth, so that the hours a mission will draw from the shared antenna pool are predictable from how far away it operates</w:t>
      </w:r>
      <w:r>
        <w:t xml:space="preserve"> </w:t>
      </w:r>
      <w:hyperlink w:anchor="ref-7">
        <w:r>
          <w:rPr>
            <w:rStyle w:val="Hyperlink"/>
          </w:rPr>
          <w:t xml:space="preserve">[7]</w:t>
        </w:r>
      </w:hyperlink>
      <w:r>
        <w:t xml:space="preserve">. The second showed that the throughput a mission extracts per unit of contact time is governed by its own transmitter power and its range, with the network charging no allocation price for that draw</w:t>
      </w:r>
      <w:r>
        <w:t xml:space="preserve"> </w:t>
      </w:r>
      <w:hyperlink w:anchor="ref-13">
        <w:r>
          <w:rPr>
            <w:rStyle w:val="Hyperlink"/>
          </w:rPr>
          <w:t xml:space="preserve">[13]</w:t>
        </w:r>
      </w:hyperlink>
      <w:r>
        <w:t xml:space="preserve">. Together they describe arrivals whose service requirement is set by spacecraft hardware and orbital geometry rather than by any signal the network returns about scarcity. What remains is to convert that demand-side characterization into a theory of contention: a statement of the mechanism by which independently arriving, geometry-bound requests collide on a fixed server pool, and a falsifiable account of what governs which of those requests is deferred.</w:t>
      </w:r>
    </w:p>
    <w:p>
      <w:pPr>
        <w:pStyle w:val="BodyText"/>
        <w:spacing w:line="480" w:lineRule="auto"/>
        <w:ind w:firstLine="720"/>
      </w:pPr>
      <w:r>
        <w:t xml:space="preserve">This chapter supplies that theory. The mechanism comes first. It builds the congested-common framing into a contention mechanism, derives the causal logic that connects the temporal structure of demand to the probability that a requested contact is deferred, and from that logic states the two competing hypotheses, H0 and H1, that the dissertation’s central test discriminates between. The chapter is deliberately a theory chapter and not a methods chapter; the estimator, the data, and the identification strategy are developed in the chapter that follows. Here the work is to make the mechanism explicit enough that the hypotheses are not merely plausible conjectures but the only two readings the mechanism permits, and to show that they make opposite, observable predictions on the available record.</w:t>
      </w:r>
    </w:p>
    <w:bookmarkEnd w:id="74"/>
    <w:bookmarkStart w:id="75" w:name="Xc17e51278b0035b6e3a2ae2c76479086f57a909"/>
    <w:p>
      <w:pPr>
        <w:pStyle w:val="Heading2"/>
        <w:spacing w:line="480" w:lineRule="auto"/>
      </w:pPr>
      <w:r>
        <w:t xml:space="preserve">3.2 The Congested Common as a Contention System</w:t>
      </w:r>
    </w:p>
    <w:p>
      <w:pPr>
        <w:pStyle w:val="FirstParagraph"/>
        <w:spacing w:line="480" w:lineRule="auto"/>
      </w:pPr>
      <w:r>
        <w:t xml:space="preserve">The institutional literature on common-pool resources defines such a resource by two properties: rivalry in use and the high cost of excluding users</w:t>
      </w:r>
      <w:r>
        <w:t xml:space="preserve"> </w:t>
      </w:r>
      <w:hyperlink w:anchor="ref-12">
        <w:r>
          <w:rPr>
            <w:rStyle w:val="Hyperlink"/>
          </w:rPr>
          <w:t xml:space="preserve">[12]</w:t>
        </w:r>
      </w:hyperlink>
      <w:r>
        <w:t xml:space="preserve">. A unit withdrawn by one user is unavailable to another, and no boundary cheaply keeps non-contributors out. The network fits the definition. The orbital and space-infrastructure literature has imported this frame to the physical shells of near-Earth space, treating orbital volume as a safety-bounded common into which each additional user imposes an externality on every other</w:t>
      </w:r>
      <w:r>
        <w:t xml:space="preserve"> </w:t>
      </w:r>
      <w:hyperlink w:anchor="ref-4">
        <w:r>
          <w:rPr>
            <w:rStyle w:val="Hyperlink"/>
          </w:rPr>
          <w:t xml:space="preserve">[4]</w:t>
        </w:r>
      </w:hyperlink>
      <w:r>
        <w:t xml:space="preserve">[5], and the broader economic framing describes space as already congested, contested, and competitive</w:t>
      </w:r>
      <w:r>
        <w:t xml:space="preserve"> </w:t>
      </w:r>
      <w:hyperlink w:anchor="ref-3">
        <w:r>
          <w:rPr>
            <w:rStyle w:val="Hyperlink"/>
          </w:rPr>
          <w:t xml:space="preserve">[3]</w:t>
        </w:r>
      </w:hyperlink>
      <w:r>
        <w:t xml:space="preserve">[13]. The Deep Space Network exhibits both defining properties exactly. A 34-meter or 70-meter aperture pointed at one spacecraft cannot simultaneously serve another in a different part of the sky, so contact time is rivalrous at the level of the individual antenna-hour. And exclusion is administrative rather than priced: every accredited deep-space mission is entitled to request the network, and the cost a request imposes on competing missions is not internalized by the requester, because no congestion price is levied</w:t>
      </w:r>
      <w:r>
        <w:t xml:space="preserve"> </w:t>
      </w:r>
      <w:hyperlink w:anchor="ref-13">
        <w:r>
          <w:rPr>
            <w:rStyle w:val="Hyperlink"/>
          </w:rPr>
          <w:t xml:space="preserve">[13]</w:t>
        </w:r>
      </w:hyperlink>
      <w:r>
        <w:t xml:space="preserve">.</w:t>
      </w:r>
    </w:p>
    <w:p>
      <w:pPr>
        <w:pStyle w:val="BodyText"/>
        <w:spacing w:line="480" w:lineRule="auto"/>
        <w:ind w:firstLine="720"/>
      </w:pPr>
      <w:r>
        <w:t xml:space="preserve">The move this chapter makes is to render that common as a contention system in the precise sense used in queueing theory. A contention system has three elements. Servers, arrivals, a rule. There is a fixed pool of servers, here the count of usable apertures at the three complexes, set within any scheduling cycle by station roster and aperture class and inelastic on operational timescales because new apertures take years to commission</w:t>
      </w:r>
      <w:r>
        <w:t xml:space="preserve"> </w:t>
      </w:r>
      <w:hyperlink w:anchor="ref-8">
        <w:r>
          <w:rPr>
            <w:rStyle w:val="Hyperlink"/>
          </w:rPr>
          <w:t xml:space="preserve">[8]</w:t>
        </w:r>
      </w:hyperlink>
      <w:r>
        <w:t xml:space="preserve">[9][10]. There are arrivals, here requested contacts, each of which is a mission-station-window triple carrying a service requirement, the dwell needed to return its science. And there is an allocation rule that, when arrivals exceed instantaneously available servers, decides which requests are served in their first-choice configuration and which are deferred to a later, less favorable window or denied. The network’s own operations literature describes precisely this collision, noting that over-subscription arises when spacecraft clump in azimuth at particular times of day and the scheduler cannot honor every concurrent request</w:t>
      </w:r>
      <w:r>
        <w:t xml:space="preserve"> </w:t>
      </w:r>
      <w:hyperlink w:anchor="ref-7">
        <w:r>
          <w:rPr>
            <w:rStyle w:val="Hyperlink"/>
          </w:rPr>
          <w:t xml:space="preserve">[7]</w:t>
        </w:r>
      </w:hyperlink>
      <w:r>
        <w:t xml:space="preserve">[14][15]. Treating the network as a contention system is therefore not an imported metaphor but a restatement of how the schedule is actually produced.</w:t>
      </w:r>
    </w:p>
    <w:p>
      <w:pPr>
        <w:pStyle w:val="BodyText"/>
        <w:spacing w:line="480" w:lineRule="auto"/>
        <w:ind w:firstLine="720"/>
      </w:pPr>
      <w:r>
        <w:t xml:space="preserve">The contention system framing does one thing the common-pool framing alone does not. It separates the question of how much total demand the common faces from the question of how that demand is distributed in time. The common-pool literature, applied to orbital volume, is largely a literature about aggregate stocks and flows: how many objects a shell can safely hold, what externality the marginal object imposes</w:t>
      </w:r>
      <w:r>
        <w:t xml:space="preserve"> </w:t>
      </w:r>
      <w:hyperlink w:anchor="ref-4">
        <w:r>
          <w:rPr>
            <w:rStyle w:val="Hyperlink"/>
          </w:rPr>
          <w:t xml:space="preserve">[4]</w:t>
        </w:r>
      </w:hyperlink>
      <w:r>
        <w:t xml:space="preserve">[5][12]. A contention system, by contrast, is intrinsically about coincidence. Timing is everything. Two requests that never overlap in time impose no rivalry on one another even if the network is heavily loaded in aggregate; two requests that demand the same antenna in the same hour are in direct rivalry even if the network is lightly loaded the rest of the week. The unit of contention is the temporal overlap, not the period-average utilization. This distinction is the seam along which the two hypotheses divide.</w:t>
      </w:r>
    </w:p>
    <w:bookmarkEnd w:id="75"/>
    <w:bookmarkStart w:id="76" w:name="the-mechanism-from-geometry-to-deferral"/>
    <w:p>
      <w:pPr>
        <w:pStyle w:val="Heading2"/>
        <w:spacing w:line="480" w:lineRule="auto"/>
      </w:pPr>
      <w:r>
        <w:t xml:space="preserve">3.3 The Mechanism: From Geometry to Deferral</w:t>
      </w:r>
    </w:p>
    <w:p>
      <w:pPr>
        <w:pStyle w:val="FirstParagraph"/>
        <w:spacing w:line="480" w:lineRule="auto"/>
      </w:pPr>
      <w:r>
        <w:t xml:space="preserve">The causal chain this dissertation models runs from independently determined planetary geometry, through the temporal structure of arrivals, to the probability that a given request is deferred. Each link in the chain is grounded in the demand-side results already established and in the physics of the link budget.</w:t>
      </w:r>
    </w:p>
    <w:p>
      <w:pPr>
        <w:pStyle w:val="BodyText"/>
        <w:spacing w:line="480" w:lineRule="auto"/>
        <w:ind w:firstLine="720"/>
      </w:pPr>
      <w:r>
        <w:t xml:space="preserve">Start with geometry. The first link is that a mission’s favorable contact windows are not chosen; they are dictated by orbital mechanics. A spacecraft is visible to a given complex only when it is above that complex’s local horizon and within the geometric and link-budget conditions that make a usable contact possible. Those view periods are fixed years in advance by the independently determined ephemerides of the active missions and rotate with the Earth and with each spacecraft’s heliocentric motion</w:t>
      </w:r>
      <w:r>
        <w:t xml:space="preserve"> </w:t>
      </w:r>
      <w:hyperlink w:anchor="ref-7">
        <w:r>
          <w:rPr>
            <w:rStyle w:val="Hyperlink"/>
          </w:rPr>
          <w:t xml:space="preserve">[7]</w:t>
        </w:r>
      </w:hyperlink>
      <w:r>
        <w:t xml:space="preserve">. A mission does not select its window to avoid contention; it takes the window geometry gives it. The demand-side chapters sharpen why those windows are scarce for the heaviest users. Because the supportable data rate falls with the square of distance, the dwell a distant spacecraft needs to return a fixed science volume is long, and the hours it demands rise with the log of its range</w:t>
      </w:r>
      <w:r>
        <w:t xml:space="preserve"> </w:t>
      </w:r>
      <w:hyperlink w:anchor="ref-7">
        <w:r>
          <w:rPr>
            <w:rStyle w:val="Hyperlink"/>
          </w:rPr>
          <w:t xml:space="preserve">[7]</w:t>
        </w:r>
      </w:hyperlink>
      <w:r>
        <w:t xml:space="preserve">[13]. The most demanding missions are therefore the distant ones, and the distant ones are precisely those that can be served only by the scarce largest apertures, so their windows are both long and served by the thinnest part of the server pool</w:t>
      </w:r>
      <w:r>
        <w:t xml:space="preserve"> </w:t>
      </w:r>
      <w:hyperlink w:anchor="ref-7">
        <w:r>
          <w:rPr>
            <w:rStyle w:val="Hyperlink"/>
          </w:rPr>
          <w:t xml:space="preserve">[7]</w:t>
        </w:r>
      </w:hyperlink>
      <w:r>
        <w:t xml:space="preserve">.</w:t>
      </w:r>
    </w:p>
    <w:p>
      <w:pPr>
        <w:pStyle w:val="BodyText"/>
        <w:spacing w:line="480" w:lineRule="auto"/>
        <w:ind w:firstLine="720"/>
      </w:pPr>
      <w:r>
        <w:t xml:space="preserve">The second link is that, because windows are geometry-bound and missions are scheduled independently of one another, the arrival process is not smooth. Favorable windows for different missions are set by unrelated orbital clocks, and there is no mechanism coordinating those clocks to spread demand evenly across the scheduling horizon. The coincidences that result are exogenous to any single mission’s contention state: when two missions both have their best geometry in the same hour at the same complex, that coincidence arises from the joint configuration of two independent ephemerides, not from either mission responding to expected congestion. The network’s documented experience of azimuthal clumping is the observable signature of this exogenous coincidence</w:t>
      </w:r>
      <w:r>
        <w:t xml:space="preserve"> </w:t>
      </w:r>
      <w:hyperlink w:anchor="ref-7">
        <w:r>
          <w:rPr>
            <w:rStyle w:val="Hyperlink"/>
          </w:rPr>
          <w:t xml:space="preserve">[7]</w:t>
        </w:r>
      </w:hyperlink>
      <w:r>
        <w:t xml:space="preserve">. The arrival process therefore has a temporal structure, periods of dense overlap interleaved with periods of slack, that is determined by geometry and is independent of the network’s mean load.</w:t>
      </w:r>
    </w:p>
    <w:p>
      <w:pPr>
        <w:pStyle w:val="BodyText"/>
        <w:spacing w:line="480" w:lineRule="auto"/>
        <w:ind w:firstLine="720"/>
      </w:pPr>
      <w:r>
        <w:t xml:space="preserve">The third link is the allocation rule’s response to overlap. Something has to give. When requests overlap on a server that cannot be in two places at once, the rule must defer one of them. Priority tiers and the scheduler’s optimization shape which request is deferred, and the network’s own studies of traffic prioritization and of reinforcement-learning schedulers document that the allocation is an active, contested decision rather than a mechanical first-come rule</w:t>
      </w:r>
      <w:r>
        <w:t xml:space="preserve"> </w:t>
      </w:r>
      <w:hyperlink w:anchor="ref-14">
        <w:r>
          <w:rPr>
            <w:rStyle w:val="Hyperlink"/>
          </w:rPr>
          <w:t xml:space="preserve">[14]</w:t>
        </w:r>
      </w:hyperlink>
      <w:r>
        <w:t xml:space="preserve">[15]. But the rule cannot manufacture servers. However it ranks competing requests, the count of requests it can satisfy in any instant is bounded by the fixed pool. The consequence is that deferral is produced at the moments of overlap, and the density of overlap in a window is what converts a given quantity of demand into a given quantity of deferral.</w:t>
      </w:r>
    </w:p>
    <w:p>
      <w:pPr>
        <w:pStyle w:val="BodyText"/>
        <w:spacing w:line="480" w:lineRule="auto"/>
        <w:ind w:firstLine="720"/>
      </w:pPr>
      <w:r>
        <w:t xml:space="preserve">This three-link chain yields the central theoretical claim of the dissertation: deferral is a function of the temporal concentration of demand, not only of its volume. Two scheduling windows can carry identical total requested hours and identical mean utilization of the server pool, yet differ sharply in deferral if in one window the high-priority requests are spread across the available hours and in the other they pile into the same narrow geometrically favorable interval. The first window resolves with little deferral because the fixed servers are never simultaneously over-demanded; the second window forces deferrals because the servers are over-demanded at the peak even though they are idle at the trough. Concentration, in this account, is a distinct causal channel from load, and it is a channel that capacity expansion does not straightforwardly close, because a uniform increase in servers raises the floor everywhere but leaves the relative height of the concentrated peak intact.</w:t>
      </w:r>
    </w:p>
    <w:bookmarkEnd w:id="76"/>
    <w:bookmarkStart w:id="77" w:name="why-the-mechanism-has-policy-teeth"/>
    <w:p>
      <w:pPr>
        <w:pStyle w:val="Heading2"/>
        <w:spacing w:line="480" w:lineRule="auto"/>
      </w:pPr>
      <w:r>
        <w:t xml:space="preserve">3.4 Why the Mechanism Has Policy Teeth</w:t>
      </w:r>
    </w:p>
    <w:p>
      <w:pPr>
        <w:pStyle w:val="FirstParagraph"/>
        <w:spacing w:line="480" w:lineRule="auto"/>
      </w:pPr>
      <w:r>
        <w:t xml:space="preserve">The mechanism matters because the two channels imply different interventions, and the network faces a real choice between them. The two channels point to two different remedies. If deferral is volumetric, the binding constraint is total antenna-hours, and the appropriate response is to add apertures: more servers, applied uniformly, monotonically relieve a load-driven queue. The aperture-enhancement and roadmap literatures are written in this register, treating the network’s shortfall as a capacity to be expanded</w:t>
      </w:r>
      <w:r>
        <w:t xml:space="preserve"> </w:t>
      </w:r>
      <w:hyperlink w:anchor="ref-9">
        <w:r>
          <w:rPr>
            <w:rStyle w:val="Hyperlink"/>
          </w:rPr>
          <w:t xml:space="preserve">[9]</w:t>
        </w:r>
      </w:hyperlink>
      <w:r>
        <w:t xml:space="preserve">[10], and independent oversight has framed the problem the same way, quantifying the gap between requested and delivered hours as a supply deficit to be closed</w:t>
      </w:r>
      <w:r>
        <w:t xml:space="preserve"> </w:t>
      </w:r>
      <w:hyperlink w:anchor="ref-8">
        <w:r>
          <w:rPr>
            <w:rStyle w:val="Hyperlink"/>
          </w:rPr>
          <w:t xml:space="preserve">[8]</w:t>
        </w:r>
      </w:hyperlink>
      <w:r>
        <w:t xml:space="preserve">. If deferral is concentration-driven, that response is partly misdirected. Adding servers raises capacity at every hour including the slack hours that were never the binding constraint, but the concentrated peak, where two missions’ geometry coincides on the scarce large apertures, is relieved only in proportion to the fraction of the increase that lands on that peak. Under concentration, the higher-leverage intervention is a different allocation rule, one that prices or schedules the coincidence itself, of the kind the traffic-prioritization and scheduling literatures begin to explore</w:t>
      </w:r>
      <w:r>
        <w:t xml:space="preserve"> </w:t>
      </w:r>
      <w:hyperlink w:anchor="ref-14">
        <w:r>
          <w:rPr>
            <w:rStyle w:val="Hyperlink"/>
          </w:rPr>
          <w:t xml:space="preserve">[14]</w:t>
        </w:r>
      </w:hyperlink>
      <w:r>
        <w:t xml:space="preserve">[15].</w:t>
      </w:r>
    </w:p>
    <w:p>
      <w:pPr>
        <w:pStyle w:val="BodyText"/>
        <w:spacing w:line="480" w:lineRule="auto"/>
        <w:ind w:firstLine="720"/>
      </w:pPr>
      <w:r>
        <w:t xml:space="preserve">The congested-common framing makes this choice legible. In a rivalrous common with no allocation price, each user withdraws according to its private capacity and geometry, and the externality of concentration, the cost a request imposes by arriving at the same instant as another, is exactly the externality that a pure capacity expansion does not internalize</w:t>
      </w:r>
      <w:r>
        <w:t xml:space="preserve"> </w:t>
      </w:r>
      <w:hyperlink w:anchor="ref-12">
        <w:r>
          <w:rPr>
            <w:rStyle w:val="Hyperlink"/>
          </w:rPr>
          <w:t xml:space="preserve">[12]</w:t>
        </w:r>
      </w:hyperlink>
      <w:r>
        <w:t xml:space="preserve">[13]. The space-economics treatment of congestion taxes for the orbital commons formalizes the same logic in the physical-volume setting: where the externality is the coincidence of use, the corrective instrument is one that acts on the coincidence, not merely on the aggregate stock</w:t>
      </w:r>
      <w:r>
        <w:t xml:space="preserve"> </w:t>
      </w:r>
      <w:hyperlink w:anchor="ref-4">
        <w:r>
          <w:rPr>
            <w:rStyle w:val="Hyperlink"/>
          </w:rPr>
          <w:t xml:space="preserve">[4]</w:t>
        </w:r>
      </w:hyperlink>
      <w:r>
        <w:t xml:space="preserve">[5]. The dissertation’s contribution is to ask which of these two worlds the Deep Space Network actually inhabits, and to make that question answerable from the published record rather than settled by assumption.</w:t>
      </w:r>
    </w:p>
    <w:bookmarkEnd w:id="77"/>
    <w:bookmarkStart w:id="78" w:name="formal-statement-of-the-two-accounts"/>
    <w:p>
      <w:pPr>
        <w:pStyle w:val="Heading2"/>
        <w:spacing w:line="480" w:lineRule="auto"/>
      </w:pPr>
      <w:r>
        <w:t xml:space="preserve">3.5 Formal Statement of the Two Accounts</w:t>
      </w:r>
    </w:p>
    <w:p>
      <w:pPr>
        <w:pStyle w:val="FirstParagraph"/>
        <w:spacing w:line="480" w:lineRule="auto"/>
      </w:pPr>
      <w:r>
        <w:t xml:space="preserve">Let a scheduling window be a station-pool-by-epoch cell over which demand and supply can be summarized. For a window indexed by its station pool and its epoch, denote by U the mean utilization of that server pool over the window, the volumetric load, and by C an index of the temporal concentration of competing high-priority requests within the window, the degree to which demand piles into the same narrow favorable intervals rather than spreading across the available hours. The outcome for a requested contact is binary deferral: the requested track is either allocated in its first-choice geometric window or pushed to a later, less favorable window or denied. The two accounts are competing specifications of how the probability of deferral depends on U and C.</w:t>
      </w:r>
    </w:p>
    <w:p>
      <w:pPr>
        <w:pStyle w:val="BodyText"/>
        <w:spacing w:line="480" w:lineRule="auto"/>
        <w:ind w:firstLine="720"/>
      </w:pPr>
      <w:r>
        <w:t xml:space="preserve">The load-only account holds that, conditional on mean utilization, concentration carries no additional weight. Formally, the probability of deferral is a function of U alone, and once U is included the partial association of C with deferral is zero. The mechanism this account asserts is purely volumetric: requests collide in proportion to how full the pool is on average, and the within-window arrangement of those requests is immaterial because, in expectation, a full pool defers and an empty pool does not regardless of timing. Under this account the demand-side concentration documented as azimuthal clumping is epiphenomenal, a visible texture on a process whose deferral consequences are fully summarized by the average</w:t>
      </w:r>
      <w:r>
        <w:t xml:space="preserve"> </w:t>
      </w:r>
      <w:hyperlink w:anchor="ref-7">
        <w:r>
          <w:rPr>
            <w:rStyle w:val="Hyperlink"/>
          </w:rPr>
          <w:t xml:space="preserve">[7]</w:t>
        </w:r>
      </w:hyperlink>
      <w:r>
        <w:t xml:space="preserve">.</w:t>
      </w:r>
    </w:p>
    <w:p>
      <w:pPr>
        <w:pStyle w:val="BodyText"/>
        <w:spacing w:line="480" w:lineRule="auto"/>
        <w:ind w:firstLine="720"/>
      </w:pPr>
      <w:r>
        <w:t xml:space="preserve">The concentration account holds that, conditional on the same mean utilization, deferral rises with C. Two windows of equal mean load differ in deferral according to how concentrated their high-priority demand is, because deferral is generated at the moments of overlap and C measures the density of overlap that U averages away. Under this account a non-trivial share of contention is structural rather than volumetric, located in the coincidence of independently scheduled geometry, and a uniform increase in the server pool leaves the concentrated-window deferral substantially intact because it does not act on the coincidence.</w:t>
      </w:r>
    </w:p>
    <w:p>
      <w:pPr>
        <w:pStyle w:val="BodyText"/>
        <w:spacing w:line="480" w:lineRule="auto"/>
        <w:ind w:firstLine="720"/>
      </w:pPr>
      <w:r>
        <w:t xml:space="preserve">These are not two unrelated conjectures. They are the only two readings the contention mechanism of Section 3.3 admits, separated at exactly the seam identified in Section 3.2: whether the unit of contention is the period-average utilization or the temporal overlap. The load-only account is the mechanism with its third link suppressed, the claim that overlap density does no causal work once average fullness is known. The concentration account is the mechanism with its third link active. Because the two accounts make opposite predictions about deferral in equal-load windows, the data can adjudicate between them.</w:t>
      </w:r>
    </w:p>
    <w:bookmarkEnd w:id="78"/>
    <w:bookmarkStart w:id="79" w:name="hypotheses"/>
    <w:p>
      <w:pPr>
        <w:pStyle w:val="Heading2"/>
        <w:spacing w:line="480" w:lineRule="auto"/>
      </w:pPr>
      <w:r>
        <w:t xml:space="preserve">3.6 Hypotheses</w:t>
      </w:r>
    </w:p>
    <w:p>
      <w:pPr>
        <w:pStyle w:val="FirstParagraph"/>
        <w:spacing w:line="480" w:lineRule="auto"/>
      </w:pPr>
      <w:r>
        <w:t xml:space="preserve">The dissertation’s single falsifiable contribution is the discriminating test between these two accounts. It is stated as a null and an alternative concerning the partial association of demand concentration with deferral, holding mean utilization fixed.</w:t>
      </w:r>
    </w:p>
    <w:p>
      <w:pPr>
        <w:pStyle w:val="BodyText"/>
        <w:spacing w:line="480" w:lineRule="auto"/>
        <w:ind w:firstLine="720"/>
      </w:pPr>
      <w:r>
        <w:rPr>
          <w:b/>
          <w:bCs/>
        </w:rPr>
        <w:t xml:space="preserve">H0 (load-only).</w:t>
      </w:r>
      <w:r>
        <w:t xml:space="preserve"> </w:t>
      </w:r>
      <w:r>
        <w:t xml:space="preserve">The probability that a requested contact is deferred is a function of aggregate network utilization alone. Conditional on the mean utilization of the relevant server pool over a scheduling window, the temporal concentration of high-priority requests within that window carries no additional explanatory weight; the partial effect of the concentration index on deferral probability is zero. Under H0, deferral is smooth in load, the azimuthal clumping the network observes has no marginal consequence for who is deferred once load is controlled, and a uniform expansion of the server pool monotonically relieves contention.</w:t>
      </w:r>
    </w:p>
    <w:p>
      <w:pPr>
        <w:pStyle w:val="BodyText"/>
        <w:spacing w:line="480" w:lineRule="auto"/>
        <w:ind w:firstLine="720"/>
      </w:pPr>
      <w:r>
        <w:rPr>
          <w:b/>
          <w:bCs/>
        </w:rPr>
        <w:t xml:space="preserve">H1 (concentration).</w:t>
      </w:r>
      <w:r>
        <w:t xml:space="preserve"> </w:t>
      </w:r>
      <w:r>
        <w:t xml:space="preserve">Deferral probability depends on the temporal concentration of demand in narrow geometrically favorable windows, over and above mean utilization. Conditional on the same mean load, windows in which high-priority requests cluster exhibit materially higher deferral than windows in which equal total demand is spread across the available hours; the partial effect of the concentration index on deferral probability is positive. Under H1, a non-trivial share of contention is structural rather than volumetric, located in the exogenous coincidence of independently scheduled geometry, and a uniform capacity increase leaves the concentrated-window deferral substantially intact.</w:t>
      </w:r>
    </w:p>
    <w:p>
      <w:pPr>
        <w:pStyle w:val="BodyText"/>
        <w:spacing w:line="480" w:lineRule="auto"/>
        <w:ind w:firstLine="720"/>
      </w:pPr>
      <w:r>
        <w:t xml:space="preserve">The hypotheses are mutually exclusive on the quantity that matters. H0 asserts that the partial effect of concentration is null; H1 asserts that it is positive. The discriminating quantity is the sign and significance of the concentration term once mean utilization is controlled. H1 is rejected if that term is statistically indistinguishable from zero. H0 is rejected if it is positive and survives the controls the next chapter develops. There is no region of the parameter space in which both survive, which is what makes the contribution a genuine test rather than a description.</w:t>
      </w:r>
    </w:p>
    <w:bookmarkEnd w:id="79"/>
    <w:bookmarkStart w:id="80" w:name="auxiliary-and-bounding-predictions"/>
    <w:p>
      <w:pPr>
        <w:pStyle w:val="Heading2"/>
        <w:spacing w:line="480" w:lineRule="auto"/>
      </w:pPr>
      <w:r>
        <w:t xml:space="preserve">3.7 Auxiliary and Bounding Predictions</w:t>
      </w:r>
    </w:p>
    <w:p>
      <w:pPr>
        <w:pStyle w:val="FirstParagraph"/>
        <w:spacing w:line="480" w:lineRule="auto"/>
      </w:pPr>
      <w:r>
        <w:t xml:space="preserve">The mechanism generates three further predictions that sharpen the test without being the test itself, and that the next chapter operationalizes as robustness and falsification checks.</w:t>
      </w:r>
    </w:p>
    <w:p>
      <w:pPr>
        <w:pStyle w:val="BodyText"/>
        <w:spacing w:line="480" w:lineRule="auto"/>
        <w:ind w:firstLine="720"/>
      </w:pPr>
      <w:r>
        <w:t xml:space="preserve">First, a directional prediction on latency. If concentration defers requests rather than merely denying them, then under H1 the time between a request and its first allocated track should lengthen with concentration, not only the probability of any deferral. The mechanism produces deferral by pushing overlapping requests to later windows, so concentration should delay allocation as well as deny it. A finding that concentration raises the deferral probability but does not lengthen the request-to-allocation latency would be inconsistent with the mechanism as stated and would weaken the concentration reading even if the binary coefficient were positive.</w:t>
      </w:r>
    </w:p>
    <w:p>
      <w:pPr>
        <w:pStyle w:val="BodyText"/>
        <w:spacing w:line="480" w:lineRule="auto"/>
        <w:ind w:firstLine="720"/>
      </w:pPr>
      <w:r>
        <w:t xml:space="preserve">Second, a placebo prediction that both hypotheses share. Concentration computed over non-competing low-priority requests should carry no effect on the deferral of high-priority contacts under either account, because low-priority requests do not displace high-priority ones in the allocation rule. A positive coefficient on a low-priority concentration index would signal that the concentration measure is capturing some general busyness correlated with deferral rather than the specific rivalry the mechanism describes, and would undercut a causal reading of any positive high-priority concentration result. This prediction is symmetric across H0 and H1 and therefore functions as a validity check on the regressor rather than as a discriminating test.</w:t>
      </w:r>
    </w:p>
    <w:p>
      <w:pPr>
        <w:pStyle w:val="BodyText"/>
        <w:spacing w:line="480" w:lineRule="auto"/>
        <w:ind w:firstLine="720"/>
      </w:pPr>
      <w:r>
        <w:t xml:space="preserve">Third, a fragility prediction about supply. The mechanism treats the server pool as fixed within a scheduling cycle, but maintenance downtime and array reconfiguration change the effective number of servers over longer horizons</w:t>
      </w:r>
      <w:r>
        <w:t xml:space="preserve"> </w:t>
      </w:r>
      <w:hyperlink w:anchor="ref-8">
        <w:r>
          <w:rPr>
            <w:rStyle w:val="Hyperlink"/>
          </w:rPr>
          <w:t xml:space="preserve">[8]</w:t>
        </w:r>
      </w:hyperlink>
      <w:r>
        <w:t xml:space="preserve">[9]. The mechanism predicts that genuine reductions in the server pool should raise deferral through the same overlap channel, so that a window in which an aperture is down behaves like a window of higher concentration even at unchanged requested hours. This prediction motivates absorbing downtime explicitly so that supply variation is not misattributed to demand concentration, and it makes the concentration estimate conservative if any residual downtime remains in the load control.</w:t>
      </w:r>
    </w:p>
    <w:bookmarkEnd w:id="80"/>
    <w:bookmarkStart w:id="81" w:name="Xef18cdc111e41c31dc5e91880c9ce71ba2318ac"/>
    <w:p>
      <w:pPr>
        <w:pStyle w:val="Heading2"/>
        <w:spacing w:line="480" w:lineRule="auto"/>
      </w:pPr>
      <w:r>
        <w:t xml:space="preserve">3.8 Scope Conditions and What the Theory Does Not Claim</w:t>
      </w:r>
    </w:p>
    <w:p>
      <w:pPr>
        <w:pStyle w:val="FirstParagraph"/>
        <w:spacing w:line="480" w:lineRule="auto"/>
      </w:pPr>
      <w:r>
        <w:t xml:space="preserve">The framework is bounded in three ways that the hypotheses inherit. The theory is a theory of allocation outcomes on a fixed pool, not a theory of capacity sizing. It takes the server count as given within the scheduling cycle and asks what governs deferral under that constraint; it does not model the decision to build apertures, and a confirmation of H1 is a statement about the marginal ineffectiveness of uniform expansion against concentrated demand, not a claim that expansion is never warranted. The aperture-enhancement and roadmap literatures remain the relevant frame for the sizing question that this dissertation does not adjudicate</w:t>
      </w:r>
      <w:r>
        <w:t xml:space="preserve"> </w:t>
      </w:r>
      <w:hyperlink w:anchor="ref-9">
        <w:r>
          <w:rPr>
            <w:rStyle w:val="Hyperlink"/>
          </w:rPr>
          <w:t xml:space="preserve">[9]</w:t>
        </w:r>
      </w:hyperlink>
      <w:r>
        <w:t xml:space="preserve">[10].</w:t>
      </w:r>
    </w:p>
    <w:p>
      <w:pPr>
        <w:pStyle w:val="BodyText"/>
        <w:spacing w:line="480" w:lineRule="auto"/>
        <w:ind w:firstLine="720"/>
      </w:pPr>
      <w:r>
        <w:t xml:space="preserve">The theory is also a theory of the demand frame given by geometry, not of the filed request list. Because filed requests may already absorb informal negotiation, with missions self-censoring requests they expect to lose, the mechanism is stated over geometry-driven view periods rather than over the negotiated request log, so that the concentration the theory invokes is the concentration of geometric opportunity, which is exogenous, rather than the concentration of strategically filed requests, which is not. This keeps the causal logic of Section 3.3 intact: the coincidence that drives deferral is the coincidence of independently determined windows, and it is on that exogenous coincidence that the identification of the next chapter rests.</w:t>
      </w:r>
    </w:p>
    <w:p>
      <w:pPr>
        <w:pStyle w:val="BodyText"/>
        <w:spacing w:line="480" w:lineRule="auto"/>
        <w:ind w:firstLine="720"/>
      </w:pPr>
      <w:r>
        <w:t xml:space="preserve">Finally, the theory is agnostic about the internal logic of the allocation rule. It does not claim that the scheduler is first-come, optimizing, or learning-based; the network has employed prioritization heuristics and has experimented with reinforcement-learning schedulers, and the mechanism is consistent with any of them</w:t>
      </w:r>
      <w:r>
        <w:t xml:space="preserve"> </w:t>
      </w:r>
      <w:hyperlink w:anchor="ref-14">
        <w:r>
          <w:rPr>
            <w:rStyle w:val="Hyperlink"/>
          </w:rPr>
          <w:t xml:space="preserve">[14]</w:t>
        </w:r>
      </w:hyperlink>
      <w:r>
        <w:t xml:space="preserve">[15]. What the mechanism requires is only that the rule cannot satisfy more concurrent requests than there are servers, which is true of every allocation rule on a finite pool. The hypotheses therefore do not depend on a particular scheduler design, and a confirmation of H1 would hold across changes in the scheduling algorithm so long as the server pool stays finite and demand stays geometry-bound. This generality is a feature: it makes the discriminating test a test of the network’s congestion structure rather than of any single scheduling implementation, and it locates the result where the dissertation’s governance argument needs it, at the level of the common itself.</w:t>
      </w:r>
    </w:p>
    <w:bookmarkEnd w:id="81"/>
    <w:bookmarkEnd w:id="82"/>
    <w:bookmarkStart w:id="96" w:name="chapter-4.-data-and-measurement"/>
    <w:p>
      <w:pPr>
        <w:pStyle w:val="Heading1"/>
        <w:spacing w:line="480" w:lineRule="auto"/>
      </w:pPr>
      <w:r>
        <w:t xml:space="preserve">Chapter 4. Data and Measurement</w:t>
      </w:r>
    </w:p>
    <w:bookmarkStart w:id="83" w:name="purpose-and-scope-of-the-chapter"/>
    <w:p>
      <w:pPr>
        <w:pStyle w:val="Heading2"/>
        <w:spacing w:line="480" w:lineRule="auto"/>
      </w:pPr>
      <w:r>
        <w:t xml:space="preserve">4.1 Purpose and Scope of the Chapter</w:t>
      </w:r>
    </w:p>
    <w:p>
      <w:pPr>
        <w:pStyle w:val="FirstParagraph"/>
        <w:spacing w:line="480" w:lineRule="auto"/>
      </w:pPr>
      <w:r>
        <w:t xml:space="preserve">The empirical core of this dissertation rests on two cross-sectional datasets, each assembled by hand from authoritative public records and each addressed to a distinct face of the same congested common. The first dataset characterizes how heavily a mission draws on the shared antenna pool, measured as average weekly tracking hours. The second characterizes how fast a mission fills the link while it holds an antenna, measured as maximum downlink data rate. Together these two quantities are the elementary inputs of any queueing-and-contention model of the Deep Space Network, because the load a mission imposes on the network is the product of how long it holds a server and how quickly it extracts throughput while it does</w:t>
      </w:r>
      <w:r>
        <w:t xml:space="preserve"> </w:t>
      </w:r>
      <w:hyperlink w:anchor="ref-1">
        <w:r>
          <w:rPr>
            <w:rStyle w:val="Hyperlink"/>
          </w:rPr>
          <w:t xml:space="preserve">[1]</w:t>
        </w:r>
      </w:hyperlink>
      <w:r>
        <w:t xml:space="preserve">. The duration side is the subject of the first paper of the dissertation; the rate side is the subject of the second. This chapter documents both datasets in the detail that reproducibility demands: the unit of analysis, the authoritative provenance of every variable, and the construction of each variable from its primary record.</w:t>
      </w:r>
    </w:p>
    <w:p>
      <w:pPr>
        <w:pStyle w:val="BodyText"/>
        <w:spacing w:line="480" w:lineRule="auto"/>
        <w:ind w:firstLine="720"/>
      </w:pPr>
      <w:r>
        <w:t xml:space="preserve">The chapter proceeds from the general to the particular. Section 4.2 states the unit of analysis common to both datasets and explains why the deep-space mission, rather than the individual contact or the antenna, is the appropriate observational unit for the demand-side questions these papers pose. Section 4.3 documents the loading dataset behind the tracking-hours paper. Section 4.4 documents the link-budget dataset behind the downlink-throughput paper. Section 4.5 catalogs the authoritative source institutions and the chain of custody from primary record to analytic value. Section 4.6 makes explicit the measurement decisions, the handling of illustrative readings and excluded observations, and the threats to measurement validity that the design must absorb. The chapter does not present estimates; those belong to the chapters that follow. It establishes instead that the numbers entering those estimates are real, traceable, and constructed by stated rules rather than by convenience.</w:t>
      </w:r>
    </w:p>
    <w:p>
      <w:pPr>
        <w:pStyle w:val="BodyText"/>
        <w:spacing w:line="480" w:lineRule="auto"/>
        <w:ind w:firstLine="720"/>
      </w:pPr>
      <w:r>
        <w:t xml:space="preserve">A word on the relationship between this chapter and the prospectus is warranted. The prospectus identifies the published DSN schedule and view-period feed as the eventual primary source for the contention model, the machine-readable schedule exposed at the public Deep Space Network endpoint together with the underlying view-period and allocated-track records. That schedule feed is the data spine of the full contention test that distinguishes load-driven from concentration-driven deferral. The two empirical papers documented here are the demand-side foundation that the contention test takes as given: they establish, before any queue is modeled, that the arrivals to this common are not exchangeable and that their service requirements scale with measurable mission attributes. Accordingly, this chapter documents the two mission-level datasets actually estimated in the papers, and it situates them as the characterization of arrivals that the schedule-feed contention model will later consume.</w:t>
      </w:r>
    </w:p>
    <w:bookmarkEnd w:id="83"/>
    <w:bookmarkStart w:id="84" w:name="the-unit-of-analysis"/>
    <w:p>
      <w:pPr>
        <w:pStyle w:val="Heading2"/>
        <w:spacing w:line="480" w:lineRule="auto"/>
      </w:pPr>
      <w:r>
        <w:t xml:space="preserve">4.2 The Unit of Analysis</w:t>
      </w:r>
    </w:p>
    <w:p>
      <w:pPr>
        <w:pStyle w:val="FirstParagraph"/>
        <w:spacing w:line="480" w:lineRule="auto"/>
      </w:pPr>
      <w:r>
        <w:t xml:space="preserve">In both datasets the unit of analysis is the deep-space mission. A mission is the observational unit because the question both papers ask is a question about heterogeneity among the users of a shared resource, not about the moment-to-moment behavior of the resource itself. Contention in a common is not produced by the average user; it is produced by the heaviest users, and to characterize the heaviest users one must observe at the level of the user</w:t>
      </w:r>
      <w:r>
        <w:t xml:space="preserve"> </w:t>
      </w:r>
      <w:hyperlink w:anchor="ref-1">
        <w:r>
          <w:rPr>
            <w:rStyle w:val="Hyperlink"/>
          </w:rPr>
          <w:t xml:space="preserve">[1]</w:t>
        </w:r>
      </w:hyperlink>
      <w:r>
        <w:t xml:space="preserve">. The mission is also the level at which the documented covariates are defined. Distance from Earth, downlink frequency band, mission class, high-gain antenna diameter, and transmitter power are properties of a spacecraft and its trajectory, not of an individual pass, so a mission-level frame aligns the outcome with the regressors that are theorized to govern it.</w:t>
      </w:r>
    </w:p>
    <w:p>
      <w:pPr>
        <w:pStyle w:val="BodyText"/>
        <w:spacing w:line="480" w:lineRule="auto"/>
        <w:ind w:firstLine="720"/>
      </w:pPr>
      <w:r>
        <w:t xml:space="preserve">This choice has a clear cost and a clear benefit, both of which the design accepts openly. The cost is a small sample. The deep-space mission population that the Deep Space Network supports is not large: the network served on the order of thirty-five missions in fiscal year 2015 and forty in fiscal year 2023, against an antenna count that has stayed essentially flat for a quarter century</w:t>
      </w:r>
      <w:r>
        <w:t xml:space="preserve"> </w:t>
      </w:r>
      <w:hyperlink w:anchor="ref-1">
        <w:r>
          <w:rPr>
            <w:rStyle w:val="Hyperlink"/>
          </w:rPr>
          <w:t xml:space="preserve">[1]</w:t>
        </w:r>
      </w:hyperlink>
      <w:r>
        <w:t xml:space="preserve">. A mission-level dataset therefore has tens of rows, not thousands, and the inferential consequences of that fact are confronted directly in the method and findings chapters. The benefit is that the rows are not a sample drawn from a hypothetical super-population; they are, as nearly as the public record permits, the documented population of active deep-space users itself. The standard errors reported in the empirical chapters describe model fit against that population rather than sampling variability from a larger frame, and the interpretation of significance is adjusted accordingly. This is the appropriate posture for a census of a finite user community rather than a draw from an open universe.</w:t>
      </w:r>
    </w:p>
    <w:p>
      <w:pPr>
        <w:pStyle w:val="BodyText"/>
        <w:spacing w:line="480" w:lineRule="auto"/>
        <w:ind w:firstLine="720"/>
      </w:pPr>
      <w:r>
        <w:t xml:space="preserve">The two datasets observe the mission at different epochs and for different attributes, and they are not merged into a single panel. The loading dataset observes weekly tracking hours and orbital-geometric covariates for twenty missions; the link-budget dataset observes downlink rate and telecommunications hardware covariates for twenty-six missions. The two mission rosters overlap substantially in the deep-space probes they share, Voyager and the outer-planets fleet appear in both, but the datasets are constructed for different dependent variables from different primary sources and are estimated separately. Keeping them separate avoids importing the measurement error of one outcome into the regression of the other and keeps each provenance chain clean and auditable.</w:t>
      </w:r>
    </w:p>
    <w:bookmarkEnd w:id="84"/>
    <w:bookmarkStart w:id="88" w:name="Xa3b5919f250d98796d982cac6e423f59b666661"/>
    <w:p>
      <w:pPr>
        <w:pStyle w:val="Heading2"/>
        <w:spacing w:line="480" w:lineRule="auto"/>
      </w:pPr>
      <w:r>
        <w:t xml:space="preserve">4.3 Dataset One: Per-Mission DSN Tracking Load</w:t>
      </w:r>
    </w:p>
    <w:bookmarkStart w:id="85" w:name="X7b7cb7862920065af95120c3649836e2bc8afea"/>
    <w:p>
      <w:pPr>
        <w:pStyle w:val="Heading3"/>
        <w:spacing w:line="480" w:lineRule="auto"/>
      </w:pPr>
      <w:r>
        <w:t xml:space="preserve">4.3.1 The Dependent Variable and Its Authoritative Source</w:t>
      </w:r>
    </w:p>
    <w:p>
      <w:pPr>
        <w:pStyle w:val="FirstParagraph"/>
        <w:spacing w:line="480" w:lineRule="auto"/>
      </w:pPr>
      <w:r>
        <w:t xml:space="preserve">The dependent variable of the first dataset is a mission’s average weekly DSN tracking hours. It is taken directly from the most authoritative recent characterization of network loading available in the open literature, Lazio’s SpaceOps 2025 analysis of the mission suite enabled by the Deep Space Network, a Jet Propulsion Laboratory work presented at the 18th International Conference on Space Operations</w:t>
      </w:r>
      <w:r>
        <w:t xml:space="preserve"> </w:t>
      </w:r>
      <w:hyperlink w:anchor="ref-1">
        <w:r>
          <w:rPr>
            <w:rStyle w:val="Hyperlink"/>
          </w:rPr>
          <w:t xml:space="preserve">[1]</w:t>
        </w:r>
      </w:hyperlink>
      <w:r>
        <w:t xml:space="preserve">. That source is authoritative in the precise sense the dissertation requires: it is produced by the institution that operates the network, it reports per-mission loading rather than aggregate utilization, and it is published in a venue of record. It is the closest publicly available approximation to the network’s own internal accounting of how its finite antenna-hours are distributed across the missions it serves.</w:t>
      </w:r>
    </w:p>
    <w:p>
      <w:pPr>
        <w:pStyle w:val="BodyText"/>
        <w:spacing w:line="480" w:lineRule="auto"/>
        <w:ind w:firstLine="720"/>
      </w:pPr>
      <w:r>
        <w:t xml:space="preserve">The dependent variable is constructed from that source by two distinct reading procedures, both documented row by row so that the construction is reproducible. Eleven of the twenty mission rows are read directly from the source’s Table 1, which reports per-mission weekly hours for eleven named missions spanning the Astrophysics, Heliophysics, and non-Mars Planetary Science divisions</w:t>
      </w:r>
      <w:r>
        <w:t xml:space="preserve"> </w:t>
      </w:r>
      <w:hyperlink w:anchor="ref-1">
        <w:r>
          <w:rPr>
            <w:rStyle w:val="Hyperlink"/>
          </w:rPr>
          <w:t xml:space="preserve">[1]</w:t>
        </w:r>
      </w:hyperlink>
      <w:r>
        <w:t xml:space="preserve">. These eleven values are tabulated figures and carry no reading discretion. The remaining nine rows are read from the same source’s calendar-year-2023 loading figure, a fuller ranked loading profile that orders missions by their annual draw on the network</w:t>
      </w:r>
      <w:r>
        <w:t xml:space="preserve"> </w:t>
      </w:r>
      <w:hyperlink w:anchor="ref-1">
        <w:r>
          <w:rPr>
            <w:rStyle w:val="Hyperlink"/>
          </w:rPr>
          <w:t xml:space="preserve">[1]</w:t>
        </w:r>
      </w:hyperlink>
      <w:r>
        <w:t xml:space="preserve">. For these nine, the weekly-hours value is recovered from the figure’s ordering and scale. Within that group of nine, three rows fall in a low-usage bin where the figure does not resolve a precise hours value; these three are flagged in the dataset as illustrative readings of the figure ordering rather than as exact tabulated quantities. The flag is not cosmetic: the findings chapter re-estimates the model with these three rows dropped and confirms that the principal result holds in sign and significance, so the illustrative rows are demonstrably not driving the estimate.</w:t>
      </w:r>
    </w:p>
    <w:p>
      <w:pPr>
        <w:pStyle w:val="BodyText"/>
        <w:spacing w:line="480" w:lineRule="auto"/>
        <w:ind w:firstLine="720"/>
      </w:pPr>
      <w:r>
        <w:t xml:space="preserve">This two-tier construction, eleven tabulated values and nine figure readings of which three are explicitly illustrative, is recorded transparently because it is the honest description of what the public record yields. The network’s full per-mission accounting is internal; the published characterization exposes part of it as a table and part of it as a figure, and the dataset reflects exactly that division. Marking the figure readings, and the low-usage subset within them, rather than presenting all twenty values as if they were equally precise, is the measurement-integrity discipline that keeps the provenance auditable.</w:t>
      </w:r>
    </w:p>
    <w:bookmarkEnd w:id="85"/>
    <w:bookmarkStart w:id="86" w:name="the-regressors-and-their-construction"/>
    <w:p>
      <w:pPr>
        <w:pStyle w:val="Heading3"/>
        <w:spacing w:line="480" w:lineRule="auto"/>
      </w:pPr>
      <w:r>
        <w:t xml:space="preserve">4.3.2 The Regressors and Their Construction</w:t>
      </w:r>
    </w:p>
    <w:p>
      <w:pPr>
        <w:pStyle w:val="FirstParagraph"/>
        <w:spacing w:line="480" w:lineRule="auto"/>
      </w:pPr>
      <w:r>
        <w:t xml:space="preserve">Four documented mission characteristics serve as regressors, each constructed from a stated primary record.</w:t>
      </w:r>
    </w:p>
    <w:p>
      <w:pPr>
        <w:pStyle w:val="BodyText"/>
        <w:spacing w:line="480" w:lineRule="auto"/>
        <w:ind w:firstLine="720"/>
      </w:pPr>
      <w:r>
        <w:t xml:space="preserve">Distance is the mission’s representative Earth or heliocentric range expressed in astronomical units and entered into the regression in natural logarithms. The logarithmic form is not a fitting convenience; it follows from the physics of the link budget, in which the achievable data rate falls with the square of distance, so that distance enters demand both through weaker signal power and through the longer antenna dwell required to recover a fixed science volume, a relationship that is naturally multiplicative and therefore linear in logs</w:t>
      </w:r>
      <w:r>
        <w:t xml:space="preserve"> </w:t>
      </w:r>
      <w:hyperlink w:anchor="ref-3">
        <w:r>
          <w:rPr>
            <w:rStyle w:val="Hyperlink"/>
          </w:rPr>
          <w:t xml:space="preserve">[3]</w:t>
        </w:r>
      </w:hyperlink>
      <w:r>
        <w:t xml:space="preserve">. Each mission’s representative distance is drawn from NASA and JPL mission status and science pages, cited row by row in the dataset rather than by a single blanket citation, so that the provenance of every distance value is individually traceable. The sample’s distances span the realistic range of the deep-space user population, from Voyager at roughly 163 astronomical units down to cislunar and high-Earth-orbit assets within a few hundred thousand kilometers of Earth.</w:t>
      </w:r>
    </w:p>
    <w:p>
      <w:pPr>
        <w:pStyle w:val="BodyText"/>
        <w:spacing w:line="480" w:lineRule="auto"/>
        <w:ind w:firstLine="720"/>
      </w:pPr>
      <w:r>
        <w:t xml:space="preserve">The high-rate-band indicator is a binary variable marking missions whose primary science downlink uses K-band or Ka-band rather than the lower-frequency X-band or S-band. It is identified from the loading analysis and from individual mission pages</w:t>
      </w:r>
      <w:r>
        <w:t xml:space="preserve"> </w:t>
      </w:r>
      <w:hyperlink w:anchor="ref-1">
        <w:r>
          <w:rPr>
            <w:rStyle w:val="Hyperlink"/>
          </w:rPr>
          <w:t xml:space="preserve">[1]</w:t>
        </w:r>
      </w:hyperlink>
      <w:r>
        <w:t xml:space="preserve">. The theoretical role of this indicator is genuinely ambiguous and is left as an empirical question rather than a prior: higher-rate bands can in principle move more data per unit time and thereby shorten the passes needed for a fixed volume, but the network’s own analysis notes that the additional rate tends instead to be absorbed as larger downlinked volumes at unchanged contact time</w:t>
      </w:r>
      <w:r>
        <w:t xml:space="preserve"> </w:t>
      </w:r>
      <w:hyperlink w:anchor="ref-1">
        <w:r>
          <w:rPr>
            <w:rStyle w:val="Hyperlink"/>
          </w:rPr>
          <w:t xml:space="preserve">[1]</w:t>
        </w:r>
      </w:hyperlink>
      <w:r>
        <w:t xml:space="preserve">. The variable is constructed to let the data adjudicate that ambiguity rather than to encode an assumed sign.</w:t>
      </w:r>
    </w:p>
    <w:p>
      <w:pPr>
        <w:pStyle w:val="BodyText"/>
        <w:spacing w:line="480" w:lineRule="auto"/>
        <w:ind w:firstLine="720"/>
      </w:pPr>
      <w:r>
        <w:t xml:space="preserve">The planetary indicator separates deep-space and heliocentric targets from Earth-orbit and Lagrange-point astrophysics and heliophysics assets. Its construction reflects a theorized confound: several of the heaviest near-Earth users in the population, the continuously tracked Lagrange and high-Earth-orbit observatories, demand near-continuous coverage for cadence reasons that are orthogonal to their distance. The planetary indicator is the instrument that lets the estimation separate a distance effect from a cadence effect that would otherwise be misattributed to range.</w:t>
      </w:r>
    </w:p>
    <w:p>
      <w:pPr>
        <w:pStyle w:val="BodyText"/>
        <w:spacing w:line="480" w:lineRule="auto"/>
        <w:ind w:firstLine="720"/>
      </w:pPr>
      <w:r>
        <w:t xml:space="preserve">The 70-meter indicator flags the two missions, Voyager and New Horizons, that the network identifies as unable to use the interchangeable 34-meter antennas and that can therefore be served only by the scarce largest dishes</w:t>
      </w:r>
      <w:r>
        <w:t xml:space="preserve"> </w:t>
      </w:r>
      <w:hyperlink w:anchor="ref-1">
        <w:r>
          <w:rPr>
            <w:rStyle w:val="Hyperlink"/>
          </w:rPr>
          <w:t xml:space="preserve">[1]</w:t>
        </w:r>
      </w:hyperlink>
      <w:r>
        <w:t xml:space="preserve">. This variable encodes a structural feature the dissertation emphasizes: the network’s capacity arithmetic treats antennas as interchangeable, but the most distant spacecraft are not served by interchangeable apertures, so a mission that monopolizes a 70-meter dish imposes a sharper contention cost than its raw hours suggest. The indicator is constructed to test whether that structural penalty is separately visible in the demand data, with the acknowledged limitation that, with only two flagged missions both also among the most distant, the indicator is collinear with the distance term and cannot be cleanly identified.</w:t>
      </w:r>
    </w:p>
    <w:bookmarkEnd w:id="86"/>
    <w:bookmarkStart w:id="87" w:name="row-level-provenance-discipline"/>
    <w:p>
      <w:pPr>
        <w:pStyle w:val="Heading3"/>
        <w:spacing w:line="480" w:lineRule="auto"/>
      </w:pPr>
      <w:r>
        <w:t xml:space="preserve">4.3.3 Row-Level Provenance Discipline</w:t>
      </w:r>
    </w:p>
    <w:p>
      <w:pPr>
        <w:pStyle w:val="FirstParagraph"/>
        <w:spacing w:line="480" w:lineRule="auto"/>
      </w:pPr>
      <w:r>
        <w:t xml:space="preserve">Every row of the loading dataset carries its own source string. No analytic value shares a citation with a value drawn from a different primary record, and no distance, band, or indicator value is entered without an individually traceable source. This row-level discipline is the dataset’s defense against the most common failure mode of small hand-built datasets, the silent propagation of a single convenient figure across multiple rows. The construction rule is that a value exists in the dataset only if it can be traced to a named record for that specific mission, and the illustrative flag exists precisely to mark the three rows where the public record supports an ordering but not an exact value.</w:t>
      </w:r>
    </w:p>
    <w:bookmarkEnd w:id="87"/>
    <w:bookmarkEnd w:id="88"/>
    <w:bookmarkStart w:id="93" w:name="X5cd6fe301e26a8aacc45fd685272956ff7c21f0"/>
    <w:p>
      <w:pPr>
        <w:pStyle w:val="Heading2"/>
        <w:spacing w:line="480" w:lineRule="auto"/>
      </w:pPr>
      <w:r>
        <w:t xml:space="preserve">4.4 Dataset Two: Per-Mission DSN Downlink Throughput</w:t>
      </w:r>
    </w:p>
    <w:bookmarkStart w:id="89" w:name="Xdcc890ff0d29d21a9079e7f3cb9caddacdec589"/>
    <w:p>
      <w:pPr>
        <w:pStyle w:val="Heading3"/>
        <w:spacing w:line="480" w:lineRule="auto"/>
      </w:pPr>
      <w:r>
        <w:t xml:space="preserve">4.4.1 The Dependent Variable and the Link-Budget Frame</w:t>
      </w:r>
    </w:p>
    <w:p>
      <w:pPr>
        <w:pStyle w:val="FirstParagraph"/>
        <w:spacing w:line="480" w:lineRule="auto"/>
      </w:pPr>
      <w:r>
        <w:t xml:space="preserve">The second dataset is a cross-section of twenty-six deep-space missions assembled to estimate the rate at which a mission extracts throughput from the common when it holds an antenna. The dependent variable is the maximum deep-space downlink data rate, in bits per second, entered into the regression in natural logarithms. The logarithmic transformation places the estimation in elasticity form: because the radio downlink obeys a budget in which the supportable data rate is a product of radiated-power factors and an inverse-square distance term, taking logs of both the rate and its determinants yields a linear-in-logs equation whose slopes are elasticities that can be read directly against the physics of a radio link</w:t>
      </w:r>
      <w:r>
        <w:t xml:space="preserve"> </w:t>
      </w:r>
      <w:hyperlink w:anchor="ref-3">
        <w:r>
          <w:rPr>
            <w:rStyle w:val="Hyperlink"/>
          </w:rPr>
          <w:t xml:space="preserve">[3]</w:t>
        </w:r>
      </w:hyperlink>
      <w:r>
        <w:t xml:space="preserve">. The dependent variable is therefore not the raw rate but its natural logarithm, computed from the raw published figure for each mission.</w:t>
      </w:r>
    </w:p>
    <w:p>
      <w:pPr>
        <w:pStyle w:val="BodyText"/>
        <w:spacing w:line="480" w:lineRule="auto"/>
        <w:ind w:firstLine="720"/>
      </w:pPr>
      <w:r>
        <w:t xml:space="preserve">The choice of maximum downlink rate as the dependent variable is a deliberate measurement decision with a stated interpretive consequence. The maximum published rate is a design ceiling, the highest rate the mission’s telecommunications subsystem is engineered to support under favorable conditions, rather than a realized average over the mission’s operational life. The dataset and the analysis that consumes it are therefore explicit that the model describes peak extraction capacity, the most a mission can pull from the common per unit of contact time, rather than time-averaged load. This is the appropriate quantity for the link-budget question, which concerns the engineering ceiling that spacecraft hardware and geometry impose, and it is reported in exactly that form rather than being silently conflated with average throughput.</w:t>
      </w:r>
    </w:p>
    <w:bookmarkEnd w:id="89"/>
    <w:bookmarkStart w:id="90" w:name="X08ac1c1dd33468dc9122d07d496c813d3526f31"/>
    <w:p>
      <w:pPr>
        <w:pStyle w:val="Heading3"/>
        <w:spacing w:line="480" w:lineRule="auto"/>
      </w:pPr>
      <w:r>
        <w:t xml:space="preserve">4.4.2 The Regressors and the Cobb-Douglas Specification</w:t>
      </w:r>
    </w:p>
    <w:p>
      <w:pPr>
        <w:pStyle w:val="FirstParagraph"/>
        <w:spacing w:line="480" w:lineRule="auto"/>
      </w:pPr>
      <w:r>
        <w:t xml:space="preserve">Three spacecraft-side regressors are recorded for each mission, each in natural logarithms, so that the estimated equation is a Cobb-Douglas relation whose coefficients are elasticities.</w:t>
      </w:r>
    </w:p>
    <w:p>
      <w:pPr>
        <w:pStyle w:val="BodyText"/>
        <w:spacing w:line="480" w:lineRule="auto"/>
        <w:ind w:firstLine="720"/>
      </w:pPr>
      <w:r>
        <w:t xml:space="preserve">High-gain antenna diameter, in meters, captures the gain of the spacecraft’s primary downlink antenna, which scales with the square of its diameter and is one of the two design choices governing the spacecraft’s equivalent radiated power. Radio-frequency transmitter output power, in watts, captures the second such choice and is the most directly purchased determinant of radiated strength. Maximum Earth-spacecraft range, in astronomical units, enters the budget as free-space path loss, an inverse-square term, and is the geometric determinant of how much of the radiated signal survives the trip to the receiving aperture. Each of these is recorded from its primary published figure and stored as a natural logarithm computed from that raw value, so that the regression operates on the elasticity form directly rather than transforming inside the estimation.</w:t>
      </w:r>
    </w:p>
    <w:p>
      <w:pPr>
        <w:pStyle w:val="BodyText"/>
        <w:spacing w:line="480" w:lineRule="auto"/>
        <w:ind w:firstLine="720"/>
      </w:pPr>
      <w:r>
        <w:t xml:space="preserve">The distance regressor in this dataset deserves a specific note because its expected magnitude is checkable against first principles. Free-space path loss predicts a distance elasticity near minus two before any compensating mechanism, but the network’s adaptive data-rate practice and its large receiving apertures partially offset that loss, compressing the expected elasticity toward minus one. The distance variable is constructed as the mission’s maximum Earth-spacecraft range precisely so that this physically anchored prediction can be tested against the estimate, giving the dataset a built-in plausibility check that few hand-assembled cross-sections possess.</w:t>
      </w:r>
    </w:p>
    <w:bookmarkEnd w:id="90"/>
    <w:bookmarkStart w:id="91" w:name="X3af09fdfb9fb0011e1fc31ab2a9b212b45e7d3e"/>
    <w:p>
      <w:pPr>
        <w:pStyle w:val="Heading3"/>
        <w:spacing w:line="480" w:lineRule="auto"/>
      </w:pPr>
      <w:r>
        <w:t xml:space="preserve">4.4.3 Authoritative Sources for the Telecommunications Parameters</w:t>
      </w:r>
    </w:p>
    <w:p>
      <w:pPr>
        <w:pStyle w:val="FirstParagraph"/>
        <w:spacing w:line="480" w:lineRule="auto"/>
      </w:pPr>
      <w:r>
        <w:t xml:space="preserve">Every row of the link-budget dataset carries a named source in its final column, and the sources are of three documented kinds. The first kind comprises the missions’ encyclopedic telecommunications entries, which compile published downlink, antenna, power, and range parameters for individual spacecraft. The second comprises NASA and ESA mission fact sheets and press kits, the official descriptive records released by the operating agencies. The third, and the most authoritative for the spacecraft it covers, is the JPL Deep Space Communications and Navigation Design and Performance Summary Series, the DESCANSO series, which documents the Cassini and Voyager link parameters used in the dataset. The DESCANSO series is authoritative in the same institutional sense as the loading source: it is produced by the network’s own telecommunications and navigation organization and it documents link budgets at the level of engineering record rather than popular description.</w:t>
      </w:r>
    </w:p>
    <w:p>
      <w:pPr>
        <w:pStyle w:val="BodyText"/>
        <w:spacing w:line="480" w:lineRule="auto"/>
        <w:ind w:firstLine="720"/>
      </w:pPr>
      <w:r>
        <w:t xml:space="preserve">The sample is constructed to span five decades of practice deliberately, so that every regressor varies widely. It reaches from the Pioneer and Voyager outer-planets probes of the 1970s, through the Mars orbiter fleet, to recent missions including MAVEN, Parker Solar Probe, and OSIRIS-REx. This wide temporal and architectural span is a measurement asset: it produces the variation in diameter, power, and range that identifies the elasticities, and it ensures that the estimated extraction surface is not a feature of a single mission era.</w:t>
      </w:r>
    </w:p>
    <w:bookmarkEnd w:id="91"/>
    <w:bookmarkStart w:id="92" w:name="handling-of-relay-architecture-missions"/>
    <w:p>
      <w:pPr>
        <w:pStyle w:val="Heading3"/>
        <w:spacing w:line="480" w:lineRule="auto"/>
      </w:pPr>
      <w:r>
        <w:t xml:space="preserve">4.4.4 Handling of Relay-Architecture Missions</w:t>
      </w:r>
    </w:p>
    <w:p>
      <w:pPr>
        <w:pStyle w:val="FirstParagraph"/>
        <w:spacing w:line="480" w:lineRule="auto"/>
      </w:pPr>
      <w:r>
        <w:t xml:space="preserve">Four of the twenty-six missions in the table are relay-architecture landers and a lunar orbiter whose primary science-return path is not a deep-space parabolic dish of their own. For these four, the high-gain antenna diameter is recorded but marked illustrative, because the relevant cell is zero or describes a non-parabolic architecture, and these values drop from the dish model when the logarithm is taken. The estimation that addresses the link-budget hypotheses therefore runs on the twenty-four missions that return science directly through their own high-gain antenna, which is the population the dish specification actually describes. The four relay missions are recorded in the dataset rather than silently omitted, and the reason for their exclusion from the dish regression is stated explicitly, so that the construction is transparent and the excluded observations remain visible for any later model that would add the second, relay-mediated extraction channel they represent. This is the same measurement-integrity posture taken with the illustrative rows of the loading dataset: observations are excluded by a stated rule and the exclusion is documented, never performed by quiet deletion.</w:t>
      </w:r>
    </w:p>
    <w:bookmarkEnd w:id="92"/>
    <w:bookmarkEnd w:id="93"/>
    <w:bookmarkStart w:id="94" w:name="Xa6f516f66f0aaf56915702603b5f813ac395f11"/>
    <w:p>
      <w:pPr>
        <w:pStyle w:val="Heading2"/>
        <w:spacing w:line="480" w:lineRule="auto"/>
      </w:pPr>
      <w:r>
        <w:t xml:space="preserve">4.5 Authoritative Sources and the Chain of Custody</w:t>
      </w:r>
    </w:p>
    <w:p>
      <w:pPr>
        <w:pStyle w:val="FirstParagraph"/>
        <w:spacing w:line="480" w:lineRule="auto"/>
      </w:pPr>
      <w:r>
        <w:t xml:space="preserve">Both datasets are governed by a single provenance principle: every analytic value traces to a public, real, obtainable primary record, and the chain from primary record to analytic value is documented at the row level. It is worth cataloging the institutions that anchor that chain, because the authority of the datasets rests on the authority of these sources.</w:t>
      </w:r>
    </w:p>
    <w:p>
      <w:pPr>
        <w:pStyle w:val="BodyText"/>
        <w:spacing w:line="480" w:lineRule="auto"/>
        <w:ind w:firstLine="720"/>
      </w:pPr>
      <w:r>
        <w:t xml:space="preserve">For the loading dataset, the dependent variable derives from a Jet Propulsion Laboratory characterization of network loading published in a space-operations venue of record</w:t>
      </w:r>
      <w:r>
        <w:t xml:space="preserve"> </w:t>
      </w:r>
      <w:hyperlink w:anchor="ref-1">
        <w:r>
          <w:rPr>
            <w:rStyle w:val="Hyperlink"/>
          </w:rPr>
          <w:t xml:space="preserve">[1]</w:t>
        </w:r>
      </w:hyperlink>
      <w:r>
        <w:t xml:space="preserve">, and the orbital-geometric regressors derive from NASA and JPL mission status and science pages cited row by row. For the link-budget dataset, the telecommunications parameters derive from encyclopedic mission entries, NASA and ESA fact sheets and press kits, and the JPL DESCANSO Design and Performance Summary Series for the spacecraft it documents. Across both datasets, the supporting institutional record includes independent oversight: the NASA Office of Inspector General’s assessment of the network’s management documents the magnitude of the supply-demand imbalance the datasets are built to study, reporting that demand exceeds supply by as much as forty percent at peak and that specific missions received many thousands of fewer tracking hours than requested over a recent multi-year window</w:t>
      </w:r>
      <w:r>
        <w:t xml:space="preserve"> </w:t>
      </w:r>
      <w:hyperlink w:anchor="ref-2">
        <w:r>
          <w:rPr>
            <w:rStyle w:val="Hyperlink"/>
          </w:rPr>
          <w:t xml:space="preserve">[2]</w:t>
        </w:r>
      </w:hyperlink>
      <w:r>
        <w:t xml:space="preserve">. That oversight finding is not itself a dataset variable, but it is the external corroboration that the loading the first dataset measures is a real and consequential shortfall rather than an artifact of construction.</w:t>
      </w:r>
    </w:p>
    <w:p>
      <w:pPr>
        <w:pStyle w:val="BodyText"/>
        <w:spacing w:line="480" w:lineRule="auto"/>
        <w:ind w:firstLine="720"/>
      </w:pPr>
      <w:r>
        <w:t xml:space="preserve">The broader engineering and economic literature situates these primary records without supplying their numbers. The network’s own telecommunications road map establishes the link-budget physics that motivates the logarithmic and elasticity forms used in both datasets</w:t>
      </w:r>
      <w:r>
        <w:t xml:space="preserve"> </w:t>
      </w:r>
      <w:hyperlink w:anchor="ref-3">
        <w:r>
          <w:rPr>
            <w:rStyle w:val="Hyperlink"/>
          </w:rPr>
          <w:t xml:space="preserve">[3]</w:t>
        </w:r>
      </w:hyperlink>
      <w:r>
        <w:t xml:space="preserve">. Aperture-enhancement calibration work documents that the network’s effective receiving capability is itself an engineered and changing quantity</w:t>
      </w:r>
      <w:r>
        <w:t xml:space="preserve"> </w:t>
      </w:r>
      <w:hyperlink w:anchor="ref-4">
        <w:r>
          <w:rPr>
            <w:rStyle w:val="Hyperlink"/>
          </w:rPr>
          <w:t xml:space="preserve">[4]</w:t>
        </w:r>
      </w:hyperlink>
      <w:r>
        <w:t xml:space="preserve">, and relay-topology assessments establish that alternative return paths exist and matter</w:t>
      </w:r>
      <w:r>
        <w:t xml:space="preserve"> </w:t>
      </w:r>
      <w:hyperlink w:anchor="ref-5">
        <w:r>
          <w:rPr>
            <w:rStyle w:val="Hyperlink"/>
          </w:rPr>
          <w:t xml:space="preserve">[5]</w:t>
        </w:r>
      </w:hyperlink>
      <w:r>
        <w:t xml:space="preserve">. These works frame the measurement choices; they are not the provenance of any cell. The discipline maintained throughout is that framing literature and value provenance are kept distinct, so that no analytic number is ever sourced to a work that merely discusses the phenomenon rather than reporting the specific figure.</w:t>
      </w:r>
    </w:p>
    <w:p>
      <w:pPr>
        <w:pStyle w:val="BodyText"/>
        <w:spacing w:line="480" w:lineRule="auto"/>
        <w:ind w:firstLine="720"/>
      </w:pPr>
      <w:r>
        <w:t xml:space="preserve">The prospectus anticipates a third primary source for the full contention model that the dissertation builds beyond these two demand-side papers: the published DSN schedule and view-period feed, which yields the requested-versus-allocated comparison defining the deferral outcome, with the fixed server roster taken from DSN telecommunications documentation and the independent mission geometry cross-checked against the HORIZONS ephemeris system. That source is the data spine of the contention test and is documented in its own right where that test is developed. The two datasets cataloged in this chapter are the arrivals characterization that the schedule-feed model consumes, and their provenance chains, JPL loading characterization and mission pages for duration, encyclopedic and DESCANSO records for rate, are complete and self-contained for the demand-side estimation they support.</w:t>
      </w:r>
    </w:p>
    <w:bookmarkEnd w:id="94"/>
    <w:bookmarkStart w:id="95" w:name="X7ed299c57c4c67acbc4e8d9944bedbe1124269d"/>
    <w:p>
      <w:pPr>
        <w:pStyle w:val="Heading2"/>
        <w:spacing w:line="480" w:lineRule="auto"/>
      </w:pPr>
      <w:r>
        <w:t xml:space="preserve">4.6 Measurement Decisions and Threats to Validity</w:t>
      </w:r>
    </w:p>
    <w:p>
      <w:pPr>
        <w:pStyle w:val="FirstParagraph"/>
        <w:spacing w:line="480" w:lineRule="auto"/>
      </w:pPr>
      <w:r>
        <w:t xml:space="preserve">Several measurement decisions shape what the two datasets can and cannot identify, and each is recorded so that the inferential chapters can confront it rather than inherit it silently.</w:t>
      </w:r>
    </w:p>
    <w:p>
      <w:pPr>
        <w:pStyle w:val="BodyText"/>
        <w:spacing w:line="480" w:lineRule="auto"/>
        <w:ind w:firstLine="720"/>
      </w:pPr>
      <w:r>
        <w:t xml:space="preserve">The first concerns measurement error in distance for the loading dataset. Distance is entered at a single representative value per mission, yet several missions move substantially over the course of a year, so the representative value carries measurement error. The consequence is signed and stated: classical measurement error in a regressor biases its coefficient toward zero, so that any significant positive estimate on log distance is a conservative one, understating rather than overstating the true distance effect. The design accepts this attenuation rather than concealing it, and the direction of the bias means the central finding errs toward caution.</w:t>
      </w:r>
    </w:p>
    <w:p>
      <w:pPr>
        <w:pStyle w:val="BodyText"/>
        <w:spacing w:line="480" w:lineRule="auto"/>
        <w:ind w:firstLine="720"/>
      </w:pPr>
      <w:r>
        <w:t xml:space="preserve">The second concerns the illustrative readings already described. Three rows of the loading dataset are figure readings in a low-usage bin rather than tabulated values, and four rows of the link-budget dataset are relay missions excluded from the dish model. In both cases the response is the same: the affected rows are flagged in the data, the construction rule that produced them is stated, and the sensitivity of the result to their inclusion or exclusion is reported in the relevant findings chapter. The loading model re-estimated without the three illustrative rows retains its principal result in direction and significance, and the link-budget model is estimated on the twenty-four-mission dish population by design rather than as a robustness afterthought.</w:t>
      </w:r>
    </w:p>
    <w:p>
      <w:pPr>
        <w:pStyle w:val="BodyText"/>
        <w:spacing w:line="480" w:lineRule="auto"/>
        <w:ind w:firstLine="720"/>
      </w:pPr>
      <w:r>
        <w:t xml:space="preserve">The third concerns the dependent-variable definitions themselves. The loading dataset’s outcome is average weekly tracking hours, a duration measure, while the link-budget dataset’s outcome is maximum downlink rate, a peak-capacity measure. Neither is the realized, time-averaged product of duration and rate that a complete load measure would require, and the datasets do not pretend otherwise. The first paper measures how long a mission holds an antenna; the second measures how fast it can fill the link; the dissertation’s later contention model is what combines them. Keeping the two outcomes distinct, and labeling the second explicitly as a design ceiling rather than a realized average, prevents the conflation of capacity with utilization that would otherwise contaminate the demand-side characterization.</w:t>
      </w:r>
    </w:p>
    <w:p>
      <w:pPr>
        <w:pStyle w:val="BodyText"/>
        <w:spacing w:line="480" w:lineRule="auto"/>
        <w:ind w:firstLine="720"/>
      </w:pPr>
      <w:r>
        <w:t xml:space="preserve">The fourth concerns the small-sample posture common to both datasets. With twenty and twenty-six observations respectively, both datasets are censuses of finite, documented populations rather than samples from an open frame, and the number of regressors in each is held deliberately low so that responsible inference remains possible. The standard errors reported in the empirical chapters describe model fit against the documented population, and the interpretation of significance is framed accordingly rather than as generalization to a hypothetical larger universe of missions. This is the honest description of what a mission-level census of the deep-space user community permits, and the design’s parsimony, four regressors for twenty loading observations, three for the link-budget elasticities, is calibrated to it.</w:t>
      </w:r>
    </w:p>
    <w:p>
      <w:pPr>
        <w:pStyle w:val="BodyText"/>
        <w:spacing w:line="480" w:lineRule="auto"/>
        <w:ind w:firstLine="720"/>
      </w:pPr>
      <w:r>
        <w:t xml:space="preserve">Taken together, these measurement decisions establish the standard the rest of the dissertation depends on. The two datasets are small, hand-built, and drawn from public records, and precisely because they are, every value is traceable to a named primary source for a specific mission, every construction rule is stated, every illustrative or excluded observation is flagged, and every signed measurement bias is disclosed. The numbers that enter the estimates of the chapters that follow are real, obtainable, and constructed by rule rather than by convenience, which is the foundation on which the contention model’s claims must ultimately stand.</w:t>
      </w:r>
    </w:p>
    <w:bookmarkEnd w:id="95"/>
    <w:bookmarkEnd w:id="96"/>
    <w:bookmarkStart w:id="114" w:name="chapter-5.-methods-and-identification"/>
    <w:p>
      <w:pPr>
        <w:pStyle w:val="Heading1"/>
        <w:spacing w:line="480" w:lineRule="auto"/>
      </w:pPr>
      <w:r>
        <w:t xml:space="preserve">Chapter 5. Methods and Identification</w:t>
      </w:r>
    </w:p>
    <w:bookmarkStart w:id="97" w:name="from-description-to-inference"/>
    <w:p>
      <w:pPr>
        <w:pStyle w:val="Heading2"/>
        <w:spacing w:line="480" w:lineRule="auto"/>
      </w:pPr>
      <w:r>
        <w:t xml:space="preserve">5.1 From Description to Inference</w:t>
      </w:r>
    </w:p>
    <w:p>
      <w:pPr>
        <w:pStyle w:val="FirstParagraph"/>
        <w:spacing w:line="480" w:lineRule="auto"/>
      </w:pPr>
      <w:r>
        <w:t xml:space="preserve">The two empirical chapters that precede this one characterize the demand side of the Deep Space Network as a congested common. The first established that per-mission weekly tracking load scales with the logarithm of distance, so that arrivals to the network are not exchangeable and a single far-range mission can draw an order of magnitude more antenna time than a near-Earth one</w:t>
      </w:r>
      <w:r>
        <w:t xml:space="preserve"> </w:t>
      </w:r>
      <w:hyperlink w:anchor="ref-7">
        <w:r>
          <w:rPr>
            <w:rStyle w:val="Hyperlink"/>
          </w:rPr>
          <w:t xml:space="preserve">[7]</w:t>
        </w:r>
      </w:hyperlink>
      <w:r>
        <w:t xml:space="preserve">. The second established that the throughput a mission extracts from a granted pass is governed by its own radiated power and its orbital range rather than by any allocation price, so that withdrawals from the common are set by private engineering and unmediated by scarcity signals</w:t>
      </w:r>
      <w:r>
        <w:t xml:space="preserve"> </w:t>
      </w:r>
      <w:hyperlink w:anchor="ref-12">
        <w:r>
          <w:rPr>
            <w:rStyle w:val="Hyperlink"/>
          </w:rPr>
          <w:t xml:space="preserve">[12]</w:t>
        </w:r>
      </w:hyperlink>
      <w:r>
        <w:t xml:space="preserve">[13]. Together they fix the per-user service requirement. Description is not yet inference. They do not, however, answer the question the dissertation was built to settle, which is what governs who gets deferred when those requirements exceed the supply of antenna-hours at the geometrically favorable epochs.</w:t>
      </w:r>
    </w:p>
    <w:p>
      <w:pPr>
        <w:pStyle w:val="BodyText"/>
        <w:spacing w:line="480" w:lineRule="auto"/>
        <w:ind w:firstLine="720"/>
      </w:pPr>
      <w:r>
        <w:t xml:space="preserve">This chapter specifies the inferential machinery that answers that question. The estimand is the marginal effect of demand concentration on the probability that a requested contact is deferred, holding mean network load fixed. The two accounts under test, the load-only account (H0) and the concentration account (H1), make opposite and observable predictions about deferral in windows of equal aggregate load, and the chapter is organized around making that contrast estimable, credible, and bounded. Section 5.2 defines the unit of observation and the construction of the outcome and the treatment regressor. Section 5.3 lays out the estimators: a primary binary-outcome regression, a discrete-time hazard model, and a placebo specification. Section 5.4 develops the identification strategy, which rests on the conjunction of a fixed server pool and a geometrically determined arrival process. Section 5.5 enumerates the threats to validity and states, for each, the bound or correction that contains it. The governing commitment throughout is that the discriminating coefficient must survive every control and every alternative construction before either hypothesis is rejected; a result that holds only under a single convenient specification is treated as no result at all.</w:t>
      </w:r>
    </w:p>
    <w:bookmarkEnd w:id="97"/>
    <w:bookmarkStart w:id="98" w:name="X7135811ed68bcbd4ce8db6a5f712750a71ad796"/>
    <w:p>
      <w:pPr>
        <w:pStyle w:val="Heading2"/>
        <w:spacing w:line="480" w:lineRule="auto"/>
      </w:pPr>
      <w:r>
        <w:t xml:space="preserve">5.2 Unit of Observation, Outcome, and Treatment</w:t>
      </w:r>
    </w:p>
    <w:p>
      <w:pPr>
        <w:pStyle w:val="FirstParagraph"/>
        <w:spacing w:line="480" w:lineRule="auto"/>
      </w:pPr>
      <w:r>
        <w:t xml:space="preserve">The unit of observation is a requested contact, defined as a mission-station-window triple: a single spacecraft, a single ground aperture or complex capable of serving it, and a single geometrically favorable view period during which a track could in principle be allocated. This unit is the natural atom of a contention system because it is the smallest object over which the allocation decision operates. It is where the collision happens. A mission with several simultaneous view opportunities across the three complexes at Goldstone, Madrid, and Canberra generates several such triples, and the allocation rule resolves each.</w:t>
      </w:r>
    </w:p>
    <w:p>
      <w:pPr>
        <w:pStyle w:val="BodyText"/>
        <w:spacing w:line="480" w:lineRule="auto"/>
        <w:ind w:firstLine="720"/>
      </w:pPr>
      <w:r>
        <w:t xml:space="preserve">The outcome is binary deferral. A requested contact is coded as deferred when the track is not allocated within its first-choice geometric window and is instead pushed to a later and less favorable window or denied outright. The construction deliberately anchors the demand frame in the published view periods rather than in the filed request list. View periods are set by orbital mechanics and the station horizon mask; they exist independently of whether a mission chose to file against them, and they are recorded in the machine-readable DSN schedule feed and the underlying view-period record. Anchoring on geometry rather than on filed requests is the single most consequential design decision in the chapter, because it makes the demand frame exogenous to the contention it is used to explain, a point Section 5.4 develops formally. The outcome is therefore the comparison between the geometrically available first-choice window and the track actually allocated, read directly from the same feed that supplies the view periods.</w:t>
      </w:r>
    </w:p>
    <w:p>
      <w:pPr>
        <w:pStyle w:val="BodyText"/>
        <w:spacing w:line="480" w:lineRule="auto"/>
        <w:ind w:firstLine="720"/>
      </w:pPr>
      <w:r>
        <w:t xml:space="preserve">The treatment regressor is a within-window concentration index of competing high-priority requests. Intuitively it measures how tightly the demand that could contend for the same apertures during the same window is clustered, as distinct from how much demand there is in total. The distinction between concentration and volume is the entire empirical content of the H0 versus H1 contrast, so the index is constructed to be orthogonal in principle to the mean-load control with which it is paired. Because any single functional form for concentration could itself drive the result, the index is computed under three definitions that are reported side by side and required to agree:</w:t>
      </w:r>
    </w:p>
    <w:p>
      <w:pPr>
        <w:pStyle w:val="Compact"/>
        <w:spacing w:line="480" w:lineRule="auto"/>
        <w:numPr>
          <w:ilvl w:val="0"/>
          <w:numId w:val="1001"/>
        </w:numPr>
      </w:pPr>
      <w:r>
        <w:t xml:space="preserve">A count-based index, which counts the number of distinct high-priority requests whose view periods overlap the focal window on apertures capable of serving them.</w:t>
      </w:r>
    </w:p>
    <w:p>
      <w:pPr>
        <w:pStyle w:val="Compact"/>
        <w:spacing w:line="480" w:lineRule="auto"/>
        <w:numPr>
          <w:ilvl w:val="0"/>
          <w:numId w:val="1001"/>
        </w:numPr>
      </w:pPr>
      <w:r>
        <w:t xml:space="preserve">A Herfindahl-style index, which sums the squared shares of the contested antenna-hours claimed by each competing request, rewarding configurations in which a few requests dominate the window.</w:t>
      </w:r>
    </w:p>
    <w:p>
      <w:pPr>
        <w:pStyle w:val="Compact"/>
        <w:spacing w:line="480" w:lineRule="auto"/>
        <w:numPr>
          <w:ilvl w:val="0"/>
          <w:numId w:val="1001"/>
        </w:numPr>
      </w:pPr>
      <w:r>
        <w:t xml:space="preserve">An overlap-duration index, which weights each competing request by the fraction of the focal window during which its own view period is simultaneously open, capturing the temporal density of the contention rather than merely its count.</w:t>
      </w:r>
    </w:p>
    <w:p>
      <w:pPr>
        <w:pStyle w:val="FirstParagraph"/>
        <w:spacing w:line="480" w:lineRule="auto"/>
      </w:pPr>
      <w:r>
        <w:t xml:space="preserve">The principal control is the mean utilization of the relevant station pool over the same window, computed as allocated antenna-hours divided by available antenna-hours for the apertures that could serve the focal contact. Mean utilization is the load-only account’s sufficient statistic: under H0, once it is conditioned on, the concentration index should carry no additional weight. The estimand is precisely the coefficient on the concentration index after this control is absorbed, and the test is whether that coefficient is positive, significant, and stable. Supply-side quantities, the station count, the aperture class, and the complex location, are taken from the public DSN station roster, and the independence of the view-period geometry is cross-checked against published ephemerides through NASA’s HORIZONS system so that the demand frame can be verified as geometry-driven rather than negotiated.</w:t>
      </w:r>
    </w:p>
    <w:bookmarkEnd w:id="98"/>
    <w:bookmarkStart w:id="103" w:name="estimators"/>
    <w:p>
      <w:pPr>
        <w:pStyle w:val="Heading2"/>
        <w:spacing w:line="480" w:lineRule="auto"/>
      </w:pPr>
      <w:r>
        <w:t xml:space="preserve">5.3 Estimators</w:t>
      </w:r>
    </w:p>
    <w:bookmarkStart w:id="99" w:name="X53d1d6c3d3af1263128ba62b4b85e5d53f4fb77"/>
    <w:p>
      <w:pPr>
        <w:pStyle w:val="Heading3"/>
        <w:spacing w:line="480" w:lineRule="auto"/>
      </w:pPr>
      <w:r>
        <w:t xml:space="preserve">5.3.1 Primary Specification: Binary-Outcome Regression</w:t>
      </w:r>
    </w:p>
    <w:p>
      <w:pPr>
        <w:pStyle w:val="FirstParagraph"/>
        <w:spacing w:line="480" w:lineRule="auto"/>
      </w:pPr>
      <w:r>
        <w:t xml:space="preserve">The primary estimator is a binary-outcome regression of deferral on the concentration index with the mean-utilization control, station and epoch fixed effects, and mission-priority-tier controls. Writing</w:t>
      </w:r>
      <w:r>
        <w:t xml:space="preserve"> </w:t>
      </w:r>
      <m:oMath>
        <m:sSub>
          <m:e>
            <m:r>
              <m:t>D</m:t>
            </m:r>
          </m:e>
          <m:sub>
            <m:r>
              <m:t>i</m:t>
            </m:r>
            <m:r>
              <m:t>s</m:t>
            </m:r>
            <m:r>
              <m:t>t</m:t>
            </m:r>
          </m:sub>
        </m:sSub>
      </m:oMath>
      <w:r>
        <w:t xml:space="preserve"> </w:t>
      </w:r>
      <w:r>
        <w:t xml:space="preserve">for the deferral indicator on contact</w:t>
      </w:r>
      <w:r>
        <w:t xml:space="preserve"> </w:t>
      </w:r>
      <m:oMath>
        <m:r>
          <m:t>i</m:t>
        </m:r>
      </m:oMath>
      <w:r>
        <w:t xml:space="preserve"> </w:t>
      </w:r>
      <w:r>
        <w:t xml:space="preserve">at station</w:t>
      </w:r>
      <w:r>
        <w:t xml:space="preserve"> </w:t>
      </w:r>
      <m:oMath>
        <m:r>
          <m:t>s</m:t>
        </m:r>
      </m:oMath>
      <w:r>
        <w:t xml:space="preserve"> </w:t>
      </w:r>
      <w:r>
        <w:t xml:space="preserve">in epoch</w:t>
      </w:r>
      <w:r>
        <w:t xml:space="preserve"> </w:t>
      </w:r>
      <m:oMath>
        <m:r>
          <m:t>t</m:t>
        </m:r>
      </m:oMath>
      <w:r>
        <w:t xml:space="preserve">,</w:t>
      </w:r>
      <w:r>
        <w:t xml:space="preserve"> </w:t>
      </w:r>
      <m:oMath>
        <m:sSub>
          <m:e>
            <m:r>
              <m:t>C</m:t>
            </m:r>
          </m:e>
          <m:sub>
            <m:r>
              <m:t>i</m:t>
            </m:r>
            <m:r>
              <m:t>s</m:t>
            </m:r>
            <m:r>
              <m:t>t</m:t>
            </m:r>
          </m:sub>
        </m:sSub>
      </m:oMath>
      <w:r>
        <w:t xml:space="preserve"> </w:t>
      </w:r>
      <w:r>
        <w:t xml:space="preserve">for the concentration index, and</w:t>
      </w:r>
      <w:r>
        <w:t xml:space="preserve"> </w:t>
      </w:r>
      <m:oMath>
        <m:sSub>
          <m:e>
            <m:r>
              <m:t>U</m:t>
            </m:r>
          </m:e>
          <m:sub>
            <m:r>
              <m:t>s</m:t>
            </m:r>
            <m:r>
              <m:t>t</m:t>
            </m:r>
          </m:sub>
        </m:sSub>
      </m:oMath>
      <w:r>
        <w:t xml:space="preserve"> </w:t>
      </w:r>
      <w:r>
        <w:t xml:space="preserve">for the mean utilization of the relevant station pool, the model is a logit of the form</w:t>
      </w:r>
    </w:p>
    <w:p>
      <w:pPr>
        <w:pStyle w:val="BodyText"/>
        <w:spacing w:line="480" w:lineRule="auto"/>
        <w:ind w:firstLine="720"/>
      </w:pPr>
      <m:oMathPara>
        <m:oMathParaPr>
          <m:jc m:val="center"/>
        </m:oMathParaPr>
        <m:oMath>
          <m:r>
            <m:rPr>
              <m:sty m:val="p"/>
            </m:rPr>
            <m:t>Pr</m:t>
          </m:r>
          <m:r>
            <m:rPr>
              <m:sty m:val="p"/>
            </m:rPr>
            <m:t>(</m:t>
          </m:r>
          <m:sSub>
            <m:e>
              <m:r>
                <m:t>D</m:t>
              </m:r>
            </m:e>
            <m:sub>
              <m:r>
                <m:t>i</m:t>
              </m:r>
              <m:r>
                <m:t>s</m:t>
              </m:r>
              <m:r>
                <m:t>t</m:t>
              </m:r>
            </m:sub>
          </m:sSub>
          <m:r>
            <m:rPr>
              <m:sty m:val="p"/>
            </m:rPr>
            <m:t>=</m:t>
          </m:r>
          <m:r>
            <m:t>1</m:t>
          </m:r>
          <m:r>
            <m:rPr>
              <m:sty m:val="p"/>
            </m:rPr>
            <m:t>)</m:t>
          </m:r>
          <m:r>
            <m:rPr>
              <m:sty m:val="p"/>
            </m:rPr>
            <m:t>=</m:t>
          </m:r>
          <m:r>
            <m:rPr>
              <m:sty m:val="p"/>
            </m:rPr>
            <m:t>Λ</m:t>
          </m:r>
          <m:d>
            <m:dPr>
              <m:begChr m:val="("/>
              <m:sepChr m:val=""/>
              <m:endChr m:val=")"/>
              <m:grow/>
            </m:dPr>
            <m:e>
              <m:r>
                <m:t>β</m:t>
              </m:r>
              <m:sSub>
                <m:e>
                  <m:r>
                    <m:t>C</m:t>
                  </m:r>
                </m:e>
                <m:sub>
                  <m:r>
                    <m:t>i</m:t>
                  </m:r>
                  <m:r>
                    <m:t>s</m:t>
                  </m:r>
                  <m:r>
                    <m:t>t</m:t>
                  </m:r>
                </m:sub>
              </m:sSub>
              <m:r>
                <m:rPr>
                  <m:sty m:val="p"/>
                </m:rPr>
                <m:t>+</m:t>
              </m:r>
              <m:r>
                <m:t>γ</m:t>
              </m:r>
              <m:sSub>
                <m:e>
                  <m:r>
                    <m:t>U</m:t>
                  </m:r>
                </m:e>
                <m:sub>
                  <m:r>
                    <m:t>s</m:t>
                  </m:r>
                  <m:r>
                    <m:t>t</m:t>
                  </m:r>
                </m:sub>
              </m:sSub>
              <m:r>
                <m:rPr>
                  <m:sty m:val="p"/>
                </m:rPr>
                <m:t>+</m:t>
              </m:r>
              <m:r>
                <m:t>δ</m:t>
              </m:r>
              <m:r>
                <m:t>f</m:t>
              </m:r>
              <m:r>
                <m:rPr>
                  <m:sty m:val="p"/>
                </m:rPr>
                <m:t>(</m:t>
              </m:r>
              <m:sSub>
                <m:e>
                  <m:r>
                    <m:t>U</m:t>
                  </m:r>
                </m:e>
                <m:sub>
                  <m:r>
                    <m:t>s</m:t>
                  </m:r>
                  <m:r>
                    <m:t>t</m:t>
                  </m:r>
                </m:sub>
              </m:sSub>
              <m:r>
                <m:rPr>
                  <m:sty m:val="p"/>
                </m:rPr>
                <m:t>)</m:t>
              </m:r>
              <m:r>
                <m:rPr>
                  <m:sty m:val="p"/>
                </m:rPr>
                <m:t>+</m:t>
              </m:r>
              <m:sSub>
                <m:e>
                  <m:r>
                    <m:t>α</m:t>
                  </m:r>
                </m:e>
                <m:sub>
                  <m:r>
                    <m:t>s</m:t>
                  </m:r>
                </m:sub>
              </m:sSub>
              <m:r>
                <m:rPr>
                  <m:sty m:val="p"/>
                </m:rPr>
                <m:t>+</m:t>
              </m:r>
              <m:sSub>
                <m:e>
                  <m:r>
                    <m:t>τ</m:t>
                  </m:r>
                </m:e>
                <m:sub>
                  <m:r>
                    <m:t>t</m:t>
                  </m:r>
                </m:sub>
              </m:sSub>
              <m:r>
                <m:rPr>
                  <m:sty m:val="p"/>
                </m:rPr>
                <m:t>+</m:t>
              </m:r>
              <m:sSub>
                <m:e>
                  <m:r>
                    <m:t>θ</m:t>
                  </m:r>
                </m:e>
                <m:sub>
                  <m:r>
                    <m:t>p</m:t>
                  </m:r>
                  <m:r>
                    <m:rPr>
                      <m:sty m:val="p"/>
                    </m:rPr>
                    <m:t>(</m:t>
                  </m:r>
                  <m:r>
                    <m:t>i</m:t>
                  </m:r>
                  <m:r>
                    <m:rPr>
                      <m:sty m:val="p"/>
                    </m:rPr>
                    <m:t>)</m:t>
                  </m:r>
                </m:sub>
              </m:sSub>
              <m:r>
                <m:rPr>
                  <m:sty m:val="p"/>
                </m:rPr>
                <m:t>+</m:t>
              </m:r>
              <m:sSub>
                <m:e>
                  <m:r>
                    <m:t>ε</m:t>
                  </m:r>
                </m:e>
                <m:sub>
                  <m:r>
                    <m:t>i</m:t>
                  </m:r>
                  <m:r>
                    <m:t>s</m:t>
                  </m:r>
                  <m:r>
                    <m:t>t</m:t>
                  </m:r>
                </m:sub>
              </m:sSub>
            </m:e>
          </m:d>
          <m:r>
            <m:rPr>
              <m:sty m:val="p"/>
            </m:rPr>
            <m:t>,</m:t>
          </m:r>
        </m:oMath>
      </m:oMathPara>
    </w:p>
    <w:p>
      <w:pPr>
        <w:pStyle w:val="FirstParagraph"/>
        <w:spacing w:line="480" w:lineRule="auto"/>
      </w:pPr>
      <w:r>
        <w:t xml:space="preserve">where</w:t>
      </w:r>
      <w:r>
        <w:t xml:space="preserve"> </w:t>
      </w:r>
      <m:oMath>
        <m:r>
          <m:rPr>
            <m:sty m:val="p"/>
          </m:rPr>
          <m:t>Λ</m:t>
        </m:r>
      </m:oMath>
      <w:r>
        <w:t xml:space="preserve"> </w:t>
      </w:r>
      <w:r>
        <w:t xml:space="preserve">is the logistic link,</w:t>
      </w:r>
      <w:r>
        <w:t xml:space="preserve"> </w:t>
      </w:r>
      <m:oMath>
        <m:sSub>
          <m:e>
            <m:r>
              <m:t>α</m:t>
            </m:r>
          </m:e>
          <m:sub>
            <m:r>
              <m:t>s</m:t>
            </m:r>
          </m:sub>
        </m:sSub>
      </m:oMath>
      <w:r>
        <w:t xml:space="preserve"> </w:t>
      </w:r>
      <w:r>
        <w:t xml:space="preserve">are station-complex fixed effects,</w:t>
      </w:r>
      <w:r>
        <w:t xml:space="preserve"> </w:t>
      </w:r>
      <m:oMath>
        <m:sSub>
          <m:e>
            <m:r>
              <m:t>τ</m:t>
            </m:r>
          </m:e>
          <m:sub>
            <m:r>
              <m:t>t</m:t>
            </m:r>
          </m:sub>
        </m:sSub>
      </m:oMath>
      <w:r>
        <w:t xml:space="preserve"> </w:t>
      </w:r>
      <w:r>
        <w:t xml:space="preserve">are epoch fixed effects,</w:t>
      </w:r>
      <w:r>
        <w:t xml:space="preserve"> </w:t>
      </w:r>
      <m:oMath>
        <m:sSub>
          <m:e>
            <m:r>
              <m:t>θ</m:t>
            </m:r>
          </m:e>
          <m:sub>
            <m:r>
              <m:t>p</m:t>
            </m:r>
            <m:r>
              <m:rPr>
                <m:sty m:val="p"/>
              </m:rPr>
              <m:t>(</m:t>
            </m:r>
            <m:r>
              <m:t>i</m:t>
            </m:r>
            <m:r>
              <m:rPr>
                <m:sty m:val="p"/>
              </m:rPr>
              <m:t>)</m:t>
            </m:r>
          </m:sub>
        </m:sSub>
      </m:oMath>
      <w:r>
        <w:t xml:space="preserve"> </w:t>
      </w:r>
      <w:r>
        <w:t xml:space="preserve">are mission-priority-tier effects, and</w:t>
      </w:r>
      <w:r>
        <w:t xml:space="preserve"> </w:t>
      </w:r>
      <m:oMath>
        <m:r>
          <m:t>f</m:t>
        </m:r>
        <m:r>
          <m:rPr>
            <m:sty m:val="p"/>
          </m:rPr>
          <m:t>(</m:t>
        </m:r>
        <m:sSub>
          <m:e>
            <m:r>
              <m:t>U</m:t>
            </m:r>
          </m:e>
          <m:sub>
            <m:r>
              <m:t>s</m:t>
            </m:r>
            <m:r>
              <m:t>t</m:t>
            </m:r>
          </m:sub>
        </m:sSub>
        <m:r>
          <m:rPr>
            <m:sty m:val="p"/>
          </m:rPr>
          <m:t>)</m:t>
        </m:r>
      </m:oMath>
      <w:r>
        <w:t xml:space="preserve"> </w:t>
      </w:r>
      <w:r>
        <w:t xml:space="preserve">is a flexible function of mean utilization. The inclusion of</w:t>
      </w:r>
      <w:r>
        <w:t xml:space="preserve"> </w:t>
      </w:r>
      <m:oMath>
        <m:r>
          <m:t>f</m:t>
        </m:r>
        <m:r>
          <m:rPr>
            <m:sty m:val="p"/>
          </m:rPr>
          <m:t>(</m:t>
        </m:r>
        <m:sSub>
          <m:e>
            <m:r>
              <m:t>U</m:t>
            </m:r>
          </m:e>
          <m:sub>
            <m:r>
              <m:t>s</m:t>
            </m:r>
            <m:r>
              <m:t>t</m:t>
            </m:r>
          </m:sub>
        </m:sSub>
        <m:r>
          <m:rPr>
            <m:sty m:val="p"/>
          </m:rPr>
          <m:t>)</m:t>
        </m:r>
      </m:oMath>
      <w:r>
        <w:t xml:space="preserve"> </w:t>
      </w:r>
      <w:r>
        <w:t xml:space="preserve">alongside the linear</w:t>
      </w:r>
      <w:r>
        <w:t xml:space="preserve"> </w:t>
      </w:r>
      <m:oMath>
        <m:sSub>
          <m:e>
            <m:r>
              <m:t>U</m:t>
            </m:r>
          </m:e>
          <m:sub>
            <m:r>
              <m:t>s</m:t>
            </m:r>
            <m:r>
              <m:t>t</m:t>
            </m:r>
          </m:sub>
        </m:sSub>
      </m:oMath>
      <w:r>
        <w:t xml:space="preserve"> </w:t>
      </w:r>
      <w:r>
        <w:t xml:space="preserve">term is deliberate and load-bearing. The load-only account does not claim that deferral is linear in utilization; it claims that deferral is some smooth function of utilization alone. To give H0 its strongest possible form, mean load is entered flexibly, through a low-order polynomial and, in an alternative, through a spline, so that the concentration term must demonstrate explanatory power beyond any smooth load relationship rather than beyond a merely linear one. The coefficient of interest is</w:t>
      </w:r>
      <w:r>
        <w:t xml:space="preserve"> </w:t>
      </w:r>
      <m:oMath>
        <m:r>
          <m:t>β</m:t>
        </m:r>
      </m:oMath>
      <w:r>
        <w:t xml:space="preserve">. Under H0 the data should not reject</w:t>
      </w:r>
      <w:r>
        <w:t xml:space="preserve"> </w:t>
      </w:r>
      <m:oMath>
        <m:r>
          <m:t>β</m:t>
        </m:r>
        <m:r>
          <m:rPr>
            <m:sty m:val="p"/>
          </m:rPr>
          <m:t>=</m:t>
        </m:r>
        <m:r>
          <m:t>0</m:t>
        </m:r>
      </m:oMath>
      <w:r>
        <w:t xml:space="preserve">; under H1,</w:t>
      </w:r>
      <w:r>
        <w:t xml:space="preserve"> </w:t>
      </w:r>
      <m:oMath>
        <m:r>
          <m:t>β</m:t>
        </m:r>
        <m:r>
          <m:rPr>
            <m:sty m:val="p"/>
          </m:rPr>
          <m:t>&gt;</m:t>
        </m:r>
        <m:r>
          <m:t>0</m:t>
        </m:r>
      </m:oMath>
      <w:r>
        <w:t xml:space="preserve"> </w:t>
      </w:r>
      <w:r>
        <w:t xml:space="preserve">and survives the controls.</w:t>
      </w:r>
    </w:p>
    <w:p>
      <w:pPr>
        <w:pStyle w:val="BodyText"/>
        <w:spacing w:line="480" w:lineRule="auto"/>
        <w:ind w:firstLine="720"/>
      </w:pPr>
      <w:r>
        <w:t xml:space="preserve">Standard errors are clustered two ways, by station-complex and by epoch, because the error structure plausibly correlates within a complex (shared maintenance, shared array configuration, shared local weather at Goldstone, Madrid, and Canberra) and within an epoch (network-wide demand surges driven by simultaneous planetary geometry). Two-way clustering is the conservative choice given that both dimensions of dependence are present and neither nests the other. A linear-probability version of the same specification is reported in parallel to confirm that the result is not an artifact of the logistic functional form, since the fixed-effects logit and the linear-probability model recover the marginal effect through different machinery and a result present in only one of them would be suspect.</w:t>
      </w:r>
    </w:p>
    <w:bookmarkEnd w:id="99"/>
    <w:bookmarkStart w:id="100" w:name="X44eecdb217a861e4f5a921196eeb9b0c2efd574"/>
    <w:p>
      <w:pPr>
        <w:pStyle w:val="Heading3"/>
        <w:spacing w:line="480" w:lineRule="auto"/>
      </w:pPr>
      <w:r>
        <w:t xml:space="preserve">5.3.2 Robustness Specification: Discrete-Time Hazard</w:t>
      </w:r>
    </w:p>
    <w:p>
      <w:pPr>
        <w:pStyle w:val="FirstParagraph"/>
        <w:spacing w:line="480" w:lineRule="auto"/>
      </w:pPr>
      <w:r>
        <w:t xml:space="preserve">The binary outcome answers whether a contact is deferred but not whether concentration delays allocation as opposed to merely denying it. A concentration account that is correct should predict longer waits to first allocated track in concentrated windows, not only higher denial. To test this, a discrete-time hazard model is fit to the latency between request and first allocated track. The hazard of allocation in interval</w:t>
      </w:r>
      <w:r>
        <w:t xml:space="preserve"> </w:t>
      </w:r>
      <m:oMath>
        <m:r>
          <m:t>k</m:t>
        </m:r>
      </m:oMath>
      <w:r>
        <w:t xml:space="preserve">, conditional on not yet having been allocated, is modeled as</w:t>
      </w:r>
    </w:p>
    <w:p>
      <w:pPr>
        <w:pStyle w:val="BodyText"/>
        <w:spacing w:line="480" w:lineRule="auto"/>
        <w:ind w:firstLine="720"/>
      </w:pPr>
      <m:oMathPara>
        <m:oMathParaPr>
          <m:jc m:val="center"/>
        </m:oMathParaPr>
        <m:oMath>
          <m:sSub>
            <m:e>
              <m:r>
                <m:t>h</m:t>
              </m:r>
            </m:e>
            <m:sub>
              <m:r>
                <m:t>i</m:t>
              </m:r>
              <m:r>
                <m:t>k</m:t>
              </m:r>
            </m:sub>
          </m:sSub>
          <m:r>
            <m:rPr>
              <m:sty m:val="p"/>
            </m:rPr>
            <m:t>=</m:t>
          </m:r>
          <m:r>
            <m:rPr>
              <m:sty m:val="p"/>
            </m:rPr>
            <m:t>Λ</m:t>
          </m:r>
          <m:d>
            <m:dPr>
              <m:begChr m:val="("/>
              <m:sepChr m:val=""/>
              <m:endChr m:val=")"/>
              <m:grow/>
            </m:dPr>
            <m:e>
              <m:r>
                <m:t>η</m:t>
              </m:r>
              <m:sSub>
                <m:e>
                  <m:r>
                    <m:t>C</m:t>
                  </m:r>
                </m:e>
                <m:sub>
                  <m:r>
                    <m:t>i</m:t>
                  </m:r>
                  <m:r>
                    <m:t>k</m:t>
                  </m:r>
                </m:sub>
              </m:sSub>
              <m:r>
                <m:rPr>
                  <m:sty m:val="p"/>
                </m:rPr>
                <m:t>+</m:t>
              </m:r>
              <m:r>
                <m:t>γ</m:t>
              </m:r>
              <m:sSub>
                <m:e>
                  <m:r>
                    <m:t>U</m:t>
                  </m:r>
                </m:e>
                <m:sub>
                  <m:r>
                    <m:t>i</m:t>
                  </m:r>
                  <m:r>
                    <m:t>k</m:t>
                  </m:r>
                </m:sub>
              </m:sSub>
              <m:r>
                <m:rPr>
                  <m:sty m:val="p"/>
                </m:rPr>
                <m:t>+</m:t>
              </m:r>
              <m:sSub>
                <m:e>
                  <m:r>
                    <m:t>κ</m:t>
                  </m:r>
                </m:e>
                <m:sub>
                  <m:r>
                    <m:t>k</m:t>
                  </m:r>
                </m:sub>
              </m:sSub>
              <m:r>
                <m:rPr>
                  <m:sty m:val="p"/>
                </m:rPr>
                <m:t>+</m:t>
              </m:r>
              <m:sSub>
                <m:e>
                  <m:r>
                    <m:t>α</m:t>
                  </m:r>
                </m:e>
                <m:sub>
                  <m:r>
                    <m:t>s</m:t>
                  </m:r>
                </m:sub>
              </m:sSub>
              <m:r>
                <m:rPr>
                  <m:sty m:val="p"/>
                </m:rPr>
                <m:t>+</m:t>
              </m:r>
              <m:sSub>
                <m:e>
                  <m:r>
                    <m:t>θ</m:t>
                  </m:r>
                </m:e>
                <m:sub>
                  <m:r>
                    <m:t>p</m:t>
                  </m:r>
                  <m:r>
                    <m:rPr>
                      <m:sty m:val="p"/>
                    </m:rPr>
                    <m:t>(</m:t>
                  </m:r>
                  <m:r>
                    <m:t>i</m:t>
                  </m:r>
                  <m:r>
                    <m:rPr>
                      <m:sty m:val="p"/>
                    </m:rPr>
                    <m:t>)</m:t>
                  </m:r>
                </m:sub>
              </m:sSub>
            </m:e>
          </m:d>
          <m:r>
            <m:rPr>
              <m:sty m:val="p"/>
            </m:rPr>
            <m:t>,</m:t>
          </m:r>
        </m:oMath>
      </m:oMathPara>
    </w:p>
    <w:p>
      <w:pPr>
        <w:pStyle w:val="FirstParagraph"/>
        <w:spacing w:line="480" w:lineRule="auto"/>
      </w:pPr>
      <w:r>
        <w:t xml:space="preserve">where</w:t>
      </w:r>
      <w:r>
        <w:t xml:space="preserve"> </w:t>
      </w:r>
      <m:oMath>
        <m:sSub>
          <m:e>
            <m:r>
              <m:t>κ</m:t>
            </m:r>
          </m:e>
          <m:sub>
            <m:r>
              <m:t>k</m:t>
            </m:r>
          </m:sub>
        </m:sSub>
      </m:oMath>
      <w:r>
        <w:t xml:space="preserve"> </w:t>
      </w:r>
      <w:r>
        <w:t xml:space="preserve">is a flexible baseline-hazard term capturing duration dependence and</w:t>
      </w:r>
      <w:r>
        <w:t xml:space="preserve"> </w:t>
      </w:r>
      <m:oMath>
        <m:sSub>
          <m:e>
            <m:r>
              <m:t>C</m:t>
            </m:r>
          </m:e>
          <m:sub>
            <m:r>
              <m:t>i</m:t>
            </m:r>
            <m:r>
              <m:t>k</m:t>
            </m:r>
          </m:sub>
        </m:sSub>
      </m:oMath>
      <w:r>
        <w:t xml:space="preserve"> </w:t>
      </w:r>
      <w:r>
        <w:t xml:space="preserve">is the concentration index entered as a time-varying covariate that updates as the window evolves. A negative</w:t>
      </w:r>
      <w:r>
        <w:t xml:space="preserve"> </w:t>
      </w:r>
      <m:oMath>
        <m:r>
          <m:t>η</m:t>
        </m:r>
      </m:oMath>
      <w:r>
        <w:t xml:space="preserve">, indicating that higher concentration lowers the per-interval probability of being served, is the survival-model expression of the same structural claim that the logit’s positive</w:t>
      </w:r>
      <w:r>
        <w:t xml:space="preserve"> </w:t>
      </w:r>
      <m:oMath>
        <m:r>
          <m:t>β</m:t>
        </m:r>
      </m:oMath>
      <w:r>
        <w:t xml:space="preserve"> </w:t>
      </w:r>
      <w:r>
        <w:t xml:space="preserve">encodes. Requiring the two to agree in sign disciplines the inference: deferral and delay are two faces of the same contention, and a genuine concentration effect should appear in both. Discrete time rather than a continuous Cox specification is appropriate because the schedule is itself discretized into windows and tracks, so the natural time index is the scheduling interval, and ties in allocation time are structural rather than a nuisance to be broken.</w:t>
      </w:r>
    </w:p>
    <w:bookmarkEnd w:id="100"/>
    <w:bookmarkStart w:id="101" w:name="placebo-specification"/>
    <w:p>
      <w:pPr>
        <w:pStyle w:val="Heading3"/>
        <w:spacing w:line="480" w:lineRule="auto"/>
      </w:pPr>
      <w:r>
        <w:t xml:space="preserve">5.3.3 Placebo Specification</w:t>
      </w:r>
    </w:p>
    <w:p>
      <w:pPr>
        <w:pStyle w:val="FirstParagraph"/>
        <w:spacing w:line="480" w:lineRule="auto"/>
      </w:pPr>
      <w:r>
        <w:t xml:space="preserve">The third estimator is not a robustness check on magnitude but a falsification test on mechanism. The concentration index is recomputed using non-competing low-priority requests, that is, requests that do not contend for the same scarce apertures and that the allocation rule does not weigh against the focal contact. Under both H0 and H1 this placebo index should carry no effect, because low-priority non-competing demand does not displace a high-priority contact from its first-choice window. A null placebo coefficient is the evidence that the primary</w:t>
      </w:r>
      <w:r>
        <w:t xml:space="preserve"> </w:t>
      </w:r>
      <m:oMath>
        <m:r>
          <m:t>β</m:t>
        </m:r>
      </m:oMath>
      <w:r>
        <w:t xml:space="preserve"> </w:t>
      </w:r>
      <w:r>
        <w:t xml:space="preserve">reflects genuine rivalrous contention rather than a spurious correlate of busy epochs, for example seasonal mission activity that raises both low-priority filing and high-priority deferral without any causal path between them. A non-null placebo would invalidate the primary specification by revealing that the concentration index is proxying for something other than rivalry, and the analysis treats a failed placebo as fatal to the identifying claim rather than as a finding to be explained away.</w:t>
      </w:r>
    </w:p>
    <w:bookmarkEnd w:id="101"/>
    <w:bookmarkStart w:id="102" w:name="the-discriminating-result"/>
    <w:p>
      <w:pPr>
        <w:pStyle w:val="Heading3"/>
        <w:spacing w:line="480" w:lineRule="auto"/>
      </w:pPr>
      <w:r>
        <w:t xml:space="preserve">5.3.4 The Discriminating Result</w:t>
      </w:r>
    </w:p>
    <w:p>
      <w:pPr>
        <w:pStyle w:val="FirstParagraph"/>
        <w:spacing w:line="480" w:lineRule="auto"/>
      </w:pPr>
      <w:r>
        <w:t xml:space="preserve">The hypotheses are decided jointly, not by any single coefficient. H1 is rejected if the concentration term is null in the primary logit once flexible mean load is controlled. H0 is rejected only if the concentration term is positive and significant in the logit, is matched by a negative and significant hazard coefficient, is null in the placebo, and is stable in sign and significance across all three concentration definitions of Section 5.2. This conjunction is demanding by design. Because the two accounts make opposite predictions about equal-load windows, the data can in principle adjudicate between them, but the dissertation commits in advance to the full battery so that neither hypothesis can be rejected on the strength of a single fragile estimate.</w:t>
      </w:r>
    </w:p>
    <w:bookmarkEnd w:id="102"/>
    <w:bookmarkEnd w:id="103"/>
    <w:bookmarkStart w:id="107" w:name="identification-strategy"/>
    <w:p>
      <w:pPr>
        <w:pStyle w:val="Heading2"/>
        <w:spacing w:line="480" w:lineRule="auto"/>
      </w:pPr>
      <w:r>
        <w:t xml:space="preserve">5.4 Identification Strategy</w:t>
      </w:r>
    </w:p>
    <w:p>
      <w:pPr>
        <w:pStyle w:val="FirstParagraph"/>
        <w:spacing w:line="480" w:lineRule="auto"/>
      </w:pPr>
      <w:r>
        <w:t xml:space="preserve">The credibility of</w:t>
      </w:r>
      <w:r>
        <w:t xml:space="preserve"> </w:t>
      </w:r>
      <m:oMath>
        <m:r>
          <m:t>β</m:t>
        </m:r>
      </m:oMath>
      <w:r>
        <w:t xml:space="preserve"> </w:t>
      </w:r>
      <w:r>
        <w:t xml:space="preserve">as the marginal effect of concentration, rather than as a correlate of something the analyst failed to control, rests on two structural features of the Deep Space Network: a fixed supply and a geometrically exogenous arrival process. Each deserves a precise statement.</w:t>
      </w:r>
    </w:p>
    <w:bookmarkStart w:id="104" w:name="supply-side-fixity"/>
    <w:p>
      <w:pPr>
        <w:pStyle w:val="Heading3"/>
        <w:spacing w:line="480" w:lineRule="auto"/>
      </w:pPr>
      <w:r>
        <w:t xml:space="preserve">5.4.1 Supply-Side Fixity</w:t>
      </w:r>
    </w:p>
    <w:p>
      <w:pPr>
        <w:pStyle w:val="FirstParagraph"/>
        <w:spacing w:line="480" w:lineRule="auto"/>
      </w:pPr>
      <w:r>
        <w:t xml:space="preserve">Within a scheduling cycle the supply of antenna-hours is fixed by station count and aperture class. New 34-meter and 70-meter apertures take years to commission, and the count of usable stations at any complex does not respond to a single mission’s request inside the cycle being scheduled</w:t>
      </w:r>
      <w:r>
        <w:t xml:space="preserve"> </w:t>
      </w:r>
      <w:hyperlink w:anchor="ref-8">
        <w:r>
          <w:rPr>
            <w:rStyle w:val="Hyperlink"/>
          </w:rPr>
          <w:t xml:space="preserve">[8]</w:t>
        </w:r>
      </w:hyperlink>
      <w:r>
        <w:t xml:space="preserve">[9]. The aperture-enhancement and calibration record confirms that capacity changes occur on multi-year engineering timescales, not on the timescale of an individual allocation decision</w:t>
      </w:r>
      <w:r>
        <w:t xml:space="preserve"> </w:t>
      </w:r>
      <w:hyperlink w:anchor="ref-10">
        <w:r>
          <w:rPr>
            <w:rStyle w:val="Hyperlink"/>
          </w:rPr>
          <w:t xml:space="preserve">[10]</w:t>
        </w:r>
      </w:hyperlink>
      <w:r>
        <w:t xml:space="preserve">. This fixity is what makes the contention well-posed: the denominator in mean utilization is a constant of the cycle, and the rivalry a request imposes is a rivalry over a pool that cannot expand to accommodate it. Supply does not respond to demand on the relevant timescale, so reverse causation from a mission’s request to the available antenna-hours is ruled out by construction.</w:t>
      </w:r>
    </w:p>
    <w:bookmarkEnd w:id="104"/>
    <w:bookmarkStart w:id="105" w:name="demand-side-exogeneity"/>
    <w:p>
      <w:pPr>
        <w:pStyle w:val="Heading3"/>
        <w:spacing w:line="480" w:lineRule="auto"/>
      </w:pPr>
      <w:r>
        <w:t xml:space="preserve">5.4.2 Demand-Side Exogeneity</w:t>
      </w:r>
    </w:p>
    <w:p>
      <w:pPr>
        <w:pStyle w:val="FirstParagraph"/>
        <w:spacing w:line="480" w:lineRule="auto"/>
      </w:pPr>
      <w:r>
        <w:t xml:space="preserve">The harder identification problem is the possible endogeneity of concentration itself. If missions strategically filed their requests in anticipation of contention, then concentration would be an equilibrium outcome correlated with unobserved determinants of deferral, and</w:t>
      </w:r>
      <w:r>
        <w:t xml:space="preserve"> </w:t>
      </w:r>
      <m:oMath>
        <m:r>
          <m:t>β</m:t>
        </m:r>
      </m:oMath>
      <w:r>
        <w:t xml:space="preserve"> </w:t>
      </w:r>
      <w:r>
        <w:t xml:space="preserve">would not have a causal reading. The identifying argument is that they cannot, because the demand frame is geometry, not filing behavior. A mission’s favorable view periods are set by orbital mechanics determined years in advance, fixed by the relative motion of Earth and the spacecraft and by the station horizon masks, and entirely independent of the network’s contention state</w:t>
      </w:r>
      <w:r>
        <w:t xml:space="preserve"> </w:t>
      </w:r>
      <w:hyperlink w:anchor="ref-11">
        <w:r>
          <w:rPr>
            <w:rStyle w:val="Hyperlink"/>
          </w:rPr>
          <w:t xml:space="preserve">[11]</w:t>
        </w:r>
      </w:hyperlink>
      <w:r>
        <w:t xml:space="preserve">. Concentration in a given window therefore arises from the coincidence of independently scheduled missions’ geometry rather than from any mission’s response to expected congestion. The clustering of high-priority view periods in a narrow window is, in the language of the design, a roll of the orbital dice: it is produced by the independent ephemerides of missions that did not coordinate their trajectories around the DSN schedule.</w:t>
      </w:r>
    </w:p>
    <w:p>
      <w:pPr>
        <w:pStyle w:val="BodyText"/>
        <w:spacing w:line="480" w:lineRule="auto"/>
        <w:ind w:firstLine="720"/>
      </w:pPr>
      <w:r>
        <w:t xml:space="preserve">This is why Section 5.2 anchors the outcome on published view periods rather than on the filed request list. The view-period record is the geometric opportunity set, and because it is determined by celestial mechanics it is conditionally exogenous to a single request’s deferral once mean load and station fixed effects are absorbed. Formally, the identifying assumption is that</w:t>
      </w:r>
      <w:r>
        <w:t xml:space="preserve"> </w:t>
      </w:r>
      <m:oMath>
        <m:sSub>
          <m:e>
            <m:r>
              <m:t>C</m:t>
            </m:r>
          </m:e>
          <m:sub>
            <m:r>
              <m:t>i</m:t>
            </m:r>
            <m:r>
              <m:t>s</m:t>
            </m:r>
            <m:r>
              <m:t>t</m:t>
            </m:r>
          </m:sub>
        </m:sSub>
      </m:oMath>
      <w:r>
        <w:t xml:space="preserve"> </w:t>
      </w:r>
      <w:r>
        <w:t xml:space="preserve">is mean-independent of</w:t>
      </w:r>
      <w:r>
        <w:t xml:space="preserve"> </w:t>
      </w:r>
      <m:oMath>
        <m:sSub>
          <m:e>
            <m:r>
              <m:t>ε</m:t>
            </m:r>
          </m:e>
          <m:sub>
            <m:r>
              <m:t>i</m:t>
            </m:r>
            <m:r>
              <m:t>s</m:t>
            </m:r>
            <m:r>
              <m:t>t</m:t>
            </m:r>
          </m:sub>
        </m:sSub>
      </m:oMath>
      <w:r>
        <w:t xml:space="preserve"> </w:t>
      </w:r>
      <w:r>
        <w:t xml:space="preserve">conditional on</w:t>
      </w:r>
      <w:r>
        <w:t xml:space="preserve"> </w:t>
      </w:r>
      <m:oMath>
        <m:sSub>
          <m:e>
            <m:r>
              <m:t>U</m:t>
            </m:r>
          </m:e>
          <m:sub>
            <m:r>
              <m:t>s</m:t>
            </m:r>
            <m:r>
              <m:t>t</m:t>
            </m:r>
          </m:sub>
        </m:sSub>
      </m:oMath>
      <w:r>
        <w:t xml:space="preserve">,</w:t>
      </w:r>
      <w:r>
        <w:t xml:space="preserve"> </w:t>
      </w:r>
      <m:oMath>
        <m:sSub>
          <m:e>
            <m:r>
              <m:t>α</m:t>
            </m:r>
          </m:e>
          <m:sub>
            <m:r>
              <m:t>s</m:t>
            </m:r>
          </m:sub>
        </m:sSub>
      </m:oMath>
      <w:r>
        <w:t xml:space="preserve">,</w:t>
      </w:r>
      <w:r>
        <w:t xml:space="preserve"> </w:t>
      </w:r>
      <m:oMath>
        <m:sSub>
          <m:e>
            <m:r>
              <m:t>τ</m:t>
            </m:r>
          </m:e>
          <m:sub>
            <m:r>
              <m:t>t</m:t>
            </m:r>
          </m:sub>
        </m:sSub>
      </m:oMath>
      <w:r>
        <w:t xml:space="preserve">, and</w:t>
      </w:r>
      <w:r>
        <w:t xml:space="preserve"> </w:t>
      </w:r>
      <m:oMath>
        <m:sSub>
          <m:e>
            <m:r>
              <m:t>θ</m:t>
            </m:r>
          </m:e>
          <m:sub>
            <m:r>
              <m:t>p</m:t>
            </m:r>
            <m:r>
              <m:rPr>
                <m:sty m:val="p"/>
              </m:rPr>
              <m:t>(</m:t>
            </m:r>
            <m:r>
              <m:t>i</m:t>
            </m:r>
            <m:r>
              <m:rPr>
                <m:sty m:val="p"/>
              </m:rPr>
              <m:t>)</m:t>
            </m:r>
          </m:sub>
        </m:sSub>
      </m:oMath>
      <w:r>
        <w:t xml:space="preserve">. The geometry argument is the substantive content of that assumption: conditional on how busy the pool is, how the busyness is distributed across the window is a function of exogenous orbital phase, not of strategic positioning. The HORIZONS cross-check in Section 5.2 exists to verify this premise directly, confirming that the view periods used to build the concentration index track the independently computed ephemerides rather than any negotiated or anticipatory adjustment.</w:t>
      </w:r>
    </w:p>
    <w:bookmarkEnd w:id="105"/>
    <w:bookmarkStart w:id="106" w:name="what-the-fixed-effects-absorb"/>
    <w:p>
      <w:pPr>
        <w:pStyle w:val="Heading3"/>
        <w:spacing w:line="480" w:lineRule="auto"/>
      </w:pPr>
      <w:r>
        <w:t xml:space="preserve">5.4.3 What the Fixed Effects Absorb</w:t>
      </w:r>
    </w:p>
    <w:p>
      <w:pPr>
        <w:pStyle w:val="FirstParagraph"/>
        <w:spacing w:line="480" w:lineRule="auto"/>
      </w:pPr>
      <w:r>
        <w:t xml:space="preserve">The fixed effects are not decorative. Station-complex effects</w:t>
      </w:r>
      <w:r>
        <w:t xml:space="preserve"> </w:t>
      </w:r>
      <m:oMath>
        <m:sSub>
          <m:e>
            <m:r>
              <m:t>α</m:t>
            </m:r>
          </m:e>
          <m:sub>
            <m:r>
              <m:t>s</m:t>
            </m:r>
          </m:sub>
        </m:sSub>
      </m:oMath>
      <w:r>
        <w:t xml:space="preserve"> </w:t>
      </w:r>
      <w:r>
        <w:t xml:space="preserve">absorb time-invariant differences in aperture mix, local climate, and array configuration across Goldstone, Madrid, and Canberra, so the comparison is within a complex rather than across complexes with different inherent contention. Epoch effects</w:t>
      </w:r>
      <w:r>
        <w:t xml:space="preserve"> </w:t>
      </w:r>
      <m:oMath>
        <m:sSub>
          <m:e>
            <m:r>
              <m:t>τ</m:t>
            </m:r>
          </m:e>
          <m:sub>
            <m:r>
              <m:t>t</m:t>
            </m:r>
          </m:sub>
        </m:sSub>
      </m:oMath>
      <w:r>
        <w:t xml:space="preserve"> </w:t>
      </w:r>
      <w:r>
        <w:t xml:space="preserve">absorb network-wide demand surges, so a season in which many missions are simultaneously at favorable geometry does not by itself load onto the concentration coefficient. Mission-priority-tier effects</w:t>
      </w:r>
      <w:r>
        <w:t xml:space="preserve"> </w:t>
      </w:r>
      <m:oMath>
        <m:sSub>
          <m:e>
            <m:r>
              <m:t>θ</m:t>
            </m:r>
          </m:e>
          <m:sub>
            <m:r>
              <m:t>p</m:t>
            </m:r>
            <m:r>
              <m:rPr>
                <m:sty m:val="p"/>
              </m:rPr>
              <m:t>(</m:t>
            </m:r>
            <m:r>
              <m:t>i</m:t>
            </m:r>
            <m:r>
              <m:rPr>
                <m:sty m:val="p"/>
              </m:rPr>
              <m:t>)</m:t>
            </m:r>
          </m:sub>
        </m:sSub>
      </m:oMath>
      <w:r>
        <w:t xml:space="preserve"> </w:t>
      </w:r>
      <w:r>
        <w:t xml:space="preserve">absorb the administrative assignment of priority, which is the most worrying confounder and is treated at length in Section 5.5. With these absorbed, the residual variation in concentration that identifies</w:t>
      </w:r>
      <w:r>
        <w:t xml:space="preserve"> </w:t>
      </w:r>
      <m:oMath>
        <m:r>
          <m:t>β</m:t>
        </m:r>
      </m:oMath>
      <w:r>
        <w:t xml:space="preserve"> </w:t>
      </w:r>
      <w:r>
        <w:t xml:space="preserve">is the variation in how tightly independently determined geometry happens to cluster, within a complex, within an epoch, and within a priority tier. That residual variation is the orbital-coincidence variation the design seeks to exploit.</w:t>
      </w:r>
    </w:p>
    <w:bookmarkEnd w:id="106"/>
    <w:bookmarkEnd w:id="107"/>
    <w:bookmarkStart w:id="112" w:name="threats-to-validity-and-their-bounds"/>
    <w:p>
      <w:pPr>
        <w:pStyle w:val="Heading2"/>
        <w:spacing w:line="480" w:lineRule="auto"/>
      </w:pPr>
      <w:r>
        <w:t xml:space="preserve">5.5 Threats to Validity and Their Bounds</w:t>
      </w:r>
    </w:p>
    <w:p>
      <w:pPr>
        <w:pStyle w:val="FirstParagraph"/>
        <w:spacing w:line="480" w:lineRule="auto"/>
      </w:pPr>
      <w:r>
        <w:t xml:space="preserve">Four threats are material to the identifying claim. The discipline of the chapter is that each is met not with a disclaimer but with a specific bound, correction, or test that either neutralizes it or quantifies its residual influence.</w:t>
      </w:r>
    </w:p>
    <w:bookmarkStart w:id="108" w:name="self-censored-demand"/>
    <w:p>
      <w:pPr>
        <w:pStyle w:val="Heading3"/>
        <w:spacing w:line="480" w:lineRule="auto"/>
      </w:pPr>
      <w:r>
        <w:t xml:space="preserve">5.5.1 Self-Censored Demand</w:t>
      </w:r>
    </w:p>
    <w:p>
      <w:pPr>
        <w:pStyle w:val="FirstParagraph"/>
        <w:spacing w:line="480" w:lineRule="auto"/>
      </w:pPr>
      <w:r>
        <w:t xml:space="preserve">The first threat is that the observed schedule reflects an allocation that may already have absorbed informal negotiation. If missions self-censor requests they expect to lose, a deferral recorded in the feed understates true contention, and the estimated</w:t>
      </w:r>
      <w:r>
        <w:t xml:space="preserve"> </w:t>
      </w:r>
      <m:oMath>
        <m:r>
          <m:t>β</m:t>
        </m:r>
      </m:oMath>
      <w:r>
        <w:t xml:space="preserve"> </w:t>
      </w:r>
      <w:r>
        <w:t xml:space="preserve">is biased toward zero because the most contested windows are precisely the ones where suppressed requests never appear. The bound follows directly from the demand-frame choice. By anchoring the demand frame on the published view periods, which are geometry-driven and not negotiated, rather than on the filed request list, the analysis counts the geometric opportunity to contend whether or not a mission chose to file against it. Self-censorship removes filings, not view periods, so the concentration index built on view periods is insulated from it. To the extent any residual attenuation remains, it makes the estimate conservative: a positive and significant</w:t>
      </w:r>
      <w:r>
        <w:t xml:space="preserve"> </w:t>
      </w:r>
      <m:oMath>
        <m:r>
          <m:t>β</m:t>
        </m:r>
      </m:oMath>
      <w:r>
        <w:t xml:space="preserve"> </w:t>
      </w:r>
      <w:r>
        <w:t xml:space="preserve">obtained against a frame that cannot be inflated by suppressed demand is a lower bound on the true concentration effect, which strengthens rather than weakens a rejection of H0. Prioritization studies confirm that such suppression and re-prioritization is a real feature of network operations, which is exactly why the design refuses to take the filed list as the demand frame</w:t>
      </w:r>
      <w:r>
        <w:t xml:space="preserve"> </w:t>
      </w:r>
      <w:hyperlink w:anchor="ref-14">
        <w:r>
          <w:rPr>
            <w:rStyle w:val="Hyperlink"/>
          </w:rPr>
          <w:t xml:space="preserve">[14]</w:t>
        </w:r>
      </w:hyperlink>
      <w:r>
        <w:t xml:space="preserve">.</w:t>
      </w:r>
    </w:p>
    <w:bookmarkEnd w:id="108"/>
    <w:bookmarkStart w:id="109" w:name="endogenous-priority-tiers"/>
    <w:p>
      <w:pPr>
        <w:pStyle w:val="Heading3"/>
        <w:spacing w:line="480" w:lineRule="auto"/>
      </w:pPr>
      <w:r>
        <w:t xml:space="preserve">5.5.2 Endogenous Priority Tiers</w:t>
      </w:r>
    </w:p>
    <w:p>
      <w:pPr>
        <w:pStyle w:val="FirstParagraph"/>
        <w:spacing w:line="480" w:lineRule="auto"/>
      </w:pPr>
      <w:r>
        <w:t xml:space="preserve">The second threat is that priority tiers are administratively assigned and may correlate with both concentration and deferral. If high-priority missions are systematically scheduled into already-busy windows, the priority assignment confounds the concentration coefficient. This is addressed on two fronts. First, mission-priority-tier fixed effects</w:t>
      </w:r>
      <w:r>
        <w:t xml:space="preserve"> </w:t>
      </w:r>
      <m:oMath>
        <m:sSub>
          <m:e>
            <m:r>
              <m:t>θ</m:t>
            </m:r>
          </m:e>
          <m:sub>
            <m:r>
              <m:t>p</m:t>
            </m:r>
            <m:r>
              <m:rPr>
                <m:sty m:val="p"/>
              </m:rPr>
              <m:t>(</m:t>
            </m:r>
            <m:r>
              <m:t>i</m:t>
            </m:r>
            <m:r>
              <m:rPr>
                <m:sty m:val="p"/>
              </m:rPr>
              <m:t>)</m:t>
            </m:r>
          </m:sub>
        </m:sSub>
      </m:oMath>
      <w:r>
        <w:t xml:space="preserve"> </w:t>
      </w:r>
      <w:r>
        <w:t xml:space="preserve">hold the assignment constant, so the identifying variation is within a tier rather than across tiers, and a tier that is both more concentrated and more deferred cannot drive</w:t>
      </w:r>
      <w:r>
        <w:t xml:space="preserve"> </w:t>
      </w:r>
      <m:oMath>
        <m:r>
          <m:t>β</m:t>
        </m:r>
      </m:oMath>
      <w:r>
        <w:t xml:space="preserve"> </w:t>
      </w:r>
      <w:r>
        <w:t xml:space="preserve">because its level is differenced out. Second, the low-priority placebo of Section 5.3.3 provides an independent check: if the result were an artifact of the priority-assignment process rather than of rivalry, the placebo index built on non-competing low-priority requests would itself carry a spurious effect, and it should not. The combination of absorbing the tier and falsifying on a tier that should be inert bounds the threat from both the level and the mechanism side. The scheduling literature that documents how prioritization and learned allocation policies interact with mission traffic is the reason this threat is treated as first-order rather than incidental</w:t>
      </w:r>
      <w:r>
        <w:t xml:space="preserve"> </w:t>
      </w:r>
      <w:hyperlink w:anchor="ref-14">
        <w:r>
          <w:rPr>
            <w:rStyle w:val="Hyperlink"/>
          </w:rPr>
          <w:t xml:space="preserve">[14]</w:t>
        </w:r>
      </w:hyperlink>
      <w:r>
        <w:t xml:space="preserve">[15].</w:t>
      </w:r>
    </w:p>
    <w:bookmarkEnd w:id="109"/>
    <w:bookmarkStart w:id="110" w:name="imperfectly-fixed-supply"/>
    <w:p>
      <w:pPr>
        <w:pStyle w:val="Heading3"/>
        <w:spacing w:line="480" w:lineRule="auto"/>
      </w:pPr>
      <w:r>
        <w:t xml:space="preserve">5.5.3 Imperfectly Fixed Supply</w:t>
      </w:r>
    </w:p>
    <w:p>
      <w:pPr>
        <w:pStyle w:val="FirstParagraph"/>
        <w:spacing w:line="480" w:lineRule="auto"/>
      </w:pPr>
      <w:r>
        <w:t xml:space="preserve">The third threat is that supply is not perfectly fixed within longer horizons. Maintenance downtime and array reconfiguration change the effective server pool, so the denominator of mean utilization is not a true constant over an extended record, and an unmodeled outage could manufacture apparent contention that the concentration index then absorbs. The correction is layered. Epoch and station fixed effects absorb the systematic component of this variation, since a complex that is chronically degraded or an epoch with a scheduled campaign of maintenance is differenced out. On top of the fixed effects, explicit downtime flags mark the windows in which an aperture was unavailable for maintenance or reconfiguration, so that an outage-driven reduction in supply enters the model directly rather than being misattributed to concentrated demand. The aperture-enhancement and calibration record provides the documentation needed to date these configuration changes and to confirm that they occur on engineering timescales separable from the within-cycle allocation decisions the model studies</w:t>
      </w:r>
      <w:r>
        <w:t xml:space="preserve"> </w:t>
      </w:r>
      <w:hyperlink w:anchor="ref-10">
        <w:r>
          <w:rPr>
            <w:rStyle w:val="Hyperlink"/>
          </w:rPr>
          <w:t xml:space="preserve">[10]</w:t>
        </w:r>
      </w:hyperlink>
      <w:r>
        <w:t xml:space="preserve">. The residual threat, an undocumented short outage, is bounded by the fact that such an event would have to be correlated with the orbital-coincidence variation in concentration to bias</w:t>
      </w:r>
      <w:r>
        <w:t xml:space="preserve"> </w:t>
      </w:r>
      <m:oMath>
        <m:r>
          <m:t>β</m:t>
        </m:r>
      </m:oMath>
      <w:r>
        <w:t xml:space="preserve">, and there is no mechanism by which random equipment failure tracks planetary geometry.</w:t>
      </w:r>
    </w:p>
    <w:bookmarkEnd w:id="110"/>
    <w:bookmarkStart w:id="111" w:name="constructed-regressor-fragility"/>
    <w:p>
      <w:pPr>
        <w:pStyle w:val="Heading3"/>
        <w:spacing w:line="480" w:lineRule="auto"/>
      </w:pPr>
      <w:r>
        <w:t xml:space="preserve">5.5.4 Constructed-Regressor Fragility</w:t>
      </w:r>
    </w:p>
    <w:p>
      <w:pPr>
        <w:pStyle w:val="FirstParagraph"/>
        <w:spacing w:line="480" w:lineRule="auto"/>
      </w:pPr>
      <w:r>
        <w:t xml:space="preserve">The fourth threat is that the concentration index is a constructed regressor whose functional form could itself drive the result. A finding that appears only under one definition of concentration is a finding about the analyst’s arithmetic, not about the network. This is the threat the three-definition battery of Section 5.2 exists to meet. The discriminating coefficient is reported under the count-based, Herfindahl-style, and overlap-duration definitions, and the analysis requires it to be stable in sign and significance across all three before either hypothesis is rejected. Because the three definitions weight the same underlying contention differently, a count index emphasizing how many requests compete, a Herfindahl index emphasizing how unequally they claim the contested hours, and an overlap-duration index emphasizing how temporally dense the competition is, agreement across them is evidence that the result tracks a real structural feature rather than an artifact of one weighting choice. Disagreement among them would be reported as a failure to identify a robust concentration effect, not papered over by selecting the most favorable definition.</w:t>
      </w:r>
    </w:p>
    <w:bookmarkEnd w:id="111"/>
    <w:bookmarkEnd w:id="112"/>
    <w:bookmarkStart w:id="113" w:name="summary-of-the-identifying-logic"/>
    <w:p>
      <w:pPr>
        <w:pStyle w:val="Heading2"/>
        <w:spacing w:line="480" w:lineRule="auto"/>
      </w:pPr>
      <w:r>
        <w:t xml:space="preserve">5.6 Summary of the Identifying Logic</w:t>
      </w:r>
    </w:p>
    <w:p>
      <w:pPr>
        <w:pStyle w:val="FirstParagraph"/>
        <w:spacing w:line="480" w:lineRule="auto"/>
      </w:pPr>
      <w:r>
        <w:t xml:space="preserve">The chapter’s machinery can be stated in one sentence: it tests whether, within a complex, within an epoch, within a priority tier, and conditional on a flexible function of mean load, the orbital-coincidence clustering of high-priority view periods raises the probability and the latency of deferral, and it requires that effect to appear in a logit, to be matched by a hazard model, to vanish in a low-priority placebo, and to hold across three independent constructions of concentration before it will reject the load-only account. The supply-side fixity that makes the contention well-posed and the geometric exogeneity that makes concentration a roll of the orbital dice are the twin pillars of identification; the four threats of Section 5.5 are each met with a bound that either neutralizes the bias or signs it conservatively. The estimators of this chapter take as inputs the per-mission service requirements established earlier, the distance-driven load of the first paper and the power-and-range extraction surface of the second, and convert them into a falsifiable statement about who, in a congested common with fixed supply and unpriced access, is made to wait.</w:t>
      </w:r>
    </w:p>
    <w:bookmarkEnd w:id="113"/>
    <w:bookmarkEnd w:id="114"/>
    <w:bookmarkStart w:id="129" w:name="chapter-6.-results"/>
    <w:p>
      <w:pPr>
        <w:pStyle w:val="Heading1"/>
        <w:spacing w:line="480" w:lineRule="auto"/>
      </w:pPr>
      <w:r>
        <w:t xml:space="preserve">Chapter 6. Results</w:t>
      </w:r>
    </w:p>
    <w:bookmarkStart w:id="115" w:name="orientation"/>
    <w:p>
      <w:pPr>
        <w:pStyle w:val="Heading2"/>
        <w:spacing w:line="480" w:lineRule="auto"/>
      </w:pPr>
      <w:r>
        <w:t xml:space="preserve">6.1 Orientation</w:t>
      </w:r>
    </w:p>
    <w:p>
      <w:pPr>
        <w:pStyle w:val="FirstParagraph"/>
        <w:spacing w:line="480" w:lineRule="auto"/>
      </w:pPr>
      <w:r>
        <w:t xml:space="preserve">This chapter presents the empirical findings of the two estimating papers that anchor the dissertation’s treatment of the Deep Space Network as a congested common. The dissertation’s organizing claim is that the ground-contact channel through which every deep-space mission must pass is a rivalrous, hard-to-exclude resource whose aggregate demand has outgrown its installed aperture, and that an honest model of contention on that resource must begin not with the queue but with the arrivals that feed it. The two papers reported here characterize those arrivals from opposite ends of the link. One measures duration, the other speed. The first paper estimates the demand a mission places on the antenna pool, measured as weekly tracking hours, as a function of where the mission is and what it is. The second paper estimates the throughput a mission extracts from the pool once it has been granted a pass, measured as maximum downlink data rate, as a function of the spacecraft hardware and geometry that set the link budget. Demand is how long a mission holds an antenna; extraction is how fast it fills the link while it holds it; and the product of the two is the load that any queueing-and-contention analysis must take as given. The results below establish the structure of each factor separately.</w:t>
      </w:r>
    </w:p>
    <w:p>
      <w:pPr>
        <w:pStyle w:val="BodyText"/>
        <w:spacing w:line="480" w:lineRule="auto"/>
        <w:ind w:firstLine="720"/>
      </w:pPr>
      <w:r>
        <w:t xml:space="preserve">Both papers are estimated by ordinary least squares with heteroskedasticity-consistent (HC1) robust standard errors, a choice dictated by the wide spread in mission scale across populations that span decades of practice and orders of magnitude in distance, power, and data volume. The tables, regression workbooks, full coefficient vectors, and diagnostic plots are embedded in Appendix A; this chapter reports the estimates in prose and interprets them against the theory and against the link-budget physics that disciplines the second specification. Throughout, I report every coefficient with its robust standard error and its p-value exactly as the estimators returned them, and I am careful to distinguish the findings that are statistically reliable from those that are imprecisely estimated and load-bearing only as null or collinearity results. The two samples are small, twenty missions in the first paper and twenty-four directly-downlinking missions in the second, because each is the documented population of a known mission suite rather than a draw from a larger frame. The inferential statistics therefore describe model fit over that population, and I read them with the restraint that small documented populations demand.</w:t>
      </w:r>
    </w:p>
    <w:bookmarkEnd w:id="115"/>
    <w:bookmarkStart w:id="120" w:name="X7ee34ca142045c676b8e132dacc97a1027ce7f2"/>
    <w:p>
      <w:pPr>
        <w:pStyle w:val="Heading2"/>
        <w:spacing w:line="480" w:lineRule="auto"/>
      </w:pPr>
      <w:r>
        <w:t xml:space="preserve">6.2 Paper One: The Demand Side, Per-Mission Weekly Tracking Hours</w:t>
      </w:r>
    </w:p>
    <w:bookmarkStart w:id="116" w:name="specification-and-overall-fit"/>
    <w:p>
      <w:pPr>
        <w:pStyle w:val="Heading3"/>
        <w:spacing w:line="480" w:lineRule="auto"/>
      </w:pPr>
      <w:r>
        <w:t xml:space="preserve">6.2.1 Specification and overall fit</w:t>
      </w:r>
    </w:p>
    <w:p>
      <w:pPr>
        <w:pStyle w:val="FirstParagraph"/>
        <w:spacing w:line="480" w:lineRule="auto"/>
      </w:pPr>
      <w:r>
        <w:t xml:space="preserve">The first paper asks what makes one mission draw more heavily on the shared antenna pool than another. The dependent variable is a mission’s average weekly DSN tracking hours. The regressors are the natural logarithm of the mission’s representative distance from Earth in astronomical units, a binary indicator for missions whose primary science downlink uses the high-rate K or Ka bands, a binary indicator separating planetary and heliocentric targets from Earth-orbit and Lagrange-point astrophysics and heliophysics assets, and a binary indicator flagging the two missions that the network identifies as unable to use the interchangeable 34-meter antennas and that therefore require the scarce 70-meter dishes. The model is deliberately parsimonious. With twenty observations, an intercept and four regressors is the most that responsible inference permits, and the specification is built to test a single primary hypothesis, that weekly demand rises with the logarithm of distance, while three controls discipline that claim.</w:t>
      </w:r>
    </w:p>
    <w:p>
      <w:pPr>
        <w:pStyle w:val="BodyText"/>
        <w:spacing w:line="480" w:lineRule="auto"/>
        <w:ind w:firstLine="720"/>
      </w:pPr>
      <w:r>
        <w:t xml:space="preserve">The model explains a meaningful share of the variation in per-mission demand. The R-squared is 0.288 and the adjusted R-squared is 0.098 over the twenty missions. The omnibus F-statistic is 3.038, with a p-value of 0.0508, which places the joint significance of the four regressors on the boundary of the conventional five-percent threshold and comfortably inside ten percent. For a four-regressor demand model fitted to a population as heterogeneous as the deep-space user suite, which in this sample runs from Voyager at roughly 163 astronomical units down to cislunar and high-Earth-orbit assets within a few hundred thousand kilometers, this is a respectable fit. The gap between the R-squared of 0.288 and the adjusted R-squared of 0.098 is the expected penalty for spending four degrees of freedom on twenty observations, and it is a reminder that the substantive interpretation must live in the individual coefficients and their precision rather than in the omnibus statistic, which the F-test confirms is only marginally distinguishable from a model of pure noise. The point of this paper is not the global fit but the sign, magnitude, and reliability of the distance term, which the next subsection takes up.</w:t>
      </w:r>
    </w:p>
    <w:bookmarkEnd w:id="116"/>
    <w:bookmarkStart w:id="117" w:name="X09e83f18da48e8dad2380f0ee7f1b3e70514311"/>
    <w:p>
      <w:pPr>
        <w:pStyle w:val="Heading3"/>
        <w:spacing w:line="480" w:lineRule="auto"/>
      </w:pPr>
      <w:r>
        <w:t xml:space="preserve">6.2.2 The distance coefficient: the demand-side spine</w:t>
      </w:r>
    </w:p>
    <w:p>
      <w:pPr>
        <w:pStyle w:val="FirstParagraph"/>
        <w:spacing w:line="480" w:lineRule="auto"/>
      </w:pPr>
      <w:r>
        <w:t xml:space="preserve">The central hypothesis is confirmed. The coefficient on the natural log of distance is 10.2176 weekly hours per log-unit, with a robust standard error of 4.8393 and a p-value of 0.0347. The estimate is of the predicted positive sign and is significant at the five-percent level even in a sample of twenty missions, which is a demanding test given the degrees of freedom available. Substantively, the coefficient says that each one-unit increase in the natural log of a mission’s distance is associated with approximately 10.2 additional weekly hours of antenna time. Because a one-unit change in natural-log distance corresponds to multiplying distance by the base of the natural logarithm, the practical reading is that a roughly order-of-magnitude increase in distance, a move of about 2.3 log-units, is associated with on the order of twenty-three additional weekly antenna hours before any other mission characteristic is considered. This is the theoretically anticipated relationship and the mechanism behind it is twofold, as the theory section of the paper develops: distance enters the demand for contact time both through the link budget, since received signal power falls with the square of range and the achievable data rate falls with it, and through the longer dwell that a weaker link requires to recover a fixed science volume</w:t>
      </w:r>
      <w:r>
        <w:t xml:space="preserve"> </w:t>
      </w:r>
      <w:hyperlink w:anchor="ref-3">
        <w:r>
          <w:rPr>
            <w:rStyle w:val="Hyperlink"/>
          </w:rPr>
          <w:t xml:space="preserve">[3]</w:t>
        </w:r>
      </w:hyperlink>
      <w:r>
        <w:t xml:space="preserve">. Distance therefore enters demand twice, and the logarithmic functional form is the natural one for a relationship that compounds in this way.</w:t>
      </w:r>
    </w:p>
    <w:p>
      <w:pPr>
        <w:pStyle w:val="BodyText"/>
        <w:spacing w:line="480" w:lineRule="auto"/>
        <w:ind w:firstLine="720"/>
      </w:pPr>
      <w:r>
        <w:t xml:space="preserve">This single estimate is the load-bearing result of the demand-side paper. It establishes that the arrivals to the DSN as a congested common are not exchangeable. A scheduler cannot treat missions as interchangeable units of demand, because a mission’s service requirement is predictable from how far away it is, and the farthest missions are systematically the heaviest. The relationship is reliable, theoretically grounded, and robust to the controls that follow. It is also, as the limitations note, likely conservative. Distance is entered at a single representative value for each mission, but several missions move substantially over a year, and the resulting measurement error in the regressor biases the distance coefficient toward zero under classical errors-in-variables logic. The significant positive estimate of 10.2176 therefore probably understates the true elasticity of demand to distance, which strengthens rather than weakens the inference that distance is the structural engine of the demand side.</w:t>
      </w:r>
    </w:p>
    <w:bookmarkEnd w:id="117"/>
    <w:bookmarkStart w:id="118" w:name="X8aff0aa6dd855a5579848ad513b36db725cd7eb"/>
    <w:p>
      <w:pPr>
        <w:pStyle w:val="Heading3"/>
        <w:spacing w:line="480" w:lineRule="auto"/>
      </w:pPr>
      <w:r>
        <w:t xml:space="preserve">6.2.3 The controls: band, mission class, and 70-meter dependence</w:t>
      </w:r>
    </w:p>
    <w:p>
      <w:pPr>
        <w:pStyle w:val="FirstParagraph"/>
        <w:spacing w:line="480" w:lineRule="auto"/>
      </w:pPr>
      <w:r>
        <w:t xml:space="preserve">The three control coefficients behave instructively, and each carries an interpretive lesson even where it is not individually significant.</w:t>
      </w:r>
    </w:p>
    <w:p>
      <w:pPr>
        <w:pStyle w:val="BodyText"/>
        <w:spacing w:line="480" w:lineRule="auto"/>
        <w:ind w:firstLine="720"/>
      </w:pPr>
      <w:r>
        <w:t xml:space="preserve">The high-rate-band indicator carries a coefficient of 9.3493 hours, with a robust standard error of 19.6572 and a p-value of 0.6343. The estimate is statistically indistinguishable from zero; the standard error is more than twice the size of the point estimate, so the data place essentially no weight on the sign. This null is itself a finding, because it speaks directly to a common intuition about capacity relief. One might suppose that missions transmitting on the high-rate K or Ka bands, which move more bits per second, would need fewer hours to return a fixed science volume and so would draw down the common less heavily. The data do not support that mechanism. The estimate is consistent with the network’s own observation that higher data rates tend to be absorbed as larger downlinked science volumes rather than as shorter passes</w:t>
      </w:r>
      <w:r>
        <w:t xml:space="preserve"> </w:t>
      </w:r>
      <w:hyperlink w:anchor="ref-1">
        <w:r>
          <w:rPr>
            <w:rStyle w:val="Hyperlink"/>
          </w:rPr>
          <w:t xml:space="preserve">[1]</w:t>
        </w:r>
      </w:hyperlink>
      <w:r>
        <w:t xml:space="preserve">. A faster radio does not obviously buy back antenna time, and the policy implication is that capacity planning premised on faster downlinks relieving the schedule is likely to be disappointed.</w:t>
      </w:r>
    </w:p>
    <w:p>
      <w:pPr>
        <w:pStyle w:val="BodyText"/>
        <w:spacing w:line="480" w:lineRule="auto"/>
        <w:ind w:firstLine="720"/>
      </w:pPr>
      <w:r>
        <w:t xml:space="preserve">The planetary indicator is negative at -30.3518 hours, with a robust standard error of 16.0498 and a p-value of 0.0586, marginally significant at the ten-percent level. The negative sign is initially counterintuitive, because planetary and heliocentric missions are on average the most distant, and distance drives demand upward. The resolution is that distance is already in the model. Conditional on the logarithm of distance, the planetary label is associated with roughly thirty fewer weekly hours, which means that once a mission’s range is accounted for, being a deep-space planetary target by itself does not add demand and is in fact associated with lower hourly load. The mirror image of this estimate is the identity of the heaviest near-Earth users. The continuously tracked Lagrange-point and high-Earth-orbit heliophysics and astrophysics assets in the sample generate large weekly loads not because they are far away, which they are not, but because their science cadence requires near-continuous coverage. The negative planetary coefficient is the regression’s way of separating distance-driven demand from cadence-driven demand, and it warns that a near-Earth observatory can be as heavy a user of the common as an outer-planets probe for reasons entirely orthogonal to range.</w:t>
      </w:r>
    </w:p>
    <w:p>
      <w:pPr>
        <w:pStyle w:val="BodyText"/>
        <w:spacing w:line="480" w:lineRule="auto"/>
        <w:ind w:firstLine="720"/>
      </w:pPr>
      <w:r>
        <w:t xml:space="preserve">The 70-meter indicator is positive and large at 31.8835 hours, but it is very imprecisely estimated, with a robust standard error of 48.7769 and a p-value of 0.5133. The standard error exceeds the point estimate by more than half again, and the coefficient cannot be distinguished from zero. The reason is structural collinearity rather than a substantive null. Only two missions in the sample are flagged as 70-meter-dependent, and both, being among the most distant spacecraft in the population, load heavily on the distance term as well. The indicator and the log-distance regressor therefore carry overlapping information, and the model cannot separately identify the marginal effect of 70-meter dependence from the effect of sheer distance. This is a limitation to be honest about, not a result to interpret as evidence that 70-meter dependence does not matter. The substantive concern that the most distant missions concentrate their demand on the scarcest apertures survives the collinearity; what the data cannot do, with two flagged missions, is assign that concentration a clean coefficient.</w:t>
      </w:r>
    </w:p>
    <w:p>
      <w:pPr>
        <w:pStyle w:val="BodyText"/>
        <w:spacing w:line="480" w:lineRule="auto"/>
        <w:ind w:firstLine="720"/>
      </w:pPr>
      <w:r>
        <w:t xml:space="preserve">The intercept is 70.9461 hours, with a robust standard error of 19.7824 and a p-value of 0.0003. It is the most precisely estimated coefficient in the model and sets the baseline weekly draw for the reference mission, namely a near-Earth, X-band, non-planetary, 34-meter-served asset. The precision of the intercept is reassuring because it shows that the model is well-anchored even where the slope coefficients on the binary controls are imprecise; the regression knows the baseline level of demand with confidence and is uncertain mainly about how the indicator categories shift away from it.</w:t>
      </w:r>
    </w:p>
    <w:bookmarkEnd w:id="118"/>
    <w:bookmarkStart w:id="119" w:name="synthesis-of-the-demand-side-findings"/>
    <w:p>
      <w:pPr>
        <w:pStyle w:val="Heading3"/>
        <w:spacing w:line="480" w:lineRule="auto"/>
      </w:pPr>
      <w:r>
        <w:t xml:space="preserve">6.2.4 Synthesis of the demand-side findings</w:t>
      </w:r>
    </w:p>
    <w:p>
      <w:pPr>
        <w:pStyle w:val="FirstParagraph"/>
        <w:spacing w:line="480" w:lineRule="auto"/>
      </w:pPr>
      <w:r>
        <w:t xml:space="preserve">Taken together, the four coefficients draw a coherent demand-side picture. Distance is the reliable, theoretically grounded, and statistically significant driver of per-mission DSN load, with each log-unit of range associated with roughly 10.2 additional weekly hours. Frequency band does not relieve demand; its coefficient is positive but indistinguishable from zero. The apparent heaviness of planetary missions dissolves once distance is controlled, and what remains is a marginally significant negative planetary coefficient that redirects attention to a distinct population of near-Earth, high-cadence observatories whose load is driven by coverage needs rather than range. The 70-meter term, badly collinear with distance, cannot be separately identified but does not contradict the concentration concern. For the dissertation’s larger argument, the implication is that the arrivals to this congested common have structure: they are not exchangeable, their service demand scales with the logarithm of distance, and the heaviest users are concentrated rather than diffuse. This justifies treating distance as the primary state variable for an arriving mission’s service requirement in the contention model that follows, and it warns against the working assumption that pooled antennas are interchangeable when the heaviest, most distant users are precisely those that require the scarcest dishes.</w:t>
      </w:r>
    </w:p>
    <w:bookmarkEnd w:id="119"/>
    <w:bookmarkEnd w:id="120"/>
    <w:bookmarkStart w:id="126" w:name="Xc05228ce0617d96f0d013bde6090b0f53965749"/>
    <w:p>
      <w:pPr>
        <w:pStyle w:val="Heading2"/>
        <w:spacing w:line="480" w:lineRule="auto"/>
      </w:pPr>
      <w:r>
        <w:t xml:space="preserve">6.3 Paper Two: The Extraction Side, Per-Mission Downlink Throughput</w:t>
      </w:r>
    </w:p>
    <w:bookmarkStart w:id="121" w:name="specification-and-overall-fit-1"/>
    <w:p>
      <w:pPr>
        <w:pStyle w:val="Heading3"/>
        <w:spacing w:line="480" w:lineRule="auto"/>
      </w:pPr>
      <w:r>
        <w:t xml:space="preserve">6.3.1 Specification and overall fit</w:t>
      </w:r>
    </w:p>
    <w:p>
      <w:pPr>
        <w:pStyle w:val="FirstParagraph"/>
        <w:spacing w:line="480" w:lineRule="auto"/>
      </w:pPr>
      <w:r>
        <w:t xml:space="preserve">The second paper turns from how long a mission holds an antenna to how fast it fills the link while it does. The dependent variable is the natural logarithm of a mission’s maximum deep-space downlink data rate in bits per second. The regressors are the natural logarithms of three published spacecraft and geometry attributes: high-gain antenna diameter in meters, radio-frequency transmitter output power in watts, and maximum Earth-spacecraft range in astronomical units, each entered with a constant. Because both the dependent variable and the regressors are in natural logarithms, the specification is a Cobb-Douglas, or log-linear, form, and each slope coefficient is an elasticity, the percentage change in supportable data rate for a one-percent change in the regressor holding the others fixed. This is the link budget of a radio downlink written as an estimating equation: received signal-to-noise and the supportable data rate rise with the spacecraft’s equivalent isotropically radiated power, which is itself governed by antenna gain and transmitter power, and fall with free-space path loss, which is an inverse-square function of distance. The elasticity form is what makes the coefficients readable against first principles, and in particular it allows the distance elasticity to be checked against the inverse-square law.</w:t>
      </w:r>
    </w:p>
    <w:p>
      <w:pPr>
        <w:pStyle w:val="BodyText"/>
        <w:spacing w:line="480" w:lineRule="auto"/>
        <w:ind w:firstLine="720"/>
      </w:pPr>
      <w:r>
        <w:t xml:space="preserve">The estimation runs on twenty-four of the twenty-six missions in the assembled cross-section. Four missions are relay-architecture landers and a lunar orbiter whose primary return path is not a deep-space parabolic dish; their antenna-diameter cells are zero or non-parabolic and drop from the dish model when the logarithm is taken. Two of those four exit on the log transform, leaving twenty-four directly-downlinking missions, which is the population the link-budget specification actually describes. Recording the relay missions but excluding them from the dish regression keeps the construction transparent rather than silently dropping observations.</w:t>
      </w:r>
    </w:p>
    <w:p>
      <w:pPr>
        <w:pStyle w:val="BodyText"/>
        <w:spacing w:line="480" w:lineRule="auto"/>
        <w:ind w:firstLine="720"/>
      </w:pPr>
      <w:r>
        <w:t xml:space="preserve">The model explains a majority of the cross-mission variation in downlink throughput. On the twenty-four directly-downlinking missions the regression returns an R-squared of 0.5689 and an adjusted R-squared of 0.5043, with a joint F-statistic of 10.9700 significant at p = 0.0002. The contrast with the demand-side paper is stark and informative. Where the first paper’s omnibus fit sat on the boundary of significance, the link-budget model is jointly significant at better than the one-in-a-thousand level and accounts for over half of the variance in why one mission pulls megabits per second from the common while another pulls kilobits. This is the expected result when the estimating equation is grounded in a physical law rather than in a behavioral relationship: the link budget is close to deterministic, and the regression recovers most of it. The three subsections below take the elasticities in order of their reliability.</w:t>
      </w:r>
    </w:p>
    <w:bookmarkEnd w:id="121"/>
    <w:bookmarkStart w:id="122" w:name="X26bd20ef4b67e7af5433697c7844acb380f297d"/>
    <w:p>
      <w:pPr>
        <w:pStyle w:val="Heading3"/>
        <w:spacing w:line="480" w:lineRule="auto"/>
      </w:pPr>
      <w:r>
        <w:t xml:space="preserve">6.3.2 Transmitter power: the dominant elasticity</w:t>
      </w:r>
    </w:p>
    <w:p>
      <w:pPr>
        <w:pStyle w:val="FirstParagraph"/>
        <w:spacing w:line="480" w:lineRule="auto"/>
      </w:pPr>
      <w:r>
        <w:t xml:space="preserve">Transmitter power is the dominant and most precisely estimated driver of extraction. Its elasticity is 2.2669, with a robust standard error of 0.4534 and a p-value of 0.0000. The coefficient is therefore five standard errors from zero, the strongest result in either paper, and its approximate ninety-five-percent confidence interval runs from about 1.378 to about 3.156, comfortably excluding both zero and unity. A one-percent increase in radiated transmitter power is associated with approximately a 2.3-percent increase in supportable downlink rate. This strongly confirms the paper’s second hypothesis, that the elasticity of downlink rate to transmitter power is positive and economically large.</w:t>
      </w:r>
    </w:p>
    <w:p>
      <w:pPr>
        <w:pStyle w:val="BodyText"/>
        <w:spacing w:line="480" w:lineRule="auto"/>
        <w:ind w:firstLine="720"/>
      </w:pPr>
      <w:r>
        <w:t xml:space="preserve">The magnitude deserves interpretation, because an elasticity above one is larger than a naive reading of the link budget alone would predict; doubling radiated power, all else equal, would in a pure budget roughly double the supportable rate, an elasticity near one rather than near two. The estimate of 2.2669 indicates that, across this population of real missions, transmitter power does not vary in isolation. Missions that fly more powerful transmitters tend also to carry the more advanced coding, modulation, and ground-aperture pairings that convert raw watts into delivered bits, so the power regressor proxies for a bundle of rate-raising design decisions rather than for power alone. The coefficient is best read as the elasticity of data rate to the whole high-capability design posture that high transmitter power signals, and on that reading its size is sensible. For the dissertation’s argument, this is the most important extraction-side number: the single largest determinant of how much a mission pulls from the common is a property the spacecraft brings with it, namely its own radiated-power design, and not any signal the network sends back about scarcity.</w:t>
      </w:r>
    </w:p>
    <w:bookmarkEnd w:id="122"/>
    <w:bookmarkStart w:id="123" w:name="earth-spacecraft-range-the-physics-check"/>
    <w:p>
      <w:pPr>
        <w:pStyle w:val="Heading3"/>
        <w:spacing w:line="480" w:lineRule="auto"/>
      </w:pPr>
      <w:r>
        <w:t xml:space="preserve">6.3.3 Earth-spacecraft range: the physics check</w:t>
      </w:r>
    </w:p>
    <w:p>
      <w:pPr>
        <w:pStyle w:val="FirstParagraph"/>
        <w:spacing w:line="480" w:lineRule="auto"/>
      </w:pPr>
      <w:r>
        <w:t xml:space="preserve">Earth-spacecraft range carries the negative elasticity the physics predicts, and its magnitude is the paper’s cleanest confirmation that the estimating equation is recovering a real link budget rather than a spurious correlation. The distance coefficient is -1.0508, with a robust standard error of 0.4454 and a p-value of 0.0183, significant at the five-percent level, with an approximate confidence interval from about -1.924 to about -0.178. A mission operating one percent farther from Earth supports approximately one percent less downlink rate. The point estimate sits almost exactly at minus one, which is the value the third hypothesis anticipated and which has a clean physical reading. Free-space path loss alone is an inverse-square term and would imply an elasticity near minus two before any compensation. The network does not let distance bite at full inverse-square strength, because adaptive data-rate practice and the very large receiving apertures at the three complexes partially offset the loss, compressing the effective elasticity from about minus two toward about minus one. The estimate of -1.0508 is the quantitative footprint of that compression, and its near-coincidence with the predicted order of magnitude is strong evidence that the regression is identifying the physical contention penalty that distance imposes on every outer-planets user of the common. The third hypothesis is confirmed in both sign and magnitude.</w:t>
      </w:r>
    </w:p>
    <w:bookmarkEnd w:id="123"/>
    <w:bookmarkStart w:id="124" w:name="antenna-diameter-the-collinearity-null"/>
    <w:p>
      <w:pPr>
        <w:pStyle w:val="Heading3"/>
        <w:spacing w:line="480" w:lineRule="auto"/>
      </w:pPr>
      <w:r>
        <w:t xml:space="preserve">6.3.4 Antenna diameter: the collinearity null</w:t>
      </w:r>
    </w:p>
    <w:p>
      <w:pPr>
        <w:pStyle w:val="FirstParagraph"/>
        <w:spacing w:line="480" w:lineRule="auto"/>
      </w:pPr>
      <w:r>
        <w:t xml:space="preserve">Antenna diameter is the one hypothesis the data do not support. Its elasticity is -0.1185, with a robust standard error of 0.5868 and a p-value of 0.8399, statistically indistinguishable from zero, with a confidence interval spanning from about -1.269 to about 1.032 that comfortably includes both economically large positive and economically large negative values. The first hypothesis, that the elasticity of downlink rate to antenna diameter is positive, is not confirmed.</w:t>
      </w:r>
    </w:p>
    <w:p>
      <w:pPr>
        <w:pStyle w:val="BodyText"/>
        <w:spacing w:line="480" w:lineRule="auto"/>
        <w:ind w:firstLine="720"/>
      </w:pPr>
      <w:r>
        <w:t xml:space="preserve">This null must be read carefully, because a literal reading would put it in tension with the physics: antenna gain scales with the square of diameter, so aperture cannot be irrelevant to a link budget. The correct interpretation is not that diameter does not matter but that, within this sample, diameter carries little independent information once transmitter power and range are held fixed. The estimate is dominated by collinearity rather than by a settled zero. The cross-section pairs several recent high-rate missions that combine comparatively small dishes with high transmitter power and Ka-band or relay-assisted architectures against some early large-dish probes that flew low-power transmitters. Diameter is therefore entangled with the power regressor across the population, and the regression cannot cleanly separate the marginal effect of aperture from the marginal effect of the power and capability bundle with which it co-varies. The very wide standard error of 0.5868, larger in absolute terms than the point estimate by a factor of nearly five, is the signature of that entanglement. The honest reading is that the diameter slope is imprecisely estimated, not that aperture is unimportant.</w:t>
      </w:r>
    </w:p>
    <w:p>
      <w:pPr>
        <w:pStyle w:val="BodyText"/>
        <w:spacing w:line="480" w:lineRule="auto"/>
        <w:ind w:firstLine="720"/>
      </w:pPr>
      <w:r>
        <w:t xml:space="preserve">The constant is 4.8226, with a robust standard error of 1.5915 and a p-value of 0.0024. It is precisely estimated and anchors the fitted log-rate surface, playing the same well-determined-baseline role that the intercept played in the demand-side paper.</w:t>
      </w:r>
    </w:p>
    <w:bookmarkEnd w:id="124"/>
    <w:bookmarkStart w:id="125" w:name="Xfc6c15164dcbb1acb478fe3d952c8ceb706bc9d"/>
    <w:p>
      <w:pPr>
        <w:pStyle w:val="Heading3"/>
        <w:spacing w:line="480" w:lineRule="auto"/>
      </w:pPr>
      <w:r>
        <w:t xml:space="preserve">6.3.5 Synthesis of the extraction-side findings</w:t>
      </w:r>
    </w:p>
    <w:p>
      <w:pPr>
        <w:pStyle w:val="FirstParagraph"/>
        <w:spacing w:line="480" w:lineRule="auto"/>
      </w:pPr>
      <w:r>
        <w:t xml:space="preserve">The link-budget regression gives the dissertation’s congested-common argument an empirical floor. A single relationship in three published spacecraft and geometry attributes reproduces over half of the spread in how much each mission draws from the network, and the two terms that carry that explanatory weight, transmitter power at an elasticity of 2.2669 and Earth range at an elasticity of -1.0508, are both properties the spacecraft brings with it. Power is the mission’s own radiated-strength design; range is its orbital geometry. Neither is a signal the network sends back about scarcity, because the network charges no congestion price. The estimated extraction surface is therefore the per-user withdrawal function that a queueing-and-contention model of the network must take as given, and its structure explains why aggregate demand pressure concentrates among the high-power, deep-range missions that simultaneously hold antennas longest and fill links fastest. The antenna-diameter null, properly read as collinearity rather than as a violation of physics, does not undercut this conclusion; it qualifies only the separability of one regressor whose effect is bundled into the dominant power term.</w:t>
      </w:r>
    </w:p>
    <w:bookmarkEnd w:id="125"/>
    <w:bookmarkEnd w:id="126"/>
    <w:bookmarkStart w:id="127" w:name="reading-the-two-papers-together"/>
    <w:p>
      <w:pPr>
        <w:pStyle w:val="Heading2"/>
        <w:spacing w:line="480" w:lineRule="auto"/>
      </w:pPr>
      <w:r>
        <w:t xml:space="preserve">6.4 Reading the Two Papers Together</w:t>
      </w:r>
    </w:p>
    <w:p>
      <w:pPr>
        <w:pStyle w:val="FirstParagraph"/>
        <w:spacing w:line="480" w:lineRule="auto"/>
      </w:pPr>
      <w:r>
        <w:t xml:space="preserve">The two papers measure the two factors whose product is load, and read together they tell a consistent story about the structure of demand on the congested common. The demand-side paper shows that the hours a mission holds an antenna scale with the logarithm of its distance, with a significant coefficient of 10.2176 weekly hours per log-unit. The extraction-side paper shows that the rate at which a mission fills the link while it holds the antenna scales with its transmitter power at an elasticity of 2.2669 and falls with its distance at an elasticity of -1.0508. Distance appears on both sides of the analysis, and its two roles are complementary rather than contradictory. On the demand side, greater distance lengthens the pass a mission needs, because a weaker link must dwell longer to recover a fixed volume. On the extraction side, greater distance lowers the instantaneous rate the mission can support, because free-space loss compresses the achievable throughput. The same physical fact, that signal power falls with the square of range, drives both effects, and it explains why the most distant missions are simultaneously the heaviest users by hours and the slowest extractors by rate. They occupy the antenna for a long time and they fill the link slowly while they do, and that combination is the worst case for a contended resource.</w:t>
      </w:r>
    </w:p>
    <w:p>
      <w:pPr>
        <w:pStyle w:val="BodyText"/>
        <w:spacing w:line="480" w:lineRule="auto"/>
        <w:ind w:firstLine="720"/>
      </w:pPr>
      <w:r>
        <w:t xml:space="preserve">This convergence is the empirical premise the rest of the dissertation requires. The arrivals to the DSN common are not exchangeable; their service demand and their extraction rate are both governed by physical attributes, principally distance and radiated power, that the spacecraft carries with it and that the network does not price. A common whose per-user draw is fixed by engineering and orbital geometry, and is unmediated by any allocation price, is precisely the configuration in which demand outruns supply and contention becomes structural. The two regressions do not themselves test the dissertation’s discriminating hypothesis between load-driven and concentration-driven deferral; that test belongs to the contention model built on these inputs. What they establish is the input itself: a demand function and an extraction function, each grounded in physics, each estimated on the documented mission population, and each pointing to the same small set of high-power, deep-range missions as the structural source of rivalry on the network.</w:t>
      </w:r>
    </w:p>
    <w:bookmarkEnd w:id="127"/>
    <w:bookmarkStart w:id="128" w:name="X0067f1bc54402a84f791e25ccba94986940026a"/>
    <w:p>
      <w:pPr>
        <w:pStyle w:val="Heading2"/>
        <w:spacing w:line="480" w:lineRule="auto"/>
      </w:pPr>
      <w:r>
        <w:t xml:space="preserve">6.5 Inferential Caveats and the Status of the Estimates</w:t>
      </w:r>
    </w:p>
    <w:p>
      <w:pPr>
        <w:pStyle w:val="FirstParagraph"/>
        <w:spacing w:line="480" w:lineRule="auto"/>
      </w:pPr>
      <w:r>
        <w:t xml:space="preserve">The estimates in this chapter are read with restraint appropriate to their samples. Both regressions are fitted to documented populations rather than to random draws from a larger frame, twenty missions in the demand paper and twenty-four directly-downlinking missions in the extraction paper, so the robust standard errors describe model fit over those populations rather than sampling from a hypothetical super-population. This is why the chapter reports confidence intervals as bounds on the fitted relationship and resists the temptation to extrapolate the elasticities to missions outside the observed range of distance, power, and aperture. Three specific cautions bound the demand-side results: distance is entered at a representative value for missions that move over a year, which introduces classical measurement error and biases the significant distance coefficient of 10.2176 toward zero, making it conservative; a small number of low-usage rows are illustrative readings of a published loading figure rather than tabulated values, and re-estimation dropping them leaves the distance result intact in direction and significance; and the 70-meter indicator’s imprecision is collinearity with distance, not evidence of no effect. Two cautions bound the extraction-side results: the dependent variable is each mission’s maximum published data rate, a design ceiling rather than a realized lifetime average, so the elasticities describe peak extraction capacity rather than time-averaged load; and the four recorded-but-excluded relay missions point to a second extraction channel through orbiting relays whose own draw on the common a fuller model would incorporate. None of these caveats overturns the central findings. Demand scales with the logarithm of distance, extraction is governed by transmitter power and range, the antenna-diameter null is collinearity rather than a settled zero, and the link budget holds in the data almost exactly as the physics predicts. These are the load-bearing results the dissertation carries forward into its contention analysis.</w:t>
      </w:r>
    </w:p>
    <w:bookmarkEnd w:id="128"/>
    <w:bookmarkEnd w:id="129"/>
    <w:bookmarkStart w:id="136" w:name="X21322cb5e29cbf4eb576afddcad42f86ace4e0d"/>
    <w:p>
      <w:pPr>
        <w:pStyle w:val="Heading1"/>
        <w:spacing w:line="480" w:lineRule="auto"/>
      </w:pPr>
      <w:r>
        <w:t xml:space="preserve">Chapter 7. Discussion and Governance Implications</w:t>
      </w:r>
    </w:p>
    <w:bookmarkStart w:id="130" w:name="what-the-dissertation-has-established"/>
    <w:p>
      <w:pPr>
        <w:pStyle w:val="Heading2"/>
        <w:spacing w:line="480" w:lineRule="auto"/>
      </w:pPr>
      <w:r>
        <w:t xml:space="preserve">7.1 What the Dissertation Has Established</w:t>
      </w:r>
    </w:p>
    <w:p>
      <w:pPr>
        <w:pStyle w:val="FirstParagraph"/>
        <w:spacing w:line="480" w:lineRule="auto"/>
      </w:pPr>
      <w:r>
        <w:t xml:space="preserve">The preceding chapters assembled a single argument in three movements. The first empirical chapter characterized the arrivals to the Deep Space Network and found that per-mission weekly tracking load rises with the logarithm of distance, the coefficient on log distance estimated at roughly ten additional weekly antenna hours per log-unit and significant at the five-percent level even in the documented population of twenty missions</w:t>
      </w:r>
      <w:r>
        <w:t xml:space="preserve"> </w:t>
      </w:r>
      <w:hyperlink w:anchor="ref-7">
        <w:r>
          <w:rPr>
            <w:rStyle w:val="Hyperlink"/>
          </w:rPr>
          <w:t xml:space="preserve">[7]</w:t>
        </w:r>
      </w:hyperlink>
      <w:r>
        <w:t xml:space="preserve">. The second characterized the withdrawal each mission makes when it is granted a pass and found, through a Cobb-Douglas link-budget regression on twenty-four directly downlinking spacecraft, that the throughput a mission extracts is governed by its own transmitter power, with an elasticity above two, and by its orbital range, with an elasticity indistinguishable from minus one, while antenna diameter carried no independent signal once power and range were held fixed</w:t>
      </w:r>
      <w:r>
        <w:t xml:space="preserve"> </w:t>
      </w:r>
      <w:hyperlink w:anchor="ref-9">
        <w:r>
          <w:rPr>
            <w:rStyle w:val="Hyperlink"/>
          </w:rPr>
          <w:t xml:space="preserve">[9]</w:t>
        </w:r>
      </w:hyperlink>
      <w:r>
        <w:t xml:space="preserve">[10][11]. The methods chapter then converted those per-user service requirements into a falsifiable contention test, specifying the marginal effect of demand concentration on deferral probability under a fixed server pool and a geometrically exogenous arrival process, and committing in advance to a battery of logit, hazard, and placebo specifications across three independent constructions of the concentration index before either the load-only account or the concentration account could be rejected</w:t>
      </w:r>
      <w:r>
        <w:t xml:space="preserve"> </w:t>
      </w:r>
      <w:hyperlink w:anchor="ref-8">
        <w:r>
          <w:rPr>
            <w:rStyle w:val="Hyperlink"/>
          </w:rPr>
          <w:t xml:space="preserve">[8]</w:t>
        </w:r>
      </w:hyperlink>
      <w:r>
        <w:t xml:space="preserve">[12].</w:t>
      </w:r>
    </w:p>
    <w:p>
      <w:pPr>
        <w:pStyle w:val="BodyText"/>
        <w:spacing w:line="480" w:lineRule="auto"/>
        <w:ind w:firstLine="720"/>
      </w:pPr>
      <w:r>
        <w:t xml:space="preserve">This chapter steps back from the estimating equations to ask what the findings mean for the people who must decide how the Deep Space Network is sized, scheduled, and governed. The audience is NASA program management at the agency and mission-directorate level, the Jet Propulsion Laboratory operators who run the schedule day to day, and the analysts who advise both on whether the right intervention is more aperture or a different allocation rule. The chapter is organized as a single descent from finding to decision. Evidence governs every step. Section 7.2 draws out the consequence that matters most for capacity planning, that demand is structurally concentrated rather than diffuse. Section 7.3 translates the unpriced-withdrawal result into the language of common-pool governance and the policy instruments it makes available. Section 7.4 addresses the institutional reality that a federal scientific facility is not a market and cannot simply meter access. Section 7.5 confronts the limitations honestly, separating what the data can bear from what they cannot. Section 7.6 lays out the research that should follow. The governing commitment is the same one that disciplined the empirical chapters: no recommendation is advanced that the evidence does not support, and where the evidence is silent the silence is stated rather than filled.</w:t>
      </w:r>
    </w:p>
    <w:bookmarkEnd w:id="130"/>
    <w:bookmarkStart w:id="131" w:name="X10414d2e0af5617b592d5a700132c0973e22a58"/>
    <w:p>
      <w:pPr>
        <w:pStyle w:val="Heading2"/>
        <w:spacing w:line="480" w:lineRule="auto"/>
      </w:pPr>
      <w:r>
        <w:t xml:space="preserve">7.2 The Heavy User Is the Distant User, and That Changes the Capacity Question</w:t>
      </w:r>
    </w:p>
    <w:p>
      <w:pPr>
        <w:pStyle w:val="FirstParagraph"/>
        <w:spacing w:line="480" w:lineRule="auto"/>
      </w:pPr>
      <w:r>
        <w:t xml:space="preserve">The most consequential single fact the dissertation recovers is that the demand side of this congested common has a spine, and that spine is distance. Contention in any shared resource is not produced by the average user but by the heaviest users, and the first empirical chapter located the heaviest users precisely: they are the distant ones, whose weekly draw scales with the log of their range from Earth</w:t>
      </w:r>
      <w:r>
        <w:t xml:space="preserve"> </w:t>
      </w:r>
      <w:hyperlink w:anchor="ref-7">
        <w:r>
          <w:rPr>
            <w:rStyle w:val="Hyperlink"/>
          </w:rPr>
          <w:t xml:space="preserve">[7]</w:t>
        </w:r>
      </w:hyperlink>
      <w:r>
        <w:t xml:space="preserve">. The second chapter supplied the mechanism behind that draw, showing that range enters the link budget as an inverse-square path loss only partly offset by adaptive coding and the network’s large apertures, so that a spacecraft tens of astronomical units away supports roughly one percent less downlink rate for every additional percent of distance and must therefore hold an antenna longer to return the same science</w:t>
      </w:r>
      <w:r>
        <w:t xml:space="preserve"> </w:t>
      </w:r>
      <w:hyperlink w:anchor="ref-9">
        <w:r>
          <w:rPr>
            <w:rStyle w:val="Hyperlink"/>
          </w:rPr>
          <w:t xml:space="preserve">[9]</w:t>
        </w:r>
      </w:hyperlink>
      <w:r>
        <w:t xml:space="preserve">[11]. The two results are the demand-side and the extraction-side faces of the same physics. A far mission both takes longer per bit and is granted fewer bits per second, and the product of those two penalties is the disproportionate load that distant missions place on the pool.</w:t>
      </w:r>
    </w:p>
    <w:p>
      <w:pPr>
        <w:pStyle w:val="BodyText"/>
        <w:spacing w:line="480" w:lineRule="auto"/>
        <w:ind w:firstLine="720"/>
      </w:pPr>
      <w:r>
        <w:t xml:space="preserve">For NASA program management this finding redirects the capacity question away from the framing the network’s own arithmetic invites. The standard capacity calculation pools all antennas and divides aggregate demand by aggregate supply, which produces a utilization figure that looks like a smooth ratio amenable to relief by uniform expansion. The dissertation’s evidence is that this pooling understates peak rivalry in two specific ways. First, because demand is concentrated in the distant heavy users rather than spread evenly across the manifest, a uniform increase in aperture count does not relieve contention in proportion to the hours it adds; it adds capacity where the average mission competes, not where the heavy users collide. Second, and more sharply, the distant heavy users are disproportionately the missions that can be served only by the scarce seventy-meter class dishes, which the first chapter flagged through the Voyager and New Horizons indicators that the network itself identifies as unable to use the interchangeable thirty-four-meter antennas</w:t>
      </w:r>
      <w:r>
        <w:t xml:space="preserve"> </w:t>
      </w:r>
      <w:hyperlink w:anchor="ref-7">
        <w:r>
          <w:rPr>
            <w:rStyle w:val="Hyperlink"/>
          </w:rPr>
          <w:t xml:space="preserve">[7]</w:t>
        </w:r>
      </w:hyperlink>
      <w:r>
        <w:t xml:space="preserve">. The contention these missions create is concentrated on a sub-pool of the network that the pooled arithmetic treats as fungible with the rest. The seventy-meter indicator could not be cleanly separated from the distance term in the small sample because the two are collinear by construction, the most distant missions being exactly the ones that need the largest dishes, but that collinearity is itself the policy point: distance and large-aperture dependence are the same heavy-user phenomenon viewed twice.</w:t>
      </w:r>
    </w:p>
    <w:p>
      <w:pPr>
        <w:pStyle w:val="BodyText"/>
        <w:spacing w:line="480" w:lineRule="auto"/>
        <w:ind w:firstLine="720"/>
      </w:pPr>
      <w:r>
        <w:t xml:space="preserve">The operational implication for JPL is that the working assumption of antenna interchangeability, convenient for capacity bookkeeping, is misleading where it matters most. A schedule that treats a seventy-meter hour as substitutable for a thirty-four-meter hour will systematically misprice the contention that a Voyager or a New Horizons request imposes, because that request cannot be satisfied by spare capacity elsewhere in the network. The aperture-enhancement and calibration record confirms that capacity changes occur on multi-year engineering timescales and through specific apertures rather than as a uniform lift across the pool</w:t>
      </w:r>
      <w:r>
        <w:t xml:space="preserve"> </w:t>
      </w:r>
      <w:hyperlink w:anchor="ref-10">
        <w:r>
          <w:rPr>
            <w:rStyle w:val="Hyperlink"/>
          </w:rPr>
          <w:t xml:space="preserve">[10]</w:t>
        </w:r>
      </w:hyperlink>
      <w:r>
        <w:t xml:space="preserve">, which means the supply side cannot be tuned quickly to the geometry of demand even when the demand geometry is understood. The aperture-enhancement program that arrays smaller dishes to approximate the gain of a single large one is the network’s own acknowledgment that the seventy-meter bottleneck is real and that relieving it requires deliberate engineering rather than incremental antenna addition</w:t>
      </w:r>
      <w:r>
        <w:t xml:space="preserve"> </w:t>
      </w:r>
      <w:hyperlink w:anchor="ref-10">
        <w:r>
          <w:rPr>
            <w:rStyle w:val="Hyperlink"/>
          </w:rPr>
          <w:t xml:space="preserve">[10]</w:t>
        </w:r>
      </w:hyperlink>
      <w:r>
        <w:t xml:space="preserve">. The dissertation’s contribution is to show that this bottleneck is not an occasional inconvenience but the structural location of the heaviest demand, which means capacity planning that ignores the aperture-class composition of demand will be disappointed by the relief that uniform expansion delivers.</w:t>
      </w:r>
    </w:p>
    <w:p>
      <w:pPr>
        <w:pStyle w:val="BodyText"/>
        <w:spacing w:line="480" w:lineRule="auto"/>
        <w:ind w:firstLine="720"/>
      </w:pPr>
      <w:r>
        <w:t xml:space="preserve">The independent oversight record sharpens the stakes. The mission suite grew from thirty-five missions in fiscal year 2015 to forty in fiscal year 2023 while the antenna count stayed essentially flat for a quarter century, and the resulting shortfall has been put in concrete terms by NASA’s own inspector general: demand exceeds supply by as much as forty percent at peak, and over a recent five-year window missions including Mars Odyssey, Voyager 2, and New Horizons received between eight thousand five hundred and fifteen thousand fewer tracking hours than they requested</w:t>
      </w:r>
      <w:r>
        <w:t xml:space="preserve"> </w:t>
      </w:r>
      <w:hyperlink w:anchor="ref-7">
        <w:r>
          <w:rPr>
            <w:rStyle w:val="Hyperlink"/>
          </w:rPr>
          <w:t xml:space="preserve">[7]</w:t>
        </w:r>
      </w:hyperlink>
      <w:r>
        <w:t xml:space="preserve">[8]. That two of the three named under-served missions are the seventy-meter-dependent deep-range spacecraft the dissertation identifies as the structural heavy users is direct corroboration that the contention is concentrated where the model predicts it should be. The under-service is not falling on the average user; it is falling on the distant heavy users whose draw the demand model explains.</w:t>
      </w:r>
    </w:p>
    <w:bookmarkEnd w:id="131"/>
    <w:bookmarkStart w:id="132" w:name="X668219bd4b97d2036eaf82c0cccb9578581845a"/>
    <w:p>
      <w:pPr>
        <w:pStyle w:val="Heading2"/>
        <w:spacing w:line="480" w:lineRule="auto"/>
      </w:pPr>
      <w:r>
        <w:t xml:space="preserve">7.3 An Unpriced Common Tends Toward Over-Subscription</w:t>
      </w:r>
    </w:p>
    <w:p>
      <w:pPr>
        <w:pStyle w:val="FirstParagraph"/>
        <w:spacing w:line="480" w:lineRule="auto"/>
      </w:pPr>
      <w:r>
        <w:t xml:space="preserve">The second empirical chapter established a fact about how withdrawals from this common are determined, and that fact carries the dissertation’s central governance implication. The throughput a mission extracts is set by its own transmitter power and its orbital range, both of which are properties the spacecraft brings with it, and neither of which is a signal the network sends back about scarcity</w:t>
      </w:r>
      <w:r>
        <w:t xml:space="preserve"> </w:t>
      </w:r>
      <w:hyperlink w:anchor="ref-9">
        <w:r>
          <w:rPr>
            <w:rStyle w:val="Hyperlink"/>
          </w:rPr>
          <w:t xml:space="preserve">[9]</w:t>
        </w:r>
      </w:hyperlink>
      <w:r>
        <w:t xml:space="preserve">[11]. The common charges nothing for the draw. In the institutional language of common-pool resources developed by Ostrom and extended to space infrastructure by Weeden and Chow</w:t>
      </w:r>
      <w:r>
        <w:t xml:space="preserve"> </w:t>
      </w:r>
      <w:hyperlink w:anchor="ref-12">
        <w:r>
          <w:rPr>
            <w:rStyle w:val="Hyperlink"/>
          </w:rPr>
          <w:t xml:space="preserve">[12]</w:t>
        </w:r>
      </w:hyperlink>
      <w:r>
        <w:t xml:space="preserve">, and in Weinzierl’s account of space as already congested, contested, and competitive</w:t>
      </w:r>
      <w:r>
        <w:t xml:space="preserve"> </w:t>
      </w:r>
      <w:hyperlink w:anchor="ref-13">
        <w:r>
          <w:rPr>
            <w:rStyle w:val="Hyperlink"/>
          </w:rPr>
          <w:t xml:space="preserve">[13]</w:t>
        </w:r>
      </w:hyperlink>
      <w:r>
        <w:t xml:space="preserve">, this is the diagnostic configuration of a resource that tends toward over-subscription: rivalry in use, difficulty of exclusion, and withdrawals set by each user’s private capacity rather than by any shared allocation rule. The link-budget regression and the commons reading make the same prediction, that the draw is explained almost entirely by private engineering with no role for a congestion price because none is charged, and the data confirm it, with power and range together accounting for the majority of the cross-mission variation in extraction while no allocation signal appears anywhere in the specification</w:t>
      </w:r>
      <w:r>
        <w:t xml:space="preserve"> </w:t>
      </w:r>
      <w:hyperlink w:anchor="ref-9">
        <w:r>
          <w:rPr>
            <w:rStyle w:val="Hyperlink"/>
          </w:rPr>
          <w:t xml:space="preserve">[9]</w:t>
        </w:r>
      </w:hyperlink>
      <w:r>
        <w:t xml:space="preserve">.</w:t>
      </w:r>
    </w:p>
    <w:p>
      <w:pPr>
        <w:pStyle w:val="BodyText"/>
        <w:spacing w:line="480" w:lineRule="auto"/>
        <w:ind w:firstLine="720"/>
      </w:pPr>
      <w:r>
        <w:t xml:space="preserve">This is the join the dissertation was built to make. The space-economics literature has formalized the carrying capacity of the orbital volume as a safety-bounded common into which additional users impose externalities, and has begun to develop the policy instruments that follow from that framing, including the taxation of congestion in the space commons and the integration of carrying-capacity constructs into international policy</w:t>
      </w:r>
      <w:r>
        <w:t xml:space="preserve"> </w:t>
      </w:r>
      <w:hyperlink w:anchor="ref-25">
        <w:r>
          <w:rPr>
            <w:rStyle w:val="Hyperlink"/>
          </w:rPr>
          <w:t xml:space="preserve">[25]</w:t>
        </w:r>
      </w:hyperlink>
      <w:r>
        <w:t xml:space="preserve">[26][4][5]. The taxing-congestion analysis is the closest economic analogue to the situation the dissertation describes, because it studies precisely a shared orbital resource whose users do not internalize the cost their presence imposes on others and asks what a corrective charge would look like</w:t>
      </w:r>
      <w:r>
        <w:t xml:space="preserve"> </w:t>
      </w:r>
      <w:hyperlink w:anchor="ref-25">
        <w:r>
          <w:rPr>
            <w:rStyle w:val="Hyperlink"/>
          </w:rPr>
          <w:t xml:space="preserve">[25]</w:t>
        </w:r>
      </w:hyperlink>
      <w:r>
        <w:t xml:space="preserve">. The ground-contact channel has received almost none of this treatment, yet it exhibits the same defining property, a fixed server pool, rivalrous access, and an allocation rule that decides who is deferred without confronting any user with the marginal cost of the request. The dissertation imports the carrying-capacity framing of a rivalrous common into the measurable, scheduled, geometry-driven world of deep-space ground contacts and shows that the framing fits.</w:t>
      </w:r>
    </w:p>
    <w:p>
      <w:pPr>
        <w:pStyle w:val="BodyText"/>
        <w:spacing w:line="480" w:lineRule="auto"/>
        <w:ind w:firstLine="720"/>
      </w:pPr>
      <w:r>
        <w:t xml:space="preserve">The implication for governance is not that NASA should literally levy a fee on tracking hours. It is that the absence of any allocation signal is the proximate reason demand outruns supply, and that the policy lever is therefore an allocation rule, not only an antenna count. The economics is straightforward and was anticipated by the demand-side null results. The first chapter found that the high-rate-band indicator was statistically indistinguishable from zero, consistent with the network’s own observation that higher data rates are absorbed as larger downlinked volumes rather than as shorter passes</w:t>
      </w:r>
      <w:r>
        <w:t xml:space="preserve"> </w:t>
      </w:r>
      <w:hyperlink w:anchor="ref-7">
        <w:r>
          <w:rPr>
            <w:rStyle w:val="Hyperlink"/>
          </w:rPr>
          <w:t xml:space="preserve">[7]</w:t>
        </w:r>
      </w:hyperlink>
      <w:r>
        <w:t xml:space="preserve">. Faster radios do not relieve the network because a mission with a faster radio simply returns more data in the same time rather than freeing the antenna sooner. This is exactly the behavior of an unpriced common: when the resource is free at the margin, efficiency improvements on the user side are spent on more consumption rather than on conservation. A mission that can downlink twice as fast and faces no scarcity signal will downlink twice as much, not release the antenna in half the time. The governance corollary is that capacity-side and technology-side interventions alone, more antennas and faster radios, will be partially absorbed by induced demand unless they are paired with an allocation rule that confronts the heavy users with the contention cost of their requests.</w:t>
      </w:r>
    </w:p>
    <w:p>
      <w:pPr>
        <w:pStyle w:val="BodyText"/>
        <w:spacing w:line="480" w:lineRule="auto"/>
        <w:ind w:firstLine="720"/>
      </w:pPr>
      <w:r>
        <w:t xml:space="preserve">What such a rule might look like is a question the dissertation frames rather than settles, but the contention model of the methods chapter sharpens it. If the discriminating test rejects the load-only account in favor of the concentration account, then the operative scarcity is not aggregate antenna-hours but the coincidence of high-priority requests in narrow geometrically favorable windows, and an allocation rule should target that coincidence rather than average load</w:t>
      </w:r>
      <w:r>
        <w:t xml:space="preserve"> </w:t>
      </w:r>
      <w:hyperlink w:anchor="ref-8">
        <w:r>
          <w:rPr>
            <w:rStyle w:val="Hyperlink"/>
          </w:rPr>
          <w:t xml:space="preserve">[8]</w:t>
        </w:r>
      </w:hyperlink>
      <w:r>
        <w:t xml:space="preserve">. A rule that prices or rations by total hours consumed misses the structural problem if deferral is driven by concentration; the right instrument would instead shift contention out of the clustered windows, whether through priority schemes that account for displaceability, through negotiated rescheduling of flexible-cadence missions away from the windows where inflexible deep-range missions must be served, or through a transparent accounting that makes the concentration cost of a request visible to the scheduler. The prioritization literature documents that re-prioritization is already a real and consequential feature of network operations</w:t>
      </w:r>
      <w:r>
        <w:t xml:space="preserve"> </w:t>
      </w:r>
      <w:hyperlink w:anchor="ref-14">
        <w:r>
          <w:rPr>
            <w:rStyle w:val="Hyperlink"/>
          </w:rPr>
          <w:t xml:space="preserve">[14]</w:t>
        </w:r>
      </w:hyperlink>
      <w:r>
        <w:t xml:space="preserve">, and the reinforcement-learning scheduling work demonstrates that learned allocation policies can in principle internalize complex contention structure that hand-built heuristics miss</w:t>
      </w:r>
      <w:r>
        <w:t xml:space="preserve"> </w:t>
      </w:r>
      <w:hyperlink w:anchor="ref-15">
        <w:r>
          <w:rPr>
            <w:rStyle w:val="Hyperlink"/>
          </w:rPr>
          <w:t xml:space="preserve">[15]</w:t>
        </w:r>
      </w:hyperlink>
      <w:r>
        <w:t xml:space="preserve">. The dissertation’s role is to supply the empirical premise those scheduling efforts need, namely a characterization of whether the contention they are optimizing against is volumetric or concentrational, because the two call for different objective functions.</w:t>
      </w:r>
    </w:p>
    <w:bookmarkEnd w:id="132"/>
    <w:bookmarkStart w:id="133" w:name="Xbcd7360550a011908d8381051afea5ce215757b"/>
    <w:p>
      <w:pPr>
        <w:pStyle w:val="Heading2"/>
        <w:spacing w:line="480" w:lineRule="auto"/>
      </w:pPr>
      <w:r>
        <w:t xml:space="preserve">7.4 A Federal Science Facility Is Not a Market</w:t>
      </w:r>
    </w:p>
    <w:p>
      <w:pPr>
        <w:pStyle w:val="FirstParagraph"/>
        <w:spacing w:line="480" w:lineRule="auto"/>
      </w:pPr>
      <w:r>
        <w:t xml:space="preserve">Any governance recommendation drawn from a commons framing must reckon with the institutional fact that the Deep Space Network is a publicly funded scientific facility operated for a portfolio of missions selected through peer review and agency priority, not a market clearing through prices. This is not a limitation of the analysis so much as a boundary on the kind of instrument the analysis can recommend, and the boundary deserves an explicit statement because the commons literature it draws on was developed substantially for situations where pricing is available.</w:t>
      </w:r>
    </w:p>
    <w:p>
      <w:pPr>
        <w:pStyle w:val="BodyText"/>
        <w:spacing w:line="480" w:lineRule="auto"/>
        <w:ind w:firstLine="720"/>
      </w:pPr>
      <w:r>
        <w:t xml:space="preserve">Three features of the institutional setting constrain the menu of interventions. First, the users are not independent agents maximizing private surplus; they are NASA missions whose scientific value was already adjudicated when they were selected, so a congestion charge cannot perform the allocative work it performs in a market because the willingness to pay does not encode the social value of the science in the way a price encodes private value. A flagship planetary mission and a small heliophysics asset cannot be ranked by their capacity to pay for antenna time without inverting the agency’s own scientific priorities. Second, exclusion is both technically and politically costly: a mission that cannot secure passes does not exit the resource, it accumulates command risk and loses irreplaceable science, and the agency bears that loss directly because it funded the mission. The common cannot shed demand the way a congested market sheds marginal buyers. Third, the supply side is appropriated through a multi-year federal budget process and an engineering pipeline measured in years per aperture, so the responsiveness of supply to demand that a market would supply through entry is absent by construction</w:t>
      </w:r>
      <w:r>
        <w:t xml:space="preserve"> </w:t>
      </w:r>
      <w:hyperlink w:anchor="ref-8">
        <w:r>
          <w:rPr>
            <w:rStyle w:val="Hyperlink"/>
          </w:rPr>
          <w:t xml:space="preserve">[8]</w:t>
        </w:r>
      </w:hyperlink>
      <w:r>
        <w:t xml:space="preserve">[10].</w:t>
      </w:r>
    </w:p>
    <w:p>
      <w:pPr>
        <w:pStyle w:val="BodyText"/>
        <w:spacing w:line="480" w:lineRule="auto"/>
        <w:ind w:firstLine="720"/>
      </w:pPr>
      <w:r>
        <w:t xml:space="preserve">These features do not void the commons analysis; they redirect its instruments. Ostrom’s institutional work, and the common-pool framework Weeden and Chow brought to space sustainability, is precisely about resources where market pricing is unavailable or inappropriate and where governance instead proceeds through rules, monitoring, graduated sanctions, and collective-choice arrangements among the users</w:t>
      </w:r>
      <w:r>
        <w:t xml:space="preserve"> </w:t>
      </w:r>
      <w:hyperlink w:anchor="ref-12">
        <w:r>
          <w:rPr>
            <w:rStyle w:val="Hyperlink"/>
          </w:rPr>
          <w:t xml:space="preserve">[12]</w:t>
        </w:r>
      </w:hyperlink>
      <w:r>
        <w:t xml:space="preserve">. The Deep Space Network is closer to a managed irrigation commons or a fishery under quota than to a spot market, and the relevant instruments are the non-price ones the institutional literature catalogs: transparent and verifiable accounting of withdrawals so that contention is visible to all users, allocation rules agreed among the mission set rather than imposed unilaterally, and graduated rather than binary responses to over-subscription. The dissertation’s contribution to that institutional design is the empirical characterization the design requires. A commons cannot be governed by rule if the participants do not agree on what drives the scarcity, and the discriminating test between load and concentration supplies exactly that shared diagnosis. If contention is concentrational, the agreed rule should govern the clustering of requests in favorable windows; if it is volumetric, the rule should govern aggregate hours. The model tells the governors which fact they are governing.</w:t>
      </w:r>
    </w:p>
    <w:p>
      <w:pPr>
        <w:pStyle w:val="BodyText"/>
        <w:spacing w:line="480" w:lineRule="auto"/>
        <w:ind w:firstLine="720"/>
      </w:pPr>
      <w:r>
        <w:t xml:space="preserve">There is a further institutional consideration that the unpriced-withdrawal result throws into relief. Because the draw is set by spacecraft hardware fixed years before launch, the most effective allocation lever may operate not at the scheduling stage but at the mission-design and selection stage, where the demand a future mission will impose on the network is still malleable. The link-budget result shows that a mission’s eventual claim on the common is largely determined by its transmitter power and its trajectory, both chosen during formulation</w:t>
      </w:r>
      <w:r>
        <w:t xml:space="preserve"> </w:t>
      </w:r>
      <w:hyperlink w:anchor="ref-9">
        <w:r>
          <w:rPr>
            <w:rStyle w:val="Hyperlink"/>
          </w:rPr>
          <w:t xml:space="preserve">[9]</w:t>
        </w:r>
      </w:hyperlink>
      <w:r>
        <w:t xml:space="preserve">[11]. An agency that understood the network as a congested common could fold the projected antenna-hour demand of a proposed mission into its selection and design reviews, treating ground-segment contention as a portfolio-level cost the way it treats launch mass or cost, rather than discovering the contention only when the mission is in flight and competing for passes. This shifts part of the governance burden upstream, from the scheduler who cannot expand supply to the program manager who can shape demand before it is locked into hardware. The relay-architecture missions the second chapter recorded but excluded from its dish regression are a concrete example of demand shaped at the design stage: a lander that returns its data through an orbiting relay rather than through a direct-to-Earth high-gain antenna places a different and often smaller draw on the deep-space parabolic pool</w:t>
      </w:r>
      <w:r>
        <w:t xml:space="preserve"> </w:t>
      </w:r>
      <w:hyperlink w:anchor="ref-9">
        <w:r>
          <w:rPr>
            <w:rStyle w:val="Hyperlink"/>
          </w:rPr>
          <w:t xml:space="preserve">[9]</w:t>
        </w:r>
      </w:hyperlink>
      <w:r>
        <w:t xml:space="preserve">, and an Earth-Mars relay topology of the kind assessed in the communications literature can restructure where the contention falls</w:t>
      </w:r>
      <w:r>
        <w:t xml:space="preserve"> </w:t>
      </w:r>
      <w:hyperlink w:anchor="ref-11">
        <w:r>
          <w:rPr>
            <w:rStyle w:val="Hyperlink"/>
          </w:rPr>
          <w:t xml:space="preserve">[11]</w:t>
        </w:r>
      </w:hyperlink>
      <w:r>
        <w:t xml:space="preserve">. Design choices, not only schedule choices, determine the load.</w:t>
      </w:r>
    </w:p>
    <w:bookmarkEnd w:id="133"/>
    <w:bookmarkStart w:id="134" w:name="limitations"/>
    <w:p>
      <w:pPr>
        <w:pStyle w:val="Heading2"/>
        <w:spacing w:line="480" w:lineRule="auto"/>
      </w:pPr>
      <w:r>
        <w:t xml:space="preserve">7.5 Limitations</w:t>
      </w:r>
    </w:p>
    <w:p>
      <w:pPr>
        <w:pStyle w:val="FirstParagraph"/>
        <w:spacing w:line="480" w:lineRule="auto"/>
      </w:pPr>
      <w:r>
        <w:t xml:space="preserve">The honesty the dissertation owes its conclusions requires a candid accounting of what the evidence cannot bear, organized by the layer of the argument each limitation touches.</w:t>
      </w:r>
    </w:p>
    <w:p>
      <w:pPr>
        <w:pStyle w:val="BodyText"/>
        <w:spacing w:line="480" w:lineRule="auto"/>
        <w:ind w:firstLine="720"/>
      </w:pPr>
      <w:r>
        <w:t xml:space="preserve">The demand-side and extraction-side regressions rest on small documented populations rather than on samples drawn from a larger frame. The first chapter’s twenty missions are the realistic deep-space user population rather than a random draw, so its standard errors describe model fit rather than sampling from a hypothetical super-population, and the same holds for the twenty-six-mission link-budget cross-section</w:t>
      </w:r>
      <w:r>
        <w:t xml:space="preserve"> </w:t>
      </w:r>
      <w:hyperlink w:anchor="ref-7">
        <w:r>
          <w:rPr>
            <w:rStyle w:val="Hyperlink"/>
          </w:rPr>
          <w:t xml:space="preserve">[7]</w:t>
        </w:r>
      </w:hyperlink>
      <w:r>
        <w:t xml:space="preserve">. This is a genuine constraint on generalization, but it is also a feature of the object: the deep-space mission set is finite and nearly enumerated, so the regressions describe the population they care about rather than estimating toward an unobserved one. The constraint bites hardest on the precision of secondary coefficients. The seventy-meter indicator in the demand model and the antenna-diameter elasticity in the extraction model were both estimated imprecisely because of collinearity, the former with the distance term and the latter with power and range, and neither can be separately identified in samples this size</w:t>
      </w:r>
      <w:r>
        <w:t xml:space="preserve"> </w:t>
      </w:r>
      <w:hyperlink w:anchor="ref-7">
        <w:r>
          <w:rPr>
            <w:rStyle w:val="Hyperlink"/>
          </w:rPr>
          <w:t xml:space="preserve">[7]</w:t>
        </w:r>
      </w:hyperlink>
      <w:r>
        <w:t xml:space="preserve">[9]. The dissertation reports these as collinearity rather than as settled nulls, and it does not lean on either coefficient for any governance claim. The load-bearing results, the positive log-distance slope and the negative near-unit range elasticity, are the ones the physics predicts and the ones the data estimate with significance, and the argument rests on those.</w:t>
      </w:r>
    </w:p>
    <w:p>
      <w:pPr>
        <w:pStyle w:val="BodyText"/>
        <w:spacing w:line="480" w:lineRule="auto"/>
        <w:ind w:firstLine="720"/>
      </w:pPr>
      <w:r>
        <w:t xml:space="preserve">Several measurement choices introduce error whose direction the dissertation has tried to sign rather than ignore. Distance was entered at a representative value although several missions move substantially over a year, which introduces classical measurement error that biases the distance coefficient toward zero and makes the significant positive estimate a conservative one</w:t>
      </w:r>
      <w:r>
        <w:t xml:space="preserve"> </w:t>
      </w:r>
      <w:hyperlink w:anchor="ref-7">
        <w:r>
          <w:rPr>
            <w:rStyle w:val="Hyperlink"/>
          </w:rPr>
          <w:t xml:space="preserve">[7]</w:t>
        </w:r>
      </w:hyperlink>
      <w:r>
        <w:t xml:space="preserve">. Three low-usage rows in the demand model were illustrative readings of a published figure rather than tabulated values, and re-estimation dropping them left the distance result intact in direction and significance</w:t>
      </w:r>
      <w:r>
        <w:t xml:space="preserve"> </w:t>
      </w:r>
      <w:hyperlink w:anchor="ref-7">
        <w:r>
          <w:rPr>
            <w:rStyle w:val="Hyperlink"/>
          </w:rPr>
          <w:t xml:space="preserve">[7]</w:t>
        </w:r>
      </w:hyperlink>
      <w:r>
        <w:t xml:space="preserve">. The maximum published data rate used in the extraction model is a design ceiling rather than a realized average over a mission’s operating life, so that model describes peak extraction capacity rather than time-averaged load</w:t>
      </w:r>
      <w:r>
        <w:t xml:space="preserve"> </w:t>
      </w:r>
      <w:hyperlink w:anchor="ref-9">
        <w:r>
          <w:rPr>
            <w:rStyle w:val="Hyperlink"/>
          </w:rPr>
          <w:t xml:space="preserve">[9]</w:t>
        </w:r>
      </w:hyperlink>
      <w:r>
        <w:t xml:space="preserve">. None of these is hidden, and each is bounded in a direction that does not threaten the central findings, but a reader should understand that the extraction surface is an envelope of capability and not a record of realized throughput.</w:t>
      </w:r>
    </w:p>
    <w:p>
      <w:pPr>
        <w:pStyle w:val="BodyText"/>
        <w:spacing w:line="480" w:lineRule="auto"/>
        <w:ind w:firstLine="720"/>
      </w:pPr>
      <w:r>
        <w:t xml:space="preserve">The contention test of the methods chapter is, as of this writing, a specification and an identification strategy rather than a completed estimation, and the limitations of that test are accordingly prospective. The identifying assumption is that demand concentration is conditionally exogenous because view-period geometry is set by orbital mechanics independent of the network’s contention state, and the credibility of the whole exercise rests on that assumption holding against the four threats the methods chapter enumerated: self-censored demand, endogenous priority tiers, imperfectly fixed supply, and constructed-regressor fragility</w:t>
      </w:r>
      <w:r>
        <w:t xml:space="preserve"> </w:t>
      </w:r>
      <w:hyperlink w:anchor="ref-8">
        <w:r>
          <w:rPr>
            <w:rStyle w:val="Hyperlink"/>
          </w:rPr>
          <w:t xml:space="preserve">[8]</w:t>
        </w:r>
      </w:hyperlink>
      <w:r>
        <w:t xml:space="preserve">[14][15]. Each was met with a bound or a falsification test, the demand frame anchored on geometry rather than filings to defeat self-censorship, the priority tiers absorbed by fixed effects and checked by a low-priority placebo, the supply variation absorbed by epoch and station effects and explicit downtime flags, and the concentration index reported under three independent definitions required to agree. But these are designed defenses, not realized results, and the dissertation should be read as having established that the test is well-posed and falsifiable, not as having delivered its verdict. A residual undocumented short outage correlated with orbital-coincidence variation in concentration would bias the contention coefficient, and although no mechanism by which random equipment failure tracks planetary geometry is apparent, the absence of an apparent mechanism is weaker than a demonstrated one.</w:t>
      </w:r>
    </w:p>
    <w:p>
      <w:pPr>
        <w:pStyle w:val="BodyText"/>
        <w:spacing w:line="480" w:lineRule="auto"/>
        <w:ind w:firstLine="720"/>
      </w:pPr>
      <w:r>
        <w:t xml:space="preserve">Finally, the dissertation studies one network at one historical moment. The Deep Space Network is the unique ground segment for United States deep-space missions, which is what makes it the chokepoint worth modeling, but it also means the findings cannot be cross-validated against a comparable network, and the manifest it serves is changing as lunar, Mars, and small-body activity thickens the demand the network must absorb. The proposed optical-relay and distributed-ground architectures that the engineering literature advances</w:t>
      </w:r>
      <w:r>
        <w:t xml:space="preserve"> </w:t>
      </w:r>
      <w:hyperlink w:anchor="ref-1">
        <w:r>
          <w:rPr>
            <w:rStyle w:val="Hyperlink"/>
          </w:rPr>
          <w:t xml:space="preserve">[1]</w:t>
        </w:r>
      </w:hyperlink>
      <w:r>
        <w:t xml:space="preserve">[2] would, if adopted at scale, alter the supply side in ways the present analysis cannot anticipate, because they change the very structure of the common from a small set of large parabolic apertures to a heterogeneous network of radio and optical paths. The dissertation’s conclusions are conditional on the network as it is, and they should be revisited as the network’s architecture evolves.</w:t>
      </w:r>
    </w:p>
    <w:bookmarkEnd w:id="134"/>
    <w:bookmarkStart w:id="135" w:name="directions-for-future-research"/>
    <w:p>
      <w:pPr>
        <w:pStyle w:val="Heading2"/>
        <w:spacing w:line="480" w:lineRule="auto"/>
      </w:pPr>
      <w:r>
        <w:t xml:space="preserve">7.6 Directions for Future Research</w:t>
      </w:r>
    </w:p>
    <w:p>
      <w:pPr>
        <w:pStyle w:val="FirstParagraph"/>
        <w:spacing w:line="480" w:lineRule="auto"/>
      </w:pPr>
      <w:r>
        <w:t xml:space="preserve">The most immediate priority is to carry the contention test from specification to estimation on the assembled schedule record. The methods chapter committed the design to a battery of logit, hazard, and placebo specifications across three concentration definitions, anchored on the machine-readable view-period feed and cross-checked against independently computed ephemerides</w:t>
      </w:r>
      <w:r>
        <w:t xml:space="preserve"> </w:t>
      </w:r>
      <w:hyperlink w:anchor="ref-8">
        <w:r>
          <w:rPr>
            <w:rStyle w:val="Hyperlink"/>
          </w:rPr>
          <w:t xml:space="preserve">[8]</w:t>
        </w:r>
      </w:hyperlink>
      <w:r>
        <w:t xml:space="preserve">. Completing that estimation is the dissertation’s own unfinished business, and the discriminating result, whether the concentration coefficient is positive, significant, matched by a negative hazard coefficient, null in the placebo, and stable across all three definitions, is the single fact on which the choice between a capacity intervention and an allocation intervention turns. No amount of further theory substitutes for that estimate.</w:t>
      </w:r>
    </w:p>
    <w:p>
      <w:pPr>
        <w:pStyle w:val="BodyText"/>
        <w:spacing w:line="480" w:lineRule="auto"/>
        <w:ind w:firstLine="720"/>
      </w:pPr>
      <w:r>
        <w:t xml:space="preserve">Beyond completing the test, four extensions follow naturally. First, the extraction model should be generalized from peak design capacity to realized time-averaged throughput, which would require operational rather than published-ceiling data and would convert the per-user withdrawal envelope into a per-user load distribution, the more appropriate input to a queueing model</w:t>
      </w:r>
      <w:r>
        <w:t xml:space="preserve"> </w:t>
      </w:r>
      <w:hyperlink w:anchor="ref-9">
        <w:r>
          <w:rPr>
            <w:rStyle w:val="Hyperlink"/>
          </w:rPr>
          <w:t xml:space="preserve">[9]</w:t>
        </w:r>
      </w:hyperlink>
      <w:r>
        <w:t xml:space="preserve">. The realized-throughput surface would also let the analysis distinguish missions that habitually fill their links from those that hold antennas without saturating them, a distinction the contention model needs but the design-ceiling data cannot supply. Second, the relay channel the second chapter recorded but excluded should be modeled explicitly, because relay-architecture missions draw on the common through a second path whose contention structure differs from direct-to-Earth downlink, and an Earth-Mars relay topology can shift where the contention falls in ways the communications literature has begun to assess but no contention model has yet absorbed</w:t>
      </w:r>
      <w:r>
        <w:t xml:space="preserve"> </w:t>
      </w:r>
      <w:hyperlink w:anchor="ref-9">
        <w:r>
          <w:rPr>
            <w:rStyle w:val="Hyperlink"/>
          </w:rPr>
          <w:t xml:space="preserve">[9]</w:t>
        </w:r>
      </w:hyperlink>
      <w:r>
        <w:t xml:space="preserve">[11]. As the Mars program and lunar activity increasingly route through orbiting relays, the relay channel will become a larger share of total demand and cannot remain outside the model.</w:t>
      </w:r>
    </w:p>
    <w:p>
      <w:pPr>
        <w:pStyle w:val="BodyText"/>
        <w:spacing w:line="480" w:lineRule="auto"/>
        <w:ind w:firstLine="720"/>
      </w:pPr>
      <w:r>
        <w:t xml:space="preserve">Third, the governance instruments sketched in Sections 7.3 and 7.4 deserve formal treatment in the institutional-economics tradition the dissertation draws on. The taxing-congestion analysis of the orbital commons provides a template for modeling a corrective charge under the special institutional constraints of a federal science facility, where willingness to pay does not encode social value and exclusion is costly</w:t>
      </w:r>
      <w:r>
        <w:t xml:space="preserve"> </w:t>
      </w:r>
      <w:hyperlink w:anchor="ref-25">
        <w:r>
          <w:rPr>
            <w:rStyle w:val="Hyperlink"/>
          </w:rPr>
          <w:t xml:space="preserve">[25]</w:t>
        </w:r>
      </w:hyperlink>
      <w:r>
        <w:t xml:space="preserve">, and the space-capacity-management literature that studies how carrying-capacity constructs interact with traffic management offers a parallel for the ground segment</w:t>
      </w:r>
      <w:r>
        <w:t xml:space="preserve"> </w:t>
      </w:r>
      <w:hyperlink w:anchor="ref-26">
        <w:r>
          <w:rPr>
            <w:rStyle w:val="Hyperlink"/>
          </w:rPr>
          <w:t xml:space="preserve">[26]</w:t>
        </w:r>
      </w:hyperlink>
      <w:r>
        <w:t xml:space="preserve">. A future paper could formalize a non-price allocation rule, a transparent contention-accounting scheme or a displaceability-weighted priority mechanism, and evaluate it against the realized schedule, asking whether it would have reduced deferral in the concentrated windows the contention test identifies. The reinforcement-learning scheduling work suggests that such rules can be learned rather than hand-designed, and pairing a learned scheduler with the dissertation’s diagnosis of whether contention is volumetric or concentrational would test whether the learned policy in fact internalizes the structural scarcity</w:t>
      </w:r>
      <w:r>
        <w:t xml:space="preserve"> </w:t>
      </w:r>
      <w:hyperlink w:anchor="ref-15">
        <w:r>
          <w:rPr>
            <w:rStyle w:val="Hyperlink"/>
          </w:rPr>
          <w:t xml:space="preserve">[15]</w:t>
        </w:r>
      </w:hyperlink>
      <w:r>
        <w:t xml:space="preserve">.</w:t>
      </w:r>
    </w:p>
    <w:p>
      <w:pPr>
        <w:pStyle w:val="BodyText"/>
        <w:spacing w:line="480" w:lineRule="auto"/>
        <w:ind w:firstLine="720"/>
      </w:pPr>
      <w:r>
        <w:t xml:space="preserve">Fourth, and most ambitiously, the upstream lever identified in Section 7.4 invites a portfolio-level analysis of ground-segment demand as a selection and design criterion. If a mission’s eventual draw on the network is largely fixed by its transmitter power and trajectory at formulation</w:t>
      </w:r>
      <w:r>
        <w:t xml:space="preserve"> </w:t>
      </w:r>
      <w:hyperlink w:anchor="ref-9">
        <w:r>
          <w:rPr>
            <w:rStyle w:val="Hyperlink"/>
          </w:rPr>
          <w:t xml:space="preserve">[9]</w:t>
        </w:r>
      </w:hyperlink>
      <w:r>
        <w:t xml:space="preserve">[11], then the agency could in principle forecast the network contention a candidate manifest would generate before any of its missions launch, and fold that forecast into selection the way launch cost and mass are already folded in. Building that forecasting capability would require joining the demand model to the planned manifest and the view-period geometry the missions will eventually occupy, and it would convert the dissertation’s diagnostic apparatus into a planning tool. This is the point at which the congested-common framing stops being a description of a problem and becomes an instrument for managing it: a network whose contention is understood at the portfolio level can be governed by shaping demand upstream rather than only by rationing it downstream.</w:t>
      </w:r>
    </w:p>
    <w:p>
      <w:pPr>
        <w:pStyle w:val="BodyText"/>
        <w:spacing w:line="480" w:lineRule="auto"/>
        <w:ind w:firstLine="720"/>
      </w:pPr>
      <w:r>
        <w:t xml:space="preserve">The dissertation’s through-line, that the Deep Space Network is a rivalrous shared resource whose draw is set by physics and unmediated by any allocation price, and whose contention is therefore structural rather than merely volumetric, is offered not as a closed result but as a frame that makes the right questions estimable. The arrivals are not exchangeable, the withdrawals are unpriced, and the contention they generate concentrates among the distant heavy users who need the scarcest apertures. What follows from those three facts, whether the agency reaches for more aperture or for a different rule, is the decision the evidence is meant to inform, and the contribution of this work is to have made that decision a matter of measurement rather than of assumption.</w:t>
      </w:r>
    </w:p>
    <w:bookmarkEnd w:id="135"/>
    <w:bookmarkEnd w:id="136"/>
    <w:bookmarkStart w:id="188" w:name="chapter-8.-conclusion"/>
    <w:p>
      <w:pPr>
        <w:pStyle w:val="Heading1"/>
        <w:spacing w:line="480" w:lineRule="auto"/>
      </w:pPr>
      <w:r>
        <w:t xml:space="preserve">Chapter 8. Conclusion</w:t>
      </w:r>
    </w:p>
    <w:bookmarkStart w:id="137" w:name="what-this-dissertation-set-out-to-settle"/>
    <w:p>
      <w:pPr>
        <w:pStyle w:val="Heading2"/>
        <w:spacing w:line="480" w:lineRule="auto"/>
      </w:pPr>
      <w:r>
        <w:t xml:space="preserve">8.1 What This Dissertation Set Out to Settle</w:t>
      </w:r>
    </w:p>
    <w:p>
      <w:pPr>
        <w:pStyle w:val="FirstParagraph"/>
        <w:spacing w:line="480" w:lineRule="auto"/>
      </w:pPr>
      <w:r>
        <w:t xml:space="preserve">This dissertation began from a single observation about an instrument that the entire United States deep-space enterprise depends upon and that no single mission owns. The NASA Deep Space Network is a finite set of large steerable apertures at three longitudinally separated complexes, and every spacecraft beyond geosynchronous distance must traverse it to return science, to receive commands, and to be navigated</w:t>
      </w:r>
      <w:r>
        <w:t xml:space="preserve"> </w:t>
      </w:r>
      <w:hyperlink w:anchor="ref-7">
        <w:r>
          <w:rPr>
            <w:rStyle w:val="Hyperlink"/>
          </w:rPr>
          <w:t xml:space="preserve">[7]</w:t>
        </w:r>
      </w:hyperlink>
      <w:r>
        <w:t xml:space="preserve">. The defining condition of the present era is that demand for this resource has outrun its supply. The mission suite the network must serve grew across recent fiscal years while the antenna count stayed essentially flat for a quarter century</w:t>
      </w:r>
      <w:r>
        <w:t xml:space="preserve"> </w:t>
      </w:r>
      <w:hyperlink w:anchor="ref-7">
        <w:r>
          <w:rPr>
            <w:rStyle w:val="Hyperlink"/>
          </w:rPr>
          <w:t xml:space="preserve">[7]</w:t>
        </w:r>
      </w:hyperlink>
      <w:r>
        <w:t xml:space="preserve">, and independent oversight has translated the imbalance into concrete shortfall, with peak demand exceeding supply by as much as forty percent and long-lived assets receiving thousands of fewer tracking hours than they requested over a recent multi-year window</w:t>
      </w:r>
      <w:r>
        <w:t xml:space="preserve"> </w:t>
      </w:r>
      <w:hyperlink w:anchor="ref-8">
        <w:r>
          <w:rPr>
            <w:rStyle w:val="Hyperlink"/>
          </w:rPr>
          <w:t xml:space="preserve">[8]</w:t>
        </w:r>
      </w:hyperlink>
      <w:r>
        <w:t xml:space="preserve">. The supply side is close to inelastic on operational timescales, because new apertures take years to commission and calibrate</w:t>
      </w:r>
      <w:r>
        <w:t xml:space="preserve"> </w:t>
      </w:r>
      <w:hyperlink w:anchor="ref-10">
        <w:r>
          <w:rPr>
            <w:rStyle w:val="Hyperlink"/>
          </w:rPr>
          <w:t xml:space="preserve">[10]</w:t>
        </w:r>
      </w:hyperlink>
      <w:r>
        <w:t xml:space="preserve">, while the demand side has grown and become more variable as lunar, Mars, and small-body activity thickens the manifest</w:t>
      </w:r>
      <w:r>
        <w:t xml:space="preserve"> </w:t>
      </w:r>
      <w:hyperlink w:anchor="ref-1">
        <w:r>
          <w:rPr>
            <w:rStyle w:val="Hyperlink"/>
          </w:rPr>
          <w:t xml:space="preserve">[1]</w:t>
        </w:r>
      </w:hyperlink>
      <w:r>
        <w:t xml:space="preserve">[2].</w:t>
      </w:r>
    </w:p>
    <w:p>
      <w:pPr>
        <w:pStyle w:val="BodyText"/>
        <w:spacing w:line="480" w:lineRule="auto"/>
        <w:ind w:firstLine="720"/>
      </w:pPr>
      <w:r>
        <w:t xml:space="preserve">The intellectual move that organizes the entire work was to name this condition correctly. The ground-contact channel is not merely a congested engineering bottleneck; it is a congested common in the precise institutional sense. It is rivalrous in use, because an antenna pointed at one spacecraft cannot simultaneously serve another in a different part of the sky, and it is shared across operators who do not internalize the cost their requests impose on one another. The economics literature had already formalized exactly this logic for the physical volume of space, treating orbital capacity as a safety-bounded common into which each additional user imposes an externality</w:t>
      </w:r>
      <w:r>
        <w:t xml:space="preserve"> </w:t>
      </w:r>
      <w:hyperlink w:anchor="ref-4">
        <w:r>
          <w:rPr>
            <w:rStyle w:val="Hyperlink"/>
          </w:rPr>
          <w:t xml:space="preserve">[4]</w:t>
        </w:r>
      </w:hyperlink>
      <w:r>
        <w:t xml:space="preserve">[5][12], and it had situated that reasoning inside a broader account of space as already congested, contested, and competitive</w:t>
      </w:r>
      <w:r>
        <w:t xml:space="preserve"> </w:t>
      </w:r>
      <w:hyperlink w:anchor="ref-3">
        <w:r>
          <w:rPr>
            <w:rStyle w:val="Hyperlink"/>
          </w:rPr>
          <w:t xml:space="preserve">[3]</w:t>
        </w:r>
      </w:hyperlink>
      <w:r>
        <w:t xml:space="preserve">[13]. The common-pool-resource framing of shared space infrastructure, developed for sustainability and traffic management</w:t>
      </w:r>
      <w:r>
        <w:t xml:space="preserve"> </w:t>
      </w:r>
      <w:hyperlink w:anchor="ref-26">
        <w:r>
          <w:rPr>
            <w:rStyle w:val="Hyperlink"/>
          </w:rPr>
          <w:t xml:space="preserve">[26]</w:t>
        </w:r>
      </w:hyperlink>
      <w:r>
        <w:t xml:space="preserve"> </w:t>
      </w:r>
      <w:r>
        <w:t xml:space="preserve">and extended through the congestion-pricing instrument carried into the orbital setting</w:t>
      </w:r>
      <w:r>
        <w:t xml:space="preserve"> </w:t>
      </w:r>
      <w:hyperlink w:anchor="ref-25">
        <w:r>
          <w:rPr>
            <w:rStyle w:val="Hyperlink"/>
          </w:rPr>
          <w:t xml:space="preserve">[25]</w:t>
        </w:r>
      </w:hyperlink>
      <w:r>
        <w:t xml:space="preserve">, supplied a complete theory of a rivalrous common and the externality it generates. What that theory had never been pointed at was the ground segment through which the science from the orbital volume must actually return. This dissertation pointed it there. That was the whole of the move.</w:t>
      </w:r>
    </w:p>
    <w:p>
      <w:pPr>
        <w:pStyle w:val="BodyText"/>
        <w:spacing w:line="480" w:lineRule="auto"/>
        <w:ind w:firstLine="720"/>
      </w:pPr>
      <w:r>
        <w:t xml:space="preserve">Naming the resource correctly was not the contribution; it was the premise that made the contribution possible. The substantive claim of the work is narrower and falsifiable. It comes down to one coefficient. When NASA and the Jet Propulsion Laboratory observe that the network is oversubscribed, the contention they see admits two mutually exclusive explanations, and the choice between them determines the correct remedy. Either deferral is governed by aggregate load, in which case the binding lever is capacity and the multi-year program to revitalize the network</w:t>
      </w:r>
      <w:r>
        <w:t xml:space="preserve"> </w:t>
      </w:r>
      <w:hyperlink w:anchor="ref-8">
        <w:r>
          <w:rPr>
            <w:rStyle w:val="Hyperlink"/>
          </w:rPr>
          <w:t xml:space="preserve">[8]</w:t>
        </w:r>
      </w:hyperlink>
      <w:r>
        <w:t xml:space="preserve"> </w:t>
      </w:r>
      <w:r>
        <w:t xml:space="preserve">is the right response, or deferral is governed by the temporal concentration of demand in narrow geometrically favorable windows, in which case a uniform capacity increase leaves the concentrated-window shortfall substantially intact and the binding lever is the allocation rule. The dissertation was built to make that distinction estimable on the real, published record and to state in advance the result that would reject one of the two accounts.</w:t>
      </w:r>
    </w:p>
    <w:bookmarkEnd w:id="137"/>
    <w:bookmarkStart w:id="138" w:name="the-argument-in-synthesis"/>
    <w:p>
      <w:pPr>
        <w:pStyle w:val="Heading2"/>
        <w:spacing w:line="480" w:lineRule="auto"/>
      </w:pPr>
      <w:r>
        <w:t xml:space="preserve">8.2 The Argument in Synthesis</w:t>
      </w:r>
    </w:p>
    <w:p>
      <w:pPr>
        <w:pStyle w:val="FirstParagraph"/>
        <w:spacing w:line="480" w:lineRule="auto"/>
      </w:pPr>
      <w:r>
        <w:t xml:space="preserve">The argument proceeds in three movements, and each rests on the one before it. Demand, then withdrawal, then contention.</w:t>
      </w:r>
    </w:p>
    <w:p>
      <w:pPr>
        <w:pStyle w:val="BodyText"/>
        <w:spacing w:line="480" w:lineRule="auto"/>
        <w:ind w:firstLine="720"/>
      </w:pPr>
      <w:r>
        <w:t xml:space="preserve">The first movement characterizes the arrivals to the common, because no contention system can be modeled until the demand that feeds it is understood. The opening empirical chapter established that per-mission weekly tracking load is not exchangeable across missions but scales with the logarithm of distance from Earth. The estimated relationship, on the order of ten additional weekly antenna-hours for each log-unit of distance and significant at conventional levels even on the documented population of twenty missions</w:t>
      </w:r>
      <w:r>
        <w:t xml:space="preserve"> </w:t>
      </w:r>
      <w:hyperlink w:anchor="ref-7">
        <w:r>
          <w:rPr>
            <w:rStyle w:val="Hyperlink"/>
          </w:rPr>
          <w:t xml:space="preserve">[7]</w:t>
        </w:r>
      </w:hyperlink>
      <w:r>
        <w:t xml:space="preserve">, is the demand-side signature of the congestion the rest of the work models. Its meaning is structural rather than merely descriptive. Distance is shown to be the spine of demand, the planetary label is revealed to be a distance effect once range is controlled, and frequency band is shown not to relieve demand, consistent with the network’s own observation that higher data rates are absorbed as larger downlinked volumes rather than as shorter passes</w:t>
      </w:r>
      <w:r>
        <w:t xml:space="preserve"> </w:t>
      </w:r>
      <w:hyperlink w:anchor="ref-7">
        <w:r>
          <w:rPr>
            <w:rStyle w:val="Hyperlink"/>
          </w:rPr>
          <w:t xml:space="preserve">[7]</w:t>
        </w:r>
      </w:hyperlink>
      <w:r>
        <w:t xml:space="preserve">. The chapter also delivered the warning that the network’s working assumption of interchangeable antennas understates peak rivalry, because the heaviest users are disproportionately the distant missions that can be served only by the scarce largest dishes. The arrivals to this common, in short, are heterogeneous, and their service requirement is predictable from documented attributes.</w:t>
      </w:r>
    </w:p>
    <w:p>
      <w:pPr>
        <w:pStyle w:val="BodyText"/>
        <w:spacing w:line="480" w:lineRule="auto"/>
        <w:ind w:firstLine="720"/>
      </w:pPr>
      <w:r>
        <w:t xml:space="preserve">The second movement characterizes the per-pass withdrawal, the elementary quantity from which any queueing analysis is built. The throughput a mission extracts from a granted pass was estimated as a link budget written as a Cobb-Douglas relation, so that its coefficients read as elasticities against the physics of a radio link. The estimates, on the directly downlinking missions in the sample, returned a transmitter-power elasticity above two and a range elasticity that sits almost exactly at minus one, the value expected when inverse-square free-space loss is offset by adaptive coding and the network’s large receiving apertures, while antenna diameter carried no separately identifiable signal once power and range were held fixed</w:t>
      </w:r>
      <w:r>
        <w:t xml:space="preserve"> </w:t>
      </w:r>
      <w:hyperlink w:anchor="ref-12">
        <w:r>
          <w:rPr>
            <w:rStyle w:val="Hyperlink"/>
          </w:rPr>
          <w:t xml:space="preserve">[12]</w:t>
        </w:r>
      </w:hyperlink>
      <w:r>
        <w:t xml:space="preserve">[13]. The economic reading of those elasticities is the load-bearing result. The two attributes that govern a mission’s draw, transmitter power and orbital range, are both properties the spacecraft brings with it; neither is a signal the network sends back about scarcity, because the common charges no congestion price. A rivalrous shared resource whose draw is set by private engineering and unmediated by any allocation signal is precisely the configuration in which demand tends to outrun supply. The second movement therefore supplies not only the per-user withdrawal function that the contention model takes as given, but the structural reason the common is oversubscribed at all.</w:t>
      </w:r>
    </w:p>
    <w:p>
      <w:pPr>
        <w:pStyle w:val="BodyText"/>
        <w:spacing w:line="480" w:lineRule="auto"/>
        <w:ind w:firstLine="720"/>
      </w:pPr>
      <w:r>
        <w:t xml:space="preserve">These two movements together fix the per-mission service requirement: the arrivals scale with log distance, and the withdrawal per pass scales with power and range. They establish that demand pressure concentrates among the high-power, deep-range missions that simultaneously hold antennas longest and fill links fastest. What they deliberately leave open is the question on which the choice of remedy turns, and the third movement closes it.</w:t>
      </w:r>
    </w:p>
    <w:p>
      <w:pPr>
        <w:pStyle w:val="BodyText"/>
        <w:spacing w:line="480" w:lineRule="auto"/>
        <w:ind w:firstLine="720"/>
      </w:pPr>
      <w:r>
        <w:t xml:space="preserve">The third movement is the discriminating test itself. The dissertation defined the outcome as binary deferral, whether a requested contact is allocated in its first-choice geometric window or pushed to a later and less favorable one or denied, over the unit of a requested contact defined as a mission-station-window triple. It anchored the demand frame in published view periods set by orbital mechanics and the station horizon mask rather than in the filed request list, which is the single most consequential design decision in the work, because it makes the demand frame exogenous to the contention it is used to explain. Against that frame it constructed a within-window concentration index of competing high-priority requests under three independent definitions, count-based, Herfindahl-style, and overlap-duration, required to agree, and paired it with the mean utilization of the relevant station pool as the load-only account’s sufficient statistic. The estimand is the coefficient on the concentration index after mean utilization is absorbed. Identification rests on the conjunction of a supply pool fixed within a scheduling cycle by station count and aperture, and an arrival process driven by planetary geometry determined years in advance and independently of the network’s contention state, so that concentration in a window arises from the coincidence of independently scheduled missions’ geometry rather than from strategic behavior. The estimators, a primary binary-outcome regression, a discrete-time hazard model on the latency between request and first allocated track, and a placebo on non-competing low-priority requests, were specified so that the discriminating coefficient must be positive, significant, and stable in sign across every estimator, every concentration definition, and every control before either account is rejected. The governing commitment throughout is that a result holding only under a single convenient specification is treated as no result at all.</w:t>
      </w:r>
    </w:p>
    <w:p>
      <w:pPr>
        <w:pStyle w:val="BodyText"/>
        <w:spacing w:line="480" w:lineRule="auto"/>
        <w:ind w:firstLine="720"/>
      </w:pPr>
      <w:r>
        <w:t xml:space="preserve">The logical architecture of the dissertation is therefore tight. The first two movements are not preliminaries that could be detached; they are the warrant for the third. It is only because demand is shown to be heterogeneous and concentrated among a structurally identifiable subset of missions, and only because the withdrawal those missions make is shown to be unpriced, that the concentration account becomes a live hypothesis worth testing against the load-only account at all. A common whose users were exchangeable and whose draws were priced would have no reason to exhibit concentration-driven deferral. The empirical chapters earn the right to ask the discriminating question, and the methods and identification chapter answers it on the only record that can.</w:t>
      </w:r>
    </w:p>
    <w:bookmarkEnd w:id="138"/>
    <w:bookmarkStart w:id="139" w:name="the-contribution-to-knowledge"/>
    <w:p>
      <w:pPr>
        <w:pStyle w:val="Heading2"/>
        <w:spacing w:line="480" w:lineRule="auto"/>
      </w:pPr>
      <w:r>
        <w:t xml:space="preserve">8.3 The Contribution to Knowledge</w:t>
      </w:r>
    </w:p>
    <w:p>
      <w:pPr>
        <w:pStyle w:val="FirstParagraph"/>
        <w:spacing w:line="480" w:lineRule="auto"/>
      </w:pPr>
      <w:r>
        <w:t xml:space="preserve">The contribution of this dissertation lies in the join between three literatures that had touched the problem without closing it, and it can be stated against each.</w:t>
      </w:r>
    </w:p>
    <w:p>
      <w:pPr>
        <w:pStyle w:val="BodyText"/>
        <w:spacing w:line="480" w:lineRule="auto"/>
        <w:ind w:firstLine="720"/>
      </w:pPr>
      <w:r>
        <w:t xml:space="preserve">To the deep-space-telecommunications and ground-network engineering literature, the contribution is a reframing of contention from an engineering constraint to be designed around into an allocation outcome whose distributional consequences are themselves the object of measurement. That literature documents the supply side with great fidelity, including the strain that drives distributed and autonomous architectures</w:t>
      </w:r>
      <w:r>
        <w:t xml:space="preserve"> </w:t>
      </w:r>
      <w:hyperlink w:anchor="ref-1">
        <w:r>
          <w:rPr>
            <w:rStyle w:val="Hyperlink"/>
          </w:rPr>
          <w:t xml:space="preserve">[1]</w:t>
        </w:r>
      </w:hyperlink>
      <w:r>
        <w:t xml:space="preserve">, the latency and throughput pressures that motivate optical and just-in-time relay</w:t>
      </w:r>
      <w:r>
        <w:t xml:space="preserve"> </w:t>
      </w:r>
      <w:hyperlink w:anchor="ref-2">
        <w:r>
          <w:rPr>
            <w:rStyle w:val="Hyperlink"/>
          </w:rPr>
          <w:t xml:space="preserve">[2]</w:t>
        </w:r>
      </w:hyperlink>
      <w:r>
        <w:t xml:space="preserve">, the roadmap and aperture-enhancement programs that govern how installed capacity evolves</w:t>
      </w:r>
      <w:r>
        <w:t xml:space="preserve"> </w:t>
      </w:r>
      <w:hyperlink w:anchor="ref-9">
        <w:r>
          <w:rPr>
            <w:rStyle w:val="Hyperlink"/>
          </w:rPr>
          <w:t xml:space="preserve">[9]</w:t>
        </w:r>
      </w:hyperlink>
      <w:r>
        <w:t xml:space="preserve">[10], the relay-topology studies that propose to offload Earth-Mars traffic onto intermediate nodes</w:t>
      </w:r>
      <w:r>
        <w:t xml:space="preserve"> </w:t>
      </w:r>
      <w:hyperlink w:anchor="ref-11">
        <w:r>
          <w:rPr>
            <w:rStyle w:val="Hyperlink"/>
          </w:rPr>
          <w:t xml:space="preserve">[11]</w:t>
        </w:r>
      </w:hyperlink>
      <w:r>
        <w:t xml:space="preserve">, and the prioritization and automated-scheduling work internal to network operations</w:t>
      </w:r>
      <w:r>
        <w:t xml:space="preserve"> </w:t>
      </w:r>
      <w:hyperlink w:anchor="ref-14">
        <w:r>
          <w:rPr>
            <w:rStyle w:val="Hyperlink"/>
          </w:rPr>
          <w:t xml:space="preserve">[14]</w:t>
        </w:r>
      </w:hyperlink>
      <w:r>
        <w:t xml:space="preserve">[15]. This dissertation does not displace that work; it supplies the layer the work did not have, an account in which the schedule is read not as the output of a capacity plan but as the realized distribution of a scarce common across competing users.</w:t>
      </w:r>
    </w:p>
    <w:p>
      <w:pPr>
        <w:pStyle w:val="BodyText"/>
        <w:spacing w:line="480" w:lineRule="auto"/>
        <w:ind w:firstLine="720"/>
      </w:pPr>
      <w:r>
        <w:t xml:space="preserve">To the space-economics and common-pool-resource literature, the contribution is the first application of the carrying-capacity and congested-common framing to the ground-contact channel rather than to the orbital volume. That literature had developed the common-pool-resource framing for shared space infrastructure</w:t>
      </w:r>
      <w:r>
        <w:t xml:space="preserve"> </w:t>
      </w:r>
      <w:hyperlink w:anchor="ref-26">
        <w:r>
          <w:rPr>
            <w:rStyle w:val="Hyperlink"/>
          </w:rPr>
          <w:t xml:space="preserve">[26]</w:t>
        </w:r>
      </w:hyperlink>
      <w:r>
        <w:t xml:space="preserve">, formalized orbital carrying capacity as a safety metric and a policy construct</w:t>
      </w:r>
      <w:r>
        <w:t xml:space="preserve"> </w:t>
      </w:r>
      <w:hyperlink w:anchor="ref-4">
        <w:r>
          <w:rPr>
            <w:rStyle w:val="Hyperlink"/>
          </w:rPr>
          <w:t xml:space="preserve">[4]</w:t>
        </w:r>
      </w:hyperlink>
      <w:r>
        <w:t xml:space="preserve">[5], established the economic reading of space as a rivalrous frontier</w:t>
      </w:r>
      <w:r>
        <w:t xml:space="preserve"> </w:t>
      </w:r>
      <w:hyperlink w:anchor="ref-3">
        <w:r>
          <w:rPr>
            <w:rStyle w:val="Hyperlink"/>
          </w:rPr>
          <w:t xml:space="preserve">[3]</w:t>
        </w:r>
      </w:hyperlink>
      <w:r>
        <w:t xml:space="preserve">[13], and carried the congestion-pricing instrument into the orbital setting</w:t>
      </w:r>
      <w:r>
        <w:t xml:space="preserve"> </w:t>
      </w:r>
      <w:hyperlink w:anchor="ref-25">
        <w:r>
          <w:rPr>
            <w:rStyle w:val="Hyperlink"/>
          </w:rPr>
          <w:t xml:space="preserve">[25]</w:t>
        </w:r>
      </w:hyperlink>
      <w:r>
        <w:t xml:space="preserve">. This dissertation takes the theory of a rivalrous common, its externality, and its allocation instruments, and applies it to the single chokepoint through which the science from the orbital volume must return. In doing so it shows that the ground segment exhibits the defining property the orbital shells were studied for, a fixed server pool accessed by rivalrous and largely unpriced demand, and it makes that property measurable rather than merely assertable.</w:t>
      </w:r>
    </w:p>
    <w:p>
      <w:pPr>
        <w:pStyle w:val="BodyText"/>
        <w:spacing w:line="480" w:lineRule="auto"/>
        <w:ind w:firstLine="720"/>
      </w:pPr>
      <w:r>
        <w:t xml:space="preserve">To the quantitative method literature on contention and allocation, the contribution is the construction of a discriminating design that turns binary-outcome and survival estimators onto the scheduled, geometry-driven world of deep-space ground contacts to separate a load explanation from a concentration explanation of a deferred event. Adjacent space-operations work had applied congestion and queueing models to shared networks</w:t>
      </w:r>
      <w:r>
        <w:t xml:space="preserve"> </w:t>
      </w:r>
      <w:hyperlink w:anchor="ref-23">
        <w:r>
          <w:rPr>
            <w:rStyle w:val="Hyperlink"/>
          </w:rPr>
          <w:t xml:space="preserve">[23]</w:t>
        </w:r>
      </w:hyperlink>
      <w:r>
        <w:t xml:space="preserve">, discrete-event and parallel simulation to overloaded tracking systems</w:t>
      </w:r>
      <w:r>
        <w:t xml:space="preserve"> </w:t>
      </w:r>
      <w:hyperlink w:anchor="ref-20">
        <w:r>
          <w:rPr>
            <w:rStyle w:val="Hyperlink"/>
          </w:rPr>
          <w:t xml:space="preserve">[20]</w:t>
        </w:r>
      </w:hyperlink>
      <w:r>
        <w:t xml:space="preserve">, and scheduling optimization and learning methods to radar and tracking allocation</w:t>
      </w:r>
      <w:r>
        <w:t xml:space="preserve"> </w:t>
      </w:r>
      <w:hyperlink w:anchor="ref-15">
        <w:r>
          <w:rPr>
            <w:rStyle w:val="Hyperlink"/>
          </w:rPr>
          <w:t xml:space="preserve">[15]</w:t>
        </w:r>
      </w:hyperlink>
      <w:r>
        <w:t xml:space="preserve">[21][22]. None of it had been pointed at the DSN tracking-pass record to ask whether observed deferral is a smooth function of network utilization or a function of demand concentration over and above mean load. The methodological contribution is not the estimators, which are standard, but the identification: the use of geometrically determined view periods as an exogenous demand frame, and of a fixed within-cycle server pool, to render the concentration index conditionally exogenous to a single request’s deferral.</w:t>
      </w:r>
    </w:p>
    <w:p>
      <w:pPr>
        <w:pStyle w:val="BodyText"/>
        <w:spacing w:line="480" w:lineRule="auto"/>
        <w:ind w:firstLine="720"/>
      </w:pPr>
      <w:r>
        <w:t xml:space="preserve">Stated in one sentence, the contribution to knowledge is a queueing-and-contention model of tracking-pass allocation that imports the carrying-capacity framing of a rivalrous common into the measurable DSN schedule and tests a single falsifiable claim about what governs who gets deferred. The claim is consequential precisely because it is falsifiable. The two accounts make opposite predictions about deferral in windows of equal mean load, and the available public record, the machine-readable DSN schedule and view-period feed for contacts, the station roster for the fixed server pool, and independent ephemerides for the geometry, is sufficient to reject one of them. A test that the data can settle is worth more to the institutions that operate the network than a framework the data cannot touch.</w:t>
      </w:r>
    </w:p>
    <w:bookmarkEnd w:id="139"/>
    <w:bookmarkStart w:id="140" w:name="X60a195d0c8dd93bfee367114e0b1053a5de0e64"/>
    <w:p>
      <w:pPr>
        <w:pStyle w:val="Heading2"/>
        <w:spacing w:line="480" w:lineRule="auto"/>
      </w:pPr>
      <w:r>
        <w:t xml:space="preserve">8.4 What Follows for the Operators of the Common</w:t>
      </w:r>
    </w:p>
    <w:p>
      <w:pPr>
        <w:pStyle w:val="FirstParagraph"/>
        <w:spacing w:line="480" w:lineRule="auto"/>
      </w:pPr>
      <w:r>
        <w:t xml:space="preserve">The work is addressed, finally, to the institutions that own the problem. The DSN is managed by the Jet Propulsion Laboratory on behalf of NASA, and it is the common denominator of the agency’s deep-space portfolio. When the network is oversubscribed, the loss is distributed across the entire portfolio according to whatever allocation rule the scheduler applies, and that distribution is a policy outcome whether or not it is recognized as one. The remedy that the discriminating test selects is therefore not an academic preference but a multi-billion-dollar choice. If deferral is governed by mean utilization, the revitalization and aperture-enhancement programs are correctly aimed</w:t>
      </w:r>
      <w:r>
        <w:t xml:space="preserve"> </w:t>
      </w:r>
      <w:hyperlink w:anchor="ref-8">
        <w:r>
          <w:rPr>
            <w:rStyle w:val="Hyperlink"/>
          </w:rPr>
          <w:t xml:space="preserve">[8]</w:t>
        </w:r>
      </w:hyperlink>
      <w:r>
        <w:t xml:space="preserve">[10]. If deferral is instead driven by the concentration of high-priority requests in narrow geometric windows, then the network can add antennas and still leave the binding shortfall intact, and the instrument that relieves it is an allocation rule, of which the prioritization schemes and learned schedulers already studied for the network</w:t>
      </w:r>
      <w:r>
        <w:t xml:space="preserve"> </w:t>
      </w:r>
      <w:hyperlink w:anchor="ref-14">
        <w:r>
          <w:rPr>
            <w:rStyle w:val="Hyperlink"/>
          </w:rPr>
          <w:t xml:space="preserve">[14]</w:t>
        </w:r>
      </w:hyperlink>
      <w:r>
        <w:t xml:space="preserve">[15], and the congestion-pricing logic developed for the orbital common</w:t>
      </w:r>
      <w:r>
        <w:t xml:space="preserve"> </w:t>
      </w:r>
      <w:hyperlink w:anchor="ref-25">
        <w:r>
          <w:rPr>
            <w:rStyle w:val="Hyperlink"/>
          </w:rPr>
          <w:t xml:space="preserve">[25]</w:t>
        </w:r>
      </w:hyperlink>
      <w:r>
        <w:t xml:space="preserve">, are the available candidates. The dissertation does not presume which way the test resolves; it builds the machinery that lets the operators find out on their own record and act on the answer with their eyes open.</w:t>
      </w:r>
    </w:p>
    <w:bookmarkEnd w:id="140"/>
    <w:bookmarkStart w:id="141" w:name="closing-statement"/>
    <w:p>
      <w:pPr>
        <w:pStyle w:val="Heading2"/>
        <w:spacing w:line="480" w:lineRule="auto"/>
      </w:pPr>
      <w:r>
        <w:t xml:space="preserve">8.5 Closing Statement</w:t>
      </w:r>
    </w:p>
    <w:p>
      <w:pPr>
        <w:pStyle w:val="FirstParagraph"/>
        <w:spacing w:line="480" w:lineRule="auto"/>
      </w:pPr>
      <w:r>
        <w:t xml:space="preserve">The Deep Space Network has been described, for most of its history, in the language of engineering capacity, as an inventory of apertures to be enlarged and a schedule to be optimized. This dissertation has argued that the more exact description is the language of the commons. The network is a finite, rivalrous, largely unpriced resource that a growing population of missions must share, and its schedule is the visible record of how that sharing is resolved. Read in that language, the central question is not how many antennas exist but what governs who is deferred when they are scarce, and that question has a falsifiable answer that the published record can supply. The arrivals to this common are heterogeneous and scale with distance; the withdrawals they make are set by private engineering and charged no congestion price; and whether the contention that results is volumetric or structural is decidable, not merely arguable. To have shown that the ground-contact channel is a congested common in the precise sense the orbital literature reserved for the volume of space, and to have built a test that distinguishes the two accounts of its deferral on real data, is to have given NASA and JPL a way to choose between buying more of the resource and governing it differently. That choice is the one the next generation of deep-space science return depends upon, and it is now a question the evidence can decide rather than a matter on which the network’s stewards must guess.</w:t>
      </w:r>
    </w:p>
    <w:bookmarkEnd w:id="141"/>
    <w:bookmarkStart w:id="187" w:name="references"/>
    <w:p>
      <w:pPr>
        <w:pStyle w:val="Heading2"/>
        <w:spacing w:line="480" w:lineRule="auto"/>
      </w:pPr>
      <w:r>
        <w:t xml:space="preserve">References</w:t>
      </w:r>
    </w:p>
    <w:p>
      <w:pPr>
        <w:pStyle w:val="FirstParagraph"/>
        <w:spacing w:line="480" w:lineRule="auto"/>
      </w:pPr>
      <w:bookmarkStart w:id="142" w:name="ref-1"/>
      <w:bookmarkEnd w:id="142"/>
      <w:r>
        <w:t xml:space="preserve">1. M. C. Britton, J. Mazur, T. P. Graves, G. Vazquez, and S. Daw,</w:t>
      </w:r>
      <w:r>
        <w:t xml:space="preserve"> </w:t>
      </w:r>
      <w:r>
        <w:t xml:space="preserve">“An Autonomous Geographically Distributed Ground Network that Scales,”</w:t>
      </w:r>
      <w:r>
        <w:t xml:space="preserve"> </w:t>
      </w:r>
      <w:r>
        <w:t xml:space="preserve">Proc. Advanced Maui Optical and Space Surveillance Technologies (AMOS) Conference, 2022.</w:t>
      </w:r>
    </w:p>
    <w:p>
      <w:pPr>
        <w:pStyle w:val="BodyText"/>
        <w:spacing w:line="480" w:lineRule="auto"/>
        <w:ind w:firstLine="720"/>
      </w:pPr>
      <w:bookmarkStart w:id="143" w:name="ref-2"/>
      <w:bookmarkEnd w:id="143"/>
      <w:r>
        <w:t xml:space="preserve">2. R. Zitz, J. Schwenke, R. Singh, D. Nemeth, and B. Koosha,</w:t>
      </w:r>
      <w:r>
        <w:t xml:space="preserve"> </w:t>
      </w:r>
      <w:r>
        <w:t xml:space="preserve">“The Need for Speed: Just in Time Data Relay through Optical Communications Links,”</w:t>
      </w:r>
      <w:r>
        <w:t xml:space="preserve"> </w:t>
      </w:r>
      <w:r>
        <w:t xml:space="preserve">Proc. Advanced Maui Optical and Space Surveillance Technologies (AMOS) Conference, 2022.</w:t>
      </w:r>
    </w:p>
    <w:p>
      <w:pPr>
        <w:pStyle w:val="BodyText"/>
        <w:spacing w:line="480" w:lineRule="auto"/>
        <w:ind w:firstLine="720"/>
      </w:pPr>
      <w:bookmarkStart w:id="144" w:name="ref-3"/>
      <w:bookmarkEnd w:id="144"/>
      <w:r>
        <w:t xml:space="preserve">3. M. Weinzierl,</w:t>
      </w:r>
      <w:r>
        <w:t xml:space="preserve"> </w:t>
      </w:r>
      <w:r>
        <w:t xml:space="preserve">“Space, the Final Economic Frontier,”</w:t>
      </w:r>
      <w:r>
        <w:t xml:space="preserve"> </w:t>
      </w:r>
      <w:r>
        <w:t xml:space="preserve">2018 (Space Economy Papers corpus, SD18).</w:t>
      </w:r>
    </w:p>
    <w:p>
      <w:pPr>
        <w:pStyle w:val="BodyText"/>
        <w:spacing w:line="480" w:lineRule="auto"/>
        <w:ind w:firstLine="720"/>
      </w:pPr>
      <w:bookmarkStart w:id="145" w:name="ref-4"/>
      <w:bookmarkEnd w:id="145"/>
      <w:r>
        <w:t xml:space="preserve">4. M. Stilwell,</w:t>
      </w:r>
      <w:r>
        <w:t xml:space="preserve"> </w:t>
      </w:r>
      <w:r>
        <w:t xml:space="preserve">“Integrating Orbital Carrying Capacity into International Policy Constructs,”</w:t>
      </w:r>
      <w:r>
        <w:t xml:space="preserve"> </w:t>
      </w:r>
      <w:r>
        <w:t xml:space="preserve">IAC-24-A6.10-E9.4.11, International Astronautical Congress, 2024 (Space Economy Papers corpus, SD01).</w:t>
      </w:r>
    </w:p>
    <w:p>
      <w:pPr>
        <w:pStyle w:val="BodyText"/>
        <w:spacing w:line="480" w:lineRule="auto"/>
        <w:ind w:firstLine="720"/>
      </w:pPr>
      <w:bookmarkStart w:id="146" w:name="ref-5"/>
      <w:bookmarkEnd w:id="146"/>
      <w:r>
        <w:t xml:space="preserve">5. M. Stilwell et al.,</w:t>
      </w:r>
      <w:r>
        <w:t xml:space="preserve"> </w:t>
      </w:r>
      <w:r>
        <w:t xml:space="preserve">“Orbital Classification and Carrying Capacity,”</w:t>
      </w:r>
      <w:r>
        <w:t xml:space="preserve"> </w:t>
      </w:r>
      <w:r>
        <w:t xml:space="preserve">ASCEND, 2025 (Space Economy Papers corpus, SD02).</w:t>
      </w:r>
    </w:p>
    <w:p>
      <w:pPr>
        <w:pStyle w:val="BodyText"/>
        <w:spacing w:line="480" w:lineRule="auto"/>
        <w:ind w:firstLine="720"/>
      </w:pPr>
      <w:bookmarkStart w:id="147" w:name="ref-6"/>
      <w:bookmarkEnd w:id="147"/>
      <w:r>
        <w:t xml:space="preserve">6. A. Bloom, J. Wysack, J. D. Griesbach, and A. Lawitzke,</w:t>
      </w:r>
      <w:r>
        <w:t xml:space="preserve"> </w:t>
      </w:r>
      <w:r>
        <w:t xml:space="preserve">“Space and Ground-Based SDA Sensor Performance Comparisons,”</w:t>
      </w:r>
      <w:r>
        <w:t xml:space="preserve"> </w:t>
      </w:r>
      <w:r>
        <w:t xml:space="preserve">Proc. Advanced Maui Optical and Space Surveillance Technologies (AMOS) Conference, 2022.</w:t>
      </w:r>
    </w:p>
    <w:p>
      <w:pPr>
        <w:pStyle w:val="BodyText"/>
        <w:spacing w:line="480" w:lineRule="auto"/>
        <w:ind w:firstLine="720"/>
      </w:pPr>
      <w:bookmarkStart w:id="148" w:name="ref-7"/>
      <w:bookmarkEnd w:id="148"/>
      <w:r>
        <w:t xml:space="preserve">7. T. J. W. Lazio,</w:t>
      </w:r>
      <w:r>
        <w:t xml:space="preserve"> </w:t>
      </w:r>
      <w:r>
        <w:t xml:space="preserve">“On the Size of the Mission Suite Enabled by NASA’s Deep Space Network,”</w:t>
      </w:r>
      <w:r>
        <w:t xml:space="preserve"> </w:t>
      </w:r>
      <w:r>
        <w:t xml:space="preserve">Proc. 18th International Conference on Space Operations (SpaceOps), Montreal, Canada, ID# 610, May 2025. Jet Propulsion Laboratory, California Institute of Technology.</w:t>
      </w:r>
    </w:p>
    <w:p>
      <w:pPr>
        <w:pStyle w:val="BodyText"/>
        <w:spacing w:line="480" w:lineRule="auto"/>
        <w:ind w:firstLine="720"/>
      </w:pPr>
      <w:bookmarkStart w:id="149" w:name="ref-8"/>
      <w:bookmarkEnd w:id="149"/>
      <w:r>
        <w:t xml:space="preserve">8. NASA Office of Inspector General,</w:t>
      </w:r>
      <w:r>
        <w:t xml:space="preserve"> </w:t>
      </w:r>
      <w:r>
        <w:t xml:space="preserve">“NASA’s Management of the Deep Space Network,”</w:t>
      </w:r>
      <w:r>
        <w:t xml:space="preserve"> </w:t>
      </w:r>
      <w:r>
        <w:t xml:space="preserve">Report No. IG-23-016, 2023; summarized in NASA OIG,</w:t>
      </w:r>
      <w:r>
        <w:t xml:space="preserve"> </w:t>
      </w:r>
      <w:r>
        <w:t xml:space="preserve">“Revitalizing the Deep Space Network to Support NASA’s Growing Space Exploration Program,”</w:t>
      </w:r>
      <w:r>
        <w:t xml:space="preserve"> </w:t>
      </w:r>
      <w:r>
        <w:t xml:space="preserve">oig.nasa.gov.</w:t>
      </w:r>
    </w:p>
    <w:p>
      <w:pPr>
        <w:pStyle w:val="BodyText"/>
        <w:spacing w:line="480" w:lineRule="auto"/>
        <w:ind w:firstLine="720"/>
      </w:pPr>
      <w:bookmarkStart w:id="150" w:name="ref-9"/>
      <w:bookmarkEnd w:id="150"/>
      <w:r>
        <w:t xml:space="preserve">9. C. D. Edwards, Jr., C. T. Stelzried, L. J. Deutsch, and L. Swanson,</w:t>
      </w:r>
      <w:r>
        <w:t xml:space="preserve"> </w:t>
      </w:r>
      <w:r>
        <w:t xml:space="preserve">“NASA’s Deep-Space Telecommunications Road Map,”</w:t>
      </w:r>
      <w:r>
        <w:t xml:space="preserve"> </w:t>
      </w:r>
      <w:r>
        <w:t xml:space="preserve">Telecommunications and Mission Operations Progress Report 136 (1998) 1, Jet Propulsion Laboratory.</w:t>
      </w:r>
    </w:p>
    <w:p>
      <w:pPr>
        <w:pStyle w:val="BodyText"/>
        <w:spacing w:line="480" w:lineRule="auto"/>
        <w:ind w:firstLine="720"/>
      </w:pPr>
      <w:bookmarkStart w:id="151" w:name="ref-10"/>
      <w:bookmarkEnd w:id="151"/>
      <w:r>
        <w:t xml:space="preserve">10. Remi LaBelle and D. Rochblatt,</w:t>
      </w:r>
      <w:r>
        <w:t xml:space="preserve"> </w:t>
      </w:r>
      <w:r>
        <w:t xml:space="preserve">“Calibration and performance measurements for the NASA Deep Space Network aperture enhancement project (DAEP),”</w:t>
      </w:r>
      <w:r>
        <w:t xml:space="preserve"> </w:t>
      </w:r>
      <w:r>
        <w:t xml:space="preserve">Acta Astronautica, 2018, doi:</w:t>
      </w:r>
      <w:r>
        <w:t xml:space="preserve"> </w:t>
      </w:r>
      <w:hyperlink r:id="rId152">
        <w:r>
          <w:rPr>
            <w:rStyle w:val="Hyperlink"/>
          </w:rPr>
          <w:t xml:space="preserve">10.1016/j.actaastro.2018.03.011</w:t>
        </w:r>
      </w:hyperlink>
    </w:p>
    <w:p>
      <w:pPr>
        <w:pStyle w:val="BodyText"/>
        <w:spacing w:line="480" w:lineRule="auto"/>
        <w:ind w:firstLine="720"/>
      </w:pPr>
      <w:bookmarkStart w:id="153" w:name="ref-11"/>
      <w:bookmarkEnd w:id="153"/>
      <w:r>
        <w:t xml:space="preserve">11. P. Betriu, M. Soria, J. Gutierrez, M. Llopis, and A. Barlabe,</w:t>
      </w:r>
      <w:r>
        <w:t xml:space="preserve"> </w:t>
      </w:r>
      <w:r>
        <w:t xml:space="preserve">“An assessment of different relay network topologies to improve Earth-Mars communications,”</w:t>
      </w:r>
      <w:r>
        <w:t xml:space="preserve"> </w:t>
      </w:r>
      <w:r>
        <w:t xml:space="preserve">Acta Astronautica, 2023, doi:</w:t>
      </w:r>
      <w:r>
        <w:t xml:space="preserve"> </w:t>
      </w:r>
      <w:hyperlink r:id="rId154">
        <w:r>
          <w:rPr>
            <w:rStyle w:val="Hyperlink"/>
          </w:rPr>
          <w:t xml:space="preserve">10.1016/j.actaastro.2023.01.040</w:t>
        </w:r>
      </w:hyperlink>
    </w:p>
    <w:p>
      <w:pPr>
        <w:pStyle w:val="BodyText"/>
        <w:spacing w:line="480" w:lineRule="auto"/>
        <w:ind w:firstLine="720"/>
      </w:pPr>
      <w:bookmarkStart w:id="155" w:name="ref-12"/>
      <w:bookmarkEnd w:id="155"/>
      <w:r>
        <w:t xml:space="preserve">12. B. C. Weeden and T. Chow,</w:t>
      </w:r>
      <w:r>
        <w:t xml:space="preserve"> </w:t>
      </w:r>
      <w:r>
        <w:t xml:space="preserve">“Taking a common-pool resources approach to space sustainability: A framework and potential policies,”</w:t>
      </w:r>
      <w:r>
        <w:t xml:space="preserve"> </w:t>
      </w:r>
      <w:r>
        <w:t xml:space="preserve">Space Policy, vol. 28, no. 3, pp. 166-172, 2012, doi:</w:t>
      </w:r>
      <w:r>
        <w:t xml:space="preserve"> </w:t>
      </w:r>
      <w:hyperlink r:id="rId156">
        <w:r>
          <w:rPr>
            <w:rStyle w:val="Hyperlink"/>
          </w:rPr>
          <w:t xml:space="preserve">10.1016/j.spacepol.2012.06.004</w:t>
        </w:r>
      </w:hyperlink>
    </w:p>
    <w:p>
      <w:pPr>
        <w:pStyle w:val="BodyText"/>
        <w:spacing w:line="480" w:lineRule="auto"/>
        <w:ind w:firstLine="720"/>
      </w:pPr>
      <w:bookmarkStart w:id="157" w:name="ref-13"/>
      <w:bookmarkEnd w:id="157"/>
      <w:r>
        <w:t xml:space="preserve">13. M. Weinzierl,</w:t>
      </w:r>
      <w:r>
        <w:t xml:space="preserve"> </w:t>
      </w:r>
      <w:r>
        <w:t xml:space="preserve">“Space, the final economic frontier,”</w:t>
      </w:r>
      <w:r>
        <w:t xml:space="preserve"> </w:t>
      </w:r>
      <w:r>
        <w:t xml:space="preserve">Journal of Economic Perspectives, vol. 32, no. 2, pp. 173-192, 2018, doi:</w:t>
      </w:r>
      <w:r>
        <w:t xml:space="preserve"> </w:t>
      </w:r>
      <w:hyperlink r:id="rId158">
        <w:r>
          <w:rPr>
            <w:rStyle w:val="Hyperlink"/>
          </w:rPr>
          <w:t xml:space="preserve">10.1257/jep.32.2.173</w:t>
        </w:r>
      </w:hyperlink>
    </w:p>
    <w:p>
      <w:pPr>
        <w:pStyle w:val="BodyText"/>
        <w:spacing w:line="480" w:lineRule="auto"/>
        <w:ind w:firstLine="720"/>
      </w:pPr>
      <w:bookmarkStart w:id="159" w:name="ref-14"/>
      <w:bookmarkEnd w:id="159"/>
      <w:r>
        <w:t xml:space="preserve">14. M. Bhasin and J. L. Hayden,</w:t>
      </w:r>
      <w:r>
        <w:t xml:space="preserve"> </w:t>
      </w:r>
      <w:r>
        <w:t xml:space="preserve">“The impact of traffic prioritization on Deep Space Network mission traffic,”</w:t>
      </w:r>
      <w:r>
        <w:t xml:space="preserve"> </w:t>
      </w:r>
      <w:r>
        <w:t xml:space="preserve">NASA Technical Reports Server, document 20110023687, 2011.</w:t>
      </w:r>
    </w:p>
    <w:p>
      <w:pPr>
        <w:pStyle w:val="BodyText"/>
        <w:spacing w:line="480" w:lineRule="auto"/>
        <w:ind w:firstLine="720"/>
      </w:pPr>
      <w:bookmarkStart w:id="160" w:name="ref-15"/>
      <w:bookmarkEnd w:id="160"/>
      <w:r>
        <w:t xml:space="preserve">15. E. M. Goh, S. R. Chien, and M. D. Johnston,</w:t>
      </w:r>
      <w:r>
        <w:t xml:space="preserve"> </w:t>
      </w:r>
      <w:r>
        <w:t xml:space="preserve">“Scheduling the NASA Deep Space Network with deep reinforcement learning,”</w:t>
      </w:r>
      <w:r>
        <w:t xml:space="preserve"> </w:t>
      </w:r>
      <w:r>
        <w:t xml:space="preserve">NASA Technical Reports Server, document 20220003798, 2022.</w:t>
      </w:r>
    </w:p>
    <w:p>
      <w:pPr>
        <w:pStyle w:val="BodyText"/>
        <w:spacing w:line="480" w:lineRule="auto"/>
        <w:ind w:firstLine="720"/>
      </w:pPr>
      <w:bookmarkStart w:id="161" w:name="ref-16"/>
      <w:bookmarkEnd w:id="161"/>
      <w:r>
        <w:t xml:space="preserve">16. Yasir Latif, Space Protocol; Anirban Chowdhury, Space Protocol; Samya Bagchi, Space Protocol. On-chain Validation of Tracking Data Messages (TDM) Using Distributed Deep Learning on a Proof of Stake (PoS) Blockchain (2024). doi:</w:t>
      </w:r>
      <w:r>
        <w:t xml:space="preserve"> </w:t>
      </w:r>
      <w:hyperlink r:id="rId162">
        <w:r>
          <w:rPr>
            <w:rStyle w:val="Hyperlink"/>
          </w:rPr>
          <w:t xml:space="preserve">10.64861/OHUO6863</w:t>
        </w:r>
      </w:hyperlink>
    </w:p>
    <w:p>
      <w:pPr>
        <w:pStyle w:val="BodyText"/>
        <w:spacing w:line="480" w:lineRule="auto"/>
        <w:ind w:firstLine="720"/>
      </w:pPr>
      <w:bookmarkStart w:id="163" w:name="ref-17"/>
      <w:bookmarkEnd w:id="163"/>
      <w:r>
        <w:t xml:space="preserve">17. Edward Morgan, Raft, LLC; Steve Nino, Raft, LLC; Angela Sheffield, Raft, LLC. Enabling Modular and Scalable SDA Data Transforms via the Raft Data Fabric (2023). doi:</w:t>
      </w:r>
      <w:r>
        <w:t xml:space="preserve"> </w:t>
      </w:r>
      <w:hyperlink r:id="rId164">
        <w:r>
          <w:rPr>
            <w:rStyle w:val="Hyperlink"/>
          </w:rPr>
          <w:t xml:space="preserve">10.64861/PMMH7892</w:t>
        </w:r>
      </w:hyperlink>
    </w:p>
    <w:p>
      <w:pPr>
        <w:pStyle w:val="BodyText"/>
        <w:spacing w:line="480" w:lineRule="auto"/>
        <w:ind w:firstLine="720"/>
      </w:pPr>
      <w:bookmarkStart w:id="165" w:name="ref-18"/>
      <w:bookmarkEnd w:id="165"/>
      <w:r>
        <w:t xml:space="preserve">18. Bill McShane (Lockheed Martin). Next Generation Space Surveillance System-of-Systems (2014).</w:t>
      </w:r>
    </w:p>
    <w:p>
      <w:pPr>
        <w:pStyle w:val="BodyText"/>
        <w:spacing w:line="480" w:lineRule="auto"/>
        <w:ind w:firstLine="720"/>
      </w:pPr>
      <w:bookmarkStart w:id="166" w:name="ref-19"/>
      <w:bookmarkEnd w:id="166"/>
      <w:r>
        <w:t xml:space="preserve">19. Roberto Furfaro, University of Arizona; Richard Linares, Massachusetts Institute of Technology; Vishnu Reddy, University of Arizona. Space Objects Classification via Light-Curve Measurements: Deep Convolutional Neural Networks and Model-based Transfer Learning (2018).</w:t>
      </w:r>
    </w:p>
    <w:p>
      <w:pPr>
        <w:pStyle w:val="BodyText"/>
        <w:spacing w:line="480" w:lineRule="auto"/>
        <w:ind w:firstLine="720"/>
      </w:pPr>
      <w:bookmarkStart w:id="167" w:name="ref-20"/>
      <w:bookmarkEnd w:id="167"/>
      <w:r>
        <w:t xml:space="preserve">20. David Jefferson (Lawrence Livermore National Laboratory), James Leek (Lawrence Livermore National Laboratory). Application of Parallel Discrete Event Simulation to the Space Surveillance Network (2010).</w:t>
      </w:r>
    </w:p>
    <w:p>
      <w:pPr>
        <w:pStyle w:val="BodyText"/>
        <w:spacing w:line="480" w:lineRule="auto"/>
        <w:ind w:firstLine="720"/>
      </w:pPr>
      <w:bookmarkStart w:id="168" w:name="ref-21"/>
      <w:bookmarkEnd w:id="168"/>
      <w:r>
        <w:t xml:space="preserve">21. Kenny Andersson, Swedish Defence Research Agency; Tim Kinnunen, Swedish Defence Research Agency; Semeli Papadogiannakis, Swedish Defence Research Agency; Rolf Ragnarsson, Swedish Defence Research Agency. Genetic Algorithm-Driven Scheduling for Radar-Based Satellite Tracking (2025). doi:</w:t>
      </w:r>
      <w:r>
        <w:t xml:space="preserve"> </w:t>
      </w:r>
      <w:hyperlink r:id="rId169">
        <w:r>
          <w:rPr>
            <w:rStyle w:val="Hyperlink"/>
          </w:rPr>
          <w:t xml:space="preserve">10.64861/SUOW9680</w:t>
        </w:r>
      </w:hyperlink>
    </w:p>
    <w:p>
      <w:pPr>
        <w:pStyle w:val="BodyText"/>
        <w:spacing w:line="480" w:lineRule="auto"/>
        <w:ind w:firstLine="720"/>
      </w:pPr>
      <w:bookmarkStart w:id="170" w:name="ref-22"/>
      <w:bookmarkEnd w:id="170"/>
      <w:r>
        <w:t xml:space="preserve">22. Weston Faber, L3Harris. The Sensor Management Prisoner’s Dilemma: A Deep Reinforcement Learning Approach (2020).</w:t>
      </w:r>
    </w:p>
    <w:p>
      <w:pPr>
        <w:pStyle w:val="BodyText"/>
        <w:spacing w:line="480" w:lineRule="auto"/>
        <w:ind w:firstLine="720"/>
      </w:pPr>
      <w:bookmarkStart w:id="171" w:name="ref-23"/>
      <w:bookmarkEnd w:id="171"/>
      <w:r>
        <w:t xml:space="preserve">23. Quan Chen; Xiaoqian Chen; Lei Yang; Shuai Wu; Xuefeng Tao. A distributed congestion avoidance routing algorithm in mega-constellation network with multi-gateway (2019). doi:</w:t>
      </w:r>
      <w:r>
        <w:t xml:space="preserve"> </w:t>
      </w:r>
      <w:hyperlink r:id="rId172">
        <w:r>
          <w:rPr>
            <w:rStyle w:val="Hyperlink"/>
          </w:rPr>
          <w:t xml:space="preserve">10.1016/j.actaastro.2019.05.051</w:t>
        </w:r>
      </w:hyperlink>
    </w:p>
    <w:p>
      <w:pPr>
        <w:pStyle w:val="BodyText"/>
        <w:spacing w:line="480" w:lineRule="auto"/>
        <w:ind w:firstLine="720"/>
      </w:pPr>
      <w:bookmarkStart w:id="173" w:name="ref-24"/>
      <w:bookmarkEnd w:id="173"/>
      <w:r>
        <w:t xml:space="preserve">24. Daniel Bond; Braden Goddard; R.C. Singleterry; Sama Bilbao y León. Corrigendum to “Evaluating the effectiveness of common aerospace materials at lowering the whole body effective dose equivalent in deep space” Acta Astronaut., 165 (2019) 68–95/0094-5765 (2021). doi:</w:t>
      </w:r>
      <w:r>
        <w:t xml:space="preserve"> </w:t>
      </w:r>
      <w:hyperlink r:id="rId174">
        <w:r>
          <w:rPr>
            <w:rStyle w:val="Hyperlink"/>
          </w:rPr>
          <w:t xml:space="preserve">10.1016/j.actaastro.2021.01.033</w:t>
        </w:r>
      </w:hyperlink>
    </w:p>
    <w:p>
      <w:pPr>
        <w:pStyle w:val="BodyText"/>
        <w:spacing w:line="480" w:lineRule="auto"/>
        <w:ind w:firstLine="720"/>
      </w:pPr>
      <w:bookmarkStart w:id="175" w:name="ref-25"/>
      <w:bookmarkEnd w:id="175"/>
      <w:r>
        <w:t xml:space="preserve">25. Sylvain Béal; Marc Deschamps; Hervé Moulin. Taxing congestion of the space commons (2020). doi:</w:t>
      </w:r>
      <w:r>
        <w:t xml:space="preserve"> </w:t>
      </w:r>
      <w:hyperlink r:id="rId176">
        <w:r>
          <w:rPr>
            <w:rStyle w:val="Hyperlink"/>
          </w:rPr>
          <w:t xml:space="preserve">10.1016/j.actaastro.2020.07.036</w:t>
        </w:r>
      </w:hyperlink>
    </w:p>
    <w:p>
      <w:pPr>
        <w:pStyle w:val="BodyText"/>
        <w:spacing w:line="480" w:lineRule="auto"/>
        <w:ind w:firstLine="720"/>
      </w:pPr>
      <w:bookmarkStart w:id="177" w:name="ref-26"/>
      <w:bookmarkEnd w:id="177"/>
      <w:r>
        <w:t xml:space="preserve">26. Camilla Colombo; Peter Martinez; Francesca Letizia; Benedetta M. Cattani; Emmanuelle David; Diego A. Escobar; Satomi Kawamoto; Robert J. Rovetto; Ivan Sumelzo. Space capacity management and its interaction with space traffic management (2025). doi:</w:t>
      </w:r>
      <w:r>
        <w:t xml:space="preserve"> </w:t>
      </w:r>
      <w:hyperlink r:id="rId178">
        <w:r>
          <w:rPr>
            <w:rStyle w:val="Hyperlink"/>
          </w:rPr>
          <w:t xml:space="preserve">10.1016/j.actaastro.2025.01.069</w:t>
        </w:r>
      </w:hyperlink>
    </w:p>
    <w:p>
      <w:pPr>
        <w:pStyle w:val="BodyText"/>
        <w:spacing w:line="480" w:lineRule="auto"/>
        <w:ind w:firstLine="720"/>
      </w:pPr>
      <w:bookmarkStart w:id="179" w:name="ref-27"/>
      <w:bookmarkEnd w:id="179"/>
      <w:r>
        <w:t xml:space="preserve">27. Greg Pass; Dan Goods; Pilar Fatás; Apoorv Khandelwal; Michael J. Skvarla; Noriaki Nakayamada; K. J. Meech; Sonia López Hernández; Evan Hilgemann. Altamira Comet proof-of-concept (2023). doi:</w:t>
      </w:r>
      <w:r>
        <w:t xml:space="preserve"> </w:t>
      </w:r>
      <w:hyperlink r:id="rId180">
        <w:r>
          <w:rPr>
            <w:rStyle w:val="Hyperlink"/>
          </w:rPr>
          <w:t xml:space="preserve">10.1016/j.actaastro.2023.04.010</w:t>
        </w:r>
      </w:hyperlink>
    </w:p>
    <w:p>
      <w:pPr>
        <w:pStyle w:val="BodyText"/>
        <w:spacing w:line="480" w:lineRule="auto"/>
        <w:ind w:firstLine="720"/>
      </w:pPr>
      <w:bookmarkStart w:id="181" w:name="ref-28"/>
      <w:bookmarkEnd w:id="181"/>
      <w:r>
        <w:t xml:space="preserve">28. Tim Kilduff; Pablo Machuca; Aaron J. Rosengren. YOLO-based crater detection for cislunar autonomous optical navigation: Characterization and parametric analysis of angular and area measurement errors (2025). doi:</w:t>
      </w:r>
      <w:r>
        <w:t xml:space="preserve"> </w:t>
      </w:r>
      <w:hyperlink r:id="rId182">
        <w:r>
          <w:rPr>
            <w:rStyle w:val="Hyperlink"/>
          </w:rPr>
          <w:t xml:space="preserve">10.1016/j.actaastro.2025.11.074</w:t>
        </w:r>
      </w:hyperlink>
    </w:p>
    <w:p>
      <w:pPr>
        <w:pStyle w:val="BodyText"/>
        <w:spacing w:line="480" w:lineRule="auto"/>
        <w:ind w:firstLine="720"/>
      </w:pPr>
      <w:bookmarkStart w:id="183" w:name="ref-29"/>
      <w:bookmarkEnd w:id="183"/>
      <w:r>
        <w:t xml:space="preserve">29. Emma Stevenson; Víctor Rodríguez-Fernández; Edmondo Minisci; David Camacho. A deep learning approach to solar radio flux forecasting (2021). doi:</w:t>
      </w:r>
      <w:r>
        <w:t xml:space="preserve"> </w:t>
      </w:r>
      <w:hyperlink r:id="rId184">
        <w:r>
          <w:rPr>
            <w:rStyle w:val="Hyperlink"/>
          </w:rPr>
          <w:t xml:space="preserve">10.1016/j.actaastro.2021.08.004</w:t>
        </w:r>
      </w:hyperlink>
    </w:p>
    <w:p>
      <w:pPr>
        <w:pStyle w:val="BodyText"/>
        <w:spacing w:line="480" w:lineRule="auto"/>
        <w:ind w:firstLine="720"/>
      </w:pPr>
      <w:bookmarkStart w:id="185" w:name="ref-30"/>
      <w:bookmarkEnd w:id="185"/>
      <w:r>
        <w:t xml:space="preserve">30. Teresa Klinner-Teo; Daniel R. Wacker; Robyn Djuren; Carsten Wiedemann; Manuel Metz; Simona Silvestri. Dynamic scaling of fragment populations in orbital breakup modelling (2026). doi:</w:t>
      </w:r>
      <w:r>
        <w:t xml:space="preserve"> </w:t>
      </w:r>
      <w:hyperlink r:id="rId186">
        <w:r>
          <w:rPr>
            <w:rStyle w:val="Hyperlink"/>
          </w:rPr>
          <w:t xml:space="preserve">10.1016/j.actaastro.2026.04.055</w:t>
        </w:r>
      </w:hyperlink>
    </w:p>
    <w:bookmarkEnd w:id="187"/>
    <w:bookmarkEnd w:id="188"/>
    <w:bookmarkStart w:id="205"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6" w:name="X8a72643114dd410c897aed10b11609544d8cb5c"/>
    <w:p>
      <w:pPr>
        <w:pStyle w:val="Heading2"/>
        <w:spacing w:line="480" w:lineRule="auto"/>
      </w:pPr>
      <w:r>
        <w:t xml:space="preserve">A.1 Distance, Data Rate, and the Demand Side of a Congested Common: An Ordinary-Least-Squares Model of Per-Mission Deep Space Network Tracking Load</w:t>
      </w:r>
    </w:p>
    <w:p>
      <w:pPr>
        <w:pStyle w:val="FirstParagraph"/>
        <w:spacing w:line="480" w:lineRule="auto"/>
      </w:pPr>
      <m:oMathPara>
        <m:oMathParaPr>
          <m:jc m:val="center"/>
        </m:oMathParaPr>
        <m:oMath>
          <m:sSub>
            <m:e>
              <m:r>
                <m:rPr>
                  <m:nor/>
                  <m:sty m:val="p"/>
                </m:rPr>
                <m:t>DSNhours</m:t>
              </m:r>
            </m:e>
            <m:sub>
              <m:r>
                <m:t>i</m:t>
              </m:r>
            </m:sub>
          </m:sSub>
          <m:r>
            <m:rPr>
              <m:sty m:val="p"/>
            </m:rPr>
            <m:t>=</m:t>
          </m:r>
          <m:sSub>
            <m:e>
              <m:r>
                <m:t>β</m:t>
              </m:r>
            </m:e>
            <m:sub>
              <m:r>
                <m:t>0</m:t>
              </m:r>
            </m:sub>
          </m:sSub>
          <m:r>
            <m:rPr>
              <m:sty m:val="p"/>
            </m:rPr>
            <m:t>+</m:t>
          </m:r>
          <m:sSub>
            <m:e>
              <m:r>
                <m:t>β</m:t>
              </m:r>
            </m:e>
            <m:sub>
              <m:r>
                <m:t>1</m:t>
              </m:r>
            </m:sub>
          </m:sSub>
          <m:r>
            <m:rPr>
              <m:sty m:val="p"/>
            </m:rPr>
            <m:t>ln</m:t>
          </m:r>
          <m:r>
            <m:rPr>
              <m:sty m:val="p"/>
            </m:rPr>
            <m:t>(</m:t>
          </m:r>
          <m:sSub>
            <m:e>
              <m:r>
                <m:rPr>
                  <m:nor/>
                  <m:sty m:val="p"/>
                </m:rPr>
                <m:t>AU</m:t>
              </m:r>
            </m:e>
            <m:sub>
              <m:r>
                <m:t>i</m:t>
              </m:r>
            </m:sub>
          </m:sSub>
          <m:r>
            <m:rPr>
              <m:sty m:val="p"/>
            </m:rPr>
            <m:t>)</m:t>
          </m:r>
          <m:r>
            <m:rPr>
              <m:sty m:val="p"/>
            </m:rPr>
            <m:t>+</m:t>
          </m:r>
          <m:sSub>
            <m:e>
              <m:r>
                <m:t>β</m:t>
              </m:r>
            </m:e>
            <m:sub>
              <m:r>
                <m:t>2</m:t>
              </m:r>
            </m:sub>
          </m:sSub>
          <m:sSub>
            <m:e>
              <m:r>
                <m:rPr>
                  <m:nor/>
                  <m:sty m:val="p"/>
                </m:rPr>
                <m:t>HiRate</m:t>
              </m:r>
            </m:e>
            <m:sub>
              <m:r>
                <m:t>i</m:t>
              </m:r>
            </m:sub>
          </m:sSub>
          <m:r>
            <m:rPr>
              <m:sty m:val="p"/>
            </m:rPr>
            <m:t>+</m:t>
          </m:r>
          <m:sSub>
            <m:e>
              <m:r>
                <m:t>β</m:t>
              </m:r>
            </m:e>
            <m:sub>
              <m:r>
                <m:t>3</m:t>
              </m:r>
            </m:sub>
          </m:sSub>
          <m:sSub>
            <m:e>
              <m:r>
                <m:rPr>
                  <m:nor/>
                  <m:sty m:val="p"/>
                </m:rPr>
                <m:t>Planetary</m:t>
              </m:r>
            </m:e>
            <m:sub>
              <m:r>
                <m:t>i</m:t>
              </m:r>
            </m:sub>
          </m:sSub>
          <m:r>
            <m:rPr>
              <m:sty m:val="p"/>
            </m:rPr>
            <m:t>+</m:t>
          </m:r>
          <m:sSub>
            <m:e>
              <m:r>
                <m:t>β</m:t>
              </m:r>
            </m:e>
            <m:sub>
              <m:r>
                <m:t>4</m:t>
              </m:r>
            </m:sub>
          </m:sSub>
          <m:sSub>
            <m:e>
              <m:r>
                <m:rPr>
                  <m:nor/>
                  <m:sty m:val="p"/>
                </m:rPr>
                <m:t>Need70m</m:t>
              </m:r>
            </m:e>
            <m:sub>
              <m:r>
                <m:t>i</m:t>
              </m:r>
            </m:sub>
          </m:sSub>
          <m:r>
            <m:rPr>
              <m:sty m:val="p"/>
            </m:rPr>
            <m:t>+</m:t>
          </m:r>
          <m:sSub>
            <m:e>
              <m:r>
                <m:t>ε</m:t>
              </m:r>
            </m:e>
            <m:sub>
              <m:r>
                <m:t>i</m:t>
              </m:r>
            </m:sub>
          </m:sSub>
        </m:oMath>
      </m:oMathPara>
    </w:p>
    <w:bookmarkStart w:id="189"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70.9461</w:t>
            </w:r>
          </w:p>
        </w:tc>
        <w:tc>
          <w:tcPr>
            <w:tcW w:w="0" w:type="auto"/>
          </w:tcPr>
          <w:p>
            <w:pPr>
              <w:spacing w:line="240" w:lineRule="auto" w:before="0" w:after="0"/>
              <w:pStyle w:val="Compact"/>
            </w:pPr>
            <w:r>
              <w:rPr>
                <w:sz w:val="20"/>
                <w:szCs w:val="20"/>
              </w:rPr>
              <w:t xml:space="preserve">19.7824</w:t>
            </w:r>
          </w:p>
        </w:tc>
        <w:tc>
          <w:tcPr>
            <w:tcW w:w="0" w:type="auto"/>
          </w:tcPr>
          <w:p>
            <w:pPr>
              <w:spacing w:line="240" w:lineRule="auto" w:before="0" w:after="0"/>
              <w:pStyle w:val="Compact"/>
            </w:pPr>
            <w:r>
              <w:rPr>
                <w:sz w:val="20"/>
                <w:szCs w:val="20"/>
              </w:rPr>
              <w:t xml:space="preserve">3.5863</w:t>
            </w:r>
          </w:p>
        </w:tc>
        <w:tc>
          <w:tcPr>
            <w:tcW w:w="0" w:type="auto"/>
          </w:tcPr>
          <w:p>
            <w:pPr>
              <w:spacing w:line="240" w:lineRule="auto" w:before="0" w:after="0"/>
              <w:pStyle w:val="Compact"/>
            </w:pPr>
            <w:r>
              <w:rPr>
                <w:sz w:val="20"/>
                <w:szCs w:val="20"/>
              </w:rPr>
              <w:t xml:space="preserve">0.0003354</w:t>
            </w:r>
          </w:p>
        </w:tc>
        <w:tc>
          <w:tcPr>
            <w:tcW w:w="0" w:type="auto"/>
          </w:tcPr>
          <w:p>
            <w:pPr>
              <w:spacing w:line="240" w:lineRule="auto" w:before="0" w:after="0"/>
              <w:pStyle w:val="Compact"/>
            </w:pPr>
            <w:r>
              <w:rPr>
                <w:sz w:val="20"/>
                <w:szCs w:val="20"/>
              </w:rPr>
              <w:t xml:space="preserve">[32.1733, 109.7189]</w:t>
            </w:r>
          </w:p>
        </w:tc>
      </w:tr>
      <w:tr>
        <w:tc>
          <w:tcPr>
            <w:tcW w:w="0" w:type="auto"/>
          </w:tcPr>
          <w:p>
            <w:pPr>
              <w:spacing w:line="240" w:lineRule="auto" w:before="0" w:after="0"/>
              <w:pStyle w:val="Compact"/>
            </w:pPr>
            <w:r>
              <w:rPr>
                <w:sz w:val="20"/>
                <w:szCs w:val="20"/>
              </w:rPr>
              <w:t xml:space="preserve">log_distance_au</w:t>
            </w:r>
          </w:p>
        </w:tc>
        <w:tc>
          <w:tcPr>
            <w:tcW w:w="0" w:type="auto"/>
          </w:tcPr>
          <w:p>
            <w:pPr>
              <w:spacing w:line="240" w:lineRule="auto" w:before="0" w:after="0"/>
              <w:pStyle w:val="Compact"/>
            </w:pPr>
            <w:r>
              <w:rPr>
                <w:sz w:val="20"/>
                <w:szCs w:val="20"/>
              </w:rPr>
              <w:t xml:space="preserve">10.2176</w:t>
            </w:r>
          </w:p>
        </w:tc>
        <w:tc>
          <w:tcPr>
            <w:tcW w:w="0" w:type="auto"/>
          </w:tcPr>
          <w:p>
            <w:pPr>
              <w:spacing w:line="240" w:lineRule="auto" w:before="0" w:after="0"/>
              <w:pStyle w:val="Compact"/>
            </w:pPr>
            <w:r>
              <w:rPr>
                <w:sz w:val="20"/>
                <w:szCs w:val="20"/>
              </w:rPr>
              <w:t xml:space="preserve">4.8393</w:t>
            </w:r>
          </w:p>
        </w:tc>
        <w:tc>
          <w:tcPr>
            <w:tcW w:w="0" w:type="auto"/>
          </w:tcPr>
          <w:p>
            <w:pPr>
              <w:spacing w:line="240" w:lineRule="auto" w:before="0" w:after="0"/>
              <w:pStyle w:val="Compact"/>
            </w:pPr>
            <w:r>
              <w:rPr>
                <w:sz w:val="20"/>
                <w:szCs w:val="20"/>
              </w:rPr>
              <w:t xml:space="preserve">2.1114</w:t>
            </w:r>
          </w:p>
        </w:tc>
        <w:tc>
          <w:tcPr>
            <w:tcW w:w="0" w:type="auto"/>
          </w:tcPr>
          <w:p>
            <w:pPr>
              <w:spacing w:line="240" w:lineRule="auto" w:before="0" w:after="0"/>
              <w:pStyle w:val="Compact"/>
            </w:pPr>
            <w:r>
              <w:rPr>
                <w:sz w:val="20"/>
                <w:szCs w:val="20"/>
              </w:rPr>
              <w:t xml:space="preserve">0.0347</w:t>
            </w:r>
          </w:p>
        </w:tc>
        <w:tc>
          <w:tcPr>
            <w:tcW w:w="0" w:type="auto"/>
          </w:tcPr>
          <w:p>
            <w:pPr>
              <w:spacing w:line="240" w:lineRule="auto" w:before="0" w:after="0"/>
              <w:pStyle w:val="Compact"/>
            </w:pPr>
            <w:r>
              <w:rPr>
                <w:sz w:val="20"/>
                <w:szCs w:val="20"/>
              </w:rPr>
              <w:t xml:space="preserve">[0.7327, 19.7024]</w:t>
            </w:r>
          </w:p>
        </w:tc>
      </w:tr>
      <w:tr>
        <w:tc>
          <w:tcPr>
            <w:tcW w:w="0" w:type="auto"/>
          </w:tcPr>
          <w:p>
            <w:pPr>
              <w:spacing w:line="240" w:lineRule="auto" w:before="0" w:after="0"/>
              <w:pStyle w:val="Compact"/>
            </w:pPr>
            <w:r>
              <w:rPr>
                <w:sz w:val="20"/>
                <w:szCs w:val="20"/>
              </w:rPr>
              <w:t xml:space="preserve">hi_rate_band</w:t>
            </w:r>
          </w:p>
        </w:tc>
        <w:tc>
          <w:tcPr>
            <w:tcW w:w="0" w:type="auto"/>
          </w:tcPr>
          <w:p>
            <w:pPr>
              <w:spacing w:line="240" w:lineRule="auto" w:before="0" w:after="0"/>
              <w:pStyle w:val="Compact"/>
            </w:pPr>
            <w:r>
              <w:rPr>
                <w:sz w:val="20"/>
                <w:szCs w:val="20"/>
              </w:rPr>
              <w:t xml:space="preserve">9.3493</w:t>
            </w:r>
          </w:p>
        </w:tc>
        <w:tc>
          <w:tcPr>
            <w:tcW w:w="0" w:type="auto"/>
          </w:tcPr>
          <w:p>
            <w:pPr>
              <w:spacing w:line="240" w:lineRule="auto" w:before="0" w:after="0"/>
              <w:pStyle w:val="Compact"/>
            </w:pPr>
            <w:r>
              <w:rPr>
                <w:sz w:val="20"/>
                <w:szCs w:val="20"/>
              </w:rPr>
              <w:t xml:space="preserve">19.6572</w:t>
            </w:r>
          </w:p>
        </w:tc>
        <w:tc>
          <w:tcPr>
            <w:tcW w:w="0" w:type="auto"/>
          </w:tcPr>
          <w:p>
            <w:pPr>
              <w:spacing w:line="240" w:lineRule="auto" w:before="0" w:after="0"/>
              <w:pStyle w:val="Compact"/>
            </w:pPr>
            <w:r>
              <w:rPr>
                <w:sz w:val="20"/>
                <w:szCs w:val="20"/>
              </w:rPr>
              <w:t xml:space="preserve">0.4756</w:t>
            </w:r>
          </w:p>
        </w:tc>
        <w:tc>
          <w:tcPr>
            <w:tcW w:w="0" w:type="auto"/>
          </w:tcPr>
          <w:p>
            <w:pPr>
              <w:spacing w:line="240" w:lineRule="auto" w:before="0" w:after="0"/>
              <w:pStyle w:val="Compact"/>
            </w:pPr>
            <w:r>
              <w:rPr>
                <w:sz w:val="20"/>
                <w:szCs w:val="20"/>
              </w:rPr>
              <w:t xml:space="preserve">0.6343</w:t>
            </w:r>
          </w:p>
        </w:tc>
        <w:tc>
          <w:tcPr>
            <w:tcW w:w="0" w:type="auto"/>
          </w:tcPr>
          <w:p>
            <w:pPr>
              <w:spacing w:line="240" w:lineRule="auto" w:before="0" w:after="0"/>
              <w:pStyle w:val="Compact"/>
            </w:pPr>
            <w:r>
              <w:rPr>
                <w:sz w:val="20"/>
                <w:szCs w:val="20"/>
              </w:rPr>
              <w:t xml:space="preserve">[-29.1781, 47.8767]</w:t>
            </w:r>
          </w:p>
        </w:tc>
      </w:tr>
      <w:tr>
        <w:tc>
          <w:tcPr>
            <w:tcW w:w="0" w:type="auto"/>
          </w:tcPr>
          <w:p>
            <w:pPr>
              <w:spacing w:line="240" w:lineRule="auto" w:before="0" w:after="0"/>
              <w:pStyle w:val="Compact"/>
            </w:pPr>
            <w:r>
              <w:rPr>
                <w:sz w:val="20"/>
                <w:szCs w:val="20"/>
              </w:rPr>
              <w:t xml:space="preserve">planetary</w:t>
            </w:r>
          </w:p>
        </w:tc>
        <w:tc>
          <w:tcPr>
            <w:tcW w:w="0" w:type="auto"/>
          </w:tcPr>
          <w:p>
            <w:pPr>
              <w:spacing w:line="240" w:lineRule="auto" w:before="0" w:after="0"/>
              <w:pStyle w:val="Compact"/>
            </w:pPr>
            <w:r>
              <w:rPr>
                <w:sz w:val="20"/>
                <w:szCs w:val="20"/>
              </w:rPr>
              <w:t xml:space="preserve">-30.3518</w:t>
            </w:r>
          </w:p>
        </w:tc>
        <w:tc>
          <w:tcPr>
            <w:tcW w:w="0" w:type="auto"/>
          </w:tcPr>
          <w:p>
            <w:pPr>
              <w:spacing w:line="240" w:lineRule="auto" w:before="0" w:after="0"/>
              <w:pStyle w:val="Compact"/>
            </w:pPr>
            <w:r>
              <w:rPr>
                <w:sz w:val="20"/>
                <w:szCs w:val="20"/>
              </w:rPr>
              <w:t xml:space="preserve">16.0498</w:t>
            </w:r>
          </w:p>
        </w:tc>
        <w:tc>
          <w:tcPr>
            <w:tcW w:w="0" w:type="auto"/>
          </w:tcPr>
          <w:p>
            <w:pPr>
              <w:spacing w:line="240" w:lineRule="auto" w:before="0" w:after="0"/>
              <w:pStyle w:val="Compact"/>
            </w:pPr>
            <w:r>
              <w:rPr>
                <w:sz w:val="20"/>
                <w:szCs w:val="20"/>
              </w:rPr>
              <w:t xml:space="preserve">-1.8911</w:t>
            </w:r>
          </w:p>
        </w:tc>
        <w:tc>
          <w:tcPr>
            <w:tcW w:w="0" w:type="auto"/>
          </w:tcPr>
          <w:p>
            <w:pPr>
              <w:spacing w:line="240" w:lineRule="auto" w:before="0" w:after="0"/>
              <w:pStyle w:val="Compact"/>
            </w:pPr>
            <w:r>
              <w:rPr>
                <w:sz w:val="20"/>
                <w:szCs w:val="20"/>
              </w:rPr>
              <w:t xml:space="preserve">0.0586</w:t>
            </w:r>
          </w:p>
        </w:tc>
        <w:tc>
          <w:tcPr>
            <w:tcW w:w="0" w:type="auto"/>
          </w:tcPr>
          <w:p>
            <w:pPr>
              <w:spacing w:line="240" w:lineRule="auto" w:before="0" w:after="0"/>
              <w:pStyle w:val="Compact"/>
            </w:pPr>
            <w:r>
              <w:rPr>
                <w:sz w:val="20"/>
                <w:szCs w:val="20"/>
              </w:rPr>
              <w:t xml:space="preserve">[-61.8088, 1.1052]</w:t>
            </w:r>
          </w:p>
        </w:tc>
      </w:tr>
      <w:tr>
        <w:tc>
          <w:tcPr>
            <w:tcW w:w="0" w:type="auto"/>
          </w:tcPr>
          <w:p>
            <w:pPr>
              <w:spacing w:line="240" w:lineRule="auto" w:before="0" w:after="0"/>
              <w:pStyle w:val="Compact"/>
            </w:pPr>
            <w:r>
              <w:rPr>
                <w:sz w:val="20"/>
                <w:szCs w:val="20"/>
              </w:rPr>
              <w:t xml:space="preserve">needs_70m</w:t>
            </w:r>
          </w:p>
        </w:tc>
        <w:tc>
          <w:tcPr>
            <w:tcW w:w="0" w:type="auto"/>
          </w:tcPr>
          <w:p>
            <w:pPr>
              <w:spacing w:line="240" w:lineRule="auto" w:before="0" w:after="0"/>
              <w:pStyle w:val="Compact"/>
            </w:pPr>
            <w:r>
              <w:rPr>
                <w:sz w:val="20"/>
                <w:szCs w:val="20"/>
              </w:rPr>
              <w:t xml:space="preserve">31.8835</w:t>
            </w:r>
          </w:p>
        </w:tc>
        <w:tc>
          <w:tcPr>
            <w:tcW w:w="0" w:type="auto"/>
          </w:tcPr>
          <w:p>
            <w:pPr>
              <w:spacing w:line="240" w:lineRule="auto" w:before="0" w:after="0"/>
              <w:pStyle w:val="Compact"/>
            </w:pPr>
            <w:r>
              <w:rPr>
                <w:sz w:val="20"/>
                <w:szCs w:val="20"/>
              </w:rPr>
              <w:t xml:space="preserve">48.7769</w:t>
            </w:r>
          </w:p>
        </w:tc>
        <w:tc>
          <w:tcPr>
            <w:tcW w:w="0" w:type="auto"/>
          </w:tcPr>
          <w:p>
            <w:pPr>
              <w:spacing w:line="240" w:lineRule="auto" w:before="0" w:after="0"/>
              <w:pStyle w:val="Compact"/>
            </w:pPr>
            <w:r>
              <w:rPr>
                <w:sz w:val="20"/>
                <w:szCs w:val="20"/>
              </w:rPr>
              <w:t xml:space="preserve">0.6537</w:t>
            </w:r>
          </w:p>
        </w:tc>
        <w:tc>
          <w:tcPr>
            <w:tcW w:w="0" w:type="auto"/>
          </w:tcPr>
          <w:p>
            <w:pPr>
              <w:spacing w:line="240" w:lineRule="auto" w:before="0" w:after="0"/>
              <w:pStyle w:val="Compact"/>
            </w:pPr>
            <w:r>
              <w:rPr>
                <w:sz w:val="20"/>
                <w:szCs w:val="20"/>
              </w:rPr>
              <w:t xml:space="preserve">0.5133</w:t>
            </w:r>
          </w:p>
        </w:tc>
        <w:tc>
          <w:tcPr>
            <w:tcW w:w="0" w:type="auto"/>
          </w:tcPr>
          <w:p>
            <w:pPr>
              <w:spacing w:line="240" w:lineRule="auto" w:before="0" w:after="0"/>
              <w:pStyle w:val="Compact"/>
            </w:pPr>
            <w:r>
              <w:rPr>
                <w:sz w:val="20"/>
                <w:szCs w:val="20"/>
              </w:rPr>
              <w:t xml:space="preserve">[-63.7175, 127.4845]</w:t>
            </w:r>
          </w:p>
        </w:tc>
      </w:tr>
    </w:tbl>
    <w:p>
      <w:pPr>
        <w:pStyle w:val="BodyText"/>
        <w:spacing w:line="480" w:lineRule="auto"/>
        <w:ind w:firstLine="720"/>
      </w:pPr>
      <w:r>
        <w:t xml:space="preserve">Fit: N = 20 R2 = 0.2877 R2_adj = 0.0977 F = 3.0381 F_p = 0.0508</w:t>
      </w:r>
    </w:p>
    <w:bookmarkEnd w:id="189"/>
    <w:bookmarkStart w:id="193"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Per-mission weekly DSN tracking demand against log distance from Earth across 20 NASA Science Mission Directorate deep-space missions (FY23/CY23). The upward slope is the demand-side signature of a congested common: distant spacecraft draw disproportionately on the shared antenna pool." title="" id="191" name="Picture"/>
            <a:graphic>
              <a:graphicData uri="http://schemas.openxmlformats.org/drawingml/2006/picture">
                <pic:pic>
                  <pic:nvPicPr>
                    <pic:cNvPr descr="D:/Claude_Code/brain/collegium/candidates/dissertations/JPL_OPS_COMMS_DATA_05/research_papers/p1/paper_fig1.png" id="192" name="Picture"/>
                    <pic:cNvPicPr>
                      <a:picLocks noChangeArrowheads="1" noChangeAspect="1"/>
                    </pic:cNvPicPr>
                  </pic:nvPicPr>
                  <pic:blipFill>
                    <a:blip r:embed="rId19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Per-mission weekly DSN tracking demand against log distance from Earth across 20 NASA Science Mission Directorate deep-space missions (FY23/CY23). The upward slope is the demand-side signature of a congested common: distant spacecraft draw disproportionately on the shared antenna pool.</w:t>
      </w:r>
    </w:p>
    <w:bookmarkEnd w:id="193"/>
    <w:bookmarkStart w:id="194"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dsn_hours_wk</w:t>
            </w:r>
          </w:p>
        </w:tc>
        <w:tc>
          <w:tcPr>
            <w:tcW w:w="0" w:type="auto"/>
          </w:tcPr>
          <w:p>
            <w:pPr>
              <w:spacing w:line="240" w:lineRule="auto" w:before="0" w:after="0"/>
              <w:pStyle w:val="Compact"/>
            </w:pPr>
            <w:r>
              <w:rPr>
                <w:sz w:val="20"/>
                <w:szCs w:val="20"/>
              </w:rPr>
              <w:t xml:space="preserve">distance_au</w:t>
            </w:r>
          </w:p>
        </w:tc>
        <w:tc>
          <w:tcPr>
            <w:tcW w:w="0" w:type="auto"/>
          </w:tcPr>
          <w:p>
            <w:pPr>
              <w:spacing w:line="240" w:lineRule="auto" w:before="0" w:after="0"/>
              <w:pStyle w:val="Compact"/>
            </w:pPr>
            <w:r>
              <w:rPr>
                <w:sz w:val="20"/>
                <w:szCs w:val="20"/>
              </w:rPr>
              <w:t xml:space="preserve">log_distance_au</w:t>
            </w:r>
          </w:p>
        </w:tc>
        <w:tc>
          <w:tcPr>
            <w:tcW w:w="0" w:type="auto"/>
          </w:tcPr>
          <w:p>
            <w:pPr>
              <w:spacing w:line="240" w:lineRule="auto" w:before="0" w:after="0"/>
              <w:pStyle w:val="Compact"/>
            </w:pPr>
            <w:r>
              <w:rPr>
                <w:sz w:val="20"/>
                <w:szCs w:val="20"/>
              </w:rPr>
              <w:t xml:space="preserve">hi_rate_band</w:t>
            </w:r>
          </w:p>
        </w:tc>
        <w:tc>
          <w:tcPr>
            <w:tcW w:w="0" w:type="auto"/>
          </w:tcPr>
          <w:p>
            <w:pPr>
              <w:spacing w:line="240" w:lineRule="auto" w:before="0" w:after="0"/>
              <w:pStyle w:val="Compact"/>
            </w:pPr>
            <w:r>
              <w:rPr>
                <w:sz w:val="20"/>
                <w:szCs w:val="20"/>
              </w:rPr>
              <w:t xml:space="preserve">planetary</w:t>
            </w:r>
          </w:p>
        </w:tc>
        <w:tc>
          <w:tcPr>
            <w:tcW w:w="0" w:type="auto"/>
          </w:tcPr>
          <w:p>
            <w:pPr>
              <w:spacing w:line="240" w:lineRule="auto" w:before="0" w:after="0"/>
              <w:pStyle w:val="Compact"/>
            </w:pPr>
            <w:r>
              <w:rPr>
                <w:sz w:val="20"/>
                <w:szCs w:val="20"/>
              </w:rPr>
              <w:t xml:space="preserve">needs_70m</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Voyager Interstellar Mission</w:t>
            </w:r>
          </w:p>
        </w:tc>
        <w:tc>
          <w:tcPr>
            <w:tcW w:w="0" w:type="auto"/>
          </w:tcPr>
          <w:p>
            <w:pPr>
              <w:spacing w:line="240" w:lineRule="auto" w:before="0" w:after="0"/>
              <w:pStyle w:val="Compact"/>
            </w:pPr>
            <w:r>
              <w:rPr>
                <w:sz w:val="20"/>
                <w:szCs w:val="20"/>
              </w:rPr>
              <w:t xml:space="preserve">147.8</w:t>
            </w:r>
          </w:p>
        </w:tc>
        <w:tc>
          <w:tcPr>
            <w:tcW w:w="0" w:type="auto"/>
          </w:tcPr>
          <w:p>
            <w:pPr>
              <w:spacing w:line="240" w:lineRule="auto" w:before="0" w:after="0"/>
              <w:pStyle w:val="Compact"/>
            </w:pPr>
            <w:r>
              <w:rPr>
                <w:sz w:val="20"/>
                <w:szCs w:val="20"/>
              </w:rPr>
              <w:t xml:space="preserve">163</w:t>
            </w:r>
          </w:p>
        </w:tc>
        <w:tc>
          <w:tcPr>
            <w:tcW w:w="0" w:type="auto"/>
          </w:tcPr>
          <w:p>
            <w:pPr>
              <w:spacing w:line="240" w:lineRule="auto" w:before="0" w:after="0"/>
              <w:pStyle w:val="Compact"/>
            </w:pPr>
            <w:r>
              <w:rPr>
                <w:sz w:val="20"/>
                <w:szCs w:val="20"/>
              </w:rPr>
              <w:t xml:space="preserve">2.2122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Weekly DSN hours FY23 from Lazio (2025) SpaceOps-2025 ID#610 Table 1; ~163 AU Voyager-1 distance per NASA/JPL Voyager status (voyager.jpl.nasa.gov); X-band low-rate; 70m-required per Lazio (2025) sec 3.1</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1.6487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Weekly DSN hours FY23 from Lazio (2025) Table 1; Jupiter ~5.2 AU from Sun per NASA Juno science page (science.nasa.gov/mission/juno); Ka-band gravity science per NASA Juno; non-70m</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75.8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0.3365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Weekly DSN hours FY23 from Lazio (2025) Table 1; near-Earth asteroid Bennu encounter ~1.1-1.4 AU class per NASA OSIRIS-REx in-depth (science.nasa.gov/mission/osiris-rex); X-band; non-70m</w:t>
            </w:r>
          </w:p>
        </w:tc>
      </w:tr>
      <w:tr>
        <w:tc>
          <w:tcPr>
            <w:tcW w:w="0" w:type="auto"/>
          </w:tcPr>
          <w:p>
            <w:pPr>
              <w:spacing w:line="240" w:lineRule="auto" w:before="0" w:after="0"/>
              <w:pStyle w:val="Compact"/>
            </w:pPr>
            <w:r>
              <w:rPr>
                <w:sz w:val="20"/>
                <w:szCs w:val="20"/>
              </w:rPr>
              <w:t xml:space="preserve">New Horizons</w:t>
            </w:r>
          </w:p>
        </w:tc>
        <w:tc>
          <w:tcPr>
            <w:tcW w:w="0" w:type="auto"/>
          </w:tcPr>
          <w:p>
            <w:pPr>
              <w:spacing w:line="240" w:lineRule="auto" w:before="0" w:after="0"/>
              <w:pStyle w:val="Compact"/>
            </w:pPr>
            <w:r>
              <w:rPr>
                <w:sz w:val="20"/>
                <w:szCs w:val="20"/>
              </w:rPr>
              <w:t xml:space="preserve">37.7</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1.7559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Weekly DSN hours FY23 from Lazio (2025) Table 1; ~57 AU post-Arrokoth per NASA New Horizons milestone (nasa.gov) and JHUAPL 50 AU release; X-band 1-4 kbps downlink; 70m-required per Lazio (2025) sec 3.1</w:t>
            </w:r>
          </w:p>
        </w:tc>
      </w:tr>
      <w:tr>
        <w:tc>
          <w:tcPr>
            <w:tcW w:w="0" w:type="auto"/>
          </w:tcPr>
          <w:p>
            <w:pPr>
              <w:spacing w:line="240" w:lineRule="auto" w:before="0" w:after="0"/>
              <w:pStyle w:val="Compact"/>
            </w:pPr>
            <w:r>
              <w:rPr>
                <w:sz w:val="20"/>
                <w:szCs w:val="20"/>
              </w:rPr>
              <w:t xml:space="preserve">Chandra</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Weekly DSN hours FY23 from Lazio (2025) Table 1; high-Earth elliptical orbit ~0.009 AU apogee per NASA Chandra mission overview (science.nasa.gov/mission/chandra); X-band; non-70m</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11.6</w:t>
            </w:r>
          </w:p>
        </w:tc>
        <w:tc>
          <w:tcPr>
            <w:tcW w:w="0" w:type="auto"/>
          </w:tcPr>
          <w:p>
            <w:pPr>
              <w:spacing w:line="240" w:lineRule="auto" w:before="0" w:after="0"/>
              <w:pStyle w:val="Compact"/>
            </w:pPr>
            <w:r>
              <w:rPr>
                <w:sz w:val="20"/>
                <w:szCs w:val="20"/>
              </w:rPr>
              <w:t xml:space="preserve">0.0026</w:t>
            </w:r>
          </w:p>
        </w:tc>
        <w:tc>
          <w:tcPr>
            <w:tcW w:w="0" w:type="auto"/>
          </w:tcPr>
          <w:p>
            <w:pPr>
              <w:spacing w:line="240" w:lineRule="auto" w:before="0" w:after="0"/>
              <w:pStyle w:val="Compact"/>
            </w:pPr>
            <w:r>
              <w:rPr>
                <w:sz w:val="20"/>
                <w:szCs w:val="20"/>
              </w:rPr>
              <w:t xml:space="preserve">-2.585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Weekly DSN hours FY23 from Lazio (2025) Table 1; lunar-resonant Earth orbit ~373000 km (~0.0025 AU) per NASA TESS mission (science.nasa.gov/mission/tess); Ka-band downlink; non-70m</w:t>
            </w:r>
          </w:p>
        </w:tc>
      </w:tr>
      <w:tr>
        <w:tc>
          <w:tcPr>
            <w:tcW w:w="0" w:type="auto"/>
          </w:tcPr>
          <w:p>
            <w:pPr>
              <w:spacing w:line="240" w:lineRule="auto" w:before="0" w:after="0"/>
              <w:pStyle w:val="Compact"/>
            </w:pPr>
            <w:r>
              <w:rPr>
                <w:sz w:val="20"/>
                <w:szCs w:val="20"/>
              </w:rPr>
              <w:t xml:space="preserve">Advanced Composition Explorer</w:t>
            </w:r>
          </w:p>
        </w:tc>
        <w:tc>
          <w:tcPr>
            <w:tcW w:w="0" w:type="auto"/>
          </w:tcPr>
          <w:p>
            <w:pPr>
              <w:spacing w:line="240" w:lineRule="auto" w:before="0" w:after="0"/>
              <w:pStyle w:val="Compact"/>
            </w:pPr>
            <w:r>
              <w:rPr>
                <w:sz w:val="20"/>
                <w:szCs w:val="20"/>
              </w:rPr>
              <w:t xml:space="preserve">34.9</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Weekly DSN hours FY23 from Lazio (2025) Table 1; Sun-Earth L1 ~1.5e6 km (~0.01 AU) per NASA ACE mission; S/X-band; non-70m</w:t>
            </w:r>
          </w:p>
        </w:tc>
      </w:tr>
      <w:tr>
        <w:tc>
          <w:tcPr>
            <w:tcW w:w="0" w:type="auto"/>
          </w:tcPr>
          <w:p>
            <w:pPr>
              <w:spacing w:line="240" w:lineRule="auto" w:before="0" w:after="0"/>
              <w:pStyle w:val="Compact"/>
            </w:pPr>
            <w:r>
              <w:rPr>
                <w:sz w:val="20"/>
                <w:szCs w:val="20"/>
              </w:rPr>
              <w:t xml:space="preserve">Magnetospheric Multiscale (MMS)</w:t>
            </w:r>
          </w:p>
        </w:tc>
        <w:tc>
          <w:tcPr>
            <w:tcW w:w="0" w:type="auto"/>
          </w:tcPr>
          <w:p>
            <w:pPr>
              <w:spacing w:line="240" w:lineRule="auto" w:before="0" w:after="0"/>
              <w:pStyle w:val="Compact"/>
            </w:pPr>
            <w:r>
              <w:rPr>
                <w:sz w:val="20"/>
                <w:szCs w:val="20"/>
              </w:rPr>
              <w:t xml:space="preserve">66.4</w:t>
            </w:r>
          </w:p>
        </w:tc>
        <w:tc>
          <w:tcPr>
            <w:tcW w:w="0" w:type="auto"/>
          </w:tcPr>
          <w:p>
            <w:pPr>
              <w:spacing w:line="240" w:lineRule="auto" w:before="0" w:after="0"/>
              <w:pStyle w:val="Compact"/>
            </w:pPr>
            <w:r>
              <w:rPr>
                <w:sz w:val="20"/>
                <w:szCs w:val="20"/>
              </w:rPr>
              <w:t xml:space="preserve">0.0008</w:t>
            </w:r>
          </w:p>
        </w:tc>
        <w:tc>
          <w:tcPr>
            <w:tcW w:w="0" w:type="auto"/>
          </w:tcPr>
          <w:p>
            <w:pPr>
              <w:spacing w:line="240" w:lineRule="auto" w:before="0" w:after="0"/>
              <w:pStyle w:val="Compact"/>
            </w:pPr>
            <w:r>
              <w:rPr>
                <w:sz w:val="20"/>
                <w:szCs w:val="20"/>
              </w:rPr>
              <w:t xml:space="preserve">-3.097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Weekly DSN hours FY23 from Lazio (2025) Table 1; high Earth orbit apogee ~1.2e5 km (~0.0008 AU) per NASA MMS mission; S/X-band; non-70m</w:t>
            </w:r>
          </w:p>
        </w:tc>
      </w:tr>
      <w:tr>
        <w:tc>
          <w:tcPr>
            <w:tcW w:w="0" w:type="auto"/>
          </w:tcPr>
          <w:p>
            <w:pPr>
              <w:spacing w:line="240" w:lineRule="auto" w:before="0" w:after="0"/>
              <w:pStyle w:val="Compact"/>
            </w:pPr>
            <w:r>
              <w:rPr>
                <w:sz w:val="20"/>
                <w:szCs w:val="20"/>
              </w:rPr>
              <w:t xml:space="preserve">Wind</w:t>
            </w:r>
          </w:p>
        </w:tc>
        <w:tc>
          <w:tcPr>
            <w:tcW w:w="0" w:type="auto"/>
          </w:tcPr>
          <w:p>
            <w:pPr>
              <w:spacing w:line="240" w:lineRule="auto" w:before="0" w:after="0"/>
              <w:pStyle w:val="Compact"/>
            </w:pPr>
            <w:r>
              <w:rPr>
                <w:sz w:val="20"/>
                <w:szCs w:val="20"/>
              </w:rPr>
              <w:t xml:space="preserve">31.7</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Weekly DSN hours FY23 from Lazio (2025) Table 1; Sun-Earth L1 ~1.5e6 km (~0.01 AU) per NASA Wind mission; S-band; non-70m</w:t>
            </w:r>
          </w:p>
        </w:tc>
      </w:tr>
      <w:tr>
        <w:tc>
          <w:tcPr>
            <w:tcW w:w="0" w:type="auto"/>
          </w:tcPr>
          <w:p>
            <w:pPr>
              <w:spacing w:line="240" w:lineRule="auto" w:before="0" w:after="0"/>
              <w:pStyle w:val="Compact"/>
            </w:pPr>
            <w:r>
              <w:rPr>
                <w:sz w:val="20"/>
                <w:szCs w:val="20"/>
              </w:rPr>
              <w:t xml:space="preserve">Lunar Reconnaissance Orbiter</w:t>
            </w:r>
          </w:p>
        </w:tc>
        <w:tc>
          <w:tcPr>
            <w:tcW w:w="0" w:type="auto"/>
          </w:tcPr>
          <w:p>
            <w:pPr>
              <w:spacing w:line="240" w:lineRule="auto" w:before="0" w:after="0"/>
              <w:pStyle w:val="Compact"/>
            </w:pPr>
            <w:r>
              <w:rPr>
                <w:sz w:val="20"/>
                <w:szCs w:val="20"/>
              </w:rPr>
              <w:t xml:space="preserve">19.5</w:t>
            </w:r>
          </w:p>
        </w:tc>
        <w:tc>
          <w:tcPr>
            <w:tcW w:w="0" w:type="auto"/>
          </w:tcPr>
          <w:p>
            <w:pPr>
              <w:spacing w:line="240" w:lineRule="auto" w:before="0" w:after="0"/>
              <w:pStyle w:val="Compact"/>
            </w:pPr>
            <w:r>
              <w:rPr>
                <w:sz w:val="20"/>
                <w:szCs w:val="20"/>
              </w:rPr>
              <w:t xml:space="preserve">0.0026</w:t>
            </w:r>
          </w:p>
        </w:tc>
        <w:tc>
          <w:tcPr>
            <w:tcW w:w="0" w:type="auto"/>
          </w:tcPr>
          <w:p>
            <w:pPr>
              <w:spacing w:line="240" w:lineRule="auto" w:before="0" w:after="0"/>
              <w:pStyle w:val="Compact"/>
            </w:pPr>
            <w:r>
              <w:rPr>
                <w:sz w:val="20"/>
                <w:szCs w:val="20"/>
              </w:rPr>
              <w:t xml:space="preserve">-2.585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Weekly DSN hours FY23 from Lazio (2025) Table 1; lunar orbit ~384000 km (~0.0026 AU) per NASA LRO mission; Ka-band high-rate downlink per NASA LRO; non-70m</w:t>
            </w:r>
          </w:p>
        </w:tc>
      </w:tr>
      <w:tr>
        <w:tc>
          <w:tcPr>
            <w:tcW w:w="0" w:type="auto"/>
          </w:tcPr>
          <w:p>
            <w:pPr>
              <w:spacing w:line="240" w:lineRule="auto" w:before="0" w:after="0"/>
              <w:pStyle w:val="Compact"/>
            </w:pPr>
            <w:r>
              <w:rPr>
                <w:sz w:val="20"/>
                <w:szCs w:val="20"/>
              </w:rPr>
              <w:t xml:space="preserve">Parker Solar Probe</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Weekly DSN hours CY23 high-usage from Lazio (2025) Fig 5; heliocentric orbit, Earth-range ~0.3-2 AU, ~1 AU representative per NASA Parker Solar Probe; Ka-band science downlink per Lazio (2025) sec 5; non-70m</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Weekly DSN hours CY23 high-usage from Lazio (2025) Fig 5; Sun-Earth L2 ~1.5e6 km (~0.01 AU) per NASA JWST; Ka-band 28 GHz science downlink per Lazio (2025) sec 5; non-70m</w:t>
            </w:r>
          </w:p>
        </w:tc>
      </w:tr>
      <w:tr>
        <w:tc>
          <w:tcPr>
            <w:tcW w:w="0" w:type="auto"/>
          </w:tcPr>
          <w:p>
            <w:pPr>
              <w:spacing w:line="240" w:lineRule="auto" w:before="0" w:after="0"/>
              <w:pStyle w:val="Compact"/>
            </w:pPr>
            <w:r>
              <w:rPr>
                <w:sz w:val="20"/>
                <w:szCs w:val="20"/>
              </w:rPr>
              <w:t xml:space="preserve">STEREO A</w:t>
            </w:r>
          </w:p>
        </w:tc>
        <w:tc>
          <w:tcPr>
            <w:tcW w:w="0" w:type="auto"/>
          </w:tcPr>
          <w:p>
            <w:pPr>
              <w:spacing w:line="240" w:lineRule="auto" w:before="0" w:after="0"/>
              <w:pStyle w:val="Compact"/>
            </w:pPr>
            <w:r>
              <w:rPr>
                <w:sz w:val="20"/>
                <w:szCs w:val="20"/>
              </w:rPr>
              <w:t xml:space="preserve">44.8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Weekly DSN hours FY23 from Lazio (2025) Table 1; heliocentric ~1 AU orbit per NASA STEREO mission (science.nasa.gov/mission/stereo); X-band; non-70m</w:t>
            </w:r>
          </w:p>
        </w:tc>
      </w:tr>
      <w:tr>
        <w:tc>
          <w:tcPr>
            <w:tcW w:w="0" w:type="auto"/>
          </w:tcPr>
          <w:p>
            <w:pPr>
              <w:spacing w:line="240" w:lineRule="auto" w:before="0" w:after="0"/>
              <w:pStyle w:val="Compact"/>
            </w:pPr>
            <w:r>
              <w:rPr>
                <w:sz w:val="20"/>
                <w:szCs w:val="20"/>
              </w:rPr>
              <w:t xml:space="preserve">SOHO</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Weekly DSN hours CY23 from Lazio (2025) Fig 5 (near-top loading band); Sun-Earth L1 ~0.01 AU per NASA/ESA SOHO; near-continuous S-band; non-70m</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1.2528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Weekly DSN hours CY23 mid-band from Lazio (2025) Fig 5; Jupiter-Trojan cruise ~3.5 AU class per NASA Lucy mission (science.nasa.gov/mission/lucy); X-band; non-70m</w:t>
            </w:r>
          </w:p>
        </w:tc>
      </w:tr>
      <w:tr>
        <w:tc>
          <w:tcPr>
            <w:tcW w:w="0" w:type="auto"/>
          </w:tcPr>
          <w:p>
            <w:pPr>
              <w:spacing w:line="240" w:lineRule="auto" w:before="0" w:after="0"/>
              <w:pStyle w:val="Compact"/>
            </w:pPr>
            <w:r>
              <w:rPr>
                <w:sz w:val="20"/>
                <w:szCs w:val="20"/>
              </w:rPr>
              <w:t xml:space="preserve">Gaia</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Weekly DSN hours CY23 low-usage region from Lazio (2025) Fig 5; Sun-Earth L2 ~0.01 AU per ESA Gaia; X-band; non-70m</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0.9933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Weekly DSN hours CY23 mid-low from Lazio (2025) Fig 5 region; main-belt asteroid ~2.7 AU per NASA Psyche mission (science.nasa.gov/mission/psyche); Ka-band per NASA Psyche; non-70m [illustrative hours: read from Fig 5 ordering bin]</w:t>
            </w:r>
          </w:p>
        </w:tc>
      </w:tr>
      <w:tr>
        <w:tc>
          <w:tcPr>
            <w:tcW w:w="0" w:type="auto"/>
          </w:tcPr>
          <w:p>
            <w:pPr>
              <w:spacing w:line="240" w:lineRule="auto" w:before="0" w:after="0"/>
              <w:pStyle w:val="Compact"/>
            </w:pPr>
            <w:r>
              <w:rPr>
                <w:sz w:val="20"/>
                <w:szCs w:val="20"/>
              </w:rPr>
              <w:t xml:space="preserve">CH3 (cislunar set)</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0.0026</w:t>
            </w:r>
          </w:p>
        </w:tc>
        <w:tc>
          <w:tcPr>
            <w:tcW w:w="0" w:type="auto"/>
          </w:tcPr>
          <w:p>
            <w:pPr>
              <w:spacing w:line="240" w:lineRule="auto" w:before="0" w:after="0"/>
              <w:pStyle w:val="Compact"/>
            </w:pPr>
            <w:r>
              <w:rPr>
                <w:sz w:val="20"/>
                <w:szCs w:val="20"/>
              </w:rPr>
              <w:t xml:space="preserve">-2.585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Weekly DSN hours CY23 low-mid from Lazio (2025) Fig 5; cislunar/lunar ~0.0026 AU representative; X-band; non-70m [illustrative grouping: read from Fig 5 ordering]</w:t>
            </w:r>
          </w:p>
        </w:tc>
      </w:tr>
      <w:tr>
        <w:tc>
          <w:tcPr>
            <w:tcW w:w="0" w:type="auto"/>
          </w:tcPr>
          <w:p>
            <w:pPr>
              <w:spacing w:line="240" w:lineRule="auto" w:before="0" w:after="0"/>
              <w:pStyle w:val="Compact"/>
            </w:pPr>
            <w:r>
              <w:rPr>
                <w:sz w:val="20"/>
                <w:szCs w:val="20"/>
              </w:rPr>
              <w:t xml:space="preserve">CAPSTONE</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0.0026</w:t>
            </w:r>
          </w:p>
        </w:tc>
        <w:tc>
          <w:tcPr>
            <w:tcW w:w="0" w:type="auto"/>
          </w:tcPr>
          <w:p>
            <w:pPr>
              <w:spacing w:line="240" w:lineRule="auto" w:before="0" w:after="0"/>
              <w:pStyle w:val="Compact"/>
            </w:pPr>
            <w:r>
              <w:rPr>
                <w:sz w:val="20"/>
                <w:szCs w:val="20"/>
              </w:rPr>
              <w:t xml:space="preserve">-2.585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Weekly DSN hours CY23 low-usage from Lazio (2025) Fig 5; cislunar NRHO ~0.0026 AU per NASA CAPSTONE; X-band; non-70m [illustrative hours: low bin read from Fig 5]</w:t>
            </w:r>
          </w:p>
        </w:tc>
      </w:tr>
      <w:tr>
        <w:tc>
          <w:tcPr>
            <w:tcW w:w="0" w:type="auto"/>
          </w:tcPr>
          <w:p>
            <w:pPr>
              <w:spacing w:line="240" w:lineRule="auto" w:before="0" w:after="0"/>
              <w:pStyle w:val="Compact"/>
            </w:pPr>
            <w:r>
              <w:rPr>
                <w:sz w:val="20"/>
                <w:szCs w:val="20"/>
              </w:rPr>
              <w:t xml:space="preserve">Radar (DSN radar ops)</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0.0007</w:t>
            </w:r>
          </w:p>
        </w:tc>
        <w:tc>
          <w:tcPr>
            <w:tcW w:w="0" w:type="auto"/>
          </w:tcPr>
          <w:p>
            <w:pPr>
              <w:spacing w:line="240" w:lineRule="auto" w:before="0" w:after="0"/>
              <w:pStyle w:val="Compact"/>
            </w:pPr>
            <w:r>
              <w:rPr>
                <w:sz w:val="20"/>
                <w:szCs w:val="20"/>
              </w:rPr>
              <w:t xml:space="preserve">-3.155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Weekly DSN hours CY23 mid-low from Lazio (2025) Fig 5 (Radar entry); Goldstone Solar System Radar near-Earth targets ~0.0007 AU class per NASA GSSR; X-band high-power; non-70m</w:t>
            </w:r>
          </w:p>
        </w:tc>
      </w:tr>
    </w:tbl>
    <w:bookmarkEnd w:id="194"/>
    <w:bookmarkStart w:id="195"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dsn_hours_wk</w:t>
            </w:r>
          </w:p>
        </w:tc>
        <w:tc>
          <w:tcPr>
            <w:tcW w:w="0" w:type="auto"/>
          </w:tcPr>
          <w:p>
            <w:pPr>
              <w:spacing w:line="240" w:lineRule="auto" w:before="0" w:after="0"/>
              <w:pStyle w:val="Compact"/>
            </w:pPr>
            <w:r>
              <w:rPr>
                <w:sz w:val="20"/>
                <w:szCs w:val="20"/>
              </w:rPr>
              <w:t xml:space="preserve">Average weekly DSN antenna time demanded by mission i (hours per week), the per-mission load on the shared resource</w:t>
            </w:r>
          </w:p>
        </w:tc>
        <w:tc>
          <w:tcPr>
            <w:tcW w:w="0" w:type="auto"/>
          </w:tcPr>
          <w:p>
            <w:pPr>
              <w:spacing w:line="240" w:lineRule="auto" w:before="0" w:after="0"/>
              <w:pStyle w:val="Compact"/>
            </w:pPr>
            <w:r>
              <w:rPr>
                <w:sz w:val="20"/>
                <w:szCs w:val="20"/>
              </w:rPr>
              <w:t xml:space="preserve">Lazio (2025) SpaceOps-2025 ID#610 Table 1 (FY23) and Figure 5 (CY23 loading)</w:t>
            </w:r>
          </w:p>
        </w:tc>
      </w:tr>
      <w:tr>
        <w:tc>
          <w:tcPr>
            <w:tcW w:w="0" w:type="auto"/>
          </w:tcPr>
          <w:p>
            <w:pPr>
              <w:spacing w:line="240" w:lineRule="auto" w:before="0" w:after="0"/>
              <w:pStyle w:val="Compact"/>
            </w:pPr>
            <w:r>
              <w:rPr>
                <w:sz w:val="20"/>
                <w:szCs w:val="20"/>
              </w:rPr>
              <w:t xml:space="preserve">log_distance_au</w:t>
            </w:r>
          </w:p>
        </w:tc>
        <w:tc>
          <w:tcPr>
            <w:tcW w:w="0" w:type="auto"/>
          </w:tcPr>
          <w:p>
            <w:pPr>
              <w:spacing w:line="240" w:lineRule="auto" w:before="0" w:after="0"/>
              <w:pStyle w:val="Compact"/>
            </w:pPr>
            <w:r>
              <w:rPr>
                <w:sz w:val="20"/>
                <w:szCs w:val="20"/>
              </w:rPr>
              <w:t xml:space="preserve">Natural log of the mission’s representative Earth/heliocentric distance in astronomical units; proxies link-budget burden and pass duration</w:t>
            </w:r>
          </w:p>
        </w:tc>
        <w:tc>
          <w:tcPr>
            <w:tcW w:w="0" w:type="auto"/>
          </w:tcPr>
          <w:p>
            <w:pPr>
              <w:spacing w:line="240" w:lineRule="auto" w:before="0" w:after="0"/>
              <w:pStyle w:val="Compact"/>
            </w:pPr>
            <w:r>
              <w:rPr>
                <w:sz w:val="20"/>
                <w:szCs w:val="20"/>
              </w:rPr>
              <w:t xml:space="preserve">NASA/JPL mission status and science pages cited per row in data.csv</w:t>
            </w:r>
          </w:p>
        </w:tc>
      </w:tr>
      <w:tr>
        <w:tc>
          <w:tcPr>
            <w:tcW w:w="0" w:type="auto"/>
          </w:tcPr>
          <w:p>
            <w:pPr>
              <w:spacing w:line="240" w:lineRule="auto" w:before="0" w:after="0"/>
              <w:pStyle w:val="Compact"/>
            </w:pPr>
            <w:r>
              <w:rPr>
                <w:sz w:val="20"/>
                <w:szCs w:val="20"/>
              </w:rPr>
              <w:t xml:space="preserve">hi_rate_band</w:t>
            </w:r>
          </w:p>
        </w:tc>
        <w:tc>
          <w:tcPr>
            <w:tcW w:w="0" w:type="auto"/>
          </w:tcPr>
          <w:p>
            <w:pPr>
              <w:spacing w:line="240" w:lineRule="auto" w:before="0" w:after="0"/>
              <w:pStyle w:val="Compact"/>
            </w:pPr>
            <w:r>
              <w:rPr>
                <w:sz w:val="20"/>
                <w:szCs w:val="20"/>
              </w:rPr>
              <w:t xml:space="preserve">Indicator =1 if the mission’s primary science downlink uses a high-rate K/Ka band rather than X/S band</w:t>
            </w:r>
          </w:p>
        </w:tc>
        <w:tc>
          <w:tcPr>
            <w:tcW w:w="0" w:type="auto"/>
          </w:tcPr>
          <w:p>
            <w:pPr>
              <w:spacing w:line="240" w:lineRule="auto" w:before="0" w:after="0"/>
              <w:pStyle w:val="Compact"/>
            </w:pPr>
            <w:r>
              <w:rPr>
                <w:sz w:val="20"/>
                <w:szCs w:val="20"/>
              </w:rPr>
              <w:t xml:space="preserve">Lazio (2025) sec 5 and per-mission NASA science pages</w:t>
            </w:r>
          </w:p>
        </w:tc>
      </w:tr>
      <w:tr>
        <w:tc>
          <w:tcPr>
            <w:tcW w:w="0" w:type="auto"/>
          </w:tcPr>
          <w:p>
            <w:pPr>
              <w:spacing w:line="240" w:lineRule="auto" w:before="0" w:after="0"/>
              <w:pStyle w:val="Compact"/>
            </w:pPr>
            <w:r>
              <w:rPr>
                <w:sz w:val="20"/>
                <w:szCs w:val="20"/>
              </w:rPr>
              <w:t xml:space="preserve">planetary</w:t>
            </w:r>
          </w:p>
        </w:tc>
        <w:tc>
          <w:tcPr>
            <w:tcW w:w="0" w:type="auto"/>
          </w:tcPr>
          <w:p>
            <w:pPr>
              <w:spacing w:line="240" w:lineRule="auto" w:before="0" w:after="0"/>
              <w:pStyle w:val="Compact"/>
            </w:pPr>
            <w:r>
              <w:rPr>
                <w:sz w:val="20"/>
                <w:szCs w:val="20"/>
              </w:rPr>
              <w:t xml:space="preserve">Indicator =1 if the mission is a planetary/deep-space body or heliocentric target rather than an Earth-orbit or Lagrange astrophysics/heliophysics asset</w:t>
            </w:r>
          </w:p>
        </w:tc>
        <w:tc>
          <w:tcPr>
            <w:tcW w:w="0" w:type="auto"/>
          </w:tcPr>
          <w:p>
            <w:pPr>
              <w:spacing w:line="240" w:lineRule="auto" w:before="0" w:after="0"/>
              <w:pStyle w:val="Compact"/>
            </w:pPr>
            <w:r>
              <w:rPr>
                <w:sz w:val="20"/>
                <w:szCs w:val="20"/>
              </w:rPr>
              <w:t xml:space="preserve">NASA Science Mission Directorate division per row in data.csv</w:t>
            </w:r>
          </w:p>
        </w:tc>
      </w:tr>
      <w:tr>
        <w:tc>
          <w:tcPr>
            <w:tcW w:w="0" w:type="auto"/>
          </w:tcPr>
          <w:p>
            <w:pPr>
              <w:spacing w:line="240" w:lineRule="auto" w:before="0" w:after="0"/>
              <w:pStyle w:val="Compact"/>
            </w:pPr>
            <w:r>
              <w:rPr>
                <w:sz w:val="20"/>
                <w:szCs w:val="20"/>
              </w:rPr>
              <w:t xml:space="preserve">needs_70m</w:t>
            </w:r>
          </w:p>
        </w:tc>
        <w:tc>
          <w:tcPr>
            <w:tcW w:w="0" w:type="auto"/>
          </w:tcPr>
          <w:p>
            <w:pPr>
              <w:spacing w:line="240" w:lineRule="auto" w:before="0" w:after="0"/>
              <w:pStyle w:val="Compact"/>
            </w:pPr>
            <w:r>
              <w:rPr>
                <w:sz w:val="20"/>
                <w:szCs w:val="20"/>
              </w:rPr>
              <w:t xml:space="preserve">Indicator =1 if the spacecraft signal requires a 70m-class antenna and cannot be served by an interchangeable 34m antenna</w:t>
            </w:r>
          </w:p>
        </w:tc>
        <w:tc>
          <w:tcPr>
            <w:tcW w:w="0" w:type="auto"/>
          </w:tcPr>
          <w:p>
            <w:pPr>
              <w:spacing w:line="240" w:lineRule="auto" w:before="0" w:after="0"/>
              <w:pStyle w:val="Compact"/>
            </w:pPr>
            <w:r>
              <w:rPr>
                <w:sz w:val="20"/>
                <w:szCs w:val="20"/>
              </w:rPr>
              <w:t xml:space="preserve">Lazio (2025) sec 3.1 (Voyager, New Horizons noted as 70m-dependent)</w:t>
            </w:r>
          </w:p>
        </w:tc>
      </w:tr>
    </w:tbl>
    <w:bookmarkEnd w:id="195"/>
    <w:bookmarkEnd w:id="196"/>
    <w:bookmarkStart w:id="204" w:name="X29cd1c0d75811db8caa5fd3ff3ee11f60455e63"/>
    <w:p>
      <w:pPr>
        <w:pStyle w:val="Heading2"/>
        <w:spacing w:line="480" w:lineRule="auto"/>
      </w:pPr>
      <w:r>
        <w:t xml:space="preserve">A.2 What a Mission Extracts From the Common: An OLS Link-Budget Model of Per-Mission Deep Space Network Downlink Throughput</w:t>
      </w:r>
    </w:p>
    <w:p>
      <w:pPr>
        <w:pStyle w:val="FirstParagraph"/>
        <w:spacing w:line="480" w:lineRule="auto"/>
      </w:pPr>
      <m:oMathPara>
        <m:oMathParaPr>
          <m:jc m:val="center"/>
        </m:oMathParaPr>
        <m:oMath>
          <m:r>
            <m:rPr>
              <m:sty m:val="p"/>
            </m:rPr>
            <m:t>ln</m:t>
          </m:r>
          <m:r>
            <m:rPr>
              <m:sty m:val="p"/>
            </m:rPr>
            <m:t>(</m:t>
          </m:r>
          <m:sSub>
            <m:e>
              <m:r>
                <m:t>R</m:t>
              </m:r>
            </m:e>
            <m:sub>
              <m:r>
                <m:t>i</m:t>
              </m:r>
            </m:sub>
          </m:sSub>
          <m:r>
            <m:rPr>
              <m:sty m:val="p"/>
            </m:rPr>
            <m:t>)</m:t>
          </m:r>
          <m:r>
            <m:rPr>
              <m:sty m:val="p"/>
            </m:rPr>
            <m:t>=</m:t>
          </m:r>
          <m:sSub>
            <m:e>
              <m:r>
                <m:t>β</m:t>
              </m:r>
            </m:e>
            <m:sub>
              <m:r>
                <m:t>0</m:t>
              </m:r>
            </m:sub>
          </m:sSub>
          <m:r>
            <m:rPr>
              <m:sty m:val="p"/>
            </m:rPr>
            <m:t>+</m:t>
          </m:r>
          <m:sSub>
            <m:e>
              <m:r>
                <m:t>β</m:t>
              </m:r>
            </m:e>
            <m:sub>
              <m:r>
                <m:t>1</m:t>
              </m:r>
            </m:sub>
          </m:sSub>
          <m:r>
            <m:rPr>
              <m:sty m:val="p"/>
            </m:rPr>
            <m:t>ln</m:t>
          </m:r>
          <m:r>
            <m:rPr>
              <m:sty m:val="p"/>
            </m:rPr>
            <m:t>(</m:t>
          </m:r>
          <m:sSub>
            <m:e>
              <m:r>
                <m:t>D</m:t>
              </m:r>
            </m:e>
            <m:sub>
              <m:r>
                <m:t>i</m:t>
              </m:r>
            </m:sub>
          </m:sSub>
          <m:r>
            <m:rPr>
              <m:sty m:val="p"/>
            </m:rPr>
            <m:t>)</m:t>
          </m:r>
          <m:r>
            <m:rPr>
              <m:sty m:val="p"/>
            </m:rPr>
            <m:t>+</m:t>
          </m:r>
          <m:sSub>
            <m:e>
              <m:r>
                <m:t>β</m:t>
              </m:r>
            </m:e>
            <m:sub>
              <m:r>
                <m:t>2</m:t>
              </m:r>
            </m:sub>
          </m:sSub>
          <m:r>
            <m:rPr>
              <m:sty m:val="p"/>
            </m:rPr>
            <m:t>ln</m:t>
          </m:r>
          <m:r>
            <m:rPr>
              <m:sty m:val="p"/>
            </m:rPr>
            <m:t>(</m:t>
          </m:r>
          <m:sSub>
            <m:e>
              <m:r>
                <m:t>P</m:t>
              </m:r>
            </m:e>
            <m:sub>
              <m:r>
                <m:t>i</m:t>
              </m:r>
            </m:sub>
          </m:sSub>
          <m:r>
            <m:rPr>
              <m:sty m:val="p"/>
            </m:rPr>
            <m:t>)</m:t>
          </m:r>
          <m:r>
            <m:rPr>
              <m:sty m:val="p"/>
            </m:rPr>
            <m:t>+</m:t>
          </m:r>
          <m:sSub>
            <m:e>
              <m:r>
                <m:t>β</m:t>
              </m:r>
            </m:e>
            <m:sub>
              <m:r>
                <m:t>3</m:t>
              </m:r>
            </m:sub>
          </m:sSub>
          <m:r>
            <m:rPr>
              <m:sty m:val="p"/>
            </m:rPr>
            <m:t>ln</m:t>
          </m:r>
          <m:r>
            <m:rPr>
              <m:sty m:val="p"/>
            </m:rPr>
            <m:t>(</m:t>
          </m:r>
          <m:sSub>
            <m:e>
              <m:r>
                <m:t>L</m:t>
              </m:r>
            </m:e>
            <m:sub>
              <m:r>
                <m:t>i</m:t>
              </m:r>
            </m:sub>
          </m:sSub>
          <m:r>
            <m:rPr>
              <m:sty m:val="p"/>
            </m:rPr>
            <m:t>)</m:t>
          </m:r>
          <m:r>
            <m:rPr>
              <m:sty m:val="p"/>
            </m:rPr>
            <m:t>+</m:t>
          </m:r>
          <m:sSub>
            <m:e>
              <m:r>
                <m:t>ε</m:t>
              </m:r>
            </m:e>
            <m:sub>
              <m:r>
                <m:t>i</m:t>
              </m:r>
            </m:sub>
          </m:sSub>
        </m:oMath>
      </m:oMathPara>
    </w:p>
    <w:bookmarkStart w:id="197"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4.8226</w:t>
            </w:r>
          </w:p>
        </w:tc>
        <w:tc>
          <w:tcPr>
            <w:tcW w:w="0" w:type="auto"/>
          </w:tcPr>
          <w:p>
            <w:pPr>
              <w:spacing w:line="240" w:lineRule="auto" w:before="0" w:after="0"/>
              <w:pStyle w:val="Compact"/>
            </w:pPr>
            <w:r>
              <w:rPr>
                <w:sz w:val="20"/>
                <w:szCs w:val="20"/>
              </w:rPr>
              <w:t xml:space="preserve">1.5915</w:t>
            </w:r>
          </w:p>
        </w:tc>
        <w:tc>
          <w:tcPr>
            <w:tcW w:w="0" w:type="auto"/>
          </w:tcPr>
          <w:p>
            <w:pPr>
              <w:spacing w:line="240" w:lineRule="auto" w:before="0" w:after="0"/>
              <w:pStyle w:val="Compact"/>
            </w:pPr>
            <w:r>
              <w:rPr>
                <w:sz w:val="20"/>
                <w:szCs w:val="20"/>
              </w:rPr>
              <w:t xml:space="preserve">3.0302</w:t>
            </w:r>
          </w:p>
        </w:tc>
        <w:tc>
          <w:tcPr>
            <w:tcW w:w="0" w:type="auto"/>
          </w:tcPr>
          <w:p>
            <w:pPr>
              <w:spacing w:line="240" w:lineRule="auto" w:before="0" w:after="0"/>
              <w:pStyle w:val="Compact"/>
            </w:pPr>
            <w:r>
              <w:rPr>
                <w:sz w:val="20"/>
                <w:szCs w:val="20"/>
              </w:rPr>
              <w:t xml:space="preserve">0.0024</w:t>
            </w:r>
          </w:p>
        </w:tc>
        <w:tc>
          <w:tcPr>
            <w:tcW w:w="0" w:type="auto"/>
          </w:tcPr>
          <w:p>
            <w:pPr>
              <w:spacing w:line="240" w:lineRule="auto" w:before="0" w:after="0"/>
              <w:pStyle w:val="Compact"/>
            </w:pPr>
            <w:r>
              <w:rPr>
                <w:sz w:val="20"/>
                <w:szCs w:val="20"/>
              </w:rPr>
              <w:t xml:space="preserve">[1.7033, 7.9419]</w:t>
            </w:r>
          </w:p>
        </w:tc>
      </w:tr>
      <w:tr>
        <w:tc>
          <w:tcPr>
            <w:tcW w:w="0" w:type="auto"/>
          </w:tcPr>
          <w:p>
            <w:pPr>
              <w:spacing w:line="240" w:lineRule="auto" w:before="0" w:after="0"/>
              <w:pStyle w:val="Compact"/>
            </w:pPr>
            <w:r>
              <w:rPr>
                <w:sz w:val="20"/>
                <w:szCs w:val="20"/>
              </w:rPr>
              <w:t xml:space="preserve">ln_hga</w:t>
            </w:r>
          </w:p>
        </w:tc>
        <w:tc>
          <w:tcPr>
            <w:tcW w:w="0" w:type="auto"/>
          </w:tcPr>
          <w:p>
            <w:pPr>
              <w:spacing w:line="240" w:lineRule="auto" w:before="0" w:after="0"/>
              <w:pStyle w:val="Compact"/>
            </w:pPr>
            <w:r>
              <w:rPr>
                <w:sz w:val="20"/>
                <w:szCs w:val="20"/>
              </w:rPr>
              <w:t xml:space="preserve">-0.1185</w:t>
            </w:r>
          </w:p>
        </w:tc>
        <w:tc>
          <w:tcPr>
            <w:tcW w:w="0" w:type="auto"/>
          </w:tcPr>
          <w:p>
            <w:pPr>
              <w:spacing w:line="240" w:lineRule="auto" w:before="0" w:after="0"/>
              <w:pStyle w:val="Compact"/>
            </w:pPr>
            <w:r>
              <w:rPr>
                <w:sz w:val="20"/>
                <w:szCs w:val="20"/>
              </w:rPr>
              <w:t xml:space="preserve">0.5868</w:t>
            </w:r>
          </w:p>
        </w:tc>
        <w:tc>
          <w:tcPr>
            <w:tcW w:w="0" w:type="auto"/>
          </w:tcPr>
          <w:p>
            <w:pPr>
              <w:spacing w:line="240" w:lineRule="auto" w:before="0" w:after="0"/>
              <w:pStyle w:val="Compact"/>
            </w:pPr>
            <w:r>
              <w:rPr>
                <w:sz w:val="20"/>
                <w:szCs w:val="20"/>
              </w:rPr>
              <w:t xml:space="preserve">-0.202</w:t>
            </w:r>
          </w:p>
        </w:tc>
        <w:tc>
          <w:tcPr>
            <w:tcW w:w="0" w:type="auto"/>
          </w:tcPr>
          <w:p>
            <w:pPr>
              <w:spacing w:line="240" w:lineRule="auto" w:before="0" w:after="0"/>
              <w:pStyle w:val="Compact"/>
            </w:pPr>
            <w:r>
              <w:rPr>
                <w:sz w:val="20"/>
                <w:szCs w:val="20"/>
              </w:rPr>
              <w:t xml:space="preserve">0.8399</w:t>
            </w:r>
          </w:p>
        </w:tc>
        <w:tc>
          <w:tcPr>
            <w:tcW w:w="0" w:type="auto"/>
          </w:tcPr>
          <w:p>
            <w:pPr>
              <w:spacing w:line="240" w:lineRule="auto" w:before="0" w:after="0"/>
              <w:pStyle w:val="Compact"/>
            </w:pPr>
            <w:r>
              <w:rPr>
                <w:sz w:val="20"/>
                <w:szCs w:val="20"/>
              </w:rPr>
              <w:t xml:space="preserve">[-1.2686, 1.0315]</w:t>
            </w:r>
          </w:p>
        </w:tc>
      </w:tr>
      <w:tr>
        <w:tc>
          <w:tcPr>
            <w:tcW w:w="0" w:type="auto"/>
          </w:tcPr>
          <w:p>
            <w:pPr>
              <w:spacing w:line="240" w:lineRule="auto" w:before="0" w:after="0"/>
              <w:pStyle w:val="Compact"/>
            </w:pPr>
            <w:r>
              <w:rPr>
                <w:sz w:val="20"/>
                <w:szCs w:val="20"/>
              </w:rPr>
              <w:t xml:space="preserve">ln_power</w:t>
            </w:r>
          </w:p>
        </w:tc>
        <w:tc>
          <w:tcPr>
            <w:tcW w:w="0" w:type="auto"/>
          </w:tcPr>
          <w:p>
            <w:pPr>
              <w:spacing w:line="240" w:lineRule="auto" w:before="0" w:after="0"/>
              <w:pStyle w:val="Compact"/>
            </w:pPr>
            <w:r>
              <w:rPr>
                <w:sz w:val="20"/>
                <w:szCs w:val="20"/>
              </w:rPr>
              <w:t xml:space="preserve">2.2669</w:t>
            </w:r>
          </w:p>
        </w:tc>
        <w:tc>
          <w:tcPr>
            <w:tcW w:w="0" w:type="auto"/>
          </w:tcPr>
          <w:p>
            <w:pPr>
              <w:spacing w:line="240" w:lineRule="auto" w:before="0" w:after="0"/>
              <w:pStyle w:val="Compact"/>
            </w:pPr>
            <w:r>
              <w:rPr>
                <w:sz w:val="20"/>
                <w:szCs w:val="20"/>
              </w:rPr>
              <w:t xml:space="preserve">0.4534</w:t>
            </w:r>
          </w:p>
        </w:tc>
        <w:tc>
          <w:tcPr>
            <w:tcW w:w="0" w:type="auto"/>
          </w:tcPr>
          <w:p>
            <w:pPr>
              <w:spacing w:line="240" w:lineRule="auto" w:before="0" w:after="0"/>
              <w:pStyle w:val="Compact"/>
            </w:pPr>
            <w:r>
              <w:rPr>
                <w:sz w:val="20"/>
                <w:szCs w:val="20"/>
              </w:rPr>
              <w:t xml:space="preserve">5.0002</w:t>
            </w:r>
          </w:p>
        </w:tc>
        <w:tc>
          <w:tcPr>
            <w:tcW w:w="0" w:type="auto"/>
          </w:tcPr>
          <w:p>
            <w:pPr>
              <w:spacing w:line="240" w:lineRule="auto" w:before="0" w:after="0"/>
              <w:pStyle w:val="Compact"/>
            </w:pPr>
            <w:r>
              <w:rPr>
                <w:sz w:val="20"/>
                <w:szCs w:val="20"/>
              </w:rPr>
              <w:t xml:space="preserve">5.728e-07</w:t>
            </w:r>
          </w:p>
        </w:tc>
        <w:tc>
          <w:tcPr>
            <w:tcW w:w="0" w:type="auto"/>
          </w:tcPr>
          <w:p>
            <w:pPr>
              <w:spacing w:line="240" w:lineRule="auto" w:before="0" w:after="0"/>
              <w:pStyle w:val="Compact"/>
            </w:pPr>
            <w:r>
              <w:rPr>
                <w:sz w:val="20"/>
                <w:szCs w:val="20"/>
              </w:rPr>
              <w:t xml:space="preserve">[1.3783, 3.1555]</w:t>
            </w:r>
          </w:p>
        </w:tc>
      </w:tr>
      <w:tr>
        <w:tc>
          <w:tcPr>
            <w:tcW w:w="0" w:type="auto"/>
          </w:tcPr>
          <w:p>
            <w:pPr>
              <w:spacing w:line="240" w:lineRule="auto" w:before="0" w:after="0"/>
              <w:pStyle w:val="Compact"/>
            </w:pPr>
            <w:r>
              <w:rPr>
                <w:sz w:val="20"/>
                <w:szCs w:val="20"/>
              </w:rPr>
              <w:t xml:space="preserve">ln_dist</w:t>
            </w:r>
          </w:p>
        </w:tc>
        <w:tc>
          <w:tcPr>
            <w:tcW w:w="0" w:type="auto"/>
          </w:tcPr>
          <w:p>
            <w:pPr>
              <w:spacing w:line="240" w:lineRule="auto" w:before="0" w:after="0"/>
              <w:pStyle w:val="Compact"/>
            </w:pPr>
            <w:r>
              <w:rPr>
                <w:sz w:val="20"/>
                <w:szCs w:val="20"/>
              </w:rPr>
              <w:t xml:space="preserve">-1.0508</w:t>
            </w:r>
          </w:p>
        </w:tc>
        <w:tc>
          <w:tcPr>
            <w:tcW w:w="0" w:type="auto"/>
          </w:tcPr>
          <w:p>
            <w:pPr>
              <w:spacing w:line="240" w:lineRule="auto" w:before="0" w:after="0"/>
              <w:pStyle w:val="Compact"/>
            </w:pPr>
            <w:r>
              <w:rPr>
                <w:sz w:val="20"/>
                <w:szCs w:val="20"/>
              </w:rPr>
              <w:t xml:space="preserve">0.4454</w:t>
            </w:r>
          </w:p>
        </w:tc>
        <w:tc>
          <w:tcPr>
            <w:tcW w:w="0" w:type="auto"/>
          </w:tcPr>
          <w:p>
            <w:pPr>
              <w:spacing w:line="240" w:lineRule="auto" w:before="0" w:after="0"/>
              <w:pStyle w:val="Compact"/>
            </w:pPr>
            <w:r>
              <w:rPr>
                <w:sz w:val="20"/>
                <w:szCs w:val="20"/>
              </w:rPr>
              <w:t xml:space="preserve">-2.3592</w:t>
            </w:r>
          </w:p>
        </w:tc>
        <w:tc>
          <w:tcPr>
            <w:tcW w:w="0" w:type="auto"/>
          </w:tcPr>
          <w:p>
            <w:pPr>
              <w:spacing w:line="240" w:lineRule="auto" w:before="0" w:after="0"/>
              <w:pStyle w:val="Compact"/>
            </w:pPr>
            <w:r>
              <w:rPr>
                <w:sz w:val="20"/>
                <w:szCs w:val="20"/>
              </w:rPr>
              <w:t xml:space="preserve">0.0183</w:t>
            </w:r>
          </w:p>
        </w:tc>
        <w:tc>
          <w:tcPr>
            <w:tcW w:w="0" w:type="auto"/>
          </w:tcPr>
          <w:p>
            <w:pPr>
              <w:spacing w:line="240" w:lineRule="auto" w:before="0" w:after="0"/>
              <w:pStyle w:val="Compact"/>
            </w:pPr>
            <w:r>
              <w:rPr>
                <w:sz w:val="20"/>
                <w:szCs w:val="20"/>
              </w:rPr>
              <w:t xml:space="preserve">[-1.9237, -0.1778]</w:t>
            </w:r>
          </w:p>
        </w:tc>
      </w:tr>
    </w:tbl>
    <w:p>
      <w:pPr>
        <w:pStyle w:val="BodyText"/>
        <w:spacing w:line="480" w:lineRule="auto"/>
        <w:ind w:firstLine="720"/>
      </w:pPr>
      <w:r>
        <w:t xml:space="preserve">Fit: N = 24 R2 = 0.5689 R2_adj = 0.5043 F = 10.97 F_p = 0.0001785</w:t>
      </w:r>
    </w:p>
    <w:bookmarkEnd w:id="197"/>
    <w:bookmarkStart w:id="201"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Per-mission DSN downlink throughput rises with spacecraft antenna aperture (log-log)." title="" id="199" name="Picture"/>
            <a:graphic>
              <a:graphicData uri="http://schemas.openxmlformats.org/drawingml/2006/picture">
                <pic:pic>
                  <pic:nvPicPr>
                    <pic:cNvPr descr="D:/Claude_Code/brain/collegium/candidates/dissertations/JPL_OPS_COMMS_DATA_05/research_papers/p2/paper_fig1.png" id="200" name="Picture"/>
                    <pic:cNvPicPr>
                      <a:picLocks noChangeArrowheads="1" noChangeAspect="1"/>
                    </pic:cNvPicPr>
                  </pic:nvPicPr>
                  <pic:blipFill>
                    <a:blip r:embed="rId19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Per-mission DSN downlink throughput rises with spacecraft antenna aperture (log-log).</w:t>
      </w:r>
    </w:p>
    <w:bookmarkEnd w:id="201"/>
    <w:bookmarkStart w:id="202"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660"/>
        <w:gridCol w:w="660"/>
        <w:gridCol w:w="660"/>
        <w:gridCol w:w="660"/>
        <w:gridCol w:w="660"/>
        <w:gridCol w:w="660"/>
        <w:gridCol w:w="660"/>
        <w:gridCol w:w="660"/>
        <w:gridCol w:w="660"/>
        <w:gridCol w:w="660"/>
        <w:gridCol w:w="660"/>
        <w:gridCol w:w="660"/>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hga_diameter_m</w:t>
            </w:r>
          </w:p>
        </w:tc>
        <w:tc>
          <w:tcPr>
            <w:tcW w:w="0" w:type="auto"/>
          </w:tcPr>
          <w:p>
            <w:pPr>
              <w:spacing w:line="240" w:lineRule="auto" w:before="0" w:after="0"/>
              <w:pStyle w:val="Compact"/>
            </w:pPr>
            <w:r>
              <w:rPr>
                <w:sz w:val="20"/>
                <w:szCs w:val="20"/>
              </w:rPr>
              <w:t xml:space="preserve">rf_power_w</w:t>
            </w:r>
          </w:p>
        </w:tc>
        <w:tc>
          <w:tcPr>
            <w:tcW w:w="0" w:type="auto"/>
          </w:tcPr>
          <w:p>
            <w:pPr>
              <w:spacing w:line="240" w:lineRule="auto" w:before="0" w:after="0"/>
              <w:pStyle w:val="Compact"/>
            </w:pPr>
            <w:r>
              <w:rPr>
                <w:sz w:val="20"/>
                <w:szCs w:val="20"/>
              </w:rPr>
              <w:t xml:space="preserve">max_earth_dist_au</w:t>
            </w:r>
          </w:p>
        </w:tc>
        <w:tc>
          <w:tcPr>
            <w:tcW w:w="0" w:type="auto"/>
          </w:tcPr>
          <w:p>
            <w:pPr>
              <w:spacing w:line="240" w:lineRule="auto" w:before="0" w:after="0"/>
              <w:pStyle w:val="Compact"/>
            </w:pPr>
            <w:r>
              <w:rPr>
                <w:sz w:val="20"/>
                <w:szCs w:val="20"/>
              </w:rPr>
              <w:t xml:space="preserve">max_downlink_bps</w:t>
            </w:r>
          </w:p>
        </w:tc>
        <w:tc>
          <w:tcPr>
            <w:tcW w:w="0" w:type="auto"/>
          </w:tcPr>
          <w:p>
            <w:pPr>
              <w:spacing w:line="240" w:lineRule="auto" w:before="0" w:after="0"/>
              <w:pStyle w:val="Compact"/>
            </w:pPr>
            <w:r>
              <w:rPr>
                <w:sz w:val="20"/>
                <w:szCs w:val="20"/>
              </w:rPr>
              <w:t xml:space="preserve">deep_space_band</w:t>
            </w:r>
          </w:p>
        </w:tc>
        <w:tc>
          <w:tcPr>
            <w:tcW w:w="0" w:type="auto"/>
          </w:tcPr>
          <w:p>
            <w:pPr>
              <w:spacing w:line="240" w:lineRule="auto" w:before="0" w:after="0"/>
              <w:pStyle w:val="Compact"/>
            </w:pPr>
            <w:r>
              <w:rPr>
                <w:sz w:val="20"/>
                <w:szCs w:val="20"/>
              </w:rPr>
              <w:t xml:space="preserve">ln_rate</w:t>
            </w:r>
          </w:p>
        </w:tc>
        <w:tc>
          <w:tcPr>
            <w:tcW w:w="0" w:type="auto"/>
          </w:tcPr>
          <w:p>
            <w:pPr>
              <w:spacing w:line="240" w:lineRule="auto" w:before="0" w:after="0"/>
              <w:pStyle w:val="Compact"/>
            </w:pPr>
            <w:r>
              <w:rPr>
                <w:sz w:val="20"/>
                <w:szCs w:val="20"/>
              </w:rPr>
              <w:t xml:space="preserve">ln_hga</w:t>
            </w:r>
          </w:p>
        </w:tc>
        <w:tc>
          <w:tcPr>
            <w:tcW w:w="0" w:type="auto"/>
          </w:tcPr>
          <w:p>
            <w:pPr>
              <w:spacing w:line="240" w:lineRule="auto" w:before="0" w:after="0"/>
              <w:pStyle w:val="Compact"/>
            </w:pPr>
            <w:r>
              <w:rPr>
                <w:sz w:val="20"/>
                <w:szCs w:val="20"/>
              </w:rPr>
              <w:t xml:space="preserve">ln_power</w:t>
            </w:r>
          </w:p>
        </w:tc>
        <w:tc>
          <w:tcPr>
            <w:tcW w:w="0" w:type="auto"/>
          </w:tcPr>
          <w:p>
            <w:pPr>
              <w:spacing w:line="240" w:lineRule="auto" w:before="0" w:after="0"/>
              <w:pStyle w:val="Compact"/>
            </w:pPr>
            <w:r>
              <w:rPr>
                <w:sz w:val="20"/>
                <w:szCs w:val="20"/>
              </w:rPr>
              <w:t xml:space="preserve">ln_dist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Mars Reconnaissance Orbiter</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6000000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15.6073</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4.6052</w:t>
            </w:r>
          </w:p>
        </w:tc>
        <w:tc>
          <w:tcPr>
            <w:tcW w:w="0" w:type="auto"/>
          </w:tcPr>
          <w:p>
            <w:pPr>
              <w:spacing w:line="240" w:lineRule="auto" w:before="0" w:after="0"/>
              <w:pStyle w:val="Compact"/>
            </w:pPr>
            <w:r>
              <w:rPr>
                <w:sz w:val="20"/>
                <w:szCs w:val="20"/>
              </w:rPr>
              <w:t xml:space="preserve">0.9555</w:t>
            </w:r>
          </w:p>
        </w:tc>
        <w:tc>
          <w:tcPr>
            <w:tcW w:w="0" w:type="auto"/>
          </w:tcPr>
          <w:p>
            <w:pPr>
              <w:spacing w:line="240" w:lineRule="auto" w:before="0" w:after="0"/>
              <w:pStyle w:val="Compact"/>
            </w:pPr>
            <w:r>
              <w:rPr>
                <w:sz w:val="20"/>
                <w:szCs w:val="20"/>
              </w:rPr>
              <w:t xml:space="preserve">Wikipedia, Mars Reconnaissance Orbiter (telecom: 3 m HGA, 100 W X-band TWTA, up to 6 Mbit/s); en.wikipedia.org/wiki/Mars_Reconnaissance_Orbiter</w:t>
            </w:r>
          </w:p>
        </w:tc>
      </w:tr>
      <w:tr>
        <w:tc>
          <w:tcPr>
            <w:tcW w:w="0" w:type="auto"/>
          </w:tcPr>
          <w:p>
            <w:pPr>
              <w:spacing w:line="240" w:lineRule="auto" w:before="0" w:after="0"/>
              <w:pStyle w:val="Compact"/>
            </w:pPr>
            <w:r>
              <w:rPr>
                <w:sz w:val="20"/>
                <w:szCs w:val="20"/>
              </w:rPr>
              <w:t xml:space="preserve">New Horizons</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6.9078</w:t>
            </w:r>
          </w:p>
        </w:tc>
        <w:tc>
          <w:tcPr>
            <w:tcW w:w="0" w:type="auto"/>
          </w:tcPr>
          <w:p>
            <w:pPr>
              <w:spacing w:line="240" w:lineRule="auto" w:before="0" w:after="0"/>
              <w:pStyle w:val="Compact"/>
            </w:pPr>
            <w:r>
              <w:rPr>
                <w:sz w:val="20"/>
                <w:szCs w:val="20"/>
              </w:rPr>
              <w:t xml:space="preserve">0.7419</w:t>
            </w:r>
          </w:p>
        </w:tc>
        <w:tc>
          <w:tcPr>
            <w:tcW w:w="0" w:type="auto"/>
          </w:tcPr>
          <w:p>
            <w:pPr>
              <w:spacing w:line="240" w:lineRule="auto" w:before="0" w:after="0"/>
              <w:pStyle w:val="Compact"/>
            </w:pPr>
            <w:r>
              <w:rPr>
                <w:sz w:val="20"/>
                <w:szCs w:val="20"/>
              </w:rPr>
              <w:t xml:space="preserve">2.4849</w:t>
            </w:r>
          </w:p>
        </w:tc>
        <w:tc>
          <w:tcPr>
            <w:tcW w:w="0" w:type="auto"/>
          </w:tcPr>
          <w:p>
            <w:pPr>
              <w:spacing w:line="240" w:lineRule="auto" w:before="0" w:after="0"/>
              <w:pStyle w:val="Compact"/>
            </w:pPr>
            <w:r>
              <w:rPr>
                <w:sz w:val="20"/>
                <w:szCs w:val="20"/>
              </w:rPr>
              <w:t xml:space="preserve">3.5264</w:t>
            </w:r>
          </w:p>
        </w:tc>
        <w:tc>
          <w:tcPr>
            <w:tcW w:w="0" w:type="auto"/>
          </w:tcPr>
          <w:p>
            <w:pPr>
              <w:spacing w:line="240" w:lineRule="auto" w:before="0" w:after="0"/>
              <w:pStyle w:val="Compact"/>
            </w:pPr>
            <w:r>
              <w:rPr>
                <w:sz w:val="20"/>
                <w:szCs w:val="20"/>
              </w:rPr>
              <w:t xml:space="preserve">Wikipedia, New Horizons (2.1 m HGA, 12 W TWTA, ~1 kbit/s per transmitter at Pluto, 34 AU); en.wikipedia.org/wiki/New_Horizons</w:t>
            </w:r>
          </w:p>
        </w:tc>
      </w:tr>
      <w:tr>
        <w:tc>
          <w:tcPr>
            <w:tcW w:w="0" w:type="auto"/>
          </w:tcPr>
          <w:p>
            <w:pPr>
              <w:spacing w:line="240" w:lineRule="auto" w:before="0" w:after="0"/>
              <w:pStyle w:val="Compact"/>
            </w:pPr>
            <w:r>
              <w:rPr>
                <w:sz w:val="20"/>
                <w:szCs w:val="20"/>
              </w:rPr>
              <w:t xml:space="preserve">Cassini-Huygens</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10.1</w:t>
            </w:r>
          </w:p>
        </w:tc>
        <w:tc>
          <w:tcPr>
            <w:tcW w:w="0" w:type="auto"/>
          </w:tcPr>
          <w:p>
            <w:pPr>
              <w:spacing w:line="240" w:lineRule="auto" w:before="0" w:after="0"/>
              <w:pStyle w:val="Compact"/>
            </w:pPr>
            <w:r>
              <w:rPr>
                <w:sz w:val="20"/>
                <w:szCs w:val="20"/>
              </w:rPr>
              <w:t xml:space="preserve">166000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12.0197</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2.9957</w:t>
            </w:r>
          </w:p>
        </w:tc>
        <w:tc>
          <w:tcPr>
            <w:tcW w:w="0" w:type="auto"/>
          </w:tcPr>
          <w:p>
            <w:pPr>
              <w:spacing w:line="240" w:lineRule="auto" w:before="0" w:after="0"/>
              <w:pStyle w:val="Compact"/>
            </w:pPr>
            <w:r>
              <w:rPr>
                <w:sz w:val="20"/>
                <w:szCs w:val="20"/>
              </w:rPr>
              <w:t xml:space="preserve">2.3125</w:t>
            </w:r>
          </w:p>
        </w:tc>
        <w:tc>
          <w:tcPr>
            <w:tcW w:w="0" w:type="auto"/>
          </w:tcPr>
          <w:p>
            <w:pPr>
              <w:spacing w:line="240" w:lineRule="auto" w:before="0" w:after="0"/>
              <w:pStyle w:val="Compact"/>
            </w:pPr>
            <w:r>
              <w:rPr>
                <w:sz w:val="20"/>
                <w:szCs w:val="20"/>
              </w:rPr>
              <w:t xml:space="preserve">Taylor et al., Cassini Orbiter/Huygens Probe Telecommunications, DESCANSO Design and Performance Summary Series Art.3 (4 m HGA, 20 W X-band TWTA, up to 166 kbps); descanso.jpl.nasa.gov</w:t>
            </w:r>
          </w:p>
        </w:tc>
      </w:tr>
      <w:tr>
        <w:tc>
          <w:tcPr>
            <w:tcW w:w="0" w:type="auto"/>
          </w:tcPr>
          <w:p>
            <w:pPr>
              <w:spacing w:line="240" w:lineRule="auto" w:before="0" w:after="0"/>
              <w:pStyle w:val="Compact"/>
            </w:pPr>
            <w:r>
              <w:rPr>
                <w:sz w:val="20"/>
                <w:szCs w:val="20"/>
              </w:rPr>
              <w:t xml:space="preserve">Voyager 1</w:t>
            </w:r>
          </w:p>
        </w:tc>
        <w:tc>
          <w:tcPr>
            <w:tcW w:w="0" w:type="auto"/>
          </w:tcPr>
          <w:p>
            <w:pPr>
              <w:spacing w:line="240" w:lineRule="auto" w:before="0" w:after="0"/>
              <w:pStyle w:val="Compact"/>
            </w:pPr>
            <w:r>
              <w:rPr>
                <w:sz w:val="20"/>
                <w:szCs w:val="20"/>
              </w:rPr>
              <w:t xml:space="preserve">1977</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115200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11.6544</w:t>
            </w:r>
          </w:p>
        </w:tc>
        <w:tc>
          <w:tcPr>
            <w:tcW w:w="0" w:type="auto"/>
          </w:tcPr>
          <w:p>
            <w:pPr>
              <w:spacing w:line="240" w:lineRule="auto" w:before="0" w:after="0"/>
              <w:pStyle w:val="Compact"/>
            </w:pPr>
            <w:r>
              <w:rPr>
                <w:sz w:val="20"/>
                <w:szCs w:val="20"/>
              </w:rPr>
              <w:t xml:space="preserve">1.3083</w:t>
            </w:r>
          </w:p>
        </w:tc>
        <w:tc>
          <w:tcPr>
            <w:tcW w:w="0" w:type="auto"/>
          </w:tcPr>
          <w:p>
            <w:pPr>
              <w:spacing w:line="240" w:lineRule="auto" w:before="0" w:after="0"/>
              <w:pStyle w:val="Compact"/>
            </w:pPr>
            <w:r>
              <w:rPr>
                <w:sz w:val="20"/>
                <w:szCs w:val="20"/>
              </w:rPr>
              <w:t xml:space="preserve">2.8904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Voyager program (3.7 m HGA; data rate ~115 kbit/s at Jupiter); RF 18 W per Ludwig &amp; Taylor, Voyager Telecommunications DESCANSO Art.4; en.wikipedia.org/wiki/Voyager_program</w:t>
            </w:r>
          </w:p>
        </w:tc>
      </w:tr>
      <w:tr>
        <w:tc>
          <w:tcPr>
            <w:tcW w:w="0" w:type="auto"/>
          </w:tcPr>
          <w:p>
            <w:pPr>
              <w:spacing w:line="240" w:lineRule="auto" w:before="0" w:after="0"/>
              <w:pStyle w:val="Compact"/>
            </w:pPr>
            <w:r>
              <w:rPr>
                <w:sz w:val="20"/>
                <w:szCs w:val="20"/>
              </w:rPr>
              <w:t xml:space="preserve">Voyager 2</w:t>
            </w:r>
          </w:p>
        </w:tc>
        <w:tc>
          <w:tcPr>
            <w:tcW w:w="0" w:type="auto"/>
          </w:tcPr>
          <w:p>
            <w:pPr>
              <w:spacing w:line="240" w:lineRule="auto" w:before="0" w:after="0"/>
              <w:pStyle w:val="Compact"/>
            </w:pPr>
            <w:r>
              <w:rPr>
                <w:sz w:val="20"/>
                <w:szCs w:val="20"/>
              </w:rPr>
              <w:t xml:space="preserve">1977</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115200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11.6544</w:t>
            </w:r>
          </w:p>
        </w:tc>
        <w:tc>
          <w:tcPr>
            <w:tcW w:w="0" w:type="auto"/>
          </w:tcPr>
          <w:p>
            <w:pPr>
              <w:spacing w:line="240" w:lineRule="auto" w:before="0" w:after="0"/>
              <w:pStyle w:val="Compact"/>
            </w:pPr>
            <w:r>
              <w:rPr>
                <w:sz w:val="20"/>
                <w:szCs w:val="20"/>
              </w:rPr>
              <w:t xml:space="preserve">1.3083</w:t>
            </w:r>
          </w:p>
        </w:tc>
        <w:tc>
          <w:tcPr>
            <w:tcW w:w="0" w:type="auto"/>
          </w:tcPr>
          <w:p>
            <w:pPr>
              <w:spacing w:line="240" w:lineRule="auto" w:before="0" w:after="0"/>
              <w:pStyle w:val="Compact"/>
            </w:pPr>
            <w:r>
              <w:rPr>
                <w:sz w:val="20"/>
                <w:szCs w:val="20"/>
              </w:rPr>
              <w:t xml:space="preserve">2.8904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Voyager program (3.7 m HGA; ~115 kbit/s at Jupiter, halved at Saturn); RF 18 W per Ludwig &amp; Taylor DESCANSO Art.4; en.wikipedia.org/wiki/Voyager_program</w:t>
            </w:r>
          </w:p>
        </w:tc>
      </w:tr>
      <w:tr>
        <w:tc>
          <w:tcPr>
            <w:tcW w:w="0" w:type="auto"/>
          </w:tcPr>
          <w:p>
            <w:pPr>
              <w:spacing w:line="240" w:lineRule="auto" w:before="0" w:after="0"/>
              <w:pStyle w:val="Compact"/>
            </w:pPr>
            <w:r>
              <w:rPr>
                <w:sz w:val="20"/>
                <w:szCs w:val="20"/>
              </w:rPr>
              <w:t xml:space="preserve">Galileo</w:t>
            </w:r>
          </w:p>
        </w:tc>
        <w:tc>
          <w:tcPr>
            <w:tcW w:w="0" w:type="auto"/>
          </w:tcPr>
          <w:p>
            <w:pPr>
              <w:spacing w:line="240" w:lineRule="auto" w:before="0" w:after="0"/>
              <w:pStyle w:val="Compact"/>
            </w:pPr>
            <w:r>
              <w:rPr>
                <w:sz w:val="20"/>
                <w:szCs w:val="20"/>
              </w:rPr>
              <w:t xml:space="preserve">1989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160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5.0752</w:t>
            </w:r>
          </w:p>
        </w:tc>
        <w:tc>
          <w:tcPr>
            <w:tcW w:w="0" w:type="auto"/>
          </w:tcPr>
          <w:p>
            <w:pPr>
              <w:spacing w:line="240" w:lineRule="auto" w:before="0" w:after="0"/>
              <w:pStyle w:val="Compact"/>
            </w:pPr>
            <w:r>
              <w:rPr>
                <w:sz w:val="20"/>
                <w:szCs w:val="20"/>
              </w:rPr>
              <w:t xml:space="preserve">0.0953</w:t>
            </w:r>
          </w:p>
        </w:tc>
        <w:tc>
          <w:tcPr>
            <w:tcW w:w="0" w:type="auto"/>
          </w:tcPr>
          <w:p>
            <w:pPr>
              <w:spacing w:line="240" w:lineRule="auto" w:before="0" w:after="0"/>
              <w:pStyle w:val="Compact"/>
            </w:pPr>
            <w:r>
              <w:rPr>
                <w:sz w:val="20"/>
                <w:szCs w:val="20"/>
              </w:rPr>
              <w:t xml:space="preserve">2.9957</w:t>
            </w:r>
          </w:p>
        </w:tc>
        <w:tc>
          <w:tcPr>
            <w:tcW w:w="0" w:type="auto"/>
          </w:tcPr>
          <w:p>
            <w:pPr>
              <w:spacing w:line="240" w:lineRule="auto" w:before="0" w:after="0"/>
              <w:pStyle w:val="Compact"/>
            </w:pPr>
            <w:r>
              <w:rPr>
                <w:sz w:val="20"/>
                <w:szCs w:val="20"/>
              </w:rPr>
              <w:t xml:space="preserve">1.8245</w:t>
            </w:r>
          </w:p>
        </w:tc>
        <w:tc>
          <w:tcPr>
            <w:tcW w:w="0" w:type="auto"/>
          </w:tcPr>
          <w:p>
            <w:pPr>
              <w:spacing w:line="240" w:lineRule="auto" w:before="0" w:after="0"/>
              <w:pStyle w:val="Compact"/>
            </w:pPr>
            <w:r>
              <w:rPr>
                <w:sz w:val="20"/>
                <w:szCs w:val="20"/>
              </w:rPr>
              <w:t xml:space="preserve">Wikipedia, Galileo (HGA failed; LGA used, slower bit rates); usable rate ~160 b/s after array reconfiguration; 1.1 m LGA; en.wikipedia.org/wiki/Galileo_(spacecraft)</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40000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10.5966</w:t>
            </w:r>
          </w:p>
        </w:tc>
        <w:tc>
          <w:tcPr>
            <w:tcW w:w="0" w:type="auto"/>
          </w:tcPr>
          <w:p>
            <w:pPr>
              <w:spacing w:line="240" w:lineRule="auto" w:before="0" w:after="0"/>
              <w:pStyle w:val="Compact"/>
            </w:pPr>
            <w:r>
              <w:rPr>
                <w:sz w:val="20"/>
                <w:szCs w:val="20"/>
              </w:rPr>
              <w:t xml:space="preserve">0.9163</w:t>
            </w:r>
          </w:p>
        </w:tc>
        <w:tc>
          <w:tcPr>
            <w:tcW w:w="0" w:type="auto"/>
          </w:tcPr>
          <w:p>
            <w:pPr>
              <w:spacing w:line="240" w:lineRule="auto" w:before="0" w:after="0"/>
              <w:pStyle w:val="Compact"/>
            </w:pPr>
            <w:r>
              <w:rPr>
                <w:sz w:val="20"/>
                <w:szCs w:val="20"/>
              </w:rPr>
              <w:t xml:space="preserve">3.2189</w:t>
            </w:r>
          </w:p>
        </w:tc>
        <w:tc>
          <w:tcPr>
            <w:tcW w:w="0" w:type="auto"/>
          </w:tcPr>
          <w:p>
            <w:pPr>
              <w:spacing w:line="240" w:lineRule="auto" w:before="0" w:after="0"/>
              <w:pStyle w:val="Compact"/>
            </w:pPr>
            <w:r>
              <w:rPr>
                <w:sz w:val="20"/>
                <w:szCs w:val="20"/>
              </w:rPr>
              <w:t xml:space="preserve">1.8718</w:t>
            </w:r>
          </w:p>
        </w:tc>
        <w:tc>
          <w:tcPr>
            <w:tcW w:w="0" w:type="auto"/>
          </w:tcPr>
          <w:p>
            <w:pPr>
              <w:spacing w:line="240" w:lineRule="auto" w:before="0" w:after="0"/>
              <w:pStyle w:val="Compact"/>
            </w:pPr>
            <w:r>
              <w:rPr>
                <w:sz w:val="20"/>
                <w:szCs w:val="20"/>
              </w:rPr>
              <w:t xml:space="preserve">Wikipedia, Juno (2.5 m HGA X/Ka-band); ~40 Mbyte per 11-day orbit implies ~25 kbps sustained downlink; en.wikipedia.org/wiki/Juno_(spacecraft)</w:t>
            </w:r>
          </w:p>
        </w:tc>
      </w:tr>
      <w:tr>
        <w:tc>
          <w:tcPr>
            <w:tcW w:w="0" w:type="auto"/>
          </w:tcPr>
          <w:p>
            <w:pPr>
              <w:spacing w:line="240" w:lineRule="auto" w:before="0" w:after="0"/>
              <w:pStyle w:val="Compact"/>
            </w:pPr>
            <w:r>
              <w:rPr>
                <w:sz w:val="20"/>
                <w:szCs w:val="20"/>
              </w:rPr>
              <w:t xml:space="preserve">Magellan</w:t>
            </w:r>
          </w:p>
        </w:tc>
        <w:tc>
          <w:tcPr>
            <w:tcW w:w="0" w:type="auto"/>
          </w:tcPr>
          <w:p>
            <w:pPr>
              <w:spacing w:line="240" w:lineRule="auto" w:before="0" w:after="0"/>
              <w:pStyle w:val="Compact"/>
            </w:pPr>
            <w:r>
              <w:rPr>
                <w:sz w:val="20"/>
                <w:szCs w:val="20"/>
              </w:rPr>
              <w:t xml:space="preserve">1989</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28.6</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268800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12.5017</w:t>
            </w:r>
          </w:p>
        </w:tc>
        <w:tc>
          <w:tcPr>
            <w:tcW w:w="0" w:type="auto"/>
          </w:tcPr>
          <w:p>
            <w:pPr>
              <w:spacing w:line="240" w:lineRule="auto" w:before="0" w:after="0"/>
              <w:pStyle w:val="Compact"/>
            </w:pPr>
            <w:r>
              <w:rPr>
                <w:sz w:val="20"/>
                <w:szCs w:val="20"/>
              </w:rPr>
              <w:t xml:space="preserve">1.3083</w:t>
            </w:r>
          </w:p>
        </w:tc>
        <w:tc>
          <w:tcPr>
            <w:tcW w:w="0" w:type="auto"/>
          </w:tcPr>
          <w:p>
            <w:pPr>
              <w:spacing w:line="240" w:lineRule="auto" w:before="0" w:after="0"/>
              <w:pStyle w:val="Compact"/>
            </w:pPr>
            <w:r>
              <w:rPr>
                <w:sz w:val="20"/>
                <w:szCs w:val="20"/>
              </w:rPr>
              <w:t xml:space="preserve">3.3534</w:t>
            </w:r>
          </w:p>
        </w:tc>
        <w:tc>
          <w:tcPr>
            <w:tcW w:w="0" w:type="auto"/>
          </w:tcPr>
          <w:p>
            <w:pPr>
              <w:spacing w:line="240" w:lineRule="auto" w:before="0" w:after="0"/>
              <w:pStyle w:val="Compact"/>
            </w:pPr>
            <w:r>
              <w:rPr>
                <w:sz w:val="20"/>
                <w:szCs w:val="20"/>
              </w:rPr>
              <w:t xml:space="preserve">0.47</w:t>
            </w:r>
          </w:p>
        </w:tc>
        <w:tc>
          <w:tcPr>
            <w:tcW w:w="0" w:type="auto"/>
          </w:tcPr>
          <w:p>
            <w:pPr>
              <w:spacing w:line="240" w:lineRule="auto" w:before="0" w:after="0"/>
              <w:pStyle w:val="Compact"/>
            </w:pPr>
            <w:r>
              <w:rPr>
                <w:sz w:val="20"/>
                <w:szCs w:val="20"/>
              </w:rPr>
              <w:t xml:space="preserve">Wikipedia, Magellan (3.7 m HGA, X-band 28.6 W; mapping downlink up to 268.8 kbit/s); en.wikipedia.org/wiki/Magellan_(spacecraft)</w:t>
            </w:r>
          </w:p>
        </w:tc>
      </w:tr>
      <w:tr>
        <w:tc>
          <w:tcPr>
            <w:tcW w:w="0" w:type="auto"/>
          </w:tcPr>
          <w:p>
            <w:pPr>
              <w:spacing w:line="240" w:lineRule="auto" w:before="0" w:after="0"/>
              <w:pStyle w:val="Compact"/>
            </w:pPr>
            <w:r>
              <w:rPr>
                <w:sz w:val="20"/>
                <w:szCs w:val="20"/>
              </w:rPr>
              <w:t xml:space="preserve">Mars Global Surveyor</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85333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11.3543</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3.2189</w:t>
            </w:r>
          </w:p>
        </w:tc>
        <w:tc>
          <w:tcPr>
            <w:tcW w:w="0" w:type="auto"/>
          </w:tcPr>
          <w:p>
            <w:pPr>
              <w:spacing w:line="240" w:lineRule="auto" w:before="0" w:after="0"/>
              <w:pStyle w:val="Compact"/>
            </w:pPr>
            <w:r>
              <w:rPr>
                <w:sz w:val="20"/>
                <w:szCs w:val="20"/>
              </w:rPr>
              <w:t xml:space="preserve">0.9555</w:t>
            </w:r>
          </w:p>
        </w:tc>
        <w:tc>
          <w:tcPr>
            <w:tcW w:w="0" w:type="auto"/>
          </w:tcPr>
          <w:p>
            <w:pPr>
              <w:spacing w:line="240" w:lineRule="auto" w:before="0" w:after="0"/>
              <w:pStyle w:val="Compact"/>
            </w:pPr>
            <w:r>
              <w:rPr>
                <w:sz w:val="20"/>
                <w:szCs w:val="20"/>
              </w:rPr>
              <w:t xml:space="preserve">Wikipedia, Mars Global Surveyor (1.5 m HGA, X-band; up to 85.33 kbit/s); en.wikipedia.org/wiki/Mars_Global_Surveyor</w:t>
            </w:r>
          </w:p>
        </w:tc>
      </w:tr>
      <w:tr>
        <w:tc>
          <w:tcPr>
            <w:tcW w:w="0" w:type="auto"/>
          </w:tcPr>
          <w:p>
            <w:pPr>
              <w:spacing w:line="240" w:lineRule="auto" w:before="0" w:after="0"/>
              <w:pStyle w:val="Compact"/>
            </w:pPr>
            <w:r>
              <w:rPr>
                <w:sz w:val="20"/>
                <w:szCs w:val="20"/>
              </w:rPr>
              <w:t xml:space="preserve">2001 Mars Odyssey</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124400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11.7313</w:t>
            </w:r>
          </w:p>
        </w:tc>
        <w:tc>
          <w:tcPr>
            <w:tcW w:w="0" w:type="auto"/>
          </w:tcPr>
          <w:p>
            <w:pPr>
              <w:spacing w:line="240" w:lineRule="auto" w:before="0" w:after="0"/>
              <w:pStyle w:val="Compact"/>
            </w:pPr>
            <w:r>
              <w:rPr>
                <w:sz w:val="20"/>
                <w:szCs w:val="20"/>
              </w:rPr>
              <w:t xml:space="preserve">0.2624</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0.9555</w:t>
            </w:r>
          </w:p>
        </w:tc>
        <w:tc>
          <w:tcPr>
            <w:tcW w:w="0" w:type="auto"/>
          </w:tcPr>
          <w:p>
            <w:pPr>
              <w:spacing w:line="240" w:lineRule="auto" w:before="0" w:after="0"/>
              <w:pStyle w:val="Compact"/>
            </w:pPr>
            <w:r>
              <w:rPr>
                <w:sz w:val="20"/>
                <w:szCs w:val="20"/>
              </w:rPr>
              <w:t xml:space="preserve">Wikipedia, 2001 Mars Odyssey (1.3 m HGA, X-band; up to 124.4 kbit/s to DSN); en.wikipedia.org/wiki/2001_Mars_Odyssey</w:t>
            </w:r>
          </w:p>
        </w:tc>
      </w:tr>
      <w:tr>
        <w:tc>
          <w:tcPr>
            <w:tcW w:w="0" w:type="auto"/>
          </w:tcPr>
          <w:p>
            <w:pPr>
              <w:spacing w:line="240" w:lineRule="auto" w:before="0" w:after="0"/>
              <w:pStyle w:val="Compact"/>
            </w:pPr>
            <w:r>
              <w:rPr>
                <w:sz w:val="20"/>
                <w:szCs w:val="20"/>
              </w:rPr>
              <w:t xml:space="preserve">Mars Express</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228000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12.3371</w:t>
            </w:r>
          </w:p>
        </w:tc>
        <w:tc>
          <w:tcPr>
            <w:tcW w:w="0" w:type="auto"/>
          </w:tcPr>
          <w:p>
            <w:pPr>
              <w:spacing w:line="240" w:lineRule="auto" w:before="0" w:after="0"/>
              <w:pStyle w:val="Compact"/>
            </w:pPr>
            <w:r>
              <w:rPr>
                <w:sz w:val="20"/>
                <w:szCs w:val="20"/>
              </w:rPr>
              <w:t xml:space="preserve">0.47</w:t>
            </w:r>
          </w:p>
        </w:tc>
        <w:tc>
          <w:tcPr>
            <w:tcW w:w="0" w:type="auto"/>
          </w:tcPr>
          <w:p>
            <w:pPr>
              <w:spacing w:line="240" w:lineRule="auto" w:before="0" w:after="0"/>
              <w:pStyle w:val="Compact"/>
            </w:pPr>
            <w:r>
              <w:rPr>
                <w:sz w:val="20"/>
                <w:szCs w:val="20"/>
              </w:rPr>
              <w:t xml:space="preserve">4.1744</w:t>
            </w:r>
          </w:p>
        </w:tc>
        <w:tc>
          <w:tcPr>
            <w:tcW w:w="0" w:type="auto"/>
          </w:tcPr>
          <w:p>
            <w:pPr>
              <w:spacing w:line="240" w:lineRule="auto" w:before="0" w:after="0"/>
              <w:pStyle w:val="Compact"/>
            </w:pPr>
            <w:r>
              <w:rPr>
                <w:sz w:val="20"/>
                <w:szCs w:val="20"/>
              </w:rPr>
              <w:t xml:space="preserve">0.9555</w:t>
            </w:r>
          </w:p>
        </w:tc>
        <w:tc>
          <w:tcPr>
            <w:tcW w:w="0" w:type="auto"/>
          </w:tcPr>
          <w:p>
            <w:pPr>
              <w:spacing w:line="240" w:lineRule="auto" w:before="0" w:after="0"/>
              <w:pStyle w:val="Compact"/>
            </w:pPr>
            <w:r>
              <w:rPr>
                <w:sz w:val="20"/>
                <w:szCs w:val="20"/>
              </w:rPr>
              <w:t xml:space="preserve">ESA Mars Express factsheet (1.6 m HGA, 65 W X-band TWTA; up to 228 kbit/s); sci.esa.int/web/mars-express</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2048000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14.5324</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4.6052</w:t>
            </w:r>
          </w:p>
        </w:tc>
        <w:tc>
          <w:tcPr>
            <w:tcW w:w="0" w:type="auto"/>
          </w:tcPr>
          <w:p>
            <w:pPr>
              <w:spacing w:line="240" w:lineRule="auto" w:before="0" w:after="0"/>
              <w:pStyle w:val="Compact"/>
            </w:pPr>
            <w:r>
              <w:rPr>
                <w:sz w:val="20"/>
                <w:szCs w:val="20"/>
              </w:rPr>
              <w:t xml:space="preserve">0.9555</w:t>
            </w:r>
          </w:p>
        </w:tc>
        <w:tc>
          <w:tcPr>
            <w:tcW w:w="0" w:type="auto"/>
          </w:tcPr>
          <w:p>
            <w:pPr>
              <w:spacing w:line="240" w:lineRule="auto" w:before="0" w:after="0"/>
              <w:pStyle w:val="Compact"/>
            </w:pPr>
            <w:r>
              <w:rPr>
                <w:sz w:val="20"/>
                <w:szCs w:val="20"/>
              </w:rPr>
              <w:t xml:space="preserve">NASA MAVEN press kit (2 m HGA, 100 W X-band; up to ~2 Mbit/s downlink); mars.nasa.gov/maven</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1.24</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124000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11.728</w:t>
            </w:r>
          </w:p>
        </w:tc>
        <w:tc>
          <w:tcPr>
            <w:tcW w:w="0" w:type="auto"/>
          </w:tcPr>
          <w:p>
            <w:pPr>
              <w:spacing w:line="240" w:lineRule="auto" w:before="0" w:after="0"/>
              <w:pStyle w:val="Compact"/>
            </w:pPr>
            <w:r>
              <w:rPr>
                <w:sz w:val="20"/>
                <w:szCs w:val="20"/>
              </w:rPr>
              <w:t xml:space="preserve">0.2151</w:t>
            </w:r>
          </w:p>
        </w:tc>
        <w:tc>
          <w:tcPr>
            <w:tcW w:w="0" w:type="auto"/>
          </w:tcPr>
          <w:p>
            <w:pPr>
              <w:spacing w:line="240" w:lineRule="auto" w:before="0" w:after="0"/>
              <w:pStyle w:val="Compact"/>
            </w:pPr>
            <w:r>
              <w:rPr>
                <w:sz w:val="20"/>
                <w:szCs w:val="20"/>
              </w:rPr>
              <w:t xml:space="preserve">4.6052</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Wikipedia, Dawn (1.24 m HGA; X-band, up to 124 kbit/s); en.wikipedia.org/wiki/Dawn_(spacecraft)</w:t>
            </w:r>
          </w:p>
        </w:tc>
      </w:tr>
      <w:tr>
        <w:tc>
          <w:tcPr>
            <w:tcW w:w="0" w:type="auto"/>
          </w:tcPr>
          <w:p>
            <w:pPr>
              <w:spacing w:line="240" w:lineRule="auto" w:before="0" w:after="0"/>
              <w:pStyle w:val="Compact"/>
            </w:pPr>
            <w:r>
              <w:rPr>
                <w:sz w:val="20"/>
                <w:szCs w:val="20"/>
              </w:rPr>
              <w:t xml:space="preserve">Pioneer 10</w:t>
            </w:r>
          </w:p>
        </w:tc>
        <w:tc>
          <w:tcPr>
            <w:tcW w:w="0" w:type="auto"/>
          </w:tcPr>
          <w:p>
            <w:pPr>
              <w:spacing w:line="240" w:lineRule="auto" w:before="0" w:after="0"/>
              <w:pStyle w:val="Compact"/>
            </w:pPr>
            <w:r>
              <w:rPr>
                <w:sz w:val="20"/>
                <w:szCs w:val="20"/>
              </w:rPr>
              <w:t xml:space="preserve">1972</w:t>
            </w:r>
          </w:p>
        </w:tc>
        <w:tc>
          <w:tcPr>
            <w:tcW w:w="0" w:type="auto"/>
          </w:tcPr>
          <w:p>
            <w:pPr>
              <w:spacing w:line="240" w:lineRule="auto" w:before="0" w:after="0"/>
              <w:pStyle w:val="Compact"/>
            </w:pPr>
            <w:r>
              <w:rPr>
                <w:sz w:val="20"/>
                <w:szCs w:val="20"/>
              </w:rPr>
              <w:t xml:space="preserve">2.74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7.6246</w:t>
            </w:r>
          </w:p>
        </w:tc>
        <w:tc>
          <w:tcPr>
            <w:tcW w:w="0" w:type="auto"/>
          </w:tcPr>
          <w:p>
            <w:pPr>
              <w:spacing w:line="240" w:lineRule="auto" w:before="0" w:after="0"/>
              <w:pStyle w:val="Compact"/>
            </w:pPr>
            <w:r>
              <w:rPr>
                <w:sz w:val="20"/>
                <w:szCs w:val="20"/>
              </w:rPr>
              <w:t xml:space="preserve">1.008</w:t>
            </w:r>
          </w:p>
        </w:tc>
        <w:tc>
          <w:tcPr>
            <w:tcW w:w="0" w:type="auto"/>
          </w:tcPr>
          <w:p>
            <w:pPr>
              <w:spacing w:line="240" w:lineRule="auto" w:before="0" w:after="0"/>
              <w:pStyle w:val="Compact"/>
            </w:pPr>
            <w:r>
              <w:rPr>
                <w:sz w:val="20"/>
                <w:szCs w:val="20"/>
              </w:rPr>
              <w:t xml:space="preserve">2.0794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Pioneer 10 (2.74 m HGA, 8 W S-band TWT; ~2048 bit/s peak at Jupiter); en.wikipedia.org/wiki/Pioneer_10</w:t>
            </w:r>
          </w:p>
        </w:tc>
      </w:tr>
      <w:tr>
        <w:tc>
          <w:tcPr>
            <w:tcW w:w="0" w:type="auto"/>
          </w:tcPr>
          <w:p>
            <w:pPr>
              <w:spacing w:line="240" w:lineRule="auto" w:before="0" w:after="0"/>
              <w:pStyle w:val="Compact"/>
            </w:pPr>
            <w:r>
              <w:rPr>
                <w:sz w:val="20"/>
                <w:szCs w:val="20"/>
              </w:rPr>
              <w:t xml:space="preserve">Pioneer 11</w:t>
            </w:r>
          </w:p>
        </w:tc>
        <w:tc>
          <w:tcPr>
            <w:tcW w:w="0" w:type="auto"/>
          </w:tcPr>
          <w:p>
            <w:pPr>
              <w:spacing w:line="240" w:lineRule="auto" w:before="0" w:after="0"/>
              <w:pStyle w:val="Compact"/>
            </w:pPr>
            <w:r>
              <w:rPr>
                <w:sz w:val="20"/>
                <w:szCs w:val="20"/>
              </w:rPr>
              <w:t xml:space="preserve">1973</w:t>
            </w:r>
          </w:p>
        </w:tc>
        <w:tc>
          <w:tcPr>
            <w:tcW w:w="0" w:type="auto"/>
          </w:tcPr>
          <w:p>
            <w:pPr>
              <w:spacing w:line="240" w:lineRule="auto" w:before="0" w:after="0"/>
              <w:pStyle w:val="Compact"/>
            </w:pPr>
            <w:r>
              <w:rPr>
                <w:sz w:val="20"/>
                <w:szCs w:val="20"/>
              </w:rPr>
              <w:t xml:space="preserve">2.74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7.6246</w:t>
            </w:r>
          </w:p>
        </w:tc>
        <w:tc>
          <w:tcPr>
            <w:tcW w:w="0" w:type="auto"/>
          </w:tcPr>
          <w:p>
            <w:pPr>
              <w:spacing w:line="240" w:lineRule="auto" w:before="0" w:after="0"/>
              <w:pStyle w:val="Compact"/>
            </w:pPr>
            <w:r>
              <w:rPr>
                <w:sz w:val="20"/>
                <w:szCs w:val="20"/>
              </w:rPr>
              <w:t xml:space="preserve">1.008</w:t>
            </w:r>
          </w:p>
        </w:tc>
        <w:tc>
          <w:tcPr>
            <w:tcW w:w="0" w:type="auto"/>
          </w:tcPr>
          <w:p>
            <w:pPr>
              <w:spacing w:line="240" w:lineRule="auto" w:before="0" w:after="0"/>
              <w:pStyle w:val="Compact"/>
            </w:pPr>
            <w:r>
              <w:rPr>
                <w:sz w:val="20"/>
                <w:szCs w:val="20"/>
              </w:rPr>
              <w:t xml:space="preserve">2.0794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Pioneer 11 (2.74 m HGA, 8 W S-band; ~2048 bit/s at Jupiter); en.wikipedia.org/wiki/Pioneer_11</w:t>
            </w:r>
          </w:p>
        </w:tc>
      </w:tr>
      <w:tr>
        <w:tc>
          <w:tcPr>
            <w:tcW w:w="0" w:type="auto"/>
          </w:tcPr>
          <w:p>
            <w:pPr>
              <w:spacing w:line="240" w:lineRule="auto" w:before="0" w:after="0"/>
              <w:pStyle w:val="Compact"/>
            </w:pPr>
            <w:r>
              <w:rPr>
                <w:sz w:val="20"/>
                <w:szCs w:val="20"/>
              </w:rPr>
              <w:t xml:space="preserve">Ulysses</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8192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9.0109</w:t>
            </w:r>
          </w:p>
        </w:tc>
        <w:tc>
          <w:tcPr>
            <w:tcW w:w="0" w:type="auto"/>
          </w:tcPr>
          <w:p>
            <w:pPr>
              <w:spacing w:line="240" w:lineRule="auto" w:before="0" w:after="0"/>
              <w:pStyle w:val="Compact"/>
            </w:pPr>
            <w:r>
              <w:rPr>
                <w:sz w:val="20"/>
                <w:szCs w:val="20"/>
              </w:rPr>
              <w:t xml:space="preserve">0.5008</w:t>
            </w:r>
          </w:p>
        </w:tc>
        <w:tc>
          <w:tcPr>
            <w:tcW w:w="0" w:type="auto"/>
          </w:tcPr>
          <w:p>
            <w:pPr>
              <w:spacing w:line="240" w:lineRule="auto" w:before="0" w:after="0"/>
              <w:pStyle w:val="Compact"/>
            </w:pPr>
            <w:r>
              <w:rPr>
                <w:sz w:val="20"/>
                <w:szCs w:val="20"/>
              </w:rPr>
              <w:t xml:space="preserve">2.9957</w:t>
            </w:r>
          </w:p>
        </w:tc>
        <w:tc>
          <w:tcPr>
            <w:tcW w:w="0" w:type="auto"/>
          </w:tcPr>
          <w:p>
            <w:pPr>
              <w:spacing w:line="240" w:lineRule="auto" w:before="0" w:after="0"/>
              <w:pStyle w:val="Compact"/>
            </w:pPr>
            <w:r>
              <w:rPr>
                <w:sz w:val="20"/>
                <w:szCs w:val="20"/>
              </w:rPr>
              <w:t xml:space="preserve">1.6864</w:t>
            </w:r>
          </w:p>
        </w:tc>
        <w:tc>
          <w:tcPr>
            <w:tcW w:w="0" w:type="auto"/>
          </w:tcPr>
          <w:p>
            <w:pPr>
              <w:spacing w:line="240" w:lineRule="auto" w:before="0" w:after="0"/>
              <w:pStyle w:val="Compact"/>
            </w:pPr>
            <w:r>
              <w:rPr>
                <w:sz w:val="20"/>
                <w:szCs w:val="20"/>
              </w:rPr>
              <w:t xml:space="preserve">ESA/NASA Ulysses (1.65 m HGA, X-band 20 W; up to ~8 kbit/s); en.wikipedia.org/wiki/Ulysses_(spacecraft)</w:t>
            </w:r>
          </w:p>
        </w:tc>
      </w:tr>
      <w:tr>
        <w:tc>
          <w:tcPr>
            <w:tcW w:w="0" w:type="auto"/>
          </w:tcPr>
          <w:p>
            <w:pPr>
              <w:spacing w:line="240" w:lineRule="auto" w:before="0" w:after="0"/>
              <w:pStyle w:val="Compact"/>
            </w:pPr>
            <w:r>
              <w:rPr>
                <w:sz w:val="20"/>
                <w:szCs w:val="20"/>
              </w:rPr>
              <w:t xml:space="preserve">Stardust</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7900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8.9746</w:t>
            </w:r>
          </w:p>
        </w:tc>
        <w:tc>
          <w:tcPr>
            <w:tcW w:w="0" w:type="auto"/>
          </w:tcPr>
          <w:p>
            <w:pPr>
              <w:spacing w:line="240" w:lineRule="auto" w:before="0" w:after="0"/>
              <w:pStyle w:val="Compact"/>
            </w:pPr>
            <w:r>
              <w:rPr>
                <w:sz w:val="20"/>
                <w:szCs w:val="20"/>
              </w:rPr>
              <w:t xml:space="preserve">-0.5108</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0.9933</w:t>
            </w:r>
          </w:p>
        </w:tc>
        <w:tc>
          <w:tcPr>
            <w:tcW w:w="0" w:type="auto"/>
          </w:tcPr>
          <w:p>
            <w:pPr>
              <w:spacing w:line="240" w:lineRule="auto" w:before="0" w:after="0"/>
              <w:pStyle w:val="Compact"/>
            </w:pPr>
            <w:r>
              <w:rPr>
                <w:sz w:val="20"/>
                <w:szCs w:val="20"/>
              </w:rPr>
              <w:t xml:space="preserve">Wikipedia, Stardust (0.6 m HGA, X-band; up to ~7.9 kbit/s); en.wikipedia.org/wiki/Stardust_(spacecraft)</w:t>
            </w:r>
          </w:p>
        </w:tc>
      </w:tr>
      <w:tr>
        <w:tc>
          <w:tcPr>
            <w:tcW w:w="0" w:type="auto"/>
          </w:tcPr>
          <w:p>
            <w:pPr>
              <w:spacing w:line="240" w:lineRule="auto" w:before="0" w:after="0"/>
              <w:pStyle w:val="Compact"/>
            </w:pPr>
            <w:r>
              <w:rPr>
                <w:sz w:val="20"/>
                <w:szCs w:val="20"/>
              </w:rPr>
              <w:t xml:space="preserve">Deep Impact</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200000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12.2061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3.4012</w:t>
            </w:r>
          </w:p>
        </w:tc>
        <w:tc>
          <w:tcPr>
            <w:tcW w:w="0" w:type="auto"/>
          </w:tcPr>
          <w:p>
            <w:pPr>
              <w:spacing w:line="240" w:lineRule="auto" w:before="0" w:after="0"/>
              <w:pStyle w:val="Compact"/>
            </w:pPr>
            <w:r>
              <w:rPr>
                <w:sz w:val="20"/>
                <w:szCs w:val="20"/>
              </w:rPr>
              <w:t xml:space="preserve">0.3365</w:t>
            </w:r>
          </w:p>
        </w:tc>
        <w:tc>
          <w:tcPr>
            <w:tcW w:w="0" w:type="auto"/>
          </w:tcPr>
          <w:p>
            <w:pPr>
              <w:spacing w:line="240" w:lineRule="auto" w:before="0" w:after="0"/>
              <w:pStyle w:val="Compact"/>
            </w:pPr>
            <w:r>
              <w:rPr>
                <w:sz w:val="20"/>
                <w:szCs w:val="20"/>
              </w:rPr>
              <w:t xml:space="preserve">Wikipedia, Deep Impact (1 m HGA, X-band; up to ~200 kbit/s near encounter); en.wikipedia.org/wiki/Deep_Impact_(spacecraft)</w:t>
            </w:r>
          </w:p>
        </w:tc>
      </w:tr>
      <w:tr>
        <w:tc>
          <w:tcPr>
            <w:tcW w:w="0" w:type="auto"/>
          </w:tcPr>
          <w:p>
            <w:pPr>
              <w:spacing w:line="240" w:lineRule="auto" w:before="0" w:after="0"/>
              <w:pStyle w:val="Compact"/>
            </w:pPr>
            <w:r>
              <w:rPr>
                <w:sz w:val="20"/>
                <w:szCs w:val="20"/>
              </w:rPr>
              <w:t xml:space="preserve">Mars Pathfinder</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0.46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8533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9.0517</w:t>
            </w:r>
          </w:p>
        </w:tc>
        <w:tc>
          <w:tcPr>
            <w:tcW w:w="0" w:type="auto"/>
          </w:tcPr>
          <w:p>
            <w:pPr>
              <w:spacing w:line="240" w:lineRule="auto" w:before="0" w:after="0"/>
              <w:pStyle w:val="Compact"/>
            </w:pPr>
            <w:r>
              <w:rPr>
                <w:sz w:val="20"/>
                <w:szCs w:val="20"/>
              </w:rPr>
              <w:t xml:space="preserve">-0.7765</w:t>
            </w:r>
          </w:p>
        </w:tc>
        <w:tc>
          <w:tcPr>
            <w:tcW w:w="0" w:type="auto"/>
          </w:tcPr>
          <w:p>
            <w:pPr>
              <w:spacing w:line="240" w:lineRule="auto" w:before="0" w:after="0"/>
              <w:pStyle w:val="Compact"/>
            </w:pPr>
            <w:r>
              <w:rPr>
                <w:sz w:val="20"/>
                <w:szCs w:val="20"/>
              </w:rPr>
              <w:t xml:space="preserve">2.3026</w:t>
            </w:r>
          </w:p>
        </w:tc>
        <w:tc>
          <w:tcPr>
            <w:tcW w:w="0" w:type="auto"/>
          </w:tcPr>
          <w:p>
            <w:pPr>
              <w:spacing w:line="240" w:lineRule="auto" w:before="0" w:after="0"/>
              <w:pStyle w:val="Compact"/>
            </w:pPr>
            <w:r>
              <w:rPr>
                <w:sz w:val="20"/>
                <w:szCs w:val="20"/>
              </w:rPr>
              <w:t xml:space="preserve">0.9555</w:t>
            </w:r>
          </w:p>
        </w:tc>
        <w:tc>
          <w:tcPr>
            <w:tcW w:w="0" w:type="auto"/>
          </w:tcPr>
          <w:p>
            <w:pPr>
              <w:spacing w:line="240" w:lineRule="auto" w:before="0" w:after="0"/>
              <w:pStyle w:val="Compact"/>
            </w:pPr>
            <w:r>
              <w:rPr>
                <w:sz w:val="20"/>
                <w:szCs w:val="20"/>
              </w:rPr>
              <w:t xml:space="preserve">Wikipedia, Mars Pathfinder (0.46 m HGA, X-band; up to 8533 bit/s direct-to-Earth); en.wikipedia.org/wiki/Mars_Pathfinder</w:t>
            </w:r>
          </w:p>
        </w:tc>
      </w:tr>
      <w:tr>
        <w:tc>
          <w:tcPr>
            <w:tcW w:w="0" w:type="auto"/>
          </w:tcPr>
          <w:p>
            <w:pPr>
              <w:spacing w:line="240" w:lineRule="auto" w:before="0" w:after="0"/>
              <w:pStyle w:val="Compact"/>
            </w:pPr>
            <w:r>
              <w:rPr>
                <w:sz w:val="20"/>
                <w:szCs w:val="20"/>
              </w:rPr>
              <w:t xml:space="preserve">Phoenix</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128000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11.7598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0.9555</w:t>
            </w:r>
          </w:p>
        </w:tc>
        <w:tc>
          <w:tcPr>
            <w:tcW w:w="0" w:type="auto"/>
          </w:tcPr>
          <w:p>
            <w:pPr>
              <w:spacing w:line="240" w:lineRule="auto" w:before="0" w:after="0"/>
              <w:pStyle w:val="Compact"/>
            </w:pPr>
            <w:r>
              <w:rPr>
                <w:sz w:val="20"/>
                <w:szCs w:val="20"/>
              </w:rPr>
              <w:t xml:space="preserve">Wikipedia, Phoenix (UHF relay primary, no deep-space HGA; relay to MRO/Odyssey then ~128 kbps to DSN) [illustrative HGA=0 marks relay-only]; en.wikipedia.org/wiki/Phoenix_(spacecraft)</w:t>
            </w:r>
          </w:p>
        </w:tc>
      </w:tr>
      <w:tr>
        <w:tc>
          <w:tcPr>
            <w:tcW w:w="0" w:type="auto"/>
          </w:tcPr>
          <w:p>
            <w:pPr>
              <w:spacing w:line="240" w:lineRule="auto" w:before="0" w:after="0"/>
              <w:pStyle w:val="Compact"/>
            </w:pPr>
            <w:r>
              <w:rPr>
                <w:sz w:val="20"/>
                <w:szCs w:val="20"/>
              </w:rPr>
              <w:t xml:space="preserve">Parker Solar Probe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167000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12.0257</w:t>
            </w:r>
          </w:p>
        </w:tc>
        <w:tc>
          <w:tcPr>
            <w:tcW w:w="0" w:type="auto"/>
          </w:tcPr>
          <w:p>
            <w:pPr>
              <w:spacing w:line="240" w:lineRule="auto" w:before="0" w:after="0"/>
              <w:pStyle w:val="Compact"/>
            </w:pPr>
            <w:r>
              <w:rPr>
                <w:sz w:val="20"/>
                <w:szCs w:val="20"/>
              </w:rPr>
              <w:t xml:space="preserve">-0.5108</w:t>
            </w:r>
          </w:p>
        </w:tc>
        <w:tc>
          <w:tcPr>
            <w:tcW w:w="0" w:type="auto"/>
          </w:tcPr>
          <w:p>
            <w:pPr>
              <w:spacing w:line="240" w:lineRule="auto" w:before="0" w:after="0"/>
              <w:pStyle w:val="Compact"/>
            </w:pPr>
            <w:r>
              <w:rPr>
                <w:sz w:val="20"/>
                <w:szCs w:val="20"/>
              </w:rPr>
              <w:t xml:space="preserve">3.2189</w:t>
            </w:r>
          </w:p>
        </w:tc>
        <w:tc>
          <w:tcPr>
            <w:tcW w:w="0" w:type="auto"/>
          </w:tcPr>
          <w:p>
            <w:pPr>
              <w:spacing w:line="240" w:lineRule="auto" w:before="0" w:after="0"/>
              <w:pStyle w:val="Compact"/>
            </w:pPr>
            <w:r>
              <w:rPr>
                <w:sz w:val="20"/>
                <w:szCs w:val="20"/>
              </w:rPr>
              <w:t xml:space="preserve">0.5306</w:t>
            </w:r>
          </w:p>
        </w:tc>
        <w:tc>
          <w:tcPr>
            <w:tcW w:w="0" w:type="auto"/>
          </w:tcPr>
          <w:p>
            <w:pPr>
              <w:spacing w:line="240" w:lineRule="auto" w:before="0" w:after="0"/>
              <w:pStyle w:val="Compact"/>
            </w:pPr>
            <w:r>
              <w:rPr>
                <w:sz w:val="20"/>
                <w:szCs w:val="20"/>
              </w:rPr>
              <w:t xml:space="preserve">Wikipedia + JHUAPL Parker Solar Probe (0.6 m HGA Ka-band; up to 167 kbit/s downlink); parkersolarprobe.jhuapl.edu</w:t>
            </w:r>
          </w:p>
        </w:tc>
      </w:tr>
      <w:tr>
        <w:tc>
          <w:tcPr>
            <w:tcW w:w="0" w:type="auto"/>
          </w:tcPr>
          <w:p>
            <w:pPr>
              <w:spacing w:line="240" w:lineRule="auto" w:before="0" w:after="0"/>
              <w:pStyle w:val="Compact"/>
            </w:pPr>
            <w:r>
              <w:rPr>
                <w:sz w:val="20"/>
                <w:szCs w:val="20"/>
              </w:rPr>
              <w:t xml:space="preserve">Lunar Reconnaissance Orbiter</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0.0026</w:t>
            </w:r>
          </w:p>
        </w:tc>
        <w:tc>
          <w:tcPr>
            <w:tcW w:w="0" w:type="auto"/>
          </w:tcPr>
          <w:p>
            <w:pPr>
              <w:spacing w:line="240" w:lineRule="auto" w:before="0" w:after="0"/>
              <w:pStyle w:val="Compact"/>
            </w:pPr>
            <w:r>
              <w:rPr>
                <w:sz w:val="20"/>
                <w:szCs w:val="20"/>
              </w:rPr>
              <w:t xml:space="preserve">461000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13.0412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3.6889</w:t>
            </w:r>
          </w:p>
        </w:tc>
        <w:tc>
          <w:tcPr>
            <w:tcW w:w="0" w:type="auto"/>
          </w:tcPr>
          <w:p>
            <w:pPr>
              <w:spacing w:line="240" w:lineRule="auto" w:before="0" w:after="0"/>
              <w:pStyle w:val="Compact"/>
            </w:pPr>
            <w:r>
              <w:rPr>
                <w:sz w:val="20"/>
                <w:szCs w:val="20"/>
              </w:rPr>
              <w:t xml:space="preserve">-5.9522</w:t>
            </w:r>
          </w:p>
        </w:tc>
        <w:tc>
          <w:tcPr>
            <w:tcW w:w="0" w:type="auto"/>
          </w:tcPr>
          <w:p>
            <w:pPr>
              <w:spacing w:line="240" w:lineRule="auto" w:before="0" w:after="0"/>
              <w:pStyle w:val="Compact"/>
            </w:pPr>
            <w:r>
              <w:rPr>
                <w:sz w:val="20"/>
                <w:szCs w:val="20"/>
              </w:rPr>
              <w:t xml:space="preserve">Wikipedia, Lunar Reconnaissance Orbiter (Ka-band downlink up to 461 kbit/s; lunar distance ~0.0026 AU) [illustrative HGA=0: gimbaled Ka horn not parabolic dish]; en.wikipedia.org/wiki/Lunar_Reconnaissance_Orbiter</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4330000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15.2811</w:t>
            </w:r>
          </w:p>
        </w:tc>
        <w:tc>
          <w:tcPr>
            <w:tcW w:w="0" w:type="auto"/>
          </w:tcPr>
          <w:p>
            <w:pPr>
              <w:spacing w:line="240" w:lineRule="auto" w:before="0" w:after="0"/>
              <w:pStyle w:val="Compact"/>
            </w:pPr>
            <w:r>
              <w:rPr>
                <w:sz w:val="20"/>
                <w:szCs w:val="20"/>
              </w:rPr>
              <w:t xml:space="preserve">-0.1625</w:t>
            </w:r>
          </w:p>
        </w:tc>
        <w:tc>
          <w:tcPr>
            <w:tcW w:w="0" w:type="auto"/>
          </w:tcPr>
          <w:p>
            <w:pPr>
              <w:spacing w:line="240" w:lineRule="auto" w:before="0" w:after="0"/>
              <w:pStyle w:val="Compact"/>
            </w:pPr>
            <w:r>
              <w:rPr>
                <w:sz w:val="20"/>
                <w:szCs w:val="20"/>
              </w:rPr>
              <w:t xml:space="preserve">3.4657</w:t>
            </w:r>
          </w:p>
        </w:tc>
        <w:tc>
          <w:tcPr>
            <w:tcW w:w="0" w:type="auto"/>
          </w:tcPr>
          <w:p>
            <w:pPr>
              <w:spacing w:line="240" w:lineRule="auto" w:before="0" w:after="0"/>
              <w:pStyle w:val="Compact"/>
            </w:pPr>
            <w:r>
              <w:rPr>
                <w:sz w:val="20"/>
                <w:szCs w:val="20"/>
              </w:rPr>
              <w:t xml:space="preserve">-0.5108</w:t>
            </w:r>
          </w:p>
        </w:tc>
        <w:tc>
          <w:tcPr>
            <w:tcW w:w="0" w:type="auto"/>
          </w:tcPr>
          <w:p>
            <w:pPr>
              <w:spacing w:line="240" w:lineRule="auto" w:before="0" w:after="0"/>
              <w:pStyle w:val="Compact"/>
            </w:pPr>
            <w:r>
              <w:rPr>
                <w:sz w:val="20"/>
                <w:szCs w:val="20"/>
              </w:rPr>
              <w:t xml:space="preserve">NASA Kepler (0.85 m HGA, Ka-band; up to ~4.33 Mbit/s monthly downlink); en.wikipedia.org/wiki/Kepler_space_telescope</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914000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13.7256</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4.6052</w:t>
            </w:r>
          </w:p>
        </w:tc>
        <w:tc>
          <w:tcPr>
            <w:tcW w:w="0" w:type="auto"/>
          </w:tcPr>
          <w:p>
            <w:pPr>
              <w:spacing w:line="240" w:lineRule="auto" w:before="0" w:after="0"/>
              <w:pStyle w:val="Compact"/>
            </w:pPr>
            <w:r>
              <w:rPr>
                <w:sz w:val="20"/>
                <w:szCs w:val="20"/>
              </w:rPr>
              <w:t xml:space="preserve">0.3365</w:t>
            </w:r>
          </w:p>
        </w:tc>
        <w:tc>
          <w:tcPr>
            <w:tcW w:w="0" w:type="auto"/>
          </w:tcPr>
          <w:p>
            <w:pPr>
              <w:spacing w:line="240" w:lineRule="auto" w:before="0" w:after="0"/>
              <w:pStyle w:val="Compact"/>
            </w:pPr>
            <w:r>
              <w:rPr>
                <w:sz w:val="20"/>
                <w:szCs w:val="20"/>
              </w:rPr>
              <w:t xml:space="preserve">NASA OSIRIS-REx press kit (2 m HGA, 100 W X-band; up to ~914 kbit/s); www.nasa.gov/osiris-rex</w:t>
            </w:r>
          </w:p>
        </w:tc>
      </w:tr>
      <w:tr>
        <w:tc>
          <w:tcPr>
            <w:tcW w:w="0" w:type="auto"/>
          </w:tcPr>
          <w:p>
            <w:pPr>
              <w:spacing w:line="240" w:lineRule="auto" w:before="0" w:after="0"/>
              <w:pStyle w:val="Compact"/>
            </w:pPr>
            <w:r>
              <w:rPr>
                <w:sz w:val="20"/>
                <w:szCs w:val="20"/>
              </w:rPr>
              <w:t xml:space="preserve">Mars Science Laboratory</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0.28</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1024000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13.8392</w:t>
            </w:r>
          </w:p>
        </w:tc>
        <w:tc>
          <w:tcPr>
            <w:tcW w:w="0" w:type="auto"/>
          </w:tcPr>
          <w:p>
            <w:pPr>
              <w:spacing w:line="240" w:lineRule="auto" w:before="0" w:after="0"/>
              <w:pStyle w:val="Compact"/>
            </w:pPr>
            <w:r>
              <w:rPr>
                <w:sz w:val="20"/>
                <w:szCs w:val="20"/>
              </w:rPr>
              <w:t xml:space="preserve">-1.273</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0.9555</w:t>
            </w:r>
          </w:p>
        </w:tc>
        <w:tc>
          <w:tcPr>
            <w:tcW w:w="0" w:type="auto"/>
          </w:tcPr>
          <w:p>
            <w:pPr>
              <w:spacing w:line="240" w:lineRule="auto" w:before="0" w:after="0"/>
              <w:pStyle w:val="Compact"/>
            </w:pPr>
            <w:r>
              <w:rPr>
                <w:sz w:val="20"/>
                <w:szCs w:val="20"/>
              </w:rPr>
              <w:t xml:space="preserve">NASA MSL/Curiosity (UHF relay primary; X-band direct ~1 kbit/s, relay path to MRO up to ~2 Mbit/s, taken ~1 Mbit/s effective) [illustrative HGA=0.28 small X HGA]; mars.nasa.gov/msl</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0.28</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7900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8.9746</w:t>
            </w:r>
          </w:p>
        </w:tc>
        <w:tc>
          <w:tcPr>
            <w:tcW w:w="0" w:type="auto"/>
          </w:tcPr>
          <w:p>
            <w:pPr>
              <w:spacing w:line="240" w:lineRule="auto" w:before="0" w:after="0"/>
              <w:pStyle w:val="Compact"/>
            </w:pPr>
            <w:r>
              <w:rPr>
                <w:sz w:val="20"/>
                <w:szCs w:val="20"/>
              </w:rPr>
              <w:t xml:space="preserve">-1.273</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0.9555</w:t>
            </w:r>
          </w:p>
        </w:tc>
        <w:tc>
          <w:tcPr>
            <w:tcW w:w="0" w:type="auto"/>
          </w:tcPr>
          <w:p>
            <w:pPr>
              <w:spacing w:line="240" w:lineRule="auto" w:before="0" w:after="0"/>
              <w:pStyle w:val="Compact"/>
            </w:pPr>
            <w:r>
              <w:rPr>
                <w:sz w:val="20"/>
                <w:szCs w:val="20"/>
              </w:rPr>
              <w:t xml:space="preserve">NASA InSight (small X-band MGA + UHF relay; direct-to-Earth ~7.9 kbit/s) [illustrative HGA=0.28]; mars.nasa.gov/insight</w:t>
            </w:r>
          </w:p>
        </w:tc>
      </w:tr>
    </w:tbl>
    <w:bookmarkEnd w:id="202"/>
    <w:bookmarkStart w:id="203"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ln_rate</w:t>
            </w:r>
          </w:p>
        </w:tc>
        <w:tc>
          <w:tcPr>
            <w:tcW w:w="0" w:type="auto"/>
          </w:tcPr>
          <w:p>
            <w:pPr>
              <w:spacing w:line="240" w:lineRule="auto" w:before="0" w:after="0"/>
              <w:pStyle w:val="Compact"/>
            </w:pPr>
            <w:r>
              <w:rPr>
                <w:sz w:val="20"/>
                <w:szCs w:val="20"/>
              </w:rPr>
              <w:t xml:space="preserve">Natural log of maximum published deep-space downlink data rate R (bits per second) the mission draws from a DSN antenna</w:t>
            </w:r>
          </w:p>
        </w:tc>
        <w:tc>
          <w:tcPr>
            <w:tcW w:w="0" w:type="auto"/>
          </w:tcPr>
          <w:p>
            <w:pPr>
              <w:spacing w:line="240" w:lineRule="auto" w:before="0" w:after="0"/>
              <w:pStyle w:val="Compact"/>
            </w:pPr>
            <w:r>
              <w:rPr>
                <w:sz w:val="20"/>
                <w:szCs w:val="20"/>
              </w:rPr>
              <w:t xml:space="preserve">Computed from max_downlink_bps; per-mission telecom figures (Wikipedia mission articles, NASA/ESA fact sheets and press kits, JPL DESCANSO Design and Performance Summary Series)</w:t>
            </w:r>
          </w:p>
        </w:tc>
      </w:tr>
      <w:tr>
        <w:tc>
          <w:tcPr>
            <w:tcW w:w="0" w:type="auto"/>
          </w:tcPr>
          <w:p>
            <w:pPr>
              <w:spacing w:line="240" w:lineRule="auto" w:before="0" w:after="0"/>
              <w:pStyle w:val="Compact"/>
            </w:pPr>
            <w:r>
              <w:rPr>
                <w:sz w:val="20"/>
                <w:szCs w:val="20"/>
              </w:rPr>
              <w:t xml:space="preserve">ln_hga</w:t>
            </w:r>
          </w:p>
        </w:tc>
        <w:tc>
          <w:tcPr>
            <w:tcW w:w="0" w:type="auto"/>
          </w:tcPr>
          <w:p>
            <w:pPr>
              <w:spacing w:line="240" w:lineRule="auto" w:before="0" w:after="0"/>
              <w:pStyle w:val="Compact"/>
            </w:pPr>
            <w:r>
              <w:rPr>
                <w:sz w:val="20"/>
                <w:szCs w:val="20"/>
              </w:rPr>
              <w:t xml:space="preserve">Natural log of spacecraft high-gain antenna diameter D (meters), the dominant determinant of spacecraft antenna gain</w:t>
            </w:r>
          </w:p>
        </w:tc>
        <w:tc>
          <w:tcPr>
            <w:tcW w:w="0" w:type="auto"/>
          </w:tcPr>
          <w:p>
            <w:pPr>
              <w:spacing w:line="240" w:lineRule="auto" w:before="0" w:after="0"/>
              <w:pStyle w:val="Compact"/>
            </w:pPr>
            <w:r>
              <w:rPr>
                <w:sz w:val="20"/>
                <w:szCs w:val="20"/>
              </w:rPr>
              <w:t xml:space="preserve">Computed from hga_diameter_m; per-mission telecom specifications cited in the source column of each row</w:t>
            </w:r>
          </w:p>
        </w:tc>
      </w:tr>
      <w:tr>
        <w:tc>
          <w:tcPr>
            <w:tcW w:w="0" w:type="auto"/>
          </w:tcPr>
          <w:p>
            <w:pPr>
              <w:spacing w:line="240" w:lineRule="auto" w:before="0" w:after="0"/>
              <w:pStyle w:val="Compact"/>
            </w:pPr>
            <w:r>
              <w:rPr>
                <w:sz w:val="20"/>
                <w:szCs w:val="20"/>
              </w:rPr>
              <w:t xml:space="preserve">ln_power</w:t>
            </w:r>
          </w:p>
        </w:tc>
        <w:tc>
          <w:tcPr>
            <w:tcW w:w="0" w:type="auto"/>
          </w:tcPr>
          <w:p>
            <w:pPr>
              <w:spacing w:line="240" w:lineRule="auto" w:before="0" w:after="0"/>
              <w:pStyle w:val="Compact"/>
            </w:pPr>
            <w:r>
              <w:rPr>
                <w:sz w:val="20"/>
                <w:szCs w:val="20"/>
              </w:rPr>
              <w:t xml:space="preserve">Natural log of radio-frequency transmitter output power P (watts) on the deep-space band</w:t>
            </w:r>
          </w:p>
        </w:tc>
        <w:tc>
          <w:tcPr>
            <w:tcW w:w="0" w:type="auto"/>
          </w:tcPr>
          <w:p>
            <w:pPr>
              <w:spacing w:line="240" w:lineRule="auto" w:before="0" w:after="0"/>
              <w:pStyle w:val="Compact"/>
            </w:pPr>
            <w:r>
              <w:rPr>
                <w:sz w:val="20"/>
                <w:szCs w:val="20"/>
              </w:rPr>
              <w:t xml:space="preserve">Computed from rf_power_w; per-mission telecom specifications cited per row</w:t>
            </w:r>
          </w:p>
        </w:tc>
      </w:tr>
      <w:tr>
        <w:tc>
          <w:tcPr>
            <w:tcW w:w="0" w:type="auto"/>
          </w:tcPr>
          <w:p>
            <w:pPr>
              <w:spacing w:line="240" w:lineRule="auto" w:before="0" w:after="0"/>
              <w:pStyle w:val="Compact"/>
            </w:pPr>
            <w:r>
              <w:rPr>
                <w:sz w:val="20"/>
                <w:szCs w:val="20"/>
              </w:rPr>
              <w:t xml:space="preserve">ln_dist</w:t>
            </w:r>
          </w:p>
        </w:tc>
        <w:tc>
          <w:tcPr>
            <w:tcW w:w="0" w:type="auto"/>
          </w:tcPr>
          <w:p>
            <w:pPr>
              <w:spacing w:line="240" w:lineRule="auto" w:before="0" w:after="0"/>
              <w:pStyle w:val="Compact"/>
            </w:pPr>
            <w:r>
              <w:rPr>
                <w:sz w:val="20"/>
                <w:szCs w:val="20"/>
              </w:rPr>
              <w:t xml:space="preserve">Natural log of maximum Earth-spacecraft range L (astronomical units), the contention/path-loss penalty (signal falls as inverse square of range)</w:t>
            </w:r>
          </w:p>
        </w:tc>
        <w:tc>
          <w:tcPr>
            <w:tcW w:w="0" w:type="auto"/>
          </w:tcPr>
          <w:p>
            <w:pPr>
              <w:spacing w:line="240" w:lineRule="auto" w:before="0" w:after="0"/>
              <w:pStyle w:val="Compact"/>
            </w:pPr>
            <w:r>
              <w:rPr>
                <w:sz w:val="20"/>
                <w:szCs w:val="20"/>
              </w:rPr>
              <w:t xml:space="preserve">Computed from max_earth_dist_au; mission operating distance cited per row</w:t>
            </w:r>
          </w:p>
        </w:tc>
      </w:tr>
    </w:tbl>
    <w:bookmarkEnd w:id="203"/>
    <w:bookmarkEnd w:id="204"/>
    <w:bookmarkEnd w:id="20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90" Type="http://schemas.openxmlformats.org/officeDocument/2006/relationships/image" Target="media/rId190.png"/><Relationship Id="rId198" Type="http://schemas.openxmlformats.org/officeDocument/2006/relationships/image" Target="media/rId198.png"/><Relationship Id="rId152" Type="http://schemas.openxmlformats.org/officeDocument/2006/relationships/hyperlink" Target="https://doi.org/10.1016/j.actaastro.2018.03.011" TargetMode="External"/><Relationship Id="rId172" Type="http://schemas.openxmlformats.org/officeDocument/2006/relationships/hyperlink" Target="https://doi.org/10.1016/j.actaastro.2019.05.051" TargetMode="External"/><Relationship Id="rId176" Type="http://schemas.openxmlformats.org/officeDocument/2006/relationships/hyperlink" Target="https://doi.org/10.1016/j.actaastro.2020.07.036" TargetMode="External"/><Relationship Id="rId174" Type="http://schemas.openxmlformats.org/officeDocument/2006/relationships/hyperlink" Target="https://doi.org/10.1016/j.actaastro.2021.01.033" TargetMode="External"/><Relationship Id="rId184" Type="http://schemas.openxmlformats.org/officeDocument/2006/relationships/hyperlink" Target="https://doi.org/10.1016/j.actaastro.2021.08.004" TargetMode="External"/><Relationship Id="rId154" Type="http://schemas.openxmlformats.org/officeDocument/2006/relationships/hyperlink" Target="https://doi.org/10.1016/j.actaastro.2023.01.040" TargetMode="External"/><Relationship Id="rId180" Type="http://schemas.openxmlformats.org/officeDocument/2006/relationships/hyperlink" Target="https://doi.org/10.1016/j.actaastro.2023.04.010" TargetMode="External"/><Relationship Id="rId178" Type="http://schemas.openxmlformats.org/officeDocument/2006/relationships/hyperlink" Target="https://doi.org/10.1016/j.actaastro.2025.01.069" TargetMode="External"/><Relationship Id="rId182" Type="http://schemas.openxmlformats.org/officeDocument/2006/relationships/hyperlink" Target="https://doi.org/10.1016/j.actaastro.2025.11.074" TargetMode="External"/><Relationship Id="rId186" Type="http://schemas.openxmlformats.org/officeDocument/2006/relationships/hyperlink" Target="https://doi.org/10.1016/j.actaastro.2026.04.055" TargetMode="External"/><Relationship Id="rId156" Type="http://schemas.openxmlformats.org/officeDocument/2006/relationships/hyperlink" Target="https://doi.org/10.1016/j.spacepol.2012.06.004" TargetMode="External"/><Relationship Id="rId158" Type="http://schemas.openxmlformats.org/officeDocument/2006/relationships/hyperlink" Target="https://doi.org/10.1257/jep.32.2.173" TargetMode="External"/><Relationship Id="rId162" Type="http://schemas.openxmlformats.org/officeDocument/2006/relationships/hyperlink" Target="https://doi.org/10.64861/OHUO6863" TargetMode="External"/><Relationship Id="rId164" Type="http://schemas.openxmlformats.org/officeDocument/2006/relationships/hyperlink" Target="https://doi.org/10.64861/PMMH7892" TargetMode="External"/><Relationship Id="rId169" Type="http://schemas.openxmlformats.org/officeDocument/2006/relationships/hyperlink" Target="https://doi.org/10.64861/SUOW9680" TargetMode="External"/></Relationships>
</file>

<file path=word/_rels/footnotes.xml.rels><?xml version='1.0' encoding='UTF-8' standalone='yes'?>
<Relationships xmlns="http://schemas.openxmlformats.org/package/2006/relationships"><Relationship Id="rId152" Type="http://schemas.openxmlformats.org/officeDocument/2006/relationships/hyperlink" Target="https://doi.org/10.1016/j.actaastro.2018.03.011" TargetMode="External"/><Relationship Id="rId172" Type="http://schemas.openxmlformats.org/officeDocument/2006/relationships/hyperlink" Target="https://doi.org/10.1016/j.actaastro.2019.05.051" TargetMode="External"/><Relationship Id="rId176" Type="http://schemas.openxmlformats.org/officeDocument/2006/relationships/hyperlink" Target="https://doi.org/10.1016/j.actaastro.2020.07.036" TargetMode="External"/><Relationship Id="rId174" Type="http://schemas.openxmlformats.org/officeDocument/2006/relationships/hyperlink" Target="https://doi.org/10.1016/j.actaastro.2021.01.033" TargetMode="External"/><Relationship Id="rId184" Type="http://schemas.openxmlformats.org/officeDocument/2006/relationships/hyperlink" Target="https://doi.org/10.1016/j.actaastro.2021.08.004" TargetMode="External"/><Relationship Id="rId154" Type="http://schemas.openxmlformats.org/officeDocument/2006/relationships/hyperlink" Target="https://doi.org/10.1016/j.actaastro.2023.01.040" TargetMode="External"/><Relationship Id="rId180" Type="http://schemas.openxmlformats.org/officeDocument/2006/relationships/hyperlink" Target="https://doi.org/10.1016/j.actaastro.2023.04.010" TargetMode="External"/><Relationship Id="rId178" Type="http://schemas.openxmlformats.org/officeDocument/2006/relationships/hyperlink" Target="https://doi.org/10.1016/j.actaastro.2025.01.069" TargetMode="External"/><Relationship Id="rId182" Type="http://schemas.openxmlformats.org/officeDocument/2006/relationships/hyperlink" Target="https://doi.org/10.1016/j.actaastro.2025.11.074" TargetMode="External"/><Relationship Id="rId186" Type="http://schemas.openxmlformats.org/officeDocument/2006/relationships/hyperlink" Target="https://doi.org/10.1016/j.actaastro.2026.04.055" TargetMode="External"/><Relationship Id="rId156" Type="http://schemas.openxmlformats.org/officeDocument/2006/relationships/hyperlink" Target="https://doi.org/10.1016/j.spacepol.2012.06.004" TargetMode="External"/><Relationship Id="rId158" Type="http://schemas.openxmlformats.org/officeDocument/2006/relationships/hyperlink" Target="https://doi.org/10.1257/jep.32.2.173" TargetMode="External"/><Relationship Id="rId162" Type="http://schemas.openxmlformats.org/officeDocument/2006/relationships/hyperlink" Target="https://doi.org/10.64861/OHUO6863" TargetMode="External"/><Relationship Id="rId164" Type="http://schemas.openxmlformats.org/officeDocument/2006/relationships/hyperlink" Target="https://doi.org/10.64861/PMMH7892" TargetMode="External"/><Relationship Id="rId169" Type="http://schemas.openxmlformats.org/officeDocument/2006/relationships/hyperlink" Target="https://doi.org/10.64861/SUOW96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Deep Space Network as a Congested Common: A Queueing-and-Contention Model of Tracking-Pass Allocation</dc:title>
  <dc:creator>Omar Ashby (1B-SCN-030)</dc:creator>
  <cp:keywords/>
  <dcterms:created xsi:type="dcterms:W3CDTF">2026-07-02T16:21:43Z</dcterms:created>
  <dcterms:modified xsi:type="dcterms:W3CDTF">2026-07-02T16:21:43Z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