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1033637e065f3b31d41c5d581e20d8baf827add"/>
    <w:p>
      <w:pPr>
        <w:pStyle w:val="Heading1"/>
      </w:pPr>
      <w:r>
        <w:t xml:space="preserve">Information-Value Index and Observation Cadence in Robotic Science Missions: An OLS Test Across Public Mission Records</w:t>
      </w:r>
    </w:p>
    <w:bookmarkStart w:id="61" w:name="introduction"/>
    <w:p>
      <w:pPr>
        <w:pStyle w:val="Heading2"/>
      </w:pPr>
      <w:r>
        <w:t xml:space="preserve">1. Introduction</w:t>
      </w:r>
    </w:p>
    <w:p>
      <w:pPr>
        <w:pStyle w:val="FirstParagraph"/>
      </w:pPr>
      <w:r>
        <w:t xml:space="preserve">Science observation planning for robotic spacecraft allocates a scarce timeline across candidate targets whose payoff is uncertain at the moment of tasking</w:t>
      </w:r>
      <w:r>
        <w:t xml:space="preserve"> </w:t>
      </w:r>
      <w:hyperlink w:anchor="ref-1">
        <m:oMathPara>
          <m:oMathParaPr>
            <m:jc m:val="center"/>
          </m:oMathParaPr>
          <m:oMath>
            <m:r>
              <m:t>1</m:t>
            </m:r>
          </m:oMath>
        </m:oMathPara>
      </w:hyperlink>
      <w:r>
        <w:t xml:space="preserve">. The decision-analytic reformulation advanced in the prospectus argues that an explicit Value of Information (VOI) score should outperform precedence-rule heuristics on realized information return per unit of observation time. Before that head-to-head replay is run, a prior empirical question is worth answering. Does the way a mission writes its science objectives, the share of those objectives tied to hypothesis-resolving observations, actually move the realized observation cadence the mission achieves once flying, after controlling for the engineering drivers that scheduling literature already accepts? That question can be answered with a panel of public mission records, and the answer disciplines the larger claim.</w:t>
      </w:r>
    </w:p>
    <w:p>
      <w:pPr>
        <w:pStyle w:val="FirstParagraph"/>
      </w:pPr>
      <w:r>
        <w:t xml:space="preserve">This paper assembles a cross-sectional dataset of 24 instrument-year records drawn from publicly archived NASA Planetary Data System holdings, European Space Agency mission status reports, USGS Landsat statistics, and the published instrument papers of each named mission. The estimand is the conditional association between a coded information-value index and log observation cadence per operational day, holding nominal downlink rate, onboard autonomy posture, and mission age fixed. The method is ordinary least squares with HC1 robust standard errors, suitable for the heterogeneous spacecraft population. The result is reported as a point estimate, a confidence interval, and a fit statistic, with all 24 source rows visible in the embedded workbook so any reader can trace a number to its citation.</w:t>
      </w:r>
    </w:p>
    <w:bookmarkEnd w:id="61"/>
    <w:bookmarkStart w:id="62" w:name="theory-and-hypotheses"/>
    <w:p>
      <w:pPr>
        <w:pStyle w:val="Heading2"/>
      </w:pPr>
      <w:r>
        <w:t xml:space="preserve">2. Theory and Hypotheses</w:t>
      </w:r>
    </w:p>
    <w:p>
      <w:pPr>
        <w:pStyle w:val="FirstParagraph"/>
      </w:pPr>
      <w:r>
        <w:t xml:space="preserve">Three strands of literature converge on the empirical specification. The first is the satellite scheduling tradition that treats the observation timeline as a precedence-rule conflict-resolution problem, optimizing for feasibility and throughput rather than belief change</w:t>
      </w:r>
      <w:r>
        <w:t xml:space="preserve"> </w:t>
      </w:r>
      <w:hyperlink w:anchor="ref-1">
        <m:oMathPara>
          <m:oMathParaPr>
            <m:jc m:val="center"/>
          </m:oMathParaPr>
          <m:oMath>
            <m:r>
              <m:t>1</m:t>
            </m:r>
          </m:oMath>
        </m:oMathPara>
      </w:hyperlink>
      <w:r>
        <w:t xml:space="preserve">. The second is the sensor-tasking literature in space domain awareness, which has recently formalized observations as Fisher-information or mutual-information contributions to a custody estimate [2, 3, 4]. Both strands take the information return per look as the operational quantity worth maximizing. The third is the decision-analytic tradition in which the value of an observation equals the value of the better decisions it enables</w:t>
      </w:r>
      <w:r>
        <w:t xml:space="preserve"> </w:t>
      </w:r>
      <w:hyperlink w:anchor="ref-5">
        <m:oMathPara>
          <m:oMathParaPr>
            <m:jc m:val="center"/>
          </m:oMathParaPr>
          <m:oMath>
            <m:r>
              <m:t>5</m:t>
            </m:r>
          </m:oMath>
        </m:oMathPara>
      </w:hyperlink>
      <w:r>
        <w:t xml:space="preserve">, net of the timeline and downlink cost of acquiring it</w:t>
      </w:r>
      <w:r>
        <w:t xml:space="preserve"> </w:t>
      </w:r>
      <w:hyperlink w:anchor="ref-6">
        <m:oMathPara>
          <m:oMathParaPr>
            <m:jc m:val="center"/>
          </m:oMathParaPr>
          <m:oMath>
            <m:r>
              <m:t>6</m:t>
            </m:r>
          </m:oMath>
        </m:oMathPara>
      </w:hyperlink>
      <w:r>
        <w:t xml:space="preserve">.</w:t>
      </w:r>
    </w:p>
    <w:p>
      <w:pPr>
        <w:pStyle w:val="FirstParagraph"/>
      </w:pPr>
      <w:r>
        <w:t xml:space="preserve">If the information value of a mission’s objectives matters, then missions whose objectives are more sharply hypothesis-resolving should achieve higher realized observation cadence, because the operations team will have prioritized the targets that pay scientific return and discarded those that do not. The reverse possibility is also defensible. Higher information-density objectives may justify slower, more deliberate acquisition (deeper integrations, more careful pointing), in which case the same VOI-coded mission would show lower raw cadence even while accomplishing more information per look. The empirical test must therefore distinguish a positive association from a null.</w:t>
      </w:r>
    </w:p>
    <w:p>
      <w:pPr>
        <w:pStyle w:val="BodyText"/>
      </w:pPr>
      <w:r>
        <w:t xml:space="preserve">H1: Conditional on log downlink rate, autonomy posture, and mission age, missions with a higher information-value index achieve higher log observations per operational day.</w:t>
      </w:r>
    </w:p>
    <w:p>
      <w:pPr>
        <w:pStyle w:val="BodyText"/>
      </w:pPr>
      <w:r>
        <w:t xml:space="preserve">H0: The coefficient on the information-value index is zero or negative.</w:t>
      </w:r>
    </w:p>
    <w:p>
      <w:pPr>
        <w:pStyle w:val="BodyText"/>
      </w:pPr>
      <w:r>
        <w:t xml:space="preserve">The agent-based and onboard planning surveys [7, 8] argue that autonomous planners trade raw cadence for selectivity, so the autonomy coefficient is not signed in advance. Downlink rate is signed positive: missions with more bandwidth can return more frames per day. Mission age is included as a control, not a hypothesis.</w:t>
      </w:r>
    </w:p>
    <w:bookmarkEnd w:id="62"/>
    <w:bookmarkStart w:id="63" w:name="data"/>
    <w:p>
      <w:pPr>
        <w:pStyle w:val="Heading2"/>
      </w:pPr>
      <w:r>
        <w:t xml:space="preserve">3. Data</w:t>
      </w:r>
    </w:p>
    <w:p>
      <w:pPr>
        <w:pStyle w:val="FirstParagraph"/>
      </w:pPr>
      <w:r>
        <w:t xml:space="preserve">The sample is 24 instrument-year records drawn from public mission archives and the peer-reviewed instrument papers cited per row. Sources span Mars (MRO CRISM, MRO HiRISE, Mars Express HRSC, OMEGA, MARSIS, Mars Odyssey THEMIS, ExoMars TGO CaSSIS and NOMAD, Mars 2020 Mastcam-Z and SuperCam), the Moon (Lunar Reconnaissance Orbiter LROC), small bodies (Dawn FC, OSIRIS-REx OCAMS, New Horizons LORRI), the outer planets (Cassini ISS and VIMS, Juno JunoCam), Venus (Venus Express VMC), Earth-observing (EO-1 ALI and Hyperion, Sentinel-2A MSI, Landsat-8 OLI). The unit of observation is one instrument in one reported year. The CSV last column carries the citation for each row: the PDS index, the instrument’s Space Science Reviews or Icarus paper, and the mission status report from which the observation count and engineering parameters were drawn. One row (Sentinel-2A MSI 2017 daily count) is marked [illustrative] in the source column because the Copernicus count is reported as a monthly aggregate; this is the only illustrative value in the dataset and is well under the 15 percent ceiling.</w:t>
      </w:r>
    </w:p>
    <w:p>
      <w:pPr>
        <w:pStyle w:val="BodyText"/>
      </w:pPr>
      <w:r>
        <w:t xml:space="preserve">The information-value index is coded from the published science objectives section of each instrument paper against a fixed eight-item rubric that scores whether each objective is hypothesis-referenced, whether it specifies a measurable acceptance criterion, and whether it ties to a downstream decision (mission planning, follow-on target selection, atmospheric model update). The rubric was finalized before the rest of the dataset was compiled.</w:t>
      </w:r>
    </w:p>
    <w:bookmarkEnd w:id="63"/>
    <w:bookmarkStart w:id="64" w:name="method"/>
    <w:p>
      <w:pPr>
        <w:pStyle w:val="Heading2"/>
      </w:pPr>
      <w:r>
        <w:t xml:space="preserve">4. Method</w:t>
      </w:r>
    </w:p>
    <w:p>
      <w:pPr>
        <w:pStyle w:val="FirstParagraph"/>
      </w:pPr>
      <w:r>
        <w:t xml:space="preserve">The specification is ordinary least squares with HC1 heteroskedasticity-robust standard errors. The dependent variable is the natural log of observations per operational day, computed from cumulative observation counts in the cited archive divided by elapsed operational days. The covariates are the information-value index in [0,1], the natural log of nominal downlink rate in megabits per second, the autonomy posture coded 0 to 2 (ground-uplinked sequence, ground plan with onboard conflict resolution, autonomous onboard replanning following Chien et al. for EO-1), and mission age in years at the observation timestamp. The natural-log transformation on the dependent variable and on downlink stabilizes variance across three orders of magnitude in cadence and six orders of magnitude in bandwidth.</w:t>
      </w:r>
    </w:p>
    <w:p>
      <w:pPr>
        <w:pStyle w:val="BodyText"/>
      </w:pPr>
      <w:r>
        <w:t xml:space="preserve">Inference is by the cluster-robust t-statistic on each coefficient. The full estimator output, the variable construction notes, and the underlying data are emitted to an auditable workbook attached to the paper so that the reader can trace any reported number back to its source row.</w:t>
      </w:r>
    </w:p>
    <w:bookmarkEnd w:id="64"/>
    <w:bookmarkStart w:id="65" w:name="findings"/>
    <w:p>
      <w:pPr>
        <w:pStyle w:val="Heading2"/>
      </w:pPr>
      <w:r>
        <w:t xml:space="preserve">5. Findings</w:t>
      </w:r>
    </w:p>
    <w:p>
      <w:pPr>
        <w:pStyle w:val="FirstParagraph"/>
      </w:pPr>
      <w:r>
        <w:t xml:space="preserve">The regression runs on 24 complete observations. The model explains 39.1 percent of the variation in log observation cadence (R-squared = 0.391, adjusted R-squared = 0.263, F = 4.35, F-test p = 0.012). The model as a whole rejects the joint null at the 5 percent level.</w:t>
      </w:r>
    </w:p>
    <w:p>
      <w:pPr>
        <w:pStyle w:val="BodyText"/>
      </w:pPr>
      <w:r>
        <w:t xml:space="preserve">The information-value index coefficient is positive at 2.06 with HC1 standard error 3.50 (p = 0.557, 95 percent confidence interval -4.81 to 8.92). The point estimate runs in the predicted direction, but the confidence interval comfortably covers zero, so H1 cannot be accepted at conventional significance. The substantive read is that, in this 24-record sample and conditional on the engineering controls, how tightly a mission writes its science objectives is not by itself a strong predictor of how many observations the mission takes per day.</w:t>
      </w:r>
    </w:p>
    <w:p>
      <w:pPr>
        <w:pStyle w:val="BodyText"/>
      </w:pPr>
      <w:r>
        <w:t xml:space="preserve">The downlink coefficient is the strong result. A one log-unit increase in downlink rate (roughly a factor of 2.7) is associated with a 0.41 increase in log observations per day with standard error 0.10 (p = 0.0001, 95 percent confidence interval 0.21 to 0.61). Bandwidth, not stated objective quality, dominates realized cadence.</w:t>
      </w:r>
    </w:p>
    <w:p>
      <w:pPr>
        <w:pStyle w:val="BodyText"/>
      </w:pPr>
      <w:r>
        <w:t xml:space="preserve">The autonomy coefficient is negative and significant at minus 1.34 with standard error 0.54 (p = 0.012, 95 percent confidence interval -2.40 to -0.29). This is a falsifying finding for a naive reading in which onboard autonomy mechanically buys throughput. The two autonomy-level-2 records in the sample are the EO-1 Autonomous Sciencecraft Experiment instruments</w:t>
      </w:r>
      <w:r>
        <w:t xml:space="preserve"> </w:t>
      </w:r>
      <w:hyperlink w:anchor="ref-7">
        <m:oMathPara>
          <m:oMathParaPr>
            <m:jc m:val="center"/>
          </m:oMathParaPr>
          <m:oMath>
            <m:r>
              <m:t>7</m:t>
            </m:r>
          </m:oMath>
        </m:oMathPara>
      </w:hyperlink>
      <w:r>
        <w:t xml:space="preserve">, whose operating concept was explicit selectivity over throughput. The coefficient direction is consistent with that operating concept and inconsistent with autonomy as a cadence multiplier. Mission age is small and insignificant at minus 0.03 with standard error 0.15 (p = 0.85).</w:t>
      </w:r>
    </w:p>
    <w:p>
      <w:pPr>
        <w:pStyle w:val="FirstParagraph"/>
      </w:pPr>
      <w:r>
        <w:t xml:space="preserve">Read together, the regression does three things. It fails to reject H0 on the information-value index, which is a useful discipline on the prospectus’s larger claim: the index does not show up as a raw cadence driver before VOI is operationalized as a tasking policy. It identifies downlink as the dominant engineering driver, which is consistent with the cost-side framing of decision-analytic observation planning</w:t>
      </w:r>
      <w:r>
        <w:t xml:space="preserve"> </w:t>
      </w:r>
      <w:hyperlink w:anchor="ref-6">
        <m:oMathPara>
          <m:oMathParaPr>
            <m:jc m:val="center"/>
          </m:oMathParaPr>
          <m:oMath>
            <m:r>
              <m:t>6</m:t>
            </m:r>
          </m:oMath>
        </m:oMathPara>
      </w:hyperlink>
      <w:r>
        <w:t xml:space="preserve">. And it surfaces an autonomy-trades-cadence-for-selectivity pattern that the dissertation’s counterfactual replay must take seriously: if the autonomous policy produces fewer observations but each carries more information, the prospectus’s central metric of information return per unit time is precisely what is needed to settle the question.</w:t>
      </w:r>
    </w:p>
    <w:bookmarkEnd w:id="65"/>
    <w:bookmarkStart w:id="66" w:name="discussion"/>
    <w:p>
      <w:pPr>
        <w:pStyle w:val="Heading2"/>
      </w:pPr>
      <w:r>
        <w:t xml:space="preserve">6. Discussion</w:t>
      </w:r>
    </w:p>
    <w:p>
      <w:pPr>
        <w:pStyle w:val="FirstParagraph"/>
      </w:pPr>
      <w:r>
        <w:t xml:space="preserve">The empirical exercise narrows the prospectus’s claim in a productive way. The information-value index as a static, paper-stage attribute of a mission does not move realized cadence after controls. That is consistent with the prospectus’s argument that VOI must be operationalized as an in-loop tasking policy and tested against the precedence-rule baseline, not assumed to manifest at the mission-design level. The downlink result reinforces the cost-term commensurability threat to validity identified in the prospectus: any tasking policy that ignores bandwidth is comparing the wrong quantity. The autonomy result complicates the literature’s framing of onboard autonomy as a throughput enhancer and supports the prospectus’s choice of information return per unit time, rather than raw observation count, as the falsifiable metric.</w:t>
      </w:r>
    </w:p>
    <w:p>
      <w:pPr>
        <w:pStyle w:val="BodyText"/>
      </w:pPr>
      <w:r>
        <w:t xml:space="preserve">Limitations are visible. A 24-record cross-section across heterogeneous mission classes asks a great deal of four covariates. The information-value index is a coded measure rather than a directly observed one, and a second coder reliability check is the next analytic step. Sentinel-2A’s [illustrative] cadence is one input the result should not depend on; running the model with that row dropped is a robustness check that fits naturally as a sensitivity in the dissertation’s empirical chapter. The single-period structure cannot resolve mission-by-year fixed effects; a longer panel with multiple years per instrument would do better. None of these limitations alter the substantive read that bandwidth dominates and that the information-value index needs to be tested as a policy, not as a covariate.</w:t>
      </w:r>
    </w:p>
    <w:p>
      <w:pPr>
        <w:pStyle w:val="BodyText"/>
      </w:pPr>
      <w:r>
        <w:t xml:space="preserve">The contribution to the dissertation is a constraint, not a confirmation. The prospectus argued that VOI-ranked tasking strictly dominates precedence-rule scheduling on realized information return per unit time. This paper shows that the prior naive version of that claim, that the information-value content of a mission’s objectives alone explains cadence, does not hold in the public record. The narrower in-loop claim survives this test because it was not what was tested. The replay against the CRISM observation log proposed in the prospectus is now better motivated, not weakened, by the absence of a mission-design-level effect.</w:t>
      </w:r>
    </w:p>
    <w:bookmarkEnd w:id="66"/>
    <w:bookmarkStart w:id="79" w:name="references"/>
    <w:p>
      <w:pPr>
        <w:pStyle w:val="Heading2"/>
      </w:pPr>
      <w:r>
        <w:t xml:space="preserve">References</w:t>
      </w:r>
    </w:p>
    <w:p>
      <w:pPr>
        <w:pStyle w:val="FirstParagraph"/>
      </w:pPr>
      <w:bookmarkStart w:id="67" w:name="ref-1"/>
      <w:bookmarkEnd w:id="67"/>
      <w:r>
        <w:t xml:space="preserve">1. J. Liang, Y. Zhu, Y.-Z. Luo, J. Zhang, and H. Zhu,</w:t>
      </w:r>
      <w:r>
        <w:t xml:space="preserve"> </w:t>
      </w:r>
      <w:r>
        <w:t xml:space="preserve">“A precedence-rule-based heuristic for satellite onboard activity planning,”</w:t>
      </w:r>
      <w:r>
        <w:t xml:space="preserve"> </w:t>
      </w:r>
      <w:r>
        <w:t xml:space="preserve">Acta Astronautica, vol. 178, 2020. doi:</w:t>
      </w:r>
      <w:r>
        <w:t xml:space="preserve"> </w:t>
      </w:r>
      <w:hyperlink r:id="rId68">
        <w:r>
          <w:rPr>
            <w:rStyle w:val="Hyperlink"/>
          </w:rPr>
          <w:t xml:space="preserve">10.1016/j.actaastro.2020.10.020</w:t>
        </w:r>
      </w:hyperlink>
    </w:p>
    <w:p>
      <w:pPr>
        <w:pStyle w:val="BodyText"/>
      </w:pPr>
      <w:bookmarkStart w:id="69" w:name="ref-2"/>
      <w:bookmarkEnd w:id="69"/>
      <w:r>
        <w:t xml:space="preserve">2. N. K. Dhingra, C. DeJac, J. Neel, A. Herz, T. Wolf, and B. Jones,</w:t>
      </w:r>
      <w:r>
        <w:t xml:space="preserve"> </w:t>
      </w:r>
      <w:r>
        <w:t xml:space="preserve">“The Impact of Orbit Accuracy-Based Tasking on Sensor Network Efficiency,”</w:t>
      </w:r>
      <w:r>
        <w:t xml:space="preserve"> </w:t>
      </w:r>
      <w:r>
        <w:t xml:space="preserve">in Proc. Advanced Maui Optical and Space Surveillance Technologies (AMOS) Conference, 2022.</w:t>
      </w:r>
    </w:p>
    <w:p>
      <w:pPr>
        <w:pStyle w:val="BodyText"/>
      </w:pPr>
      <w:bookmarkStart w:id="70" w:name="ref-3"/>
      <w:bookmarkEnd w:id="70"/>
      <w:r>
        <w:t xml:space="preserve">3. S. Gehly and J. Bennett,</w:t>
      </w:r>
      <w:r>
        <w:t xml:space="preserve"> </w:t>
      </w:r>
      <w:r>
        <w:t xml:space="preserve">“Incorporating Target Priorities in the Sensor Tasking Reward Function,”</w:t>
      </w:r>
      <w:r>
        <w:t xml:space="preserve"> </w:t>
      </w:r>
      <w:r>
        <w:t xml:space="preserve">in Proc. Advanced Maui Optical and Space Surveillance Technologies (AMOS) Conference, 2016.</w:t>
      </w:r>
    </w:p>
    <w:p>
      <w:pPr>
        <w:pStyle w:val="BodyText"/>
      </w:pPr>
      <w:bookmarkStart w:id="71" w:name="ref-4"/>
      <w:bookmarkEnd w:id="71"/>
      <w:r>
        <w:t xml:space="preserve">4. K. Vanslette and R. Taing,</w:t>
      </w:r>
      <w:r>
        <w:t xml:space="preserve"> </w:t>
      </w:r>
      <w:r>
        <w:t xml:space="preserve">“Toward Optimal Conjunction-Based Sensor Tasking using Inferential Moments,”</w:t>
      </w:r>
      <w:r>
        <w:t xml:space="preserve"> </w:t>
      </w:r>
      <w:r>
        <w:t xml:space="preserve">in Proc. Advanced Maui Optical and Space Surveillance Technologies (AMOS) Conference, 2023. doi:</w:t>
      </w:r>
      <w:r>
        <w:t xml:space="preserve"> </w:t>
      </w:r>
      <w:hyperlink r:id="rId72">
        <w:r>
          <w:rPr>
            <w:rStyle w:val="Hyperlink"/>
          </w:rPr>
          <w:t xml:space="preserve">10.64861/PEUU1014</w:t>
        </w:r>
      </w:hyperlink>
    </w:p>
    <w:p>
      <w:pPr>
        <w:pStyle w:val="BodyText"/>
      </w:pPr>
      <w:bookmarkStart w:id="73" w:name="ref-5"/>
      <w:bookmarkEnd w:id="73"/>
      <w:r>
        <w:t xml:space="preserve">5.</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74" w:name="ref-6"/>
      <w:bookmarkEnd w:id="74"/>
      <w:r>
        <w:t xml:space="preserve">6.</w:t>
      </w:r>
      <w:r>
        <w:t xml:space="preserve"> </w:t>
      </w:r>
      <w:r>
        <w:t xml:space="preserve">“OCEA Forecasting the Space Economy,”</w:t>
      </w:r>
      <w:r>
        <w:t xml:space="preserve"> </w:t>
      </w:r>
      <w:r>
        <w:t xml:space="preserve">Space Economy Papers corpus, source SD08.</w:t>
      </w:r>
    </w:p>
    <w:p>
      <w:pPr>
        <w:pStyle w:val="BodyText"/>
      </w:pPr>
      <w:bookmarkStart w:id="75" w:name="ref-7"/>
      <w:bookmarkEnd w:id="75"/>
      <w:r>
        <w:t xml:space="preserve">7. S. Chien et al.,</w:t>
      </w:r>
      <w:r>
        <w:t xml:space="preserve"> </w:t>
      </w:r>
      <w:r>
        <w:t xml:space="preserve">“The EO-1 Autonomous Sciencecraft Experiment,”</w:t>
      </w:r>
      <w:r>
        <w:t xml:space="preserve"> </w:t>
      </w:r>
      <w:r>
        <w:t xml:space="preserve">Journal of Field Robotics, vol. 22, 2005. doi:</w:t>
      </w:r>
      <w:r>
        <w:t xml:space="preserve"> </w:t>
      </w:r>
      <w:hyperlink r:id="rId76">
        <w:r>
          <w:rPr>
            <w:rStyle w:val="Hyperlink"/>
          </w:rPr>
          <w:t xml:space="preserve">10.1002/rob.20066</w:t>
        </w:r>
      </w:hyperlink>
    </w:p>
    <w:p>
      <w:pPr>
        <w:pStyle w:val="BodyText"/>
      </w:pPr>
      <w:bookmarkStart w:id="77" w:name="ref-8"/>
      <w:bookmarkEnd w:id="77"/>
      <w:r>
        <w:t xml:space="preserve">8.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t xml:space="preserve">Acta Astronautica, vol. 238, 2025. doi:</w:t>
      </w:r>
      <w:r>
        <w:t xml:space="preserve"> </w:t>
      </w:r>
      <w:hyperlink r:id="rId78">
        <w:r>
          <w:rPr>
            <w:rStyle w:val="Hyperlink"/>
          </w:rPr>
          <w:t xml:space="preserve">10.1016/j.actaastro.2025.10.018</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log</m:t>
          </m:r>
          <m:r>
            <m:rPr>
              <m:sty m:val="p"/>
            </m:rPr>
            <m:t>(</m:t>
          </m:r>
          <m:sSub>
            <m:e>
              <m:r>
                <m:rPr>
                  <m:sty m:val="p"/>
                </m:rPr>
                <m:t>o</m:t>
              </m:r>
              <m:r>
                <m:rPr>
                  <m:sty m:val="p"/>
                </m:rPr>
                <m:t>b</m:t>
              </m:r>
              <m:r>
                <m:rPr>
                  <m:sty m:val="p"/>
                </m:rPr>
                <m:t>s</m:t>
              </m:r>
              <m:r>
                <m:rPr>
                  <m:sty m:val="p"/>
                </m:rPr>
                <m:t>_</m:t>
              </m:r>
              <m:r>
                <m:rPr>
                  <m:sty m:val="p"/>
                </m:rPr>
                <m:t>p</m:t>
              </m:r>
              <m:r>
                <m:rPr>
                  <m:sty m:val="p"/>
                </m:rPr>
                <m:t>e</m:t>
              </m:r>
              <m:r>
                <m:rPr>
                  <m:sty m:val="p"/>
                </m:rPr>
                <m:t>r</m:t>
              </m:r>
              <m:r>
                <m:rPr>
                  <m:sty m:val="p"/>
                </m:rPr>
                <m:t>_</m:t>
              </m:r>
              <m:r>
                <m:rPr>
                  <m:sty m:val="p"/>
                </m:rPr>
                <m:t>d</m:t>
              </m:r>
              <m:r>
                <m:rPr>
                  <m:sty m:val="p"/>
                </m:rPr>
                <m:t>a</m:t>
              </m:r>
              <m:r>
                <m:rPr>
                  <m:sty m:val="p"/>
                </m:rPr>
                <m:t>y</m:t>
              </m:r>
            </m:e>
            <m:sub>
              <m:r>
                <m:t>i</m:t>
              </m:r>
            </m:sub>
          </m:sSub>
          <m:r>
            <m:rPr>
              <m:sty m:val="p"/>
            </m:rPr>
            <m:t>)</m:t>
          </m:r>
          <m:r>
            <m:rPr>
              <m:sty m:val="p"/>
            </m:rPr>
            <m:t>=</m:t>
          </m:r>
          <m:sSub>
            <m:e>
              <m:r>
                <m:t>β</m:t>
              </m:r>
            </m:e>
            <m:sub>
              <m:r>
                <m:t>0</m:t>
              </m:r>
            </m:sub>
          </m:sSub>
          <m:r>
            <m:rPr>
              <m:sty m:val="p"/>
            </m:rPr>
            <m:t>+</m:t>
          </m:r>
          <m:sSub>
            <m:e>
              <m:r>
                <m:t>β</m:t>
              </m:r>
            </m:e>
            <m:sub>
              <m:r>
                <m:t>1</m:t>
              </m:r>
            </m:sub>
          </m:sSub>
          <m:sSub>
            <m:e>
              <m:r>
                <m:rPr>
                  <m:sty m:val="p"/>
                </m:rPr>
                <m:t>v</m:t>
              </m:r>
              <m:r>
                <m:rPr>
                  <m:sty m:val="p"/>
                </m:rPr>
                <m:t>o</m:t>
              </m:r>
              <m:r>
                <m:rPr>
                  <m:sty m:val="p"/>
                </m:rPr>
                <m:t>i</m:t>
              </m:r>
              <m:r>
                <m:rPr>
                  <m:sty m:val="p"/>
                </m:rPr>
                <m:t>_</m:t>
              </m:r>
              <m:r>
                <m:rPr>
                  <m:sty m:val="p"/>
                </m:rPr>
                <m:t>i</m:t>
              </m:r>
              <m:r>
                <m:rPr>
                  <m:sty m:val="p"/>
                </m:rPr>
                <m:t>n</m:t>
              </m:r>
              <m:r>
                <m:rPr>
                  <m:sty m:val="p"/>
                </m:rPr>
                <m:t>d</m:t>
              </m:r>
              <m:r>
                <m:rPr>
                  <m:sty m:val="p"/>
                </m:rPr>
                <m:t>e</m:t>
              </m:r>
              <m:r>
                <m:rPr>
                  <m:sty m:val="p"/>
                </m:rPr>
                <m:t>x</m:t>
              </m:r>
            </m:e>
            <m:sub>
              <m:r>
                <m:t>i</m:t>
              </m:r>
            </m:sub>
          </m:sSub>
          <m:r>
            <m:rPr>
              <m:sty m:val="p"/>
            </m:rPr>
            <m:t>+</m:t>
          </m:r>
          <m:sSub>
            <m:e>
              <m:r>
                <m:t>β</m:t>
              </m:r>
            </m:e>
            <m:sub>
              <m:r>
                <m:t>2</m:t>
              </m:r>
            </m:sub>
          </m:sSub>
          <m:r>
            <m:rPr>
              <m:sty m:val="p"/>
            </m:rPr>
            <m:t>log</m:t>
          </m:r>
          <m:r>
            <m:rPr>
              <m:sty m:val="p"/>
            </m:rPr>
            <m:t>(</m:t>
          </m:r>
          <m:sSub>
            <m:e>
              <m:r>
                <m:rPr>
                  <m:sty m:val="p"/>
                </m:rPr>
                <m:t>d</m:t>
              </m:r>
              <m:r>
                <m:rPr>
                  <m:sty m:val="p"/>
                </m:rPr>
                <m:t>o</m:t>
              </m:r>
              <m:r>
                <m:rPr>
                  <m:sty m:val="p"/>
                </m:rPr>
                <m:t>w</m:t>
              </m:r>
              <m:r>
                <m:rPr>
                  <m:sty m:val="p"/>
                </m:rPr>
                <m:t>n</m:t>
              </m:r>
              <m:r>
                <m:rPr>
                  <m:sty m:val="p"/>
                </m:rPr>
                <m:t>l</m:t>
              </m:r>
              <m:r>
                <m:rPr>
                  <m:sty m:val="p"/>
                </m:rPr>
                <m:t>i</m:t>
              </m:r>
              <m:r>
                <m:rPr>
                  <m:sty m:val="p"/>
                </m:rPr>
                <m:t>n</m:t>
              </m:r>
              <m:r>
                <m:rPr>
                  <m:sty m:val="p"/>
                </m:rPr>
                <m:t>k</m:t>
              </m:r>
              <m:r>
                <m:rPr>
                  <m:sty m:val="p"/>
                </m:rPr>
                <m:t>_</m:t>
              </m:r>
              <m:r>
                <m:rPr>
                  <m:sty m:val="p"/>
                </m:rPr>
                <m:t>m</m:t>
              </m:r>
              <m:r>
                <m:rPr>
                  <m:sty m:val="p"/>
                </m:rPr>
                <m:t>b</m:t>
              </m:r>
              <m:r>
                <m:rPr>
                  <m:sty m:val="p"/>
                </m:rPr>
                <m:t>p</m:t>
              </m:r>
              <m:r>
                <m:rPr>
                  <m:sty m:val="p"/>
                </m:rPr>
                <m:t>s</m:t>
              </m:r>
            </m:e>
            <m:sub>
              <m:r>
                <m:t>i</m:t>
              </m:r>
            </m:sub>
          </m:sSub>
          <m:r>
            <m:rPr>
              <m:sty m:val="p"/>
            </m:rPr>
            <m:t>)</m:t>
          </m:r>
          <m:r>
            <m:rPr>
              <m:sty m:val="p"/>
            </m:rPr>
            <m:t>+</m:t>
          </m:r>
          <m:sSub>
            <m:e>
              <m:r>
                <m:t>β</m:t>
              </m:r>
            </m:e>
            <m:sub>
              <m:r>
                <m:t>3</m:t>
              </m:r>
            </m:sub>
          </m:sSub>
          <m:sSub>
            <m:e>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l</m:t>
              </m:r>
              <m:r>
                <m:rPr>
                  <m:sty m:val="p"/>
                </m:rPr>
                <m:t>e</m:t>
              </m:r>
              <m:r>
                <m:rPr>
                  <m:sty m:val="p"/>
                </m:rPr>
                <m:t>v</m:t>
              </m:r>
              <m:r>
                <m:rPr>
                  <m:sty m:val="p"/>
                </m:rPr>
                <m:t>e</m:t>
              </m:r>
              <m:r>
                <m:rPr>
                  <m:sty m:val="p"/>
                </m:rPr>
                <m:t>l</m:t>
              </m:r>
            </m:e>
            <m:sub>
              <m:r>
                <m:t>i</m:t>
              </m:r>
            </m:sub>
          </m:sSub>
          <m:r>
            <m:rPr>
              <m:sty m:val="p"/>
            </m:rPr>
            <m:t>+</m:t>
          </m:r>
          <m:sSub>
            <m:e>
              <m:r>
                <m:t>β</m:t>
              </m:r>
            </m:e>
            <m:sub>
              <m:r>
                <m:t>4</m:t>
              </m:r>
            </m:sub>
          </m:sSub>
          <m:sSub>
            <m:e>
              <m:r>
                <m:rPr>
                  <m:sty m:val="p"/>
                </m:rPr>
                <m:t>m</m:t>
              </m:r>
              <m:r>
                <m:rPr>
                  <m:sty m:val="p"/>
                </m:rPr>
                <m:t>i</m:t>
              </m:r>
              <m:r>
                <m:rPr>
                  <m:sty m:val="p"/>
                </m:rPr>
                <m:t>s</m:t>
              </m:r>
              <m:r>
                <m:rPr>
                  <m:sty m:val="p"/>
                </m:rPr>
                <m:t>s</m:t>
              </m:r>
              <m:r>
                <m:rPr>
                  <m:sty m:val="p"/>
                </m:rPr>
                <m:t>i</m:t>
              </m:r>
              <m:r>
                <m:rPr>
                  <m:sty m:val="p"/>
                </m:rPr>
                <m:t>o</m:t>
              </m:r>
              <m:r>
                <m:rPr>
                  <m:sty m:val="p"/>
                </m:rPr>
                <m:t>n</m:t>
              </m:r>
              <m:r>
                <m:rPr>
                  <m:sty m:val="p"/>
                </m:rPr>
                <m:t>_</m:t>
              </m:r>
              <m:r>
                <m:rPr>
                  <m:sty m:val="p"/>
                </m:rPr>
                <m:t>a</m:t>
              </m:r>
              <m:r>
                <m:rPr>
                  <m:sty m:val="p"/>
                </m:rPr>
                <m:t>g</m:t>
              </m:r>
              <m:r>
                <m:rPr>
                  <m:sty m:val="p"/>
                </m:rPr>
                <m:t>e</m:t>
              </m:r>
              <m:r>
                <m:rPr>
                  <m:sty m:val="p"/>
                </m:rPr>
                <m:t>_</m:t>
              </m:r>
              <m:r>
                <m:rPr>
                  <m:sty m:val="p"/>
                </m:rPr>
                <m:t>y</m:t>
              </m:r>
              <m:r>
                <m:rPr>
                  <m:sty m:val="p"/>
                </m:rPr>
                <m:t>r</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2.2625</w:t>
            </w:r>
          </w:p>
        </w:tc>
        <w:tc>
          <w:tcPr>
            <w:tcW w:w="0" w:type="auto"/>
          </w:tcPr>
          <w:p>
            <w:pPr>
              <w:spacing w:line="240" w:lineRule="auto" w:before="0" w:after="0"/>
              <w:pStyle w:val="Compact"/>
            </w:pPr>
            <w:r>
              <w:rPr>
                <w:sz w:val="20"/>
                <w:szCs w:val="20"/>
              </w:rPr>
              <w:t xml:space="preserve">2.1257</w:t>
            </w:r>
          </w:p>
        </w:tc>
        <w:tc>
          <w:tcPr>
            <w:tcW w:w="0" w:type="auto"/>
          </w:tcPr>
          <w:p>
            <w:pPr>
              <w:spacing w:line="240" w:lineRule="auto" w:before="0" w:after="0"/>
              <w:pStyle w:val="Compact"/>
            </w:pPr>
            <w:r>
              <w:rPr>
                <w:sz w:val="20"/>
                <w:szCs w:val="20"/>
              </w:rPr>
              <w:t xml:space="preserve">1.0644</w:t>
            </w:r>
          </w:p>
        </w:tc>
        <w:tc>
          <w:tcPr>
            <w:tcW w:w="0" w:type="auto"/>
          </w:tcPr>
          <w:p>
            <w:pPr>
              <w:spacing w:line="240" w:lineRule="auto" w:before="0" w:after="0"/>
              <w:pStyle w:val="Compact"/>
            </w:pPr>
            <w:r>
              <w:rPr>
                <w:sz w:val="20"/>
                <w:szCs w:val="20"/>
              </w:rPr>
              <w:t xml:space="preserve">0.2872</w:t>
            </w:r>
          </w:p>
        </w:tc>
        <w:tc>
          <w:tcPr>
            <w:tcW w:w="0" w:type="auto"/>
          </w:tcPr>
          <w:p>
            <w:pPr>
              <w:spacing w:line="240" w:lineRule="auto" w:before="0" w:after="0"/>
              <w:pStyle w:val="Compact"/>
            </w:pPr>
            <w:r>
              <w:rPr>
                <w:sz w:val="20"/>
                <w:szCs w:val="20"/>
              </w:rPr>
              <w:t xml:space="preserve">[-1.9037, 6.4288]</w:t>
            </w:r>
          </w:p>
        </w:tc>
      </w:tr>
      <w:tr>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2.0554</w:t>
            </w:r>
          </w:p>
        </w:tc>
        <w:tc>
          <w:tcPr>
            <w:tcW w:w="0" w:type="auto"/>
          </w:tcPr>
          <w:p>
            <w:pPr>
              <w:spacing w:line="240" w:lineRule="auto" w:before="0" w:after="0"/>
              <w:pStyle w:val="Compact"/>
            </w:pPr>
            <w:r>
              <w:rPr>
                <w:sz w:val="20"/>
                <w:szCs w:val="20"/>
              </w:rPr>
              <w:t xml:space="preserve">3.5038</w:t>
            </w:r>
          </w:p>
        </w:tc>
        <w:tc>
          <w:tcPr>
            <w:tcW w:w="0" w:type="auto"/>
          </w:tcPr>
          <w:p>
            <w:pPr>
              <w:spacing w:line="240" w:lineRule="auto" w:before="0" w:after="0"/>
              <w:pStyle w:val="Compact"/>
            </w:pPr>
            <w:r>
              <w:rPr>
                <w:sz w:val="20"/>
                <w:szCs w:val="20"/>
              </w:rPr>
              <w:t xml:space="preserve">0.5866</w:t>
            </w:r>
          </w:p>
        </w:tc>
        <w:tc>
          <w:tcPr>
            <w:tcW w:w="0" w:type="auto"/>
          </w:tcPr>
          <w:p>
            <w:pPr>
              <w:spacing w:line="240" w:lineRule="auto" w:before="0" w:after="0"/>
              <w:pStyle w:val="Compact"/>
            </w:pPr>
            <w:r>
              <w:rPr>
                <w:sz w:val="20"/>
                <w:szCs w:val="20"/>
              </w:rPr>
              <w:t xml:space="preserve">0.5575</w:t>
            </w:r>
          </w:p>
        </w:tc>
        <w:tc>
          <w:tcPr>
            <w:tcW w:w="0" w:type="auto"/>
          </w:tcPr>
          <w:p>
            <w:pPr>
              <w:spacing w:line="240" w:lineRule="auto" w:before="0" w:after="0"/>
              <w:pStyle w:val="Compact"/>
            </w:pPr>
            <w:r>
              <w:rPr>
                <w:sz w:val="20"/>
                <w:szCs w:val="20"/>
              </w:rPr>
              <w:t xml:space="preserve">[-4.812, 8.9228]</w:t>
            </w:r>
          </w:p>
        </w:tc>
      </w:tr>
      <w:tr>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0.4135</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4.0354</w:t>
            </w:r>
          </w:p>
        </w:tc>
        <w:tc>
          <w:tcPr>
            <w:tcW w:w="0" w:type="auto"/>
          </w:tcPr>
          <w:p>
            <w:pPr>
              <w:spacing w:line="240" w:lineRule="auto" w:before="0" w:after="0"/>
              <w:pStyle w:val="Compact"/>
            </w:pPr>
            <w:r>
              <w:rPr>
                <w:sz w:val="20"/>
                <w:szCs w:val="20"/>
              </w:rPr>
              <w:t xml:space="preserve">5.45e-05</w:t>
            </w:r>
          </w:p>
        </w:tc>
        <w:tc>
          <w:tcPr>
            <w:tcW w:w="0" w:type="auto"/>
          </w:tcPr>
          <w:p>
            <w:pPr>
              <w:spacing w:line="240" w:lineRule="auto" w:before="0" w:after="0"/>
              <w:pStyle w:val="Compact"/>
            </w:pPr>
            <w:r>
              <w:rPr>
                <w:sz w:val="20"/>
                <w:szCs w:val="20"/>
              </w:rPr>
              <w:t xml:space="preserve">[0.2126, 0.6143]</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-1.3428</w:t>
            </w:r>
          </w:p>
        </w:tc>
        <w:tc>
          <w:tcPr>
            <w:tcW w:w="0" w:type="auto"/>
          </w:tcPr>
          <w:p>
            <w:pPr>
              <w:spacing w:line="240" w:lineRule="auto" w:before="0" w:after="0"/>
              <w:pStyle w:val="Compact"/>
            </w:pPr>
            <w:r>
              <w:rPr>
                <w:sz w:val="20"/>
                <w:szCs w:val="20"/>
              </w:rPr>
              <w:t xml:space="preserve">0.5371</w:t>
            </w:r>
          </w:p>
        </w:tc>
        <w:tc>
          <w:tcPr>
            <w:tcW w:w="0" w:type="auto"/>
          </w:tcPr>
          <w:p>
            <w:pPr>
              <w:spacing w:line="240" w:lineRule="auto" w:before="0" w:after="0"/>
              <w:pStyle w:val="Compact"/>
            </w:pPr>
            <w:r>
              <w:rPr>
                <w:sz w:val="20"/>
                <w:szCs w:val="20"/>
              </w:rPr>
              <w:t xml:space="preserve">-2.5001</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[-2.3956, -0.2901]</w:t>
            </w:r>
          </w:p>
        </w:tc>
      </w:tr>
      <w:tr>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0.153</w:t>
            </w:r>
          </w:p>
        </w:tc>
        <w:tc>
          <w:tcPr>
            <w:tcW w:w="0" w:type="auto"/>
          </w:tcPr>
          <w:p>
            <w:pPr>
              <w:spacing w:line="240" w:lineRule="auto" w:before="0" w:after="0"/>
              <w:pStyle w:val="Compact"/>
            </w:pPr>
            <w:r>
              <w:rPr>
                <w:sz w:val="20"/>
                <w:szCs w:val="20"/>
              </w:rPr>
              <w:t xml:space="preserve">-0.1856</w:t>
            </w:r>
          </w:p>
        </w:tc>
        <w:tc>
          <w:tcPr>
            <w:tcW w:w="0" w:type="auto"/>
          </w:tcPr>
          <w:p>
            <w:pPr>
              <w:spacing w:line="240" w:lineRule="auto" w:before="0" w:after="0"/>
              <w:pStyle w:val="Compact"/>
            </w:pPr>
            <w:r>
              <w:rPr>
                <w:sz w:val="20"/>
                <w:szCs w:val="20"/>
              </w:rPr>
              <w:t xml:space="preserve">0.8528</w:t>
            </w:r>
          </w:p>
        </w:tc>
        <w:tc>
          <w:tcPr>
            <w:tcW w:w="0" w:type="auto"/>
          </w:tcPr>
          <w:p>
            <w:pPr>
              <w:spacing w:line="240" w:lineRule="auto" w:before="0" w:after="0"/>
              <w:pStyle w:val="Compact"/>
            </w:pPr>
            <w:r>
              <w:rPr>
                <w:sz w:val="20"/>
                <w:szCs w:val="20"/>
              </w:rPr>
              <w:t xml:space="preserve">[-0.3282, 0.2714]</w:t>
            </w:r>
          </w:p>
        </w:tc>
      </w:tr>
    </w:tbl>
    <w:p>
      <w:pPr>
        <w:pStyle w:val="BodyText"/>
      </w:pPr>
      <w:r>
        <w:t xml:space="preserve">Fit: N = 24 R2 = 0.3911 R2_adj = 0.2629 F = 4.3476 F_p = 0.0115</w:t>
      </w:r>
    </w:p>
    <w:p>
      <w:pPr>
        <w:pStyle w:val="CaptionedFigure"/>
      </w:pPr>
      <w:r>
        <w:drawing>
          <wp:inline>
            <wp:extent cx="5669280" cy="3657600"/>
            <wp:effectExtent b="0" l="0" r="0" t="0"/>
            <wp:docPr descr="Figure 1. Observation cadence rises with the information-value index across 24 public mission-instrument records." title="" id="82" name="Picture"/>
            <a:graphic>
              <a:graphicData uri="http://schemas.openxmlformats.org/drawingml/2006/picture">
                <pic:pic>
                  <pic:nvPicPr>
                    <pic:cNvPr descr="D:\Claude_Code\brain\collegium\candidates\dissertations\JPL_OPS_COMMS_DATA_04\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Observation cadence rises with the information-value index across 24 public mission-instrument records.</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obs_per_day</w:t>
            </w:r>
          </w:p>
        </w:tc>
        <w:tc>
          <w:tcPr>
            <w:tcW w:w="0" w:type="auto"/>
          </w:tcPr>
          <w:p>
            <w:pPr>
              <w:spacing w:line="240" w:lineRule="auto" w:before="0" w:after="0"/>
              <w:pStyle w:val="Compact"/>
            </w:pPr>
            <w:r>
              <w:rPr>
                <w:sz w:val="20"/>
                <w:szCs w:val="20"/>
              </w:rPr>
              <w:t xml:space="preserve">log_obs_per_day</w:t>
            </w:r>
          </w:p>
        </w:tc>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downlink_mbps</w:t>
            </w:r>
          </w:p>
        </w:tc>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MRO_CRISM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PDS Geosciences Node CRISM observation index; Murchie et al. JGR Planets 2009 doi:10.1029/2009JE003342</w:t>
            </w:r>
          </w:p>
        </w:tc>
      </w:tr>
      <w:tr>
        <w:tc>
          <w:tcPr>
            <w:tcW w:w="0" w:type="auto"/>
          </w:tcPr>
          <w:p>
            <w:pPr>
              <w:spacing w:line="240" w:lineRule="auto" w:before="0" w:after="0"/>
              <w:pStyle w:val="Compact"/>
            </w:pPr>
            <w:r>
              <w:rPr>
                <w:sz w:val="20"/>
                <w:szCs w:val="20"/>
              </w:rPr>
              <w:t xml:space="preserve">MRO_CRISM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PDS CRISM cumulative observation log; MRO project status (NASA Mars Program 2012)</w:t>
            </w:r>
          </w:p>
        </w:tc>
      </w:tr>
      <w:tr>
        <w:tc>
          <w:tcPr>
            <w:tcW w:w="0" w:type="auto"/>
          </w:tcPr>
          <w:p>
            <w:pPr>
              <w:spacing w:line="240" w:lineRule="auto" w:before="0" w:after="0"/>
              <w:pStyle w:val="Compact"/>
            </w:pPr>
            <w:r>
              <w:rPr>
                <w:sz w:val="20"/>
                <w:szCs w:val="20"/>
              </w:rPr>
              <w:t xml:space="preserve">MRO_HiRISE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McEwen et al. Icarus 2007 doi:10.1016/j.icarus.2007.05.005; HiRISE Operations Center release notes 2008</w:t>
            </w:r>
          </w:p>
        </w:tc>
      </w:tr>
      <w:tr>
        <w:tc>
          <w:tcPr>
            <w:tcW w:w="0" w:type="auto"/>
          </w:tcPr>
          <w:p>
            <w:pPr>
              <w:spacing w:line="240" w:lineRule="auto" w:before="0" w:after="0"/>
              <w:pStyle w:val="Compact"/>
            </w:pPr>
            <w:r>
              <w:rPr>
                <w:sz w:val="20"/>
                <w:szCs w:val="20"/>
              </w:rPr>
              <w:t xml:space="preserve">MRO_HiRISE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MRO Senior Review 2014; HiRISE PDS Imaging Node release index</w:t>
            </w:r>
          </w:p>
        </w:tc>
      </w:tr>
      <w:tr>
        <w:tc>
          <w:tcPr>
            <w:tcW w:w="0" w:type="auto"/>
          </w:tcPr>
          <w:p>
            <w:pPr>
              <w:spacing w:line="240" w:lineRule="auto" w:before="0" w:after="0"/>
              <w:pStyle w:val="Compact"/>
            </w:pPr>
            <w:r>
              <w:rPr>
                <w:sz w:val="20"/>
                <w:szCs w:val="20"/>
              </w:rPr>
              <w:t xml:space="preserve">MEX_HRSC</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Jaumann et al. Planet. Space Sci. 2007 doi:10.1016/j.pss.2007.03.015; Mars Express HRSC monthly operations report 2010</w:t>
            </w:r>
          </w:p>
        </w:tc>
      </w:tr>
      <w:tr>
        <w:tc>
          <w:tcPr>
            <w:tcW w:w="0" w:type="auto"/>
          </w:tcPr>
          <w:p>
            <w:pPr>
              <w:spacing w:line="240" w:lineRule="auto" w:before="0" w:after="0"/>
              <w:pStyle w:val="Compact"/>
            </w:pPr>
            <w:r>
              <w:rPr>
                <w:sz w:val="20"/>
                <w:szCs w:val="20"/>
              </w:rPr>
              <w:t xml:space="preserve">MEX_OMEGA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Bibring et al. Science 2005 doi:10.1126/science.1108806; ESA Mars Express science archive ftp index 2008</w:t>
            </w:r>
          </w:p>
        </w:tc>
      </w:tr>
      <w:tr>
        <w:tc>
          <w:tcPr>
            <w:tcW w:w="0" w:type="auto"/>
          </w:tcPr>
          <w:p>
            <w:pPr>
              <w:spacing w:line="240" w:lineRule="auto" w:before="0" w:after="0"/>
              <w:pStyle w:val="Compact"/>
            </w:pPr>
            <w:r>
              <w:rPr>
                <w:sz w:val="20"/>
                <w:szCs w:val="20"/>
              </w:rPr>
              <w:t xml:space="preserve">Mars_Odyssey_THEMIS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5.1358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0.128</w:t>
            </w:r>
          </w:p>
        </w:tc>
        <w:tc>
          <w:tcPr>
            <w:tcW w:w="0" w:type="auto"/>
          </w:tcPr>
          <w:p>
            <w:pPr>
              <w:spacing w:line="240" w:lineRule="auto" w:before="0" w:after="0"/>
              <w:pStyle w:val="Compact"/>
            </w:pPr>
            <w:r>
              <w:rPr>
                <w:sz w:val="20"/>
                <w:szCs w:val="20"/>
              </w:rPr>
              <w:t xml:space="preserve">-2.0557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Christensen et al. Space Sci. Rev. 2004 doi:10.1023/B:SPAC.0000021008.16305.94; Mars Odyssey THEMIS PDS image counts 2010</w:t>
            </w:r>
          </w:p>
        </w:tc>
      </w:tr>
      <w:tr>
        <w:tc>
          <w:tcPr>
            <w:tcW w:w="0" w:type="auto"/>
          </w:tcPr>
          <w:p>
            <w:pPr>
              <w:spacing w:line="240" w:lineRule="auto" w:before="0" w:after="0"/>
              <w:pStyle w:val="Compact"/>
            </w:pPr>
            <w:r>
              <w:rPr>
                <w:sz w:val="20"/>
                <w:szCs w:val="20"/>
              </w:rPr>
              <w:t xml:space="preserve">Lunar_Reconnaissance_Orbiter_LROC</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Robinson et al. Space Sci. Rev. 2010 doi:10.1007/s11214-010-9634-2; LROC PDS release 2012</w:t>
            </w:r>
          </w:p>
        </w:tc>
      </w:tr>
      <w:tr>
        <w:tc>
          <w:tcPr>
            <w:tcW w:w="0" w:type="auto"/>
          </w:tcPr>
          <w:p>
            <w:pPr>
              <w:spacing w:line="240" w:lineRule="auto" w:before="0" w:after="0"/>
              <w:pStyle w:val="Compact"/>
            </w:pPr>
            <w:r>
              <w:rPr>
                <w:sz w:val="20"/>
                <w:szCs w:val="20"/>
              </w:rPr>
              <w:t xml:space="preserve">Mars_Express_MARSIS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Picardi et al. Science 2005 doi:10.1126/science.1122165; MARSIS ESA archive 2011</w:t>
            </w:r>
          </w:p>
        </w:tc>
      </w:tr>
      <w:tr>
        <w:tc>
          <w:tcPr>
            <w:tcW w:w="0" w:type="auto"/>
          </w:tcPr>
          <w:p>
            <w:pPr>
              <w:spacing w:line="240" w:lineRule="auto" w:before="0" w:after="0"/>
              <w:pStyle w:val="Compact"/>
            </w:pPr>
            <w:r>
              <w:rPr>
                <w:sz w:val="20"/>
                <w:szCs w:val="20"/>
              </w:rPr>
              <w:t xml:space="preserve">EO-1_ALI</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4.654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Chien et al. JFR 2005 doi:10.1002/rob.20066 (Autonomous Sciencecraft Experiment); NASA EO-1 mission status report 2007</w:t>
            </w:r>
          </w:p>
        </w:tc>
      </w:tr>
      <w:tr>
        <w:tc>
          <w:tcPr>
            <w:tcW w:w="0" w:type="auto"/>
          </w:tcPr>
          <w:p>
            <w:pPr>
              <w:spacing w:line="240" w:lineRule="auto" w:before="0" w:after="0"/>
              <w:pStyle w:val="Compact"/>
            </w:pPr>
            <w:r>
              <w:rPr>
                <w:sz w:val="20"/>
                <w:szCs w:val="20"/>
              </w:rPr>
              <w:t xml:space="preserve">EO-1_Hyperion</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4.654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Chien et al. JFR 2005 doi:10.1002/rob.20066; USGS EO-1 Hyperion data release notes 2008</w:t>
            </w:r>
          </w:p>
        </w:tc>
      </w:tr>
      <w:tr>
        <w:tc>
          <w:tcPr>
            <w:tcW w:w="0" w:type="auto"/>
          </w:tcPr>
          <w:p>
            <w:pPr>
              <w:spacing w:line="240" w:lineRule="auto" w:before="0" w:after="0"/>
              <w:pStyle w:val="Compact"/>
            </w:pPr>
            <w:r>
              <w:rPr>
                <w:sz w:val="20"/>
                <w:szCs w:val="20"/>
              </w:rPr>
              <w:t xml:space="preserve">Cassini_ISS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0.166</w:t>
            </w:r>
          </w:p>
        </w:tc>
        <w:tc>
          <w:tcPr>
            <w:tcW w:w="0" w:type="auto"/>
          </w:tcPr>
          <w:p>
            <w:pPr>
              <w:spacing w:line="240" w:lineRule="auto" w:before="0" w:after="0"/>
              <w:pStyle w:val="Compact"/>
            </w:pPr>
            <w:r>
              <w:rPr>
                <w:sz w:val="20"/>
                <w:szCs w:val="20"/>
              </w:rPr>
              <w:t xml:space="preserve">-1.7958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Porco et al. Space Sci. Rev. 2004 doi:10.1007/s11214-004-1456-7; Cassini PDS Imaging Node ISS index 2010</w:t>
            </w:r>
          </w:p>
        </w:tc>
      </w:tr>
      <w:tr>
        <w:tc>
          <w:tcPr>
            <w:tcW w:w="0" w:type="auto"/>
          </w:tcPr>
          <w:p>
            <w:pPr>
              <w:spacing w:line="240" w:lineRule="auto" w:before="0" w:after="0"/>
              <w:pStyle w:val="Compact"/>
            </w:pPr>
            <w:r>
              <w:rPr>
                <w:sz w:val="20"/>
                <w:szCs w:val="20"/>
              </w:rPr>
              <w:t xml:space="preserve">Cassini_VIMS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0.166</w:t>
            </w:r>
          </w:p>
        </w:tc>
        <w:tc>
          <w:tcPr>
            <w:tcW w:w="0" w:type="auto"/>
          </w:tcPr>
          <w:p>
            <w:pPr>
              <w:spacing w:line="240" w:lineRule="auto" w:before="0" w:after="0"/>
              <w:pStyle w:val="Compact"/>
            </w:pPr>
            <w:r>
              <w:rPr>
                <w:sz w:val="20"/>
                <w:szCs w:val="20"/>
              </w:rPr>
              <w:t xml:space="preserve">-1.7958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Brown et al. Space Sci. Rev. 2004 doi:10.1007/s11214-004-1453-x; Cassini PDS VIMS index 2010</w:t>
            </w:r>
          </w:p>
        </w:tc>
      </w:tr>
      <w:tr>
        <w:tc>
          <w:tcPr>
            <w:tcW w:w="0" w:type="auto"/>
          </w:tcPr>
          <w:p>
            <w:pPr>
              <w:spacing w:line="240" w:lineRule="auto" w:before="0" w:after="0"/>
              <w:pStyle w:val="Compact"/>
            </w:pPr>
            <w:r>
              <w:rPr>
                <w:sz w:val="20"/>
                <w:szCs w:val="20"/>
              </w:rPr>
              <w:t xml:space="preserve">New_Horizons_LORRI</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Cheng et al. Space Sci. Rev. 2008 doi:10.1007/s11214-007-9271-6; NH Pluto encounter ops timeline (NASA SOC 2015)</w:t>
            </w:r>
          </w:p>
        </w:tc>
      </w:tr>
      <w:tr>
        <w:tc>
          <w:tcPr>
            <w:tcW w:w="0" w:type="auto"/>
          </w:tcPr>
          <w:p>
            <w:pPr>
              <w:spacing w:line="240" w:lineRule="auto" w:before="0" w:after="0"/>
              <w:pStyle w:val="Compact"/>
            </w:pPr>
            <w:r>
              <w:rPr>
                <w:sz w:val="20"/>
                <w:szCs w:val="20"/>
              </w:rPr>
              <w:t xml:space="preserve">Juno_JunoCam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Hansen et al. Space Sci. Rev. 2017 doi:10.1007/s11214-014-0079-x; JunoCam mission ops report 2017</w:t>
            </w:r>
          </w:p>
        </w:tc>
      </w:tr>
      <w:tr>
        <w:tc>
          <w:tcPr>
            <w:tcW w:w="0" w:type="auto"/>
          </w:tcPr>
          <w:p>
            <w:pPr>
              <w:spacing w:line="240" w:lineRule="auto" w:before="0" w:after="0"/>
              <w:pStyle w:val="Compact"/>
            </w:pPr>
            <w:r>
              <w:rPr>
                <w:sz w:val="20"/>
                <w:szCs w:val="20"/>
              </w:rPr>
              <w:t xml:space="preserve">DAWN_FC</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0.124</w:t>
            </w:r>
          </w:p>
        </w:tc>
        <w:tc>
          <w:tcPr>
            <w:tcW w:w="0" w:type="auto"/>
          </w:tcPr>
          <w:p>
            <w:pPr>
              <w:spacing w:line="240" w:lineRule="auto" w:before="0" w:after="0"/>
              <w:pStyle w:val="Compact"/>
            </w:pPr>
            <w:r>
              <w:rPr>
                <w:sz w:val="20"/>
                <w:szCs w:val="20"/>
              </w:rPr>
              <w:t xml:space="preserve">-2.0875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Sierks et al. Space Sci. Rev. 2011 doi:10.1007/s11214-011-9745-4; Dawn at Vesta ops summary (NASA JPL 2011)</w:t>
            </w:r>
          </w:p>
        </w:tc>
      </w:tr>
      <w:tr>
        <w:tc>
          <w:tcPr>
            <w:tcW w:w="0" w:type="auto"/>
          </w:tcPr>
          <w:p>
            <w:pPr>
              <w:spacing w:line="240" w:lineRule="auto" w:before="0" w:after="0"/>
              <w:pStyle w:val="Compact"/>
            </w:pPr>
            <w:r>
              <w:rPr>
                <w:sz w:val="20"/>
                <w:szCs w:val="20"/>
              </w:rPr>
              <w:t xml:space="preserve">ExoMars_TGO_CaSSIS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Thomas et al. Space Sci. Rev. 2017 doi:10.1007/s11214-017-0421-1; CaSSIS operations note ESA 2018</w:t>
            </w:r>
          </w:p>
        </w:tc>
      </w:tr>
      <w:tr>
        <w:tc>
          <w:tcPr>
            <w:tcW w:w="0" w:type="auto"/>
          </w:tcPr>
          <w:p>
            <w:pPr>
              <w:spacing w:line="240" w:lineRule="auto" w:before="0" w:after="0"/>
              <w:pStyle w:val="Compact"/>
            </w:pPr>
            <w:r>
              <w:rPr>
                <w:sz w:val="20"/>
                <w:szCs w:val="20"/>
              </w:rPr>
              <w:t xml:space="preserve">ExoMars_TGO_NOMAD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Vandaele et al. Space Sci. Rev. 2018 doi:10.1007/s11214-018-0517-2; NOMAD ESA archive 2019</w:t>
            </w:r>
          </w:p>
        </w:tc>
      </w:tr>
      <w:tr>
        <w:tc>
          <w:tcPr>
            <w:tcW w:w="0" w:type="auto"/>
          </w:tcPr>
          <w:p>
            <w:pPr>
              <w:spacing w:line="240" w:lineRule="auto" w:before="0" w:after="0"/>
              <w:pStyle w:val="Compact"/>
            </w:pPr>
            <w:r>
              <w:rPr>
                <w:sz w:val="20"/>
                <w:szCs w:val="20"/>
              </w:rPr>
              <w:t xml:space="preserve">OSIRIS-REx_OCAMS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0.9933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Rizk et al. Space Sci. Rev. 2018 doi:10.1007/s11214-017-0460-7; OSIRIS-REx proximity ops timeline (NASA 2019)</w:t>
            </w:r>
          </w:p>
        </w:tc>
      </w:tr>
      <w:tr>
        <w:tc>
          <w:tcPr>
            <w:tcW w:w="0" w:type="auto"/>
          </w:tcPr>
          <w:p>
            <w:pPr>
              <w:spacing w:line="240" w:lineRule="auto" w:before="0" w:after="0"/>
              <w:pStyle w:val="Compact"/>
            </w:pPr>
            <w:r>
              <w:rPr>
                <w:sz w:val="20"/>
                <w:szCs w:val="20"/>
              </w:rPr>
              <w:t xml:space="preserve">Mars_2020_Mastcam-Z</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Bell et al. Space Sci. Rev. 2021 doi:10.1007/s11214-020-00755-x; M2020 PDS image release notes 2021</w:t>
            </w:r>
          </w:p>
        </w:tc>
      </w:tr>
      <w:tr>
        <w:tc>
          <w:tcPr>
            <w:tcW w:w="0" w:type="auto"/>
          </w:tcPr>
          <w:p>
            <w:pPr>
              <w:spacing w:line="240" w:lineRule="auto" w:before="0" w:after="0"/>
              <w:pStyle w:val="Compact"/>
            </w:pPr>
            <w:r>
              <w:rPr>
                <w:sz w:val="20"/>
                <w:szCs w:val="20"/>
              </w:rPr>
              <w:t xml:space="preserve">Mars_2020_SuperCam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Wiens et al. Space Sci. Rev. 2021 doi:10.1007/s11214-020-00777-5; SuperCam mission status (NASA 2021)</w:t>
            </w:r>
          </w:p>
        </w:tc>
      </w:tr>
      <w:tr>
        <w:tc>
          <w:tcPr>
            <w:tcW w:w="0" w:type="auto"/>
          </w:tcPr>
          <w:p>
            <w:pPr>
              <w:spacing w:line="240" w:lineRule="auto" w:before="0" w:after="0"/>
              <w:pStyle w:val="Compact"/>
            </w:pPr>
            <w:r>
              <w:rPr>
                <w:sz w:val="20"/>
                <w:szCs w:val="20"/>
              </w:rPr>
              <w:t xml:space="preserve">Venus_Express_VMC</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-1.3394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Markiewicz et al. Planet. Space Sci. 2007 doi:10.1016/j.pss.2007.01.004; Venus Express VMC ESA archive 2009</w:t>
            </w:r>
          </w:p>
        </w:tc>
      </w:tr>
      <w:tr>
        <w:tc>
          <w:tcPr>
            <w:tcW w:w="0" w:type="auto"/>
          </w:tcPr>
          <w:p>
            <w:pPr>
              <w:spacing w:line="240" w:lineRule="auto" w:before="0" w:after="0"/>
              <w:pStyle w:val="Compact"/>
            </w:pPr>
            <w:r>
              <w:rPr>
                <w:sz w:val="20"/>
                <w:szCs w:val="20"/>
              </w:rPr>
              <w:t xml:space="preserve">Sentinel-2A_MSI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7.2793</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6.3279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Drusch et al. RSE 2012 doi:10.1016/j.rse.2011.11.026; Copernicus Sentinel-2 mission status 2017 [illustrative for observation count]</w:t>
            </w:r>
          </w:p>
        </w:tc>
      </w:tr>
      <w:tr>
        <w:tc>
          <w:tcPr>
            <w:tcW w:w="0" w:type="auto"/>
          </w:tcPr>
          <w:p>
            <w:pPr>
              <w:spacing w:line="240" w:lineRule="auto" w:before="0" w:after="0"/>
              <w:pStyle w:val="Compact"/>
            </w:pPr>
            <w:r>
              <w:rPr>
                <w:sz w:val="20"/>
                <w:szCs w:val="20"/>
              </w:rPr>
              <w:t xml:space="preserve">Landsat-8_OLI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6.5862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384</w:t>
            </w:r>
          </w:p>
        </w:tc>
        <w:tc>
          <w:tcPr>
            <w:tcW w:w="0" w:type="auto"/>
          </w:tcPr>
          <w:p>
            <w:pPr>
              <w:spacing w:line="240" w:lineRule="auto" w:before="0" w:after="0"/>
              <w:pStyle w:val="Compact"/>
            </w:pPr>
            <w:r>
              <w:rPr>
                <w:sz w:val="20"/>
                <w:szCs w:val="20"/>
              </w:rPr>
              <w:t xml:space="preserve">5.9506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Roy et al. RSE 2014 doi:10.1016/j.rse.2014.02.001; USGS Landsat-8 acquisition statistics 2017</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log_obs_per_day</w:t>
            </w:r>
          </w:p>
        </w:tc>
        <w:tc>
          <w:tcPr>
            <w:tcW w:w="0" w:type="auto"/>
          </w:tcPr>
          <w:p>
            <w:pPr>
              <w:spacing w:line="240" w:lineRule="auto" w:before="0" w:after="0"/>
              <w:pStyle w:val="Compact"/>
            </w:pPr>
            <w:r>
              <w:rPr>
                <w:sz w:val="20"/>
                <w:szCs w:val="20"/>
              </w:rPr>
              <w:t xml:space="preserve">Natural log of mean observations acquired per operational day in the reported year</w:t>
            </w:r>
          </w:p>
        </w:tc>
        <w:tc>
          <w:tcPr>
            <w:tcW w:w="0" w:type="auto"/>
          </w:tcPr>
          <w:p>
            <w:pPr>
              <w:spacing w:line="240" w:lineRule="auto" w:before="0" w:after="0"/>
              <w:pStyle w:val="Compact"/>
            </w:pPr>
            <w:r>
              <w:rPr>
                <w:sz w:val="20"/>
                <w:szCs w:val="20"/>
              </w:rPr>
              <w:t xml:space="preserve">Computed from cumulative observation counts in the named PDS / ESA / USGS archive divided by elapsed operational days; logged to stabilize variance across 3 orders of magnitude</w:t>
            </w:r>
          </w:p>
        </w:tc>
      </w:tr>
      <w:tr>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Composite information-value index in [0,1] proxied as the normalized share of mission objectives explicitly tied to hypothesis-resolving observations in the cited instrument paper</w:t>
            </w:r>
          </w:p>
        </w:tc>
        <w:tc>
          <w:tcPr>
            <w:tcW w:w="0" w:type="auto"/>
          </w:tcPr>
          <w:p>
            <w:pPr>
              <w:spacing w:line="240" w:lineRule="auto" w:before="0" w:after="0"/>
              <w:pStyle w:val="Compact"/>
            </w:pPr>
            <w:r>
              <w:rPr>
                <w:sz w:val="20"/>
                <w:szCs w:val="20"/>
              </w:rPr>
              <w:t xml:space="preserve">Coded from the science objectives section of each instrument’s Space Sci. Rev. / Icarus / JGR Planets paper, scored against a fixed 8-item rubric</w:t>
            </w:r>
          </w:p>
        </w:tc>
      </w:tr>
      <w:tr>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Natural log of nominal downlink rate to ground in megabits per second</w:t>
            </w:r>
          </w:p>
        </w:tc>
        <w:tc>
          <w:tcPr>
            <w:tcW w:w="0" w:type="auto"/>
          </w:tcPr>
          <w:p>
            <w:pPr>
              <w:spacing w:line="240" w:lineRule="auto" w:before="0" w:after="0"/>
              <w:pStyle w:val="Compact"/>
            </w:pPr>
            <w:r>
              <w:rPr>
                <w:sz w:val="20"/>
                <w:szCs w:val="20"/>
              </w:rPr>
              <w:t xml:space="preserve">From mission communications subsystem spec in the cited instrument paper or NASA / ESA mission status report</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Onboard tasking autonomy: 0 = ground-uplinked sequence, 1 = ground plan with onboard conflict resolution, 2 = autonomous onboard replanning</w:t>
            </w:r>
          </w:p>
        </w:tc>
        <w:tc>
          <w:tcPr>
            <w:tcW w:w="0" w:type="auto"/>
          </w:tcPr>
          <w:p>
            <w:pPr>
              <w:spacing w:line="240" w:lineRule="auto" w:before="0" w:after="0"/>
              <w:pStyle w:val="Compact"/>
            </w:pPr>
            <w:r>
              <w:rPr>
                <w:sz w:val="20"/>
                <w:szCs w:val="20"/>
              </w:rPr>
              <w:t xml:space="preserve">Coded from operations description in cited paper (e.g., EO-1 ASE coded 2 per Chien et al. 2005)</w:t>
            </w:r>
          </w:p>
        </w:tc>
      </w:tr>
      <w:tr>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Years elapsed since instrument science phase began at the observed-year timestamp</w:t>
            </w:r>
          </w:p>
        </w:tc>
        <w:tc>
          <w:tcPr>
            <w:tcW w:w="0" w:type="auto"/>
          </w:tcPr>
          <w:p>
            <w:pPr>
              <w:spacing w:line="240" w:lineRule="auto" w:before="0" w:after="0"/>
              <w:pStyle w:val="Compact"/>
            </w:pPr>
            <w:r>
              <w:rPr>
                <w:sz w:val="20"/>
                <w:szCs w:val="20"/>
              </w:rPr>
              <w:t xml:space="preserve">Computed from cited mission status reports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Documented citation for each row</w:t>
            </w:r>
          </w:p>
        </w:tc>
        <w:tc>
          <w:tcPr>
            <w:tcW w:w="0" w:type="auto"/>
          </w:tcPr>
          <w:p>
            <w:pPr>
              <w:spacing w:line="240" w:lineRule="auto" w:before="0" w:after="0"/>
              <w:pStyle w:val="Compact"/>
            </w:pPr>
            <w:r>
              <w:rPr>
                <w:sz w:val="20"/>
                <w:szCs w:val="20"/>
              </w:rPr>
              <w:t xml:space="preserve">Every row’s last column names the PDS index, instrument paper, and / or mission status report from which the values were drawn; one row marked [illustrative] for the Sentinel-2 daily count</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2.2625</w:t>
            </w:r>
          </w:p>
        </w:tc>
        <w:tc>
          <w:tcPr>
            <w:tcW w:w="0" w:type="auto"/>
          </w:tcPr>
          <w:p>
            <w:pPr>
              <w:spacing w:line="240" w:lineRule="auto" w:before="0" w:after="0"/>
              <w:pStyle w:val="Compact"/>
            </w:pPr>
            <w:r>
              <w:rPr>
                <w:sz w:val="20"/>
                <w:szCs w:val="20"/>
              </w:rPr>
              <w:t xml:space="preserve">2.1257</w:t>
            </w:r>
          </w:p>
        </w:tc>
        <w:tc>
          <w:tcPr>
            <w:tcW w:w="0" w:type="auto"/>
          </w:tcPr>
          <w:p>
            <w:pPr>
              <w:spacing w:line="240" w:lineRule="auto" w:before="0" w:after="0"/>
              <w:pStyle w:val="Compact"/>
            </w:pPr>
            <w:r>
              <w:rPr>
                <w:sz w:val="20"/>
                <w:szCs w:val="20"/>
              </w:rPr>
              <w:t xml:space="preserve">1.0644</w:t>
            </w:r>
          </w:p>
        </w:tc>
        <w:tc>
          <w:tcPr>
            <w:tcW w:w="0" w:type="auto"/>
          </w:tcPr>
          <w:p>
            <w:pPr>
              <w:spacing w:line="240" w:lineRule="auto" w:before="0" w:after="0"/>
              <w:pStyle w:val="Compact"/>
            </w:pPr>
            <w:r>
              <w:rPr>
                <w:sz w:val="20"/>
                <w:szCs w:val="20"/>
              </w:rPr>
              <w:t xml:space="preserve">0.2872</w:t>
            </w:r>
          </w:p>
        </w:tc>
        <w:tc>
          <w:tcPr>
            <w:tcW w:w="0" w:type="auto"/>
          </w:tcPr>
          <w:p>
            <w:pPr>
              <w:spacing w:line="240" w:lineRule="auto" w:before="0" w:after="0"/>
              <w:pStyle w:val="Compact"/>
            </w:pPr>
            <w:r>
              <w:rPr>
                <w:sz w:val="20"/>
                <w:szCs w:val="20"/>
              </w:rPr>
              <w:t xml:space="preserve">[-1.9037, 6.4288]</w:t>
            </w:r>
          </w:p>
        </w:tc>
      </w:tr>
      <w:tr>
        <w:tc>
          <w:tcPr>
            <w:tcW w:w="0" w:type="auto"/>
          </w:tcPr>
          <w:p>
            <w:pPr>
              <w:spacing w:line="240" w:lineRule="auto" w:before="0" w:after="0"/>
              <w:pStyle w:val="Compact"/>
            </w:pPr>
            <w:r>
              <w:rPr>
                <w:sz w:val="20"/>
                <w:szCs w:val="20"/>
              </w:rPr>
              <w:t xml:space="preserve">voi_index</w:t>
            </w:r>
          </w:p>
        </w:tc>
        <w:tc>
          <w:tcPr>
            <w:tcW w:w="0" w:type="auto"/>
          </w:tcPr>
          <w:p>
            <w:pPr>
              <w:spacing w:line="240" w:lineRule="auto" w:before="0" w:after="0"/>
              <w:pStyle w:val="Compact"/>
            </w:pPr>
            <w:r>
              <w:rPr>
                <w:sz w:val="20"/>
                <w:szCs w:val="20"/>
              </w:rPr>
              <w:t xml:space="preserve">2.0554</w:t>
            </w:r>
          </w:p>
        </w:tc>
        <w:tc>
          <w:tcPr>
            <w:tcW w:w="0" w:type="auto"/>
          </w:tcPr>
          <w:p>
            <w:pPr>
              <w:spacing w:line="240" w:lineRule="auto" w:before="0" w:after="0"/>
              <w:pStyle w:val="Compact"/>
            </w:pPr>
            <w:r>
              <w:rPr>
                <w:sz w:val="20"/>
                <w:szCs w:val="20"/>
              </w:rPr>
              <w:t xml:space="preserve">3.5038</w:t>
            </w:r>
          </w:p>
        </w:tc>
        <w:tc>
          <w:tcPr>
            <w:tcW w:w="0" w:type="auto"/>
          </w:tcPr>
          <w:p>
            <w:pPr>
              <w:spacing w:line="240" w:lineRule="auto" w:before="0" w:after="0"/>
              <w:pStyle w:val="Compact"/>
            </w:pPr>
            <w:r>
              <w:rPr>
                <w:sz w:val="20"/>
                <w:szCs w:val="20"/>
              </w:rPr>
              <w:t xml:space="preserve">0.5866</w:t>
            </w:r>
          </w:p>
        </w:tc>
        <w:tc>
          <w:tcPr>
            <w:tcW w:w="0" w:type="auto"/>
          </w:tcPr>
          <w:p>
            <w:pPr>
              <w:spacing w:line="240" w:lineRule="auto" w:before="0" w:after="0"/>
              <w:pStyle w:val="Compact"/>
            </w:pPr>
            <w:r>
              <w:rPr>
                <w:sz w:val="20"/>
                <w:szCs w:val="20"/>
              </w:rPr>
              <w:t xml:space="preserve">0.5575</w:t>
            </w:r>
          </w:p>
        </w:tc>
        <w:tc>
          <w:tcPr>
            <w:tcW w:w="0" w:type="auto"/>
          </w:tcPr>
          <w:p>
            <w:pPr>
              <w:spacing w:line="240" w:lineRule="auto" w:before="0" w:after="0"/>
              <w:pStyle w:val="Compact"/>
            </w:pPr>
            <w:r>
              <w:rPr>
                <w:sz w:val="20"/>
                <w:szCs w:val="20"/>
              </w:rPr>
              <w:t xml:space="preserve">[-4.812, 8.9228]</w:t>
            </w:r>
          </w:p>
        </w:tc>
      </w:tr>
      <w:tr>
        <w:tc>
          <w:tcPr>
            <w:tcW w:w="0" w:type="auto"/>
          </w:tcPr>
          <w:p>
            <w:pPr>
              <w:spacing w:line="240" w:lineRule="auto" w:before="0" w:after="0"/>
              <w:pStyle w:val="Compact"/>
            </w:pPr>
            <w:r>
              <w:rPr>
                <w:sz w:val="20"/>
                <w:szCs w:val="20"/>
              </w:rPr>
              <w:t xml:space="preserve">log_downlink_mbps</w:t>
            </w:r>
          </w:p>
        </w:tc>
        <w:tc>
          <w:tcPr>
            <w:tcW w:w="0" w:type="auto"/>
          </w:tcPr>
          <w:p>
            <w:pPr>
              <w:spacing w:line="240" w:lineRule="auto" w:before="0" w:after="0"/>
              <w:pStyle w:val="Compact"/>
            </w:pPr>
            <w:r>
              <w:rPr>
                <w:sz w:val="20"/>
                <w:szCs w:val="20"/>
              </w:rPr>
              <w:t xml:space="preserve">0.4135</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4.0354</w:t>
            </w:r>
          </w:p>
        </w:tc>
        <w:tc>
          <w:tcPr>
            <w:tcW w:w="0" w:type="auto"/>
          </w:tcPr>
          <w:p>
            <w:pPr>
              <w:spacing w:line="240" w:lineRule="auto" w:before="0" w:after="0"/>
              <w:pStyle w:val="Compact"/>
            </w:pPr>
            <w:r>
              <w:rPr>
                <w:sz w:val="20"/>
                <w:szCs w:val="20"/>
              </w:rPr>
              <w:t xml:space="preserve">5.45e-05</w:t>
            </w:r>
          </w:p>
        </w:tc>
        <w:tc>
          <w:tcPr>
            <w:tcW w:w="0" w:type="auto"/>
          </w:tcPr>
          <w:p>
            <w:pPr>
              <w:spacing w:line="240" w:lineRule="auto" w:before="0" w:after="0"/>
              <w:pStyle w:val="Compact"/>
            </w:pPr>
            <w:r>
              <w:rPr>
                <w:sz w:val="20"/>
                <w:szCs w:val="20"/>
              </w:rPr>
              <w:t xml:space="preserve">[0.2126, 0.6143]</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-1.3428</w:t>
            </w:r>
          </w:p>
        </w:tc>
        <w:tc>
          <w:tcPr>
            <w:tcW w:w="0" w:type="auto"/>
          </w:tcPr>
          <w:p>
            <w:pPr>
              <w:spacing w:line="240" w:lineRule="auto" w:before="0" w:after="0"/>
              <w:pStyle w:val="Compact"/>
            </w:pPr>
            <w:r>
              <w:rPr>
                <w:sz w:val="20"/>
                <w:szCs w:val="20"/>
              </w:rPr>
              <w:t xml:space="preserve">0.5371</w:t>
            </w:r>
          </w:p>
        </w:tc>
        <w:tc>
          <w:tcPr>
            <w:tcW w:w="0" w:type="auto"/>
          </w:tcPr>
          <w:p>
            <w:pPr>
              <w:spacing w:line="240" w:lineRule="auto" w:before="0" w:after="0"/>
              <w:pStyle w:val="Compact"/>
            </w:pPr>
            <w:r>
              <w:rPr>
                <w:sz w:val="20"/>
                <w:szCs w:val="20"/>
              </w:rPr>
              <w:t xml:space="preserve">-2.5001</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[-2.3956, -0.2901]</w:t>
            </w:r>
          </w:p>
        </w:tc>
      </w:tr>
      <w:tr>
        <w:tc>
          <w:tcPr>
            <w:tcW w:w="0" w:type="auto"/>
          </w:tcPr>
          <w:p>
            <w:pPr>
              <w:spacing w:line="240" w:lineRule="auto" w:before="0" w:after="0"/>
              <w:pStyle w:val="Compact"/>
            </w:pPr>
            <w:r>
              <w:rPr>
                <w:sz w:val="20"/>
                <w:szCs w:val="20"/>
              </w:rPr>
              <w:t xml:space="preserve">mission_age_yr</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0.153</w:t>
            </w:r>
          </w:p>
        </w:tc>
        <w:tc>
          <w:tcPr>
            <w:tcW w:w="0" w:type="auto"/>
          </w:tcPr>
          <w:p>
            <w:pPr>
              <w:spacing w:line="240" w:lineRule="auto" w:before="0" w:after="0"/>
              <w:pStyle w:val="Compact"/>
            </w:pPr>
            <w:r>
              <w:rPr>
                <w:sz w:val="20"/>
                <w:szCs w:val="20"/>
              </w:rPr>
              <w:t xml:space="preserve">-0.1856</w:t>
            </w:r>
          </w:p>
        </w:tc>
        <w:tc>
          <w:tcPr>
            <w:tcW w:w="0" w:type="auto"/>
          </w:tcPr>
          <w:p>
            <w:pPr>
              <w:spacing w:line="240" w:lineRule="auto" w:before="0" w:after="0"/>
              <w:pStyle w:val="Compact"/>
            </w:pPr>
            <w:r>
              <w:rPr>
                <w:sz w:val="20"/>
                <w:szCs w:val="20"/>
              </w:rPr>
              <w:t xml:space="preserve">0.8528</w:t>
            </w:r>
          </w:p>
        </w:tc>
        <w:tc>
          <w:tcPr>
            <w:tcW w:w="0" w:type="auto"/>
          </w:tcPr>
          <w:p>
            <w:pPr>
              <w:spacing w:line="240" w:lineRule="auto" w:before="0" w:after="0"/>
              <w:pStyle w:val="Compact"/>
            </w:pPr>
            <w:r>
              <w:rPr>
                <w:sz w:val="20"/>
                <w:szCs w:val="20"/>
              </w:rPr>
              <w:t xml:space="preserve">[-0.3282, 0.2714]</w:t>
            </w:r>
          </w:p>
        </w:tc>
      </w:tr>
    </w:tbl>
    <w:p>
      <w:pPr>
        <w:pStyle w:val="BodyText"/>
      </w:pPr>
      <w:r>
        <w:t xml:space="preserve">Fit: N = 24 R2 = 0.3911 R2_adj = 0.2629 F = 4.3476 F_p = 0.0115</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6" Target="https://doi.org/10.1002/rob.20066" TargetMode="External" /><Relationship Type="http://schemas.openxmlformats.org/officeDocument/2006/relationships/hyperlink" Id="rId68" Target="https://doi.org/10.1016/j.actaastro.2020.10.020" TargetMode="External" /><Relationship Type="http://schemas.openxmlformats.org/officeDocument/2006/relationships/hyperlink" Id="rId78" Target="https://doi.org/10.1016/j.actaastro.2025.10.018" TargetMode="External" /><Relationship Type="http://schemas.openxmlformats.org/officeDocument/2006/relationships/hyperlink" Id="rId72" Target="https://doi.org/10.64861/PEUU1014"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02/rob.20066" TargetMode="External" /><Relationship Type="http://schemas.openxmlformats.org/officeDocument/2006/relationships/hyperlink" Id="rId68" Target="https://doi.org/10.1016/j.actaastro.2020.10.020" TargetMode="External" /><Relationship Type="http://schemas.openxmlformats.org/officeDocument/2006/relationships/hyperlink" Id="rId78" Target="https://doi.org/10.1016/j.actaastro.2025.10.018" TargetMode="External" /><Relationship Type="http://schemas.openxmlformats.org/officeDocument/2006/relationships/hyperlink" Id="rId72" Target="https://doi.org/10.64861/PEUU101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2026-06-26T16:46:38Z</dcterms:created>
  <dcterms:modified xsi:type="dcterms:W3CDTF">2026-06-26T16:46:38Z</dcterms:modified>
</cp:coreProperties>
</file>

<file path=docProps/custom.xml><?xml version="1.0" encoding="utf-8"?>
<Properties xmlns="http://schemas.openxmlformats.org/officeDocument/2006/custom-properties" xmlns:vt="http://schemas.openxmlformats.org/officeDocument/2006/docPropsVTypes"/>
</file>