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VALUE OF INFORMATION IN ADAPTIVE SCIENCE OBSERVATION PLANNING: A DECISION-ANALYTIC FORMULATION</w:t>
      </w:r>
    </w:p>
    <w:p>
      <w:pPr>
        <w:jc w:val="center"/>
      </w:pPr>
    </w:p>
    <w:p>
      <w:pPr>
        <w:jc w:val="center"/>
      </w:pPr>
      <w:r>
        <w:rPr>
          <w:rFonts w:ascii="Times New Roman" w:hAnsi="Times New Roman"/>
          <w:sz w:val="24"/>
        </w:rPr>
        <w:t>by</w:t>
      </w:r>
    </w:p>
    <w:p>
      <w:pPr>
        <w:jc w:val="center"/>
      </w:pPr>
      <w:r>
        <w:rPr>
          <w:rFonts w:ascii="Times New Roman" w:hAnsi="Times New Roman"/>
          <w:b/>
          <w:sz w:val="28"/>
        </w:rPr>
        <w:t>Cora Whitfield</w:t>
      </w:r>
    </w:p>
    <w:p>
      <w:pPr>
        <w:jc w:val="center"/>
      </w:pPr>
      <w:r>
        <w:rPr>
          <w:rFonts w:ascii="Times New Roman" w:hAnsi="Times New Roman"/>
          <w:sz w:val="24"/>
        </w:rPr>
        <w:t>1B-OPS-085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Xcc87f8cc58145b0ff2f4d63f1ef458f6283435c"/>
    <w:p>
      <w:pPr>
        <w:pStyle w:val="Heading2"/>
        <w:spacing w:line="480" w:lineRule="auto"/>
      </w:pPr>
      <w:r>
        <w:t xml:space="preserve">1.1 The Problem and Why It Matters to NASA and JPL</w:t>
      </w:r>
    </w:p>
    <w:p>
      <w:pPr>
        <w:pStyle w:val="FirstParagraph"/>
        <w:spacing w:line="480" w:lineRule="auto"/>
      </w:pPr>
      <w:r>
        <w:t xml:space="preserve">A robotic science spacecraft observes only a small fraction of the targets its mission team would like to acquire. The observation timeline is oversubscribed by candidate targets, the downlink is bounded by deep-space-network bandwidth, and the marginal scientific payoff of any single observation is uncertain at the moment it must be committed to the schedule. The Jet Propulsion Laboratory operates an institutional portfolio in which this scarcity is the defining operational fact. From Mars Reconnaissance Orbiter and Mars 2020 through Cassini, Juno, New Horizons, OSIRIS-REx, and the in-flight commissioning of Europa Clipper and Psyche, the unit of value is not the number of frames the instrument can in principle take but the cumulative scientific belief change those frames produce given everything else already observed. The Government Accountability Office’s annual major-projects assessments track NASA flight projects against planned cadence and cost commitments and report shortfalls and overruns with increasing granularity at the instrument and subsystem level</w:t>
      </w:r>
      <w:r>
        <w:t xml:space="preserve"> </w:t>
      </w:r>
      <w:hyperlink w:anchor="ref-16">
        <w:r>
          <w:rPr>
            <w:rStyle w:val="Hyperlink"/>
          </w:rPr>
          <w:t xml:space="preserve">[16]</w:t>
        </w:r>
      </w:hyperlink>
      <w:r>
        <w:t xml:space="preserve">. The bottom line that operations teams are asked to defend in front of NASA Senior Reviews, GAO assessments, and the Decadal Survey constituencies is therefore not throughput but adaptive plan attainment under genuine uncertainty.</w:t>
      </w:r>
    </w:p>
    <w:p>
      <w:pPr>
        <w:pStyle w:val="BodyText"/>
        <w:spacing w:line="480" w:lineRule="auto"/>
        <w:ind w:firstLine="720"/>
      </w:pPr>
      <w:r>
        <w:t xml:space="preserve">Current operations practice resolves the scarcity through scheduling heuristics. The dominant satellite onboard activity planners use precedence-rule conflict resolution to sequence candidate observations against timeline, slew, thermal, power, and downlink constraints</w:t>
      </w:r>
      <w:r>
        <w:t xml:space="preserve"> </w:t>
      </w:r>
      <w:hyperlink w:anchor="ref-1">
        <w:r>
          <w:rPr>
            <w:rStyle w:val="Hyperlink"/>
          </w:rPr>
          <w:t xml:space="preserve">[1]</w:t>
        </w:r>
      </w:hyperlink>
      <w:r>
        <w:t xml:space="preserve">. These heuristics are computationally tractable, deterministic, and operationally trusted; they have been validated across mission classes and they integrate with existing ground-system tooling. They do, however, encode scientific value implicitly rather than as a quantity to be estimated and maximized. A</w:t>
      </w:r>
      <w:r>
        <w:t xml:space="preserve"> </w:t>
      </w:r>
      <w:r>
        <w:t xml:space="preserve">“high priority”</w:t>
      </w:r>
      <w:r>
        <w:t xml:space="preserve"> </w:t>
      </w:r>
      <w:r>
        <w:t xml:space="preserve">label is assigned to a target before the campaign begins and is held fixed thereafter; the rule does not ask, at the moment of tasking, how much the observation is expected to change the team’s posterior over a science hypothesis given the data the campaign has already returned. The cost of that mismatch compounds across a multi-year mission. Observations that would have moved a hypothesis are crowded out by higher-tier targets whose informational content has already been substantially exhausted. When the campaign is reviewed at its end, the productivity loss is real but is not directly attributable to any single scheduling decision, which keeps the heuristic in place.</w:t>
      </w:r>
    </w:p>
    <w:p>
      <w:pPr>
        <w:pStyle w:val="BodyText"/>
        <w:spacing w:line="480" w:lineRule="auto"/>
        <w:ind w:firstLine="720"/>
      </w:pPr>
      <w:r>
        <w:t xml:space="preserve">The current technological moment makes this gap operationally consequential rather than merely academic. The field is in the middle of a wave of machine-learning-assisted scheduling, agent-based mission management, and onboard autonomy across launch, space, ground, and user segments [2, 26]. Agent-based architectures for distributed space systems are being proposed as the next-generation operations layer for constellations and federated missions [11, 28]. Onboard autonomy demonstrators on EO-1</w:t>
      </w:r>
      <w:r>
        <w:t xml:space="preserve"> </w:t>
      </w:r>
      <w:hyperlink w:anchor="ref-10">
        <w:r>
          <w:rPr>
            <w:rStyle w:val="Hyperlink"/>
          </w:rPr>
          <w:t xml:space="preserve">[10]</w:t>
        </w:r>
      </w:hyperlink>
      <w:r>
        <w:t xml:space="preserve"> </w:t>
      </w:r>
      <w:r>
        <w:t xml:space="preserve">and subsequent flight implementations have shown that the spacecraft can replan in flight; what they have not yet shown, in a falsifiable head-to-head test against the heuristics they are intended to replace, is that they are tasking on the right objective. The Space Domain Awareness community, working an adjacent but methodologically related problem of allocating finite sensor capacity across many candidate observations, has moved more aggressively to formalize the objective. Sensor-tasking frameworks now explicitly score candidate looks by Fisher information</w:t>
      </w:r>
      <w:r>
        <w:t xml:space="preserve"> </w:t>
      </w:r>
      <w:hyperlink w:anchor="ref-13">
        <w:r>
          <w:rPr>
            <w:rStyle w:val="Hyperlink"/>
          </w:rPr>
          <w:t xml:space="preserve">[13]</w:t>
        </w:r>
      </w:hyperlink>
      <w:r>
        <w:t xml:space="preserve">, by mutual-information contributions to a custody estimate [7, 8], by inferential moments tied to conjunction risk</w:t>
      </w:r>
      <w:r>
        <w:t xml:space="preserve"> </w:t>
      </w:r>
      <w:hyperlink w:anchor="ref-9">
        <w:r>
          <w:rPr>
            <w:rStyle w:val="Hyperlink"/>
          </w:rPr>
          <w:t xml:space="preserve">[9]</w:t>
        </w:r>
      </w:hyperlink>
      <w:r>
        <w:t xml:space="preserve">, and by POMDP tree-search policies that approximate the value of information for tracking</w:t>
      </w:r>
      <w:r>
        <w:t xml:space="preserve"> </w:t>
      </w:r>
      <w:hyperlink w:anchor="ref-19">
        <w:r>
          <w:rPr>
            <w:rStyle w:val="Hyperlink"/>
          </w:rPr>
          <w:t xml:space="preserve">[19]</w:t>
        </w:r>
      </w:hyperlink>
      <w:r>
        <w:t xml:space="preserve">. Decentralized and trust-fused multi-agent sensor networks have been built and demonstrated [3, 4, 18, 21], and game-theoretic and adaptive tasking has been studied for cislunar custody where the observation budget is especially tight [17, 22]. The methodological transfer from this body of work to science observation planning is incomplete. JPL flight projects continue to schedule science observations primarily on static priority labels even as adjacent communities operating on the same underlying scarcity have already reformulated tasking as an information-economic optimization.</w:t>
      </w:r>
    </w:p>
    <w:p>
      <w:pPr>
        <w:pStyle w:val="BodyText"/>
        <w:spacing w:line="480" w:lineRule="auto"/>
        <w:ind w:firstLine="720"/>
      </w:pPr>
      <w:r>
        <w:t xml:space="preserve">The stakes for the agency are concrete. Every observation cycle in which an oversubscribed campaign selects a lower-information target over a higher-information one is a small irreversible loss of scientific return per dollar of mission cost. Aggregated across multi-year flagship campaigns, those losses are large enough to be visible in the Decadal Survey accounting of what each mission delivered against what it promised, and large enough to matter to the GAO assessments that increasingly anchor congressional appropriations conversations</w:t>
      </w:r>
      <w:r>
        <w:t xml:space="preserve"> </w:t>
      </w:r>
      <w:hyperlink w:anchor="ref-16">
        <w:r>
          <w:rPr>
            <w:rStyle w:val="Hyperlink"/>
          </w:rPr>
          <w:t xml:space="preserve">[16]</w:t>
        </w:r>
      </w:hyperlink>
      <w:r>
        <w:t xml:space="preserve">. Adjacent decision-support efforts in commercial in-space servicing supervision</w:t>
      </w:r>
      <w:r>
        <w:t xml:space="preserve"> </w:t>
      </w:r>
      <w:hyperlink w:anchor="ref-25">
        <w:r>
          <w:rPr>
            <w:rStyle w:val="Hyperlink"/>
          </w:rPr>
          <w:t xml:space="preserve">[25]</w:t>
        </w:r>
      </w:hyperlink>
      <w:r>
        <w:t xml:space="preserve">, lunar oxygen production planning under uncertainty</w:t>
      </w:r>
      <w:r>
        <w:t xml:space="preserve"> </w:t>
      </w:r>
      <w:hyperlink w:anchor="ref-27">
        <w:r>
          <w:rPr>
            <w:rStyle w:val="Hyperlink"/>
          </w:rPr>
          <w:t xml:space="preserve">[27]</w:t>
        </w:r>
      </w:hyperlink>
      <w:r>
        <w:t xml:space="preserve">, in-orbit assembly of modular infrastructure</w:t>
      </w:r>
      <w:r>
        <w:t xml:space="preserve"> </w:t>
      </w:r>
      <w:hyperlink w:anchor="ref-30">
        <w:r>
          <w:rPr>
            <w:rStyle w:val="Hyperlink"/>
          </w:rPr>
          <w:t xml:space="preserve">[30]</w:t>
        </w:r>
      </w:hyperlink>
      <w:r>
        <w:t xml:space="preserve">, astronaut traverse prioritization</w:t>
      </w:r>
      <w:r>
        <w:t xml:space="preserve"> </w:t>
      </w:r>
      <w:hyperlink w:anchor="ref-31">
        <w:r>
          <w:rPr>
            <w:rStyle w:val="Hyperlink"/>
          </w:rPr>
          <w:t xml:space="preserve">[31]</w:t>
        </w:r>
      </w:hyperlink>
      <w:r>
        <w:t xml:space="preserve">, and integrated space safety monitoring systems</w:t>
      </w:r>
      <w:r>
        <w:t xml:space="preserve"> </w:t>
      </w:r>
      <w:hyperlink w:anchor="ref-24">
        <w:r>
          <w:rPr>
            <w:rStyle w:val="Hyperlink"/>
          </w:rPr>
          <w:t xml:space="preserve">[24]</w:t>
        </w:r>
      </w:hyperlink>
      <w:r>
        <w:t xml:space="preserve"> </w:t>
      </w:r>
      <w:r>
        <w:t xml:space="preserve">are all converging on the same primitive: an explicit, hypothesis-referenced, cost-netted measure of the value of the next decision. Science observation planning is the application where this primitive has the cleanest empirical test bed and the largest unrealized productivity gain.</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The dissertation sits at a seam between two mature literatures that do not currently meet. On one side is the mission-operations and sensor-tasking domain literature. On the other is the econometric and decision-analytic method literature on identification and treatment-effect estimation under counterfactual outcomes. Each side supplies a piece of what is required, and neither side supplies the join.</w:t>
      </w:r>
    </w:p>
    <w:p>
      <w:pPr>
        <w:pStyle w:val="BodyText"/>
        <w:spacing w:line="480" w:lineRule="auto"/>
        <w:ind w:firstLine="720"/>
      </w:pPr>
      <w:r>
        <w:t xml:space="preserve">Consider the domain literature first. It has produced rich machinery for the scheduling problem framed as constraint satisfaction and throughput optimization. Precedence-rule heuristics for satellite onboard activity planning treat the timeline as a job-shop-style sequencing problem and optimize for feasibility and throughput</w:t>
      </w:r>
      <w:r>
        <w:t xml:space="preserve"> </w:t>
      </w:r>
      <w:hyperlink w:anchor="ref-1">
        <w:r>
          <w:rPr>
            <w:rStyle w:val="Hyperlink"/>
          </w:rPr>
          <w:t xml:space="preserve">[1]</w:t>
        </w:r>
      </w:hyperlink>
      <w:r>
        <w:t xml:space="preserve">. The Acta Astronautica survey of artificial-intelligence-powered space systems catalogs machine-learning scheduling across ground and space segments and frames the objective as operational efficiency, contact optimization, and situational awareness [2, 26]. Agent-based mission management surveys catalog distributed planners and onboard decision logic [11, 28]. The sensor-tasking literature has moved further toward an explicit information objective: Fisher information for observation scheduling</w:t>
      </w:r>
      <w:r>
        <w:t xml:space="preserve"> </w:t>
      </w:r>
      <w:hyperlink w:anchor="ref-13">
        <w:r>
          <w:rPr>
            <w:rStyle w:val="Hyperlink"/>
          </w:rPr>
          <w:t xml:space="preserve">[13]</w:t>
        </w:r>
      </w:hyperlink>
      <w:r>
        <w:t xml:space="preserve">, mutual-information and Bayesian-update reward functions for SDA tasking [7, 8], POMDP tree search</w:t>
      </w:r>
      <w:r>
        <w:t xml:space="preserve"> </w:t>
      </w:r>
      <w:hyperlink w:anchor="ref-19">
        <w:r>
          <w:rPr>
            <w:rStyle w:val="Hyperlink"/>
          </w:rPr>
          <w:t xml:space="preserve">[19]</w:t>
        </w:r>
      </w:hyperlink>
      <w:r>
        <w:t xml:space="preserve">, inferential-moment reward structures for conjunction-driven tasking</w:t>
      </w:r>
      <w:r>
        <w:t xml:space="preserve"> </w:t>
      </w:r>
      <w:hyperlink w:anchor="ref-9">
        <w:r>
          <w:rPr>
            <w:rStyle w:val="Hyperlink"/>
          </w:rPr>
          <w:t xml:space="preserve">[9]</w:t>
        </w:r>
      </w:hyperlink>
      <w:r>
        <w:t xml:space="preserve">, adaptive policies for non-cooperative cislunar tracking</w:t>
      </w:r>
      <w:r>
        <w:t xml:space="preserve"> </w:t>
      </w:r>
      <w:hyperlink w:anchor="ref-22">
        <w:r>
          <w:rPr>
            <w:rStyle w:val="Hyperlink"/>
          </w:rPr>
          <w:t xml:space="preserve">[22]</w:t>
        </w:r>
      </w:hyperlink>
      <w:r>
        <w:t xml:space="preserve">, machine-learning and ontology-based behavior characterization</w:t>
      </w:r>
      <w:r>
        <w:t xml:space="preserve"> </w:t>
      </w:r>
      <w:hyperlink w:anchor="ref-20">
        <w:r>
          <w:rPr>
            <w:rStyle w:val="Hyperlink"/>
          </w:rPr>
          <w:t xml:space="preserve">[20]</w:t>
        </w:r>
      </w:hyperlink>
      <w:r>
        <w:t xml:space="preserve">, and architecture-level decision support for collision avoidance maneuver planning</w:t>
      </w:r>
      <w:r>
        <w:t xml:space="preserve"> </w:t>
      </w:r>
      <w:hyperlink w:anchor="ref-23">
        <w:r>
          <w:rPr>
            <w:rStyle w:val="Hyperlink"/>
          </w:rPr>
          <w:t xml:space="preserve">[23]</w:t>
        </w:r>
      </w:hyperlink>
      <w:r>
        <w:t xml:space="preserve">. The decision-analytic tradition outside the operations literature supplies the value side directly. Work on the role of space-derived information in decisions</w:t>
      </w:r>
      <w:r>
        <w:t xml:space="preserve"> </w:t>
      </w:r>
      <w:hyperlink w:anchor="ref-5">
        <w:r>
          <w:rPr>
            <w:rStyle w:val="Hyperlink"/>
          </w:rPr>
          <w:t xml:space="preserve">[5]</w:t>
        </w:r>
      </w:hyperlink>
      <w:r>
        <w:t xml:space="preserve"> </w:t>
      </w:r>
      <w:r>
        <w:t xml:space="preserve">frames the value of an observation as the value of the better decisions it enables, and economic forecasting of space activity formalizes the cost side that any information metric must net against</w:t>
      </w:r>
      <w:r>
        <w:t xml:space="preserve"> </w:t>
      </w:r>
      <w:hyperlink w:anchor="ref-6">
        <w:r>
          <w:rPr>
            <w:rStyle w:val="Hyperlink"/>
          </w:rPr>
          <w:t xml:space="preserve">[6]</w:t>
        </w:r>
      </w:hyperlink>
      <w:r>
        <w:t xml:space="preserve">.</w:t>
      </w:r>
    </w:p>
    <w:p>
      <w:pPr>
        <w:pStyle w:val="BodyText"/>
        <w:spacing w:line="480" w:lineRule="auto"/>
        <w:ind w:firstLine="720"/>
      </w:pPr>
      <w:r>
        <w:t xml:space="preserve">The gap is the join. The optimization literature optimizes throughput and feasibility, not posterior belief change. The decision-analytic literature names the right objective but has not been operationalized as a tasking policy for science observation planning and benchmarked head-to-head against the precedence-rule baseline that dominates current practice. Where the SDA community has built information-objective tasking, it has done so for custody and conjunction problems whose hypothesis structure is structurally simpler than that of science observation campaigns: orbit determination has a known parametric estimand; mineralogical, atmospheric, or geomorphological hypothesis sets for a planetary instrument do not. The transfer from SDA tasking to science observation tasking therefore cannot be a transplant of the reward function; it must be a reformulation that takes the science hypothesis set as primitive.</w:t>
      </w:r>
    </w:p>
    <w:p>
      <w:pPr>
        <w:pStyle w:val="BodyText"/>
        <w:spacing w:line="480" w:lineRule="auto"/>
        <w:ind w:firstLine="720"/>
      </w:pPr>
      <w:r>
        <w:t xml:space="preserve">The econometric method literature supplies what the domain literature does not. Counterfactual replay on a fixed event log, paired comparison across cycles with clusters as the unit of inference, cluster-robust standard errors, pre-registered estimands, sensitivity analysis under conservative imputation of missing potential outcomes, and grid-robustness on cost-side weighting are standard tools in the program-evaluation and observational-causal literatures. They have not, however, been imported into mission operations as the methodological backbone for comparing one tasking policy against another on historical campaign data. The companion empirical papers in this portfolio establish that the obvious naive shortcut, treating an information-value coding of mission objectives as a covariate in a cross-sectional regression of realized observation cadence, does not deliver. The OLS test on twenty-four instrument-year records shows the information-value index running in the predicted direction but covering zero, while bandwidth is the dominant cadence driver and onboard autonomy is associated with lower raw cadence consistent with a selectivity-over-throughput operating concept on EO-1 [10, 12]. The logit test on thirty-five mission-instrument-year records of adaptive-plan attainment shows the information-value index again running in the predicted direction and again failing to clear conventional significance in a small panel, with an autonomy sign driven by Mars 2020 commissioning-phase records that the cross-section cannot separate from steady state. Read together, the two companion papers establish a methodological discipline that the dissertation chapter sequence will respect: the information-value content of a mission cannot be treated as a static design-stage attribute that mechanically lifts realized productivity. It must be operationalized as an in-loop tasking policy, and the test of it must be a head-to-head replay against the named baseline on a campaign whose realized outcomes are public.</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advances one contribution and submits it to one test. The contribution is the formulation, implementation, and empirical evaluation of a Value of Information (VOI) ranked tasking policy for science observation planning, with the following precise specification.</w:t>
      </w:r>
    </w:p>
    <w:p>
      <w:pPr>
        <w:pStyle w:val="BodyText"/>
        <w:spacing w:line="480" w:lineRule="auto"/>
        <w:ind w:firstLine="720"/>
      </w:pPr>
      <w:r>
        <w:t xml:space="preserve">Let a planning cycle be defined by a candidate observation set, a timeline-and-downlink constraint envelope, and a current belief state over a pre-registered science hypothesis set drawn from the mission’s published science objectives. Define the VOI score of a candidate observation as the expected reduction in posterior entropy of the hypothesis set conditional on the realized data outcome of that observation, weighted by the decision relevance of the affected hypothesis, and netted against a normalized timeline-and-downlink cost term. Define realized information return over a campaign as the cumulative reduction in posterior entropy across the science hypothesis set attributable to the observations actually acquired, per unit of observation time consumed. The VOI-ranked policy selects, at each cycle, the feasible candidate or candidate bundle with the highest VOI score under the active constraints.</w:t>
      </w:r>
    </w:p>
    <w:p>
      <w:pPr>
        <w:pStyle w:val="BodyText"/>
        <w:spacing w:line="480" w:lineRule="auto"/>
        <w:ind w:firstLine="720"/>
      </w:pPr>
      <w:r>
        <w:t xml:space="preserve">The falsifiable claim is a single inequality on a single metric against a single named baseline. H0: a VOI-ranked tasking policy produces realized information return per unit observation time that is less than or equal to the precedence-rule heuristic baseline</w:t>
      </w:r>
      <w:r>
        <w:t xml:space="preserve"> </w:t>
      </w:r>
      <w:hyperlink w:anchor="ref-1">
        <w:r>
          <w:rPr>
            <w:rStyle w:val="Hyperlink"/>
          </w:rPr>
          <w:t xml:space="preserve">[1]</w:t>
        </w:r>
      </w:hyperlink>
      <w:r>
        <w:t xml:space="preserve">, evaluated on identical candidate sets, identical constraints, and identical realized observation outcomes drawn from a public mission planning log. H1: the VOI-ranked policy produces strictly greater realized information return per unit observation time than the baseline.</w:t>
      </w:r>
    </w:p>
    <w:p>
      <w:pPr>
        <w:pStyle w:val="BodyText"/>
        <w:spacing w:line="480" w:lineRule="auto"/>
        <w:ind w:firstLine="720"/>
      </w:pPr>
      <w:r>
        <w:t xml:space="preserve">The empirical test is a counterfactual replay on the NASA Planetary Data System Mars Reconnaissance Orbiter CRISM observation index and cumulative observation log. The CRISM record supplies, for each planning cycle, the candidate target set, the timeline-and-downlink cost of each observation that was acquired, and the realized data outcome that anchors the posterior update. Both policies are run as schedulers over the identical candidate sets and constraints. The hypothesis structure is pre-registered from CRISM’s published science objectives and frozen before scoring. Inference is by paired comparison across planning cycles with cycle as the unit and a cluster-robust paired test on the per-cycle difference in information return per unit time, accompanied by a Bayesian posterior on the mean difference. The cost-side weighting is reported across a grid and H1 must hold across the full grid, not at a single favorable point. The baseline is tuned to its best realized historical performance before comparison so that the comparison is against the strongest, not the most convenient, form of the heuristic.</w:t>
      </w:r>
    </w:p>
    <w:p>
      <w:pPr>
        <w:pStyle w:val="BodyText"/>
        <w:spacing w:line="480" w:lineRule="auto"/>
        <w:ind w:firstLine="720"/>
      </w:pPr>
      <w:r>
        <w:t xml:space="preserve">The claim is deliberately narrow. It does not assert that VOI improves any other operational metric, that VOI is computationally cheaper, or that the result generalizes across mission classes or instrument types. It asserts one ordering on one metric against one baseline on one public campaign. The narrowness is the contribution’s strength: H0 is rejectable, and if the heuristic matches or beats VOI on information return per unit time across the held-out cycles and across the cost-weighting grid, the dissertation’s central claim fails. The companion empirical papers in this portfolio have already disciplined the larger ambition by showing that information-value content alone, as a design-stage covariate, does not lift cadence</w:t>
      </w:r>
      <w:r>
        <w:t xml:space="preserve"> </w:t>
      </w:r>
      <w:hyperlink w:anchor="ref-12">
        <w:r>
          <w:rPr>
            <w:rStyle w:val="Hyperlink"/>
          </w:rPr>
          <w:t xml:space="preserve">[12]</w:t>
        </w:r>
      </w:hyperlink>
      <w:r>
        <w:t xml:space="preserve">, and that adaptive plan attainment in a small panel of mission-instrument-years runs in the predicted direction without clearing significance once engineering covariates and commissioning anomalies are conditioned on. The remaining question, and the one the dissertation answers, is whether VOI delivers the result when it is implemented in the loop and tested against the baseline it is meant to replace.</w:t>
      </w:r>
    </w:p>
    <w:bookmarkEnd w:id="63"/>
    <w:bookmarkStart w:id="64" w:name="roadmap"/>
    <w:p>
      <w:pPr>
        <w:pStyle w:val="Heading2"/>
        <w:spacing w:line="480" w:lineRule="auto"/>
      </w:pPr>
      <w:r>
        <w:t xml:space="preserve">1.4 Roadmap</w:t>
      </w:r>
    </w:p>
    <w:p>
      <w:pPr>
        <w:pStyle w:val="FirstParagraph"/>
        <w:spacing w:line="480" w:lineRule="auto"/>
      </w:pPr>
      <w:r>
        <w:t xml:space="preserve">The dissertation proceeds in seven chapters. Chapter 2 reviews the mission-operations scheduling literature, the SDA sensor-tasking literature with its emergent information-objective reward functions, the agent-based and onboard-autonomy literature, and the decision-analytic value-of-information tradition, identifying the unjoined seam this dissertation closes. Chapter 3 specifies the VOI tasking policy formally: the hypothesis structure, the posterior-entropy reduction operator, the decision-relevance weighting, the cost term, and the candidate-bundle selection rule under timeline-and-downlink constraints. Chapter 4 specifies the precedence-rule heuristic baseline implemented faithfully to its published specification</w:t>
      </w:r>
      <w:r>
        <w:t xml:space="preserve"> </w:t>
      </w:r>
      <w:hyperlink w:anchor="ref-1">
        <w:r>
          <w:rPr>
            <w:rStyle w:val="Hyperlink"/>
          </w:rPr>
          <w:t xml:space="preserve">[1]</w:t>
        </w:r>
      </w:hyperlink>
      <w:r>
        <w:t xml:space="preserve"> </w:t>
      </w:r>
      <w:r>
        <w:t xml:space="preserve">and tuned to its best realized historical performance, together with the candidate-set and constraint-envelope reconstruction from the CRISM PDS archive. Chapter 5 develops the identification strategy: counterfactual replay, pre-registered hypothesis structure, paired comparison across cycles, cluster-robust inference, conservative imputation under the counterfactual outcome gap, and grid-robust cost-side weighting. Chapter 6 reports the empirical results: the head-to-head comparison on the CRISM campaign, the per-cycle effect distribution, the sensitivity analyses, and the failure-mode catalogue of cycles in which VOI does worse than the baseline. Chapter 7 discusses the implications for NASA flight project operations and for JPL adaptive-planning tooling, situates the result within the adjacent decision-support literatures [23, 24, 25, 27, 30, 31], states what the result does and does not generalize, and identifies the next falsifiable extensions, including the steady-state-versus-commissioning separation surfaced by the companion logit paper and the second-campaign external validity test that the contribution as scoped explicitly defers.</w:t>
      </w:r>
    </w:p>
    <w:p>
      <w:pPr>
        <w:pStyle w:val="BodyText"/>
        <w:spacing w:line="480" w:lineRule="auto"/>
        <w:ind w:firstLine="720"/>
      </w:pPr>
      <w:r>
        <w:t xml:space="preserve">The dissertation makes one claim, on one metric, against one baseline, on one public dataset, with one identification strategy. The claim is either true or it is not. The rest of the document is the apparatus for telling the difference.</w:t>
      </w:r>
    </w:p>
    <w:bookmarkEnd w:id="64"/>
    <w:bookmarkEnd w:id="65"/>
    <w:bookmarkStart w:id="80" w:name="chapter-2.-literature-review"/>
    <w:p>
      <w:pPr>
        <w:pStyle w:val="Heading1"/>
        <w:spacing w:line="480" w:lineRule="auto"/>
      </w:pPr>
      <w:r>
        <w:t xml:space="preserve">Chapter 2. Literature Review</w:t>
      </w:r>
    </w:p>
    <w:bookmarkStart w:id="66" w:name="purpose-and-organization-of-the-review"/>
    <w:p>
      <w:pPr>
        <w:pStyle w:val="Heading2"/>
        <w:spacing w:line="480" w:lineRule="auto"/>
      </w:pPr>
      <w:r>
        <w:t xml:space="preserve">2.1 Purpose and Organization of the Review</w:t>
      </w:r>
    </w:p>
    <w:p>
      <w:pPr>
        <w:pStyle w:val="FirstParagraph"/>
        <w:spacing w:line="480" w:lineRule="auto"/>
      </w:pPr>
      <w:r>
        <w:t xml:space="preserve">This chapter surveys the two bodies of scholarship that the dissertation seeks to join. The first is the domain technical literature on science observation planning, satellite scheduling, sensor tasking, and onboard autonomy for robotic space missions. The second is the cliometric and econometric methodology literature that the dissertation imports as its evidentiary apparatus: decision-analytic Value of Information (VOI), Bayesian and information-theoretic estimation under uncertainty, paired counterfactual replay as an identification device, and the cost-side framing that disciplines any benefit metric. Each body of work, taken alone, is mature. Neither has been operationalized in the form proposed in Chapter 1, namely, an explicit, hypothesis-referenced VOI score computed per candidate observation, used as the tasking objective, and tested head-to-head against the precedence-rule baseline that dominates current practice</w:t>
      </w:r>
      <w:r>
        <w:t xml:space="preserve"> </w:t>
      </w:r>
      <w:hyperlink w:anchor="ref-1">
        <w:r>
          <w:rPr>
            <w:rStyle w:val="Hyperlink"/>
          </w:rPr>
          <w:t xml:space="preserve">[1]</w:t>
        </w:r>
      </w:hyperlink>
      <w:r>
        <w:t xml:space="preserve">. The chapter therefore proceeds in three movements. Section 2.2 reviews the domain technical literature on observation planning, sensor tasking, and autonomy. Section 2.3 reviews the methodology literature on information value, Bayesian inference, and counterfactual replay as applied across adjacent space-decision problems. Section 2.4 synthesizes the two and identifies the specific seam where the dissertation contributes: the unjoined interface between an optimization tradition that optimizes the wrong objective and a decision-analytic tradition that supplies the right objective but has not been operationalized as a tasking policy and empirically benchmarked.</w:t>
      </w:r>
    </w:p>
    <w:p>
      <w:pPr>
        <w:pStyle w:val="BodyText"/>
        <w:spacing w:line="480" w:lineRule="auto"/>
        <w:ind w:firstLine="720"/>
      </w:pPr>
      <w:r>
        <w:t xml:space="preserve">The review is selective by design. The reference pool was curated to cover the load-bearing positions in each tradition rather than to enumerate every adjacent paper. Where two papers in the pool make substantively the same point, both are cited so that the convergence of the literature is visible. Where a position is held by only one paper, that paper is treated as the canonical reference for the claim.</w:t>
      </w:r>
    </w:p>
    <w:bookmarkEnd w:id="66"/>
    <w:bookmarkStart w:id="71" w:name="the-domain-technical-literature"/>
    <w:p>
      <w:pPr>
        <w:pStyle w:val="Heading2"/>
        <w:spacing w:line="480" w:lineRule="auto"/>
      </w:pPr>
      <w:r>
        <w:t xml:space="preserve">2.2 The Domain Technical Literature</w:t>
      </w:r>
    </w:p>
    <w:bookmarkStart w:id="67" w:name="X3754a9005cc246009830684592a1688d6d608a7"/>
    <w:p>
      <w:pPr>
        <w:pStyle w:val="Heading3"/>
        <w:spacing w:line="480" w:lineRule="auto"/>
      </w:pPr>
      <w:r>
        <w:t xml:space="preserve">2.2.1 Satellite Scheduling and Onboard Activity Planning</w:t>
      </w:r>
    </w:p>
    <w:p>
      <w:pPr>
        <w:pStyle w:val="FirstParagraph"/>
        <w:spacing w:line="480" w:lineRule="auto"/>
      </w:pPr>
      <w:r>
        <w:t xml:space="preserve">The modern foundation for satellite observation scheduling is the precedence-rule heuristic tradition exemplified by Liang and colleagues</w:t>
      </w:r>
      <w:r>
        <w:t xml:space="preserve"> </w:t>
      </w:r>
      <w:hyperlink w:anchor="ref-1">
        <w:r>
          <w:rPr>
            <w:rStyle w:val="Hyperlink"/>
          </w:rPr>
          <w:t xml:space="preserve">[1]</w:t>
        </w:r>
      </w:hyperlink>
      <w:r>
        <w:t xml:space="preserve">. Their formulation treats the observation timeline as a job-shop sequencing problem in which candidate activities carry precedence labels, resource demands, and feasibility constraints, and a heuristic resolution rule deterministically selects among conflicts. The strength of this approach is operational: it is computationally tractable on flight hardware, it produces a schedule that the operations team can audit, and it composes cleanly with downstream conflict-resolution machinery. The weakness, from the perspective of this dissertation, is that the value of an observation enters the formulation only implicitly, through the precedence label assigned to the candidate before the campaign begins. The heuristic does not ask whether the marginal observation moves the scientific belief, only whether it fits the timeline and outranks its competitors on a static priority field.</w:t>
      </w:r>
    </w:p>
    <w:p>
      <w:pPr>
        <w:pStyle w:val="BodyText"/>
        <w:spacing w:line="480" w:lineRule="auto"/>
        <w:ind w:firstLine="720"/>
      </w:pPr>
      <w:r>
        <w:t xml:space="preserve">This static-priority framing is pervasive. Recent comprehensive surveys of artificial-intelligence-powered space systems across launch, space, ground, and user segments [2, 26] catalog dozens of machine-learning scheduling pipelines, but the dominant objective across the catalog remains operational efficiency: contact maximization, conflict reduction, slew minimization, downlink utilization. Information return, where it appears, is reduced to throughput, that is, more observations completed per unit time rather than more belief change per unit time. The two surveys together establish that the field has matured into a sophisticated optimization tradition without revisiting whether the optimized objective is the operationally correct one for science-driven missions.</w:t>
      </w:r>
    </w:p>
    <w:p>
      <w:pPr>
        <w:pStyle w:val="BodyText"/>
        <w:spacing w:line="480" w:lineRule="auto"/>
        <w:ind w:firstLine="720"/>
      </w:pPr>
      <w:r>
        <w:t xml:space="preserve">The agent-based extension of this tradition, surveyed in Jabbarpour and colleagues [11, 14, 28], generalizes single-spacecraft scheduling to distributed and multi-agent constellations. The agent-based literature explicitly acknowledges that an observation has a value that must be weighed against its cost, and that this value can in principle depend on the current belief state of the system. In practice, however, the operational reward functions implemented in these agent architectures collapse the value term to a heuristic priority or to a coverage metric. The conceptual hook for a decision-analytic reformulation exists in the agent-based literature; the operationalization does not.</w:t>
      </w:r>
    </w:p>
    <w:bookmarkEnd w:id="67"/>
    <w:bookmarkStart w:id="68" w:name="sensor-tasking-in-space-domain-awareness"/>
    <w:p>
      <w:pPr>
        <w:pStyle w:val="Heading3"/>
        <w:spacing w:line="480" w:lineRule="auto"/>
      </w:pPr>
      <w:r>
        <w:t xml:space="preserve">2.2.2 Sensor Tasking in Space Domain Awareness</w:t>
      </w:r>
    </w:p>
    <w:p>
      <w:pPr>
        <w:pStyle w:val="FirstParagraph"/>
        <w:spacing w:line="480" w:lineRule="auto"/>
      </w:pPr>
      <w:r>
        <w:t xml:space="preserve">Adjacent to the science-planning literature, but methodologically more advanced on the question of explicit information value, is the space domain awareness (SDA) sensor-tasking literature. This body of work has been built almost entirely in the AMOS conference proceedings and a small set of journal anchors, and it deserves close reading because it has already absorbed many of the formalisms the dissertation will require.</w:t>
      </w:r>
    </w:p>
    <w:p>
      <w:pPr>
        <w:pStyle w:val="BodyText"/>
        <w:spacing w:line="480" w:lineRule="auto"/>
        <w:ind w:firstLine="720"/>
      </w:pPr>
      <w:r>
        <w:t xml:space="preserve">The decentralized SNARE architecture of Carden and colleagues</w:t>
      </w:r>
      <w:r>
        <w:t xml:space="preserve"> </w:t>
      </w:r>
      <w:hyperlink w:anchor="ref-3">
        <w:r>
          <w:rPr>
            <w:rStyle w:val="Hyperlink"/>
          </w:rPr>
          <w:t xml:space="preserve">[3]</w:t>
        </w:r>
      </w:hyperlink>
      <w:r>
        <w:t xml:space="preserve"> </w:t>
      </w:r>
      <w:r>
        <w:t xml:space="preserve">frames sensor tasking as a distributed decision problem in which a network of sensors must allocate observations across a population of resident space objects without central coordination. The reward function in SNARE is engineered for tactical relevance rather than for posterior entropy reduction, but the architectural commitment to a distributed value-of-look calculation is a clear methodological cousin of the dissertation’s proposed VOI tasking policy. Hobson and Clarkson</w:t>
      </w:r>
      <w:r>
        <w:t xml:space="preserve"> </w:t>
      </w:r>
      <w:hyperlink w:anchor="ref-4">
        <w:r>
          <w:rPr>
            <w:rStyle w:val="Hyperlink"/>
          </w:rPr>
          <w:t xml:space="preserve">[4]</w:t>
        </w:r>
      </w:hyperlink>
      <w:r>
        <w:t xml:space="preserve"> </w:t>
      </w:r>
      <w:r>
        <w:t xml:space="preserve">complement SNARE with a simulation-based evaluation of disparate sensors for SSA, demonstrating that heterogeneous sensor networks require an explicit tasking reward to allocate looks efficiently across the network. Both papers establish that, in the SDA setting, the field has already accepted that look value is a quantity to be computed rather than a label to be assigned.</w:t>
      </w:r>
    </w:p>
    <w:p>
      <w:pPr>
        <w:pStyle w:val="BodyText"/>
        <w:spacing w:line="480" w:lineRule="auto"/>
        <w:ind w:firstLine="720"/>
      </w:pPr>
      <w:r>
        <w:t xml:space="preserve">The most direct methodological precursors to the dissertation’s information-theoretic formulation are Dhingra and colleagues</w:t>
      </w:r>
      <w:r>
        <w:t xml:space="preserve"> </w:t>
      </w:r>
      <w:hyperlink w:anchor="ref-7">
        <w:r>
          <w:rPr>
            <w:rStyle w:val="Hyperlink"/>
          </w:rPr>
          <w:t xml:space="preserve">[7]</w:t>
        </w:r>
      </w:hyperlink>
      <w:r>
        <w:t xml:space="preserve">, Gehly and Bennett</w:t>
      </w:r>
      <w:r>
        <w:t xml:space="preserve"> </w:t>
      </w:r>
      <w:hyperlink w:anchor="ref-8">
        <w:r>
          <w:rPr>
            <w:rStyle w:val="Hyperlink"/>
          </w:rPr>
          <w:t xml:space="preserve">[8]</w:t>
        </w:r>
      </w:hyperlink>
      <w:r>
        <w:t xml:space="preserve">, Vanslette and Taing</w:t>
      </w:r>
      <w:r>
        <w:t xml:space="preserve"> </w:t>
      </w:r>
      <w:hyperlink w:anchor="ref-9">
        <w:r>
          <w:rPr>
            <w:rStyle w:val="Hyperlink"/>
          </w:rPr>
          <w:t xml:space="preserve">[9]</w:t>
        </w:r>
      </w:hyperlink>
      <w:r>
        <w:t xml:space="preserve">, and Wishnek and Wysack</w:t>
      </w:r>
      <w:r>
        <w:t xml:space="preserve"> </w:t>
      </w:r>
      <w:hyperlink w:anchor="ref-13">
        <w:r>
          <w:rPr>
            <w:rStyle w:val="Hyperlink"/>
          </w:rPr>
          <w:t xml:space="preserve">[13]</w:t>
        </w:r>
      </w:hyperlink>
      <w:r>
        <w:t xml:space="preserve">. Dhingra and colleagues</w:t>
      </w:r>
      <w:r>
        <w:t xml:space="preserve"> </w:t>
      </w:r>
      <w:hyperlink w:anchor="ref-7">
        <w:r>
          <w:rPr>
            <w:rStyle w:val="Hyperlink"/>
          </w:rPr>
          <w:t xml:space="preserve">[7]</w:t>
        </w:r>
      </w:hyperlink>
      <w:r>
        <w:t xml:space="preserve"> </w:t>
      </w:r>
      <w:r>
        <w:t xml:space="preserve">demonstrate that tasking sensors on the basis of orbit accuracy, rather than on a static priority field, improves network efficiency. Gehly and Bennett</w:t>
      </w:r>
      <w:r>
        <w:t xml:space="preserve"> </w:t>
      </w:r>
      <w:hyperlink w:anchor="ref-8">
        <w:r>
          <w:rPr>
            <w:rStyle w:val="Hyperlink"/>
          </w:rPr>
          <w:t xml:space="preserve">[8]</w:t>
        </w:r>
      </w:hyperlink>
      <w:r>
        <w:t xml:space="preserve"> </w:t>
      </w:r>
      <w:r>
        <w:t xml:space="preserve">incorporate target priorities into a sensor-tasking reward function and show that the priority-weighted reward outperforms a uniform-priority baseline. Vanslette and Taing</w:t>
      </w:r>
      <w:r>
        <w:t xml:space="preserve"> </w:t>
      </w:r>
      <w:hyperlink w:anchor="ref-9">
        <w:r>
          <w:rPr>
            <w:rStyle w:val="Hyperlink"/>
          </w:rPr>
          <w:t xml:space="preserve">[9]</w:t>
        </w:r>
      </w:hyperlink>
      <w:r>
        <w:t xml:space="preserve"> </w:t>
      </w:r>
      <w:r>
        <w:t xml:space="preserve">take the further step of formalizing conjunction-based sensor tasking through inferential moments, an information-theoretic quantity closely related to the expected posterior entropy reduction the dissertation will employ. Wishnek and Wysack</w:t>
      </w:r>
      <w:r>
        <w:t xml:space="preserve"> </w:t>
      </w:r>
      <w:hyperlink w:anchor="ref-13">
        <w:r>
          <w:rPr>
            <w:rStyle w:val="Hyperlink"/>
          </w:rPr>
          <w:t xml:space="preserve">[13]</w:t>
        </w:r>
      </w:hyperlink>
      <w:r>
        <w:t xml:space="preserve"> </w:t>
      </w:r>
      <w:r>
        <w:t xml:space="preserve">complete the methodological arc by using Fisher information as the optimization objective for observation scheduling in orbit determination. These four papers, read together, establish that the SDA community has already crossed the conceptual bridge from heuristic priority to explicit information value as the basis for tasking, and has done so with rigor.</w:t>
      </w:r>
    </w:p>
    <w:p>
      <w:pPr>
        <w:pStyle w:val="BodyText"/>
        <w:spacing w:line="480" w:lineRule="auto"/>
        <w:ind w:firstLine="720"/>
      </w:pPr>
      <w:r>
        <w:t xml:space="preserve">The decision-theoretic and game-theoretic extensions of the SDA literature deepen this methodological inheritance. Boh, Funke, and Akella</w:t>
      </w:r>
      <w:r>
        <w:t xml:space="preserve"> </w:t>
      </w:r>
      <w:hyperlink w:anchor="ref-17">
        <w:r>
          <w:rPr>
            <w:rStyle w:val="Hyperlink"/>
          </w:rPr>
          <w:t xml:space="preserve">[17]</w:t>
        </w:r>
      </w:hyperlink>
      <w:r>
        <w:t xml:space="preserve"> </w:t>
      </w:r>
      <w:r>
        <w:t xml:space="preserve">formulate cislunar SSA at L1 and L2 as a Bayesian game in which observers update beliefs against an adversarial environment. Fedeler, Holzinger, and Whitacre</w:t>
      </w:r>
      <w:r>
        <w:t xml:space="preserve"> </w:t>
      </w:r>
      <w:hyperlink w:anchor="ref-19">
        <w:r>
          <w:rPr>
            <w:rStyle w:val="Hyperlink"/>
          </w:rPr>
          <w:t xml:space="preserve">[19]</w:t>
        </w:r>
      </w:hyperlink>
      <w:r>
        <w:t xml:space="preserve"> </w:t>
      </w:r>
      <w:r>
        <w:t xml:space="preserve">frame sensor tasking as a partially observable Markov decision process (POMDP) and apply tree-search methods, demonstrating that the POMDP value function generalizes the inferential-moment objective to sequential settings. Furfaro and colleagues</w:t>
      </w:r>
      <w:r>
        <w:t xml:space="preserve"> </w:t>
      </w:r>
      <w:hyperlink w:anchor="ref-20">
        <w:r>
          <w:rPr>
            <w:rStyle w:val="Hyperlink"/>
          </w:rPr>
          <w:t xml:space="preserve">[20]</w:t>
        </w:r>
      </w:hyperlink>
      <w:r>
        <w:t xml:space="preserve"> </w:t>
      </w:r>
      <w:r>
        <w:t xml:space="preserve">integrate machine learning with ontology-based Bayesian networks for resident space object characterization, demonstrating that the belief-update machinery can scale to large object populations. Wilkins, Cvijic, and Faber</w:t>
      </w:r>
      <w:r>
        <w:t xml:space="preserve"> </w:t>
      </w:r>
      <w:hyperlink w:anchor="ref-18">
        <w:r>
          <w:rPr>
            <w:rStyle w:val="Hyperlink"/>
          </w:rPr>
          <w:t xml:space="preserve">[18]</w:t>
        </w:r>
      </w:hyperlink>
      <w:r>
        <w:t xml:space="preserve"> </w:t>
      </w:r>
      <w:r>
        <w:t xml:space="preserve">develop a multi-agent trust framework for fusing subjective opinions with imperfect understanding in SDA, drawing on the Scruff AI framework; their treatment of subjective uncertainty is directly relevant to any operational VOI score that must handle hypothesis specifications elicited from a science team rather than read from a closed-form prior. Agrawal and Ansari</w:t>
      </w:r>
      <w:r>
        <w:t xml:space="preserve"> </w:t>
      </w:r>
      <w:hyperlink w:anchor="ref-21">
        <w:r>
          <w:rPr>
            <w:rStyle w:val="Hyperlink"/>
          </w:rPr>
          <w:t xml:space="preserve">[21]</w:t>
        </w:r>
      </w:hyperlink>
      <w:r>
        <w:t xml:space="preserve"> </w:t>
      </w:r>
      <w:r>
        <w:t xml:space="preserve">extend the multi-agent fusion approach to conjunction assessment with explicit probabilistic reasoning, and Correa and colleagues</w:t>
      </w:r>
      <w:r>
        <w:t xml:space="preserve"> </w:t>
      </w:r>
      <w:hyperlink w:anchor="ref-22">
        <w:r>
          <w:rPr>
            <w:rStyle w:val="Hyperlink"/>
          </w:rPr>
          <w:t xml:space="preserve">[22]</w:t>
        </w:r>
      </w:hyperlink>
      <w:r>
        <w:t xml:space="preserve"> </w:t>
      </w:r>
      <w:r>
        <w:t xml:space="preserve">adapt sensor-tasking strategies for tracking non-cooperative cislunar objects, an environment in which the prior is weak and the value of a single look is correspondingly high.</w:t>
      </w:r>
    </w:p>
    <w:p>
      <w:pPr>
        <w:pStyle w:val="BodyText"/>
        <w:spacing w:line="480" w:lineRule="auto"/>
        <w:ind w:firstLine="720"/>
      </w:pPr>
      <w:r>
        <w:t xml:space="preserve">The applied SDA literature has also matured operational decision-support tools that translate these methodological advances into mission-grade products. Ryan and colleagues</w:t>
      </w:r>
      <w:r>
        <w:t xml:space="preserve"> </w:t>
      </w:r>
      <w:hyperlink w:anchor="ref-23">
        <w:r>
          <w:rPr>
            <w:rStyle w:val="Hyperlink"/>
          </w:rPr>
          <w:t xml:space="preserve">[23]</w:t>
        </w:r>
      </w:hyperlink>
      <w:r>
        <w:t xml:space="preserve"> </w:t>
      </w:r>
      <w:r>
        <w:t xml:space="preserve">document a decision-support tool for risk assessment and maneuver planning in collision avoidance, developed with NASA CARA. Seong and colleagues</w:t>
      </w:r>
      <w:r>
        <w:t xml:space="preserve"> </w:t>
      </w:r>
      <w:hyperlink w:anchor="ref-24">
        <w:r>
          <w:rPr>
            <w:rStyle w:val="Hyperlink"/>
          </w:rPr>
          <w:t xml:space="preserve">[24]</w:t>
        </w:r>
      </w:hyperlink>
      <w:r>
        <w:t xml:space="preserve"> </w:t>
      </w:r>
      <w:r>
        <w:t xml:space="preserve">describe the VISION integrated space information monitoring system developed at KARI. Smith, Jah, and Wood</w:t>
      </w:r>
      <w:r>
        <w:t xml:space="preserve"> </w:t>
      </w:r>
      <w:hyperlink w:anchor="ref-25">
        <w:r>
          <w:rPr>
            <w:rStyle w:val="Hyperlink"/>
          </w:rPr>
          <w:t xml:space="preserve">[25]</w:t>
        </w:r>
      </w:hyperlink>
      <w:r>
        <w:t xml:space="preserve"> </w:t>
      </w:r>
      <w:r>
        <w:t xml:space="preserve">architect a decision-support system for continuing supervision of commercial in-space servicing, which establishes the institutional pattern of embedding decision-analytic logic in operational tasking workflows.</w:t>
      </w:r>
    </w:p>
    <w:p>
      <w:pPr>
        <w:pStyle w:val="BodyText"/>
        <w:spacing w:line="480" w:lineRule="auto"/>
        <w:ind w:firstLine="720"/>
      </w:pPr>
      <w:r>
        <w:t xml:space="preserve">Read against the science observation planning literature, the accumulated weight of the SDA tasking work exposes an instructive asymmetry. The SDA community has internalized that the value of a look is the value of the better decisions it enables, and has built the formal machinery, reward functions, inferential moments, Fisher information, POMDP value functions, subjective opinion fusion, to compute that value. The science planning community has not. The dissertation’s contribution is in part to import this machinery from the SDA literature, adapt it to the science-hypothesis setting, and demonstrate empirically that the import is operationally consequential.</w:t>
      </w:r>
    </w:p>
    <w:bookmarkEnd w:id="68"/>
    <w:bookmarkStart w:id="69" w:name="onboard-autonomy-and-adaptive-tasking"/>
    <w:p>
      <w:pPr>
        <w:pStyle w:val="Heading3"/>
        <w:spacing w:line="480" w:lineRule="auto"/>
      </w:pPr>
      <w:r>
        <w:t xml:space="preserve">2.2.3 Onboard Autonomy and Adaptive Tasking</w:t>
      </w:r>
    </w:p>
    <w:p>
      <w:pPr>
        <w:pStyle w:val="FirstParagraph"/>
        <w:spacing w:line="480" w:lineRule="auto"/>
      </w:pPr>
      <w:r>
        <w:t xml:space="preserve">The third strand of the domain literature concerns onboard autonomy, which is the operational locus where any tasking policy, heuristic or VOI-based, ultimately runs. The canonical reference here is Chien and colleagues’ description of the EO-1 Autonomous Sciencecraft Experiment</w:t>
      </w:r>
      <w:r>
        <w:t xml:space="preserve"> </w:t>
      </w:r>
      <w:hyperlink w:anchor="ref-10">
        <w:r>
          <w:rPr>
            <w:rStyle w:val="Hyperlink"/>
          </w:rPr>
          <w:t xml:space="preserve">[10]</w:t>
        </w:r>
      </w:hyperlink>
      <w:r>
        <w:t xml:space="preserve">. EO-1 is important because it is the first flight demonstration of a science-driven onboard replanning architecture in which the spacecraft itself selects targets adaptively in response to observed conditions, rather than executing a ground-uplinked sequence. The companion ordinary-least-squares analysis in the dissertation’s portfolio</w:t>
      </w:r>
      <w:r>
        <w:t xml:space="preserve"> </w:t>
      </w:r>
      <w:hyperlink w:anchor="ref-12">
        <w:r>
          <w:rPr>
            <w:rStyle w:val="Hyperlink"/>
          </w:rPr>
          <w:t xml:space="preserve">[12]</w:t>
        </w:r>
      </w:hyperlink>
      <w:r>
        <w:t xml:space="preserve"> </w:t>
      </w:r>
      <w:r>
        <w:t xml:space="preserve">empirically identifies EO-1’s autonomy-level-2 records as the operational signature of selectivity-over-throughput: EO-1 produces fewer raw observations per day than ground-uplinked peers but each observation is, by construction, more tightly aligned with the science objective. The autonomy literature therefore supplies a precedent for the dissertation’s central metric. Raw cadence is the wrong measurement; information return per unit time is the right one. EO-1 already chose the right one operationally; the dissertation generalizes that choice into a formal policy.</w:t>
      </w:r>
    </w:p>
    <w:p>
      <w:pPr>
        <w:pStyle w:val="BodyText"/>
        <w:spacing w:line="480" w:lineRule="auto"/>
        <w:ind w:firstLine="720"/>
      </w:pPr>
      <w:r>
        <w:t xml:space="preserve">Recent surveys of artificial-intelligence-powered space systems [2, 26] document the proliferation of onboard machine-learning pipelines across launch, space, ground, and user segments. The trajectory is unmistakable: the field is rebuilding tasking logic at every layer of the architecture without first establishing whether the explicit value metric that the dissertation proposes outperforms the heuristics it is poised to replace. The dissertation’s narrow falsifiable claim, that a VOI-ranked policy strictly dominates a precedence-rule baseline on realized information return per unit observation time, is therefore a question the field is structurally unprepared to answer until someone runs the head-to-head test.</w:t>
      </w:r>
    </w:p>
    <w:p>
      <w:pPr>
        <w:pStyle w:val="BodyText"/>
        <w:spacing w:line="480" w:lineRule="auto"/>
        <w:ind w:firstLine="720"/>
      </w:pPr>
      <w:r>
        <w:t xml:space="preserve">The deep-space-network and downlink-constrained operations regime carries its own technical constraints that any tasking policy must respect. De Filippis and colleagues</w:t>
      </w:r>
      <w:r>
        <w:t xml:space="preserve"> </w:t>
      </w:r>
      <w:hyperlink w:anchor="ref-15">
        <w:r>
          <w:rPr>
            <w:rStyle w:val="Hyperlink"/>
          </w:rPr>
          <w:t xml:space="preserve">[15]</w:t>
        </w:r>
      </w:hyperlink>
      <w:r>
        <w:t xml:space="preserve"> </w:t>
      </w:r>
      <w:r>
        <w:t xml:space="preserve">document high-accuracy accelerometer data monitoring during JUICE deployment operations, illustrating the level of telemetry fidelity that flagship missions can return and the corresponding downlink cost. The GAO Major Project assessment series</w:t>
      </w:r>
      <w:r>
        <w:t xml:space="preserve"> </w:t>
      </w:r>
      <w:hyperlink w:anchor="ref-16">
        <w:r>
          <w:rPr>
            <w:rStyle w:val="Hyperlink"/>
          </w:rPr>
          <w:t xml:space="preserve">[16]</w:t>
        </w:r>
      </w:hyperlink>
      <w:r>
        <w:t xml:space="preserve"> </w:t>
      </w:r>
      <w:r>
        <w:t xml:space="preserve">documents the cumulative observation-cadence performance of NASA flagship missions and supplies the institutional accountability framework against which adaptive observation plans are publicly judged. The companion logit paper in the dissertation portfolio uses the GAO series as the operational ground truth for whether a mission instrument met its adaptive observation plan in a given year. The dissertation inherits both the telemetry constraint and the public-accountability frame.</w:t>
      </w:r>
    </w:p>
    <w:bookmarkEnd w:id="69"/>
    <w:bookmarkStart w:id="70" w:name="X58f31dfce97632bf9b86ca135713990158e0705"/>
    <w:p>
      <w:pPr>
        <w:pStyle w:val="Heading3"/>
        <w:spacing w:line="480" w:lineRule="auto"/>
      </w:pPr>
      <w:r>
        <w:t xml:space="preserve">2.2.4 Decision-Making Under Uncertainty in Adjacent Space Settings</w:t>
      </w:r>
    </w:p>
    <w:p>
      <w:pPr>
        <w:pStyle w:val="FirstParagraph"/>
        <w:spacing w:line="480" w:lineRule="auto"/>
      </w:pPr>
      <w:r>
        <w:t xml:space="preserve">A small but methodologically rich literature applies multi-objective decision-making and decision support to adjacent space-systems problems and is worth surveying because it establishes the institutional pattern the dissertation will follow. Ikeya and colleagues</w:t>
      </w:r>
      <w:r>
        <w:t xml:space="preserve"> </w:t>
      </w:r>
      <w:hyperlink w:anchor="ref-27">
        <w:r>
          <w:rPr>
            <w:rStyle w:val="Hyperlink"/>
          </w:rPr>
          <w:t xml:space="preserve">[27]</w:t>
        </w:r>
      </w:hyperlink>
      <w:r>
        <w:t xml:space="preserve"> </w:t>
      </w:r>
      <w:r>
        <w:t xml:space="preserve">formulate flexible design and planning of lunar oxygen production facilities as a multi-objective decision-making problem under uncertainty, demonstrating that the decision-analytic framing scales to capital-intensive lunar surface operations. Nair and colleagues</w:t>
      </w:r>
      <w:r>
        <w:t xml:space="preserve"> </w:t>
      </w:r>
      <w:hyperlink w:anchor="ref-30">
        <w:r>
          <w:rPr>
            <w:rStyle w:val="Hyperlink"/>
          </w:rPr>
          <w:t xml:space="preserve">[30]</w:t>
        </w:r>
      </w:hyperlink>
      <w:r>
        <w:t xml:space="preserve"> </w:t>
      </w:r>
      <w:r>
        <w:t xml:space="preserve">perform a holistic analysis of in-orbit assembly of high-value modular infrastructures, again under explicit uncertainty about mission outcomes. Sanchez-Lozano and colleagues</w:t>
      </w:r>
      <w:r>
        <w:t xml:space="preserve"> </w:t>
      </w:r>
      <w:hyperlink w:anchor="ref-31">
        <w:r>
          <w:rPr>
            <w:rStyle w:val="Hyperlink"/>
          </w:rPr>
          <w:t xml:space="preserve">[31]</w:t>
        </w:r>
      </w:hyperlink>
      <w:r>
        <w:t xml:space="preserve"> </w:t>
      </w:r>
      <w:r>
        <w:t xml:space="preserve">apply multi-criteria decision-making to prioritize astronaut traverses on the Moon, a problem structurally analogous to science observation prioritization in that the decision must allocate a scarce traverse budget across candidate targets with uncertain payoff. Reid and Wood</w:t>
      </w:r>
      <w:r>
        <w:t xml:space="preserve"> </w:t>
      </w:r>
      <w:hyperlink w:anchor="ref-32">
        <w:r>
          <w:rPr>
            <w:rStyle w:val="Hyperlink"/>
          </w:rPr>
          <w:t xml:space="preserve">[32]</w:t>
        </w:r>
      </w:hyperlink>
      <w:r>
        <w:t xml:space="preserve"> </w:t>
      </w:r>
      <w:r>
        <w:t xml:space="preserve">apply an Environment-Vulnerability-Decision-Technology systems-engineering framework to support sustainable mangrove management with Earth observation data, illustrating that the decision-analytic framing extends from observation tasking through downstream end-user decision support. Denis and colleagues</w:t>
      </w:r>
      <w:r>
        <w:t xml:space="preserve"> </w:t>
      </w:r>
      <w:hyperlink w:anchor="ref-29">
        <w:r>
          <w:rPr>
            <w:rStyle w:val="Hyperlink"/>
          </w:rPr>
          <w:t xml:space="preserve">[29]</w:t>
        </w:r>
      </w:hyperlink>
      <w:r>
        <w:t xml:space="preserve"> </w:t>
      </w:r>
      <w:r>
        <w:t xml:space="preserve">survey scenarios and impacts for new Earth observation systems and markets, providing the macro context against which observation-tasking improvements must justify their development cost.</w:t>
      </w:r>
    </w:p>
    <w:p>
      <w:pPr>
        <w:pStyle w:val="BodyText"/>
        <w:spacing w:line="480" w:lineRule="auto"/>
        <w:ind w:firstLine="720"/>
      </w:pPr>
      <w:r>
        <w:t xml:space="preserve">These adjacent papers do not replace the SDA tasking literature as the methodological precursor for the dissertation, but they establish that the decision-analytic framing of space operations is no longer exotic. It is, in 2024 and 2025, the working idiom of multiple Acta Astronautica subcommunities. The science observation planning subcommunity is the one that has not yet adopted it, and the dissertation seeks to close that gap.</w:t>
      </w:r>
    </w:p>
    <w:bookmarkEnd w:id="70"/>
    <w:bookmarkEnd w:id="71"/>
    <w:bookmarkStart w:id="78"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The second body of work the dissertation must join is the methodology literature that supplies the evidentiary apparatus: how to score information value formally, how to update beliefs under explicit hypothesis structure, how to identify a causal policy effect from observational data, and how to discipline the benefit side of any tasking decision against an explicit cost side. The presentation here proceeds from the foundational decision-analytic primitive through the inferential moments and Fisher information machinery, into the POMDP and Bayesian-game generalizations, and concludes with the cost-side and identification machinery that the empirical chapters will require.</w:t>
      </w:r>
    </w:p>
    <w:bookmarkStart w:id="72" w:name="X3ac02de72efd271c542035a552e3077413a1148"/>
    <w:p>
      <w:pPr>
        <w:pStyle w:val="Heading3"/>
        <w:spacing w:line="480" w:lineRule="auto"/>
      </w:pPr>
      <w:r>
        <w:t xml:space="preserve">2.3.1 Value of Information as a Decision-Analytic Primitive</w:t>
      </w:r>
    </w:p>
    <w:p>
      <w:pPr>
        <w:pStyle w:val="FirstParagraph"/>
        <w:spacing w:line="480" w:lineRule="auto"/>
      </w:pPr>
      <w:r>
        <w:t xml:space="preserve">The decision-analytic tradition treats the value of an observation as the value of the better decisions it enables, net of the cost of acquiring it. The space economy and policy literature provides the explicit framing the dissertation imports as its conceptual anchor. The Space Economy Papers source SD13</w:t>
      </w:r>
      <w:r>
        <w:t xml:space="preserve"> </w:t>
      </w:r>
      <w:hyperlink w:anchor="ref-5">
        <w:r>
          <w:rPr>
            <w:rStyle w:val="Hyperlink"/>
          </w:rPr>
          <w:t xml:space="preserve">[5]</w:t>
        </w:r>
      </w:hyperlink>
      <w:r>
        <w:t xml:space="preserve"> </w:t>
      </w:r>
      <w:r>
        <w:t xml:space="preserve">establishes the canonical position that space-derived information drives sustainability, security, and development decisions, and that the value of an observation is therefore measured by its downstream decision relevance rather than by any intrinsic data property. The complementary OCEA forecasting framework</w:t>
      </w:r>
      <w:r>
        <w:t xml:space="preserve"> </w:t>
      </w:r>
      <w:hyperlink w:anchor="ref-6">
        <w:r>
          <w:rPr>
            <w:rStyle w:val="Hyperlink"/>
          </w:rPr>
          <w:t xml:space="preserve">[6]</w:t>
        </w:r>
      </w:hyperlink>
      <w:r>
        <w:t xml:space="preserve"> </w:t>
      </w:r>
      <w:r>
        <w:t xml:space="preserve">supplies the cost-side machinery that any information metric must net against: bandwidth, timeline, opportunity cost, and the broader economic frame within which observation costs are denominated. Together these two sources establish the decision-analytic primitive in its strongest form: information value is the expected improvement in downstream decision quality, computed against a stated hypothesis structure, minus the resource cost of acquisition. Every operational VOI score, including the one the dissertation will compute per candidate observation, is a special case of this primitive.</w:t>
      </w:r>
    </w:p>
    <w:p>
      <w:pPr>
        <w:pStyle w:val="BodyText"/>
        <w:spacing w:line="480" w:lineRule="auto"/>
        <w:ind w:firstLine="720"/>
      </w:pPr>
      <w:r>
        <w:t xml:space="preserve">The companion OLS analysis in the dissertation portfolio</w:t>
      </w:r>
      <w:r>
        <w:t xml:space="preserve"> </w:t>
      </w:r>
      <w:hyperlink w:anchor="ref-12">
        <w:r>
          <w:rPr>
            <w:rStyle w:val="Hyperlink"/>
          </w:rPr>
          <w:t xml:space="preserve">[12]</w:t>
        </w:r>
      </w:hyperlink>
      <w:r>
        <w:t xml:space="preserve"> </w:t>
      </w:r>
      <w:r>
        <w:t xml:space="preserve">confronts the decision-analytic primitive against the empirical record and finds that the static, paper-stage attributes of a mission’s science objectives do not by themselves move realized observation cadence after controls. That finding, far from undermining the decision-analytic primitive, sharpens it. The static attribute is not the policy; the in-loop tasking decision is. The dissertation’s empirical strategy therefore operationalizes the primitive at the in-loop level, where it has not been tested.</w:t>
      </w:r>
    </w:p>
    <w:bookmarkEnd w:id="72"/>
    <w:bookmarkStart w:id="73" w:name="Xe5ed1c7d9487a1c092ed7cfa847763752e3be6e"/>
    <w:p>
      <w:pPr>
        <w:pStyle w:val="Heading3"/>
        <w:spacing w:line="480" w:lineRule="auto"/>
      </w:pPr>
      <w:r>
        <w:t xml:space="preserve">2.3.2 Information-Theoretic Estimation: Inferential Moments and Fisher Information</w:t>
      </w:r>
    </w:p>
    <w:p>
      <w:pPr>
        <w:pStyle w:val="FirstParagraph"/>
        <w:spacing w:line="480" w:lineRule="auto"/>
      </w:pPr>
      <w:r>
        <w:t xml:space="preserve">The bridge from the decision-analytic primitive to an operational tasking score runs through the information-theoretic literature on inferential moments and Fisher information. Vanslette and Taing</w:t>
      </w:r>
      <w:r>
        <w:t xml:space="preserve"> </w:t>
      </w:r>
      <w:hyperlink w:anchor="ref-9">
        <w:r>
          <w:rPr>
            <w:rStyle w:val="Hyperlink"/>
          </w:rPr>
          <w:t xml:space="preserve">[9]</w:t>
        </w:r>
      </w:hyperlink>
      <w:r>
        <w:t xml:space="preserve"> </w:t>
      </w:r>
      <w:r>
        <w:t xml:space="preserve">develop the inferential-moments machinery for conjunction-based sensor tasking and show that this information-theoretic quantity admits a closed-form sensor-tasking optimum. Wishnek and Wysack</w:t>
      </w:r>
      <w:r>
        <w:t xml:space="preserve"> </w:t>
      </w:r>
      <w:hyperlink w:anchor="ref-13">
        <w:r>
          <w:rPr>
            <w:rStyle w:val="Hyperlink"/>
          </w:rPr>
          <w:t xml:space="preserve">[13]</w:t>
        </w:r>
      </w:hyperlink>
      <w:r>
        <w:t xml:space="preserve"> </w:t>
      </w:r>
      <w:r>
        <w:t xml:space="preserve">use Fisher information directly as the objective in observation scheduling for orbit determination and demonstrate that Fisher-information-optimal scheduling outperforms baseline scheduling on the resulting orbit accuracy. These two papers establish the methodological precedent the dissertation imports: information-theoretic quantities are computable per candidate observation, they admit explicit optimization, and they outperform priority-based baselines in adjacent settings.</w:t>
      </w:r>
    </w:p>
    <w:p>
      <w:pPr>
        <w:pStyle w:val="BodyText"/>
        <w:spacing w:line="480" w:lineRule="auto"/>
        <w:ind w:firstLine="720"/>
      </w:pPr>
      <w:r>
        <w:t xml:space="preserve">The dissertation’s expected posterior entropy reduction metric is a member of the same family of information-theoretic objectives. The advantage of entropy reduction as the operational metric, relative to Fisher information, is that entropy reduction admits a direct interpretation in terms of belief change about a stated science hypothesis, which aligns with the decision-analytic primitive that the value of an observation is the value of the better decisions it enables. The cost of choosing entropy reduction over Fisher information is computational: posterior entropy must be evaluated against the full belief state rather than read from a local Fisher-information surface. The dissertation accepts this cost because the empirical replay is bounded by the candidate set per planning cycle, which keeps the entropy evaluation tractable.</w:t>
      </w:r>
    </w:p>
    <w:bookmarkEnd w:id="73"/>
    <w:bookmarkStart w:id="74" w:name="Xa3b0d2f43463331b3ac509f488ad9fa7d4d43b0"/>
    <w:p>
      <w:pPr>
        <w:pStyle w:val="Heading3"/>
        <w:spacing w:line="480" w:lineRule="auto"/>
      </w:pPr>
      <w:r>
        <w:t xml:space="preserve">2.3.3 POMDP, Bayesian Game, and Multi-Agent Generalizations</w:t>
      </w:r>
    </w:p>
    <w:p>
      <w:pPr>
        <w:pStyle w:val="FirstParagraph"/>
        <w:spacing w:line="480" w:lineRule="auto"/>
      </w:pPr>
      <w:r>
        <w:t xml:space="preserve">The POMDP literature generalizes the information-theoretic tasking objective to sequential decision settings in which the value of a current look depends on its downstream effect on subsequent looks. Fedeler, Holzinger, and Whitacre</w:t>
      </w:r>
      <w:r>
        <w:t xml:space="preserve"> </w:t>
      </w:r>
      <w:hyperlink w:anchor="ref-19">
        <w:r>
          <w:rPr>
            <w:rStyle w:val="Hyperlink"/>
          </w:rPr>
          <w:t xml:space="preserve">[19]</w:t>
        </w:r>
      </w:hyperlink>
      <w:r>
        <w:t xml:space="preserve"> </w:t>
      </w:r>
      <w:r>
        <w:t xml:space="preserve">establish the optimality conditions and tree-search applications for POMDP sensor tasking and demonstrate that the POMDP value function subsumes the single-shot inferential-moment objective as a special case. The Bayesian-game generalization of Boh, Funke, and Akella</w:t>
      </w:r>
      <w:r>
        <w:t xml:space="preserve"> </w:t>
      </w:r>
      <w:hyperlink w:anchor="ref-17">
        <w:r>
          <w:rPr>
            <w:rStyle w:val="Hyperlink"/>
          </w:rPr>
          <w:t xml:space="preserve">[17]</w:t>
        </w:r>
      </w:hyperlink>
      <w:r>
        <w:t xml:space="preserve"> </w:t>
      </w:r>
      <w:r>
        <w:t xml:space="preserve">extends the POMDP framing to cislunar SSA, where the observer’s belief update must account for an adversarial environment. Furfaro and colleagues</w:t>
      </w:r>
      <w:r>
        <w:t xml:space="preserve"> </w:t>
      </w:r>
      <w:hyperlink w:anchor="ref-20">
        <w:r>
          <w:rPr>
            <w:rStyle w:val="Hyperlink"/>
          </w:rPr>
          <w:t xml:space="preserve">[20]</w:t>
        </w:r>
      </w:hyperlink>
      <w:r>
        <w:t xml:space="preserve"> </w:t>
      </w:r>
      <w:r>
        <w:t xml:space="preserve">combine machine learning with ontology-based Bayesian networks to scale the belief-update step to large object populations, demonstrating that the methodological apparatus is operationally feasible. Wilkins, Cvijic, and Faber</w:t>
      </w:r>
      <w:r>
        <w:t xml:space="preserve"> </w:t>
      </w:r>
      <w:hyperlink w:anchor="ref-18">
        <w:r>
          <w:rPr>
            <w:rStyle w:val="Hyperlink"/>
          </w:rPr>
          <w:t xml:space="preserve">[18]</w:t>
        </w:r>
      </w:hyperlink>
      <w:r>
        <w:t xml:space="preserve"> </w:t>
      </w:r>
      <w:r>
        <w:t xml:space="preserve">add the multi-agent trust dimension required when subjective opinions must be fused under imperfect understanding, a setting structurally analogous to the science-team elicitation of hypothesis priors that the dissertation’s VOI score will require.</w:t>
      </w:r>
    </w:p>
    <w:p>
      <w:pPr>
        <w:pStyle w:val="BodyText"/>
        <w:spacing w:line="480" w:lineRule="auto"/>
        <w:ind w:firstLine="720"/>
      </w:pPr>
      <w:r>
        <w:t xml:space="preserve">The dissertation does not implement a full POMDP value function. The empirical claim is scoped to a single-step VOI score, evaluated per candidate observation per planning cycle, with the cumulative result aggregated across the campaign. The reason for this scoping choice is that the empirical replay is anchored to the historical observation log, and a multi-step POMDP value function would require either simulating the historical campaign forward under the counterfactual policy or restricting the test to cycles whose log coverage permits a multi-step replay. The single-step VOI score, scored against a fixed hypothesis structure pre-registered from the mission’s published science objectives, is the methodologically conservative choice that the prospectus already made. The POMDP literature is, however, the natural extension once the single-step claim is settled.</w:t>
      </w:r>
    </w:p>
    <w:bookmarkEnd w:id="74"/>
    <w:bookmarkStart w:id="75" w:name="Xa4e44cffc9ff0f5ace42b2fc2580d00b6169182"/>
    <w:p>
      <w:pPr>
        <w:pStyle w:val="Heading3"/>
        <w:spacing w:line="480" w:lineRule="auto"/>
      </w:pPr>
      <w:r>
        <w:t xml:space="preserve">2.3.4 Multi-Agent Fusion and Subjective Opinion Handling</w:t>
      </w:r>
    </w:p>
    <w:p>
      <w:pPr>
        <w:pStyle w:val="FirstParagraph"/>
        <w:spacing w:line="480" w:lineRule="auto"/>
      </w:pPr>
      <w:r>
        <w:t xml:space="preserve">The dissertation’s VOI score must operate against a hypothesis structure that is in part subjectively elicited from the mission’s published science objectives. The multi-agent trust and subjective-opinion-fusion literature supplies the methodological precedent for handling this elicitation rigorously. Wilkins, Cvijic, and Faber</w:t>
      </w:r>
      <w:r>
        <w:t xml:space="preserve"> </w:t>
      </w:r>
      <w:hyperlink w:anchor="ref-18">
        <w:r>
          <w:rPr>
            <w:rStyle w:val="Hyperlink"/>
          </w:rPr>
          <w:t xml:space="preserve">[18]</w:t>
        </w:r>
      </w:hyperlink>
      <w:r>
        <w:t xml:space="preserve"> </w:t>
      </w:r>
      <w:r>
        <w:t xml:space="preserve">develop a multi-agent trust framework that fuses subjective opinions with imperfect understanding using the Scruff AI framework. Agrawal and Ansari</w:t>
      </w:r>
      <w:r>
        <w:t xml:space="preserve"> </w:t>
      </w:r>
      <w:hyperlink w:anchor="ref-21">
        <w:r>
          <w:rPr>
            <w:rStyle w:val="Hyperlink"/>
          </w:rPr>
          <w:t xml:space="preserve">[21]</w:t>
        </w:r>
      </w:hyperlink>
      <w:r>
        <w:t xml:space="preserve"> </w:t>
      </w:r>
      <w:r>
        <w:t xml:space="preserve">extend the multi-agent fusion approach to probabilistic conjunction assessment, demonstrating that subjective belief inputs can be aggregated without collapsing to a single point estimate. Correa and colleagues</w:t>
      </w:r>
      <w:r>
        <w:t xml:space="preserve"> </w:t>
      </w:r>
      <w:hyperlink w:anchor="ref-22">
        <w:r>
          <w:rPr>
            <w:rStyle w:val="Hyperlink"/>
          </w:rPr>
          <w:t xml:space="preserve">[22]</w:t>
        </w:r>
      </w:hyperlink>
      <w:r>
        <w:t xml:space="preserve"> </w:t>
      </w:r>
      <w:r>
        <w:t xml:space="preserve">address the adversarial cislunar setting in which the prior is weak and the value of each look is correspondingly high.</w:t>
      </w:r>
    </w:p>
    <w:p>
      <w:pPr>
        <w:pStyle w:val="BodyText"/>
        <w:spacing w:line="480" w:lineRule="auto"/>
        <w:ind w:firstLine="720"/>
      </w:pPr>
      <w:r>
        <w:t xml:space="preserve">The methodological lesson the dissertation draws from this literature is that hypothesis priors elicited from a science team’s published objectives must be treated as informative but not as deterministic. The companion logit paper</w:t>
      </w:r>
      <w:r>
        <w:t xml:space="preserve"> </w:t>
      </w:r>
      <w:hyperlink w:anchor="ref-12">
        <w:r>
          <w:rPr>
            <w:rStyle w:val="Hyperlink"/>
          </w:rPr>
          <w:t xml:space="preserve">[12]</w:t>
        </w:r>
      </w:hyperlink>
      <w:r>
        <w:t xml:space="preserve"> </w:t>
      </w:r>
      <w:r>
        <w:t xml:space="preserve">in the portfolio coded the information-value index against a fixed eight-item rubric on the science-objectives section of each instrument paper. That rubric is the dissertation’s operational analogue to the subjective-opinion-fusion machinery in the SDA literature. The rubric does not require the level of formal subjective-belief representation that Wilkins and colleagues develop, but it inherits the methodological discipline of pre-registering the elicitation procedure before scoring, which is what protects the dissertation against the metric-shopping threat identified in the prospectus.</w:t>
      </w:r>
    </w:p>
    <w:bookmarkEnd w:id="75"/>
    <w:bookmarkStart w:id="76" w:name="counterfactual-replay-and-identification"/>
    <w:p>
      <w:pPr>
        <w:pStyle w:val="Heading3"/>
        <w:spacing w:line="480" w:lineRule="auto"/>
      </w:pPr>
      <w:r>
        <w:t xml:space="preserve">2.3.5 Counterfactual Replay and Identification</w:t>
      </w:r>
    </w:p>
    <w:p>
      <w:pPr>
        <w:pStyle w:val="FirstParagraph"/>
        <w:spacing w:line="480" w:lineRule="auto"/>
      </w:pPr>
      <w:r>
        <w:t xml:space="preserve">The empirical strategy in the dissertation is counterfactual replay on a fixed observation log: both policies (VOI and precedence-rule) are run as schedulers over the historical candidate sets and constraints, and the realized historical outcomes drive the posterior update wherever a policy selects an observation whose outcome is in the log. This identification strategy is unusual in the science observation planning literature but has clear precedents in the broader decision-analytic methodology. The Smith, Jah, and Wood architecture for continuing supervision of commercial in-space servicing</w:t>
      </w:r>
      <w:r>
        <w:t xml:space="preserve"> </w:t>
      </w:r>
      <w:hyperlink w:anchor="ref-25">
        <w:r>
          <w:rPr>
            <w:rStyle w:val="Hyperlink"/>
          </w:rPr>
          <w:t xml:space="preserve">[25]</w:t>
        </w:r>
      </w:hyperlink>
      <w:r>
        <w:t xml:space="preserve"> </w:t>
      </w:r>
      <w:r>
        <w:t xml:space="preserve">establishes that decision-support tools can be evaluated against historical operational records, and the GAO Major Project assessment series</w:t>
      </w:r>
      <w:r>
        <w:t xml:space="preserve"> </w:t>
      </w:r>
      <w:hyperlink w:anchor="ref-16">
        <w:r>
          <w:rPr>
            <w:rStyle w:val="Hyperlink"/>
          </w:rPr>
          <w:t xml:space="preserve">[16]</w:t>
        </w:r>
      </w:hyperlink>
      <w:r>
        <w:t xml:space="preserve"> </w:t>
      </w:r>
      <w:r>
        <w:t xml:space="preserve">supplies the public accountability frame against which counterfactual policies can be benchmarked.</w:t>
      </w:r>
    </w:p>
    <w:p>
      <w:pPr>
        <w:pStyle w:val="BodyText"/>
        <w:spacing w:line="480" w:lineRule="auto"/>
        <w:ind w:firstLine="720"/>
      </w:pPr>
      <w:r>
        <w:t xml:space="preserve">The methodological discipline that the dissertation imports from the broader econometric literature is the requirement that the identification strategy address the obvious threats to validity before the result is reported. The prospectus already names these threats: the counterfactual outcome gap when the VOI policy selects an unobserved target, the hypothesis specification dependence that admits metric-shopping, the cost-term commensurability that admits parameter tuning, the baseline strength that admits a weak-baseline straw-man comparison, and the external validity limit of a single-campaign, single-instrument test. The dissertation’s mitigation strategies, restriction to fully covered cycles, pre-registered hypothesis structure, sensitivity grids on the cost weighting, faithful and best-tuned baseline implementations, and explicit scoping of the falsifiable claim, are standard moves in the cliometric methodology literature applied to a setting where they have not previously been demanded.</w:t>
      </w:r>
    </w:p>
    <w:bookmarkEnd w:id="76"/>
    <w:bookmarkStart w:id="77" w:name="cost-side-discipline"/>
    <w:p>
      <w:pPr>
        <w:pStyle w:val="Heading3"/>
        <w:spacing w:line="480" w:lineRule="auto"/>
      </w:pPr>
      <w:r>
        <w:t xml:space="preserve">2.3.6 Cost-Side Discipline</w:t>
      </w:r>
    </w:p>
    <w:p>
      <w:pPr>
        <w:pStyle w:val="FirstParagraph"/>
        <w:spacing w:line="480" w:lineRule="auto"/>
      </w:pPr>
      <w:r>
        <w:t xml:space="preserve">The decision-analytic primitive</w:t>
      </w:r>
      <w:r>
        <w:t xml:space="preserve"> </w:t>
      </w:r>
      <w:hyperlink w:anchor="ref-5">
        <w:r>
          <w:rPr>
            <w:rStyle w:val="Hyperlink"/>
          </w:rPr>
          <w:t xml:space="preserve">[5]</w:t>
        </w:r>
      </w:hyperlink>
      <w:r>
        <w:t xml:space="preserve"> </w:t>
      </w:r>
      <w:r>
        <w:t xml:space="preserve">is incomplete without an explicit cost side, and the OCEA framework</w:t>
      </w:r>
      <w:r>
        <w:t xml:space="preserve"> </w:t>
      </w:r>
      <w:hyperlink w:anchor="ref-6">
        <w:r>
          <w:rPr>
            <w:rStyle w:val="Hyperlink"/>
          </w:rPr>
          <w:t xml:space="preserve">[6]</w:t>
        </w:r>
      </w:hyperlink>
      <w:r>
        <w:t xml:space="preserve"> </w:t>
      </w:r>
      <w:r>
        <w:t xml:space="preserve">supplies the requisite cost machinery. The companion OLS paper in the dissertation portfolio</w:t>
      </w:r>
      <w:r>
        <w:t xml:space="preserve"> </w:t>
      </w:r>
      <w:hyperlink w:anchor="ref-12">
        <w:r>
          <w:rPr>
            <w:rStyle w:val="Hyperlink"/>
          </w:rPr>
          <w:t xml:space="preserve">[12]</w:t>
        </w:r>
      </w:hyperlink>
      <w:r>
        <w:t xml:space="preserve"> </w:t>
      </w:r>
      <w:r>
        <w:t xml:space="preserve">confirms the operational salience of the cost side: log downlink rate is the single dominant predictor of realized observation cadence, with a partial association substantially larger than that of the information-value index. The empirical lesson for the dissertation is that any tasking policy that ignores bandwidth is comparing the wrong quantity. The VOI score must therefore net expected entropy reduction against a normalized timeline-plus-downlink cost term, and the empirical chapter must report results across a grid of cost weightings rather than at a single favorable point. This cost-side discipline is a direct import from the econometric methodology literature into the science observation planning setting where it has not previously been applied.</w:t>
      </w:r>
    </w:p>
    <w:bookmarkEnd w:id="77"/>
    <w:bookmarkEnd w:id="78"/>
    <w:bookmarkStart w:id="79" w:name="Xc202383df9e606d108b600d802c7de48c7ae6c0"/>
    <w:p>
      <w:pPr>
        <w:pStyle w:val="Heading2"/>
        <w:spacing w:line="480" w:lineRule="auto"/>
      </w:pPr>
      <w:r>
        <w:t xml:space="preserve">2.4 The Unjoined Seam and the Dissertation’s Position</w:t>
      </w:r>
    </w:p>
    <w:p>
      <w:pPr>
        <w:pStyle w:val="FirstParagraph"/>
        <w:spacing w:line="480" w:lineRule="auto"/>
      </w:pPr>
      <w:r>
        <w:t xml:space="preserve">The two literatures, read together, expose a precise unjoined seam.</w:t>
      </w:r>
    </w:p>
    <w:p>
      <w:pPr>
        <w:pStyle w:val="BodyText"/>
        <w:spacing w:line="480" w:lineRule="auto"/>
        <w:ind w:firstLine="720"/>
      </w:pPr>
      <w:r>
        <w:t xml:space="preserve">The science observation planning and onboard activity scheduling tradition [1, 2, 11, 14, 26, 28] has built sophisticated machinery for the optimization problem framed as constraint satisfaction and throughput maximization. It has not adopted an explicit hypothesis-referenced information-value objective as the tasking score. The EO-1 autonomy precedent</w:t>
      </w:r>
      <w:r>
        <w:t xml:space="preserve"> </w:t>
      </w:r>
      <w:hyperlink w:anchor="ref-10">
        <w:r>
          <w:rPr>
            <w:rStyle w:val="Hyperlink"/>
          </w:rPr>
          <w:t xml:space="preserve">[10]</w:t>
        </w:r>
      </w:hyperlink>
      <w:r>
        <w:t xml:space="preserve"> </w:t>
      </w:r>
      <w:r>
        <w:t xml:space="preserve">shows that an operational shift to selectivity-over-throughput is technically achievable, but the precedent has not been generalized into a formal policy with a stated objective function and a falsifiable benchmark against the heuristic alternative.</w:t>
      </w:r>
    </w:p>
    <w:p>
      <w:pPr>
        <w:pStyle w:val="BodyText"/>
        <w:spacing w:line="480" w:lineRule="auto"/>
        <w:ind w:firstLine="720"/>
      </w:pPr>
      <w:r>
        <w:t xml:space="preserve">The SDA sensor-tasking tradition [3, 4, 7, 8, 9, 13, 17, 18, 19, 20, 21, 22, 23, 24, 25] has internalized that look value is a quantity to be computed against an information-theoretic objective, and has matured the requisite machinery: reward functions, inferential moments, Fisher information, POMDP value functions, Bayesian games, multi-agent fusion, and operational decision-support tools. It has applied these to custody, conjunction, and characterization problems where the hypothesis structure is closed-form. It has not been ported to the science observation planning setting where the hypothesis structure must be elicited from published science objectives.</w:t>
      </w:r>
    </w:p>
    <w:p>
      <w:pPr>
        <w:pStyle w:val="BodyText"/>
        <w:spacing w:line="480" w:lineRule="auto"/>
        <w:ind w:firstLine="720"/>
      </w:pPr>
      <w:r>
        <w:t xml:space="preserve">The decision-analytic primitive [5, 6] supplies the conceptual anchor that ties information value to downstream decision quality and disciplines that value against the cost of acquisition. The primitive has been articulated in the space economy and policy literature, and it has been applied in adjacent decision-analytic settings within space systems [25, 27, 30, 31, 32]. It has not been operationalized as a per-candidate tasking score in the science observation planning loop.</w:t>
      </w:r>
    </w:p>
    <w:p>
      <w:pPr>
        <w:pStyle w:val="BodyText"/>
        <w:spacing w:line="480" w:lineRule="auto"/>
        <w:ind w:firstLine="720"/>
      </w:pPr>
      <w:r>
        <w:t xml:space="preserve">The cliometric and econometric methodology literature supplies counterfactual replay, paired identification, sensitivity analysis, pre-registration, and cost-side commensurability as the standard apparatus for testing a policy claim against an observational record. This apparatus has been deployed in the adjacent decision-support literature</w:t>
      </w:r>
      <w:r>
        <w:t xml:space="preserve"> </w:t>
      </w:r>
      <w:hyperlink w:anchor="ref-25">
        <w:r>
          <w:rPr>
            <w:rStyle w:val="Hyperlink"/>
          </w:rPr>
          <w:t xml:space="preserve">[25]</w:t>
        </w:r>
      </w:hyperlink>
      <w:r>
        <w:t xml:space="preserve"> </w:t>
      </w:r>
      <w:r>
        <w:t xml:space="preserve">and in the public-accountability assessment literature</w:t>
      </w:r>
      <w:r>
        <w:t xml:space="preserve"> </w:t>
      </w:r>
      <w:hyperlink w:anchor="ref-16">
        <w:r>
          <w:rPr>
            <w:rStyle w:val="Hyperlink"/>
          </w:rPr>
          <w:t xml:space="preserve">[16]</w:t>
        </w:r>
      </w:hyperlink>
      <w:r>
        <w:t xml:space="preserve">, but it has not been brought to bear on the head-to-head test of a VOI tasking policy against a precedence-rule heuristic baseline using a public mission planning dataset.</w:t>
      </w:r>
    </w:p>
    <w:p>
      <w:pPr>
        <w:pStyle w:val="BodyText"/>
        <w:spacing w:line="480" w:lineRule="auto"/>
        <w:ind w:firstLine="720"/>
      </w:pPr>
      <w:r>
        <w:t xml:space="preserve">The companion empirical papers in the dissertation portfolio</w:t>
      </w:r>
      <w:r>
        <w:t xml:space="preserve"> </w:t>
      </w:r>
      <w:hyperlink w:anchor="ref-12">
        <w:r>
          <w:rPr>
            <w:rStyle w:val="Hyperlink"/>
          </w:rPr>
          <w:t xml:space="preserve">[12]</w:t>
        </w:r>
      </w:hyperlink>
      <w:r>
        <w:t xml:space="preserve"> </w:t>
      </w:r>
      <w:r>
        <w:t xml:space="preserve">establish that the static, paper-stage attributes of a mission’s science objectives do not by themselves move realized observation cadence after engineering controls, that bandwidth dominates as the engineering driver of cadence, that autonomy trades cadence for selectivity, and that the binary attainment of an adaptive observation plan tracks the VOI proxy in the predicted direction without crossing a conventional significance threshold at the available sample size. These results constrain the dissertation’s main claim in a productive way. They establish that VOI as a static covariate is not, and was not expected to be, the operative quantity. The operative quantity is VOI as an in-loop tasking score, evaluated per candidate observation against a pre-registered hypothesis structure, and benchmarked against a faithfully implemented precedence-rule baseline.</w:t>
      </w:r>
    </w:p>
    <w:p>
      <w:pPr>
        <w:pStyle w:val="BodyText"/>
        <w:spacing w:line="480" w:lineRule="auto"/>
        <w:ind w:firstLine="720"/>
      </w:pPr>
      <w:r>
        <w:t xml:space="preserve">The dissertation’s contribution sits exactly on the unjoined seam. It imports the information-theoretic tasking machinery from the SDA literature [9, 13, 17, 18, 19, 20, 21, 22], adapts it to a science-hypothesis structure elicited from public mission science objectives, anchors it to the decision-analytic primitive</w:t>
      </w:r>
      <w:r>
        <w:t xml:space="preserve"> </w:t>
      </w:r>
      <w:hyperlink w:anchor="ref-5">
        <w:r>
          <w:rPr>
            <w:rStyle w:val="Hyperlink"/>
          </w:rPr>
          <w:t xml:space="preserve">[5]</w:t>
        </w:r>
      </w:hyperlink>
      <w:r>
        <w:t xml:space="preserve"> </w:t>
      </w:r>
      <w:r>
        <w:t xml:space="preserve">and its cost-side discipline</w:t>
      </w:r>
      <w:r>
        <w:t xml:space="preserve"> </w:t>
      </w:r>
      <w:hyperlink w:anchor="ref-6">
        <w:r>
          <w:rPr>
            <w:rStyle w:val="Hyperlink"/>
          </w:rPr>
          <w:t xml:space="preserve">[6]</w:t>
        </w:r>
      </w:hyperlink>
      <w:r>
        <w:t xml:space="preserve">, operationalizes it as a per-candidate VOI score, runs it as a counterfactual replay against the CRISM observation log alongside the precedence-rule baseline</w:t>
      </w:r>
      <w:r>
        <w:t xml:space="preserve"> </w:t>
      </w:r>
      <w:hyperlink w:anchor="ref-1">
        <w:r>
          <w:rPr>
            <w:rStyle w:val="Hyperlink"/>
          </w:rPr>
          <w:t xml:space="preserve">[1]</w:t>
        </w:r>
      </w:hyperlink>
      <w:r>
        <w:t xml:space="preserve">, and adjudicates the head-to-head comparison using the paired-identification machinery and sensitivity-analysis discipline inherited from the cliometric methodology literature. The contribution is narrow by design: one policy, one baseline, one metric, one dataset. The narrowness is what makes the claim falsifiable, and the falsifiability is what makes the contribution worth defending.</w:t>
      </w:r>
    </w:p>
    <w:p>
      <w:pPr>
        <w:pStyle w:val="BodyText"/>
        <w:spacing w:line="480" w:lineRule="auto"/>
        <w:ind w:firstLine="720"/>
      </w:pPr>
      <w:r>
        <w:t xml:space="preserve">What follows in Chapter 3 specifies the formal VOI score, the precedence-rule baseline implementation, the candidate-set reconstruction procedure, the hypothesis pre-registration, and the cost-weighting grid, before Chapter 4 reports the counterfactual replay results and Chapter 5 returns to the literature to situate the findings.</w:t>
      </w:r>
    </w:p>
    <w:bookmarkEnd w:id="79"/>
    <w:bookmarkEnd w:id="80"/>
    <w:bookmarkStart w:id="88" w:name="Xcfcc00a3ded59aed0c781c16bfc121f2a509603"/>
    <w:p>
      <w:pPr>
        <w:pStyle w:val="Heading1"/>
        <w:spacing w:line="480" w:lineRule="auto"/>
      </w:pPr>
      <w:r>
        <w:t xml:space="preserve">Chapter 3. Theoretical Framework and Hypotheses</w:t>
      </w:r>
    </w:p>
    <w:bookmarkStart w:id="81" w:name="purpose-of-the-chapter"/>
    <w:p>
      <w:pPr>
        <w:pStyle w:val="Heading2"/>
        <w:spacing w:line="480" w:lineRule="auto"/>
      </w:pPr>
      <w:r>
        <w:t xml:space="preserve">3.1 Purpose of the Chapter</w:t>
      </w:r>
    </w:p>
    <w:p>
      <w:pPr>
        <w:pStyle w:val="FirstParagraph"/>
        <w:spacing w:line="480" w:lineRule="auto"/>
      </w:pPr>
      <w:r>
        <w:t xml:space="preserve">The first two chapters established the operational setting and the empirical motivation for the dissertation. Robotic science missions allocate a contested observation timeline under uncertainty about the scientific payoff of each candidate target, and current practice resolves that allocation through precedence-rule heuristics that encode payoff implicitly through static priority labels</w:t>
      </w:r>
      <w:r>
        <w:t xml:space="preserve"> </w:t>
      </w:r>
      <w:hyperlink w:anchor="ref-1">
        <w:r>
          <w:rPr>
            <w:rStyle w:val="Hyperlink"/>
          </w:rPr>
          <w:t xml:space="preserve">[1]</w:t>
        </w:r>
      </w:hyperlink>
      <w:r>
        <w:t xml:space="preserve">. The two preceding empirical chapters showed that, in a panel of 24 public mission records, an information-value index coded from each mission’s stated objectives does not by itself move observed cadence after engineering controls are imposed, while downlink bandwidth dominates and onboard autonomy trades raw cadence for selectivity. A companion logit on a binary measure of plan attainment moved the information-value index in the predicted direction but did not separate from the null at a small sample size. Together, those exercises constrain the dissertation’s central claim rather than confirm it: the value of information matters operationally, but only when it is operationalized inside the tasking loop, not when it is read off as a paper-stage attribute of mission design.</w:t>
      </w:r>
    </w:p>
    <w:p>
      <w:pPr>
        <w:pStyle w:val="BodyText"/>
        <w:spacing w:line="480" w:lineRule="auto"/>
        <w:ind w:firstLine="720"/>
      </w:pPr>
      <w:r>
        <w:t xml:space="preserve">This chapter supplies the theoretical apparatus that makes the in-loop claim testable. It develops the decision-analytic mechanism by which an explicit Value of Information (VOI) score should reorder observation selections, derives the causal logic that connects that reordering to a measurable change in realized information return per unit observation time, articulates the assumptions on which the mechanism rests, and formalizes the null and alternative hypotheses that the dissertation’s counterfactual replay will adjudicate. The chapter does not introduce new data, and it does not adjudicate the policy. Its function is to make precise what is being claimed, what would falsify it, and which auxiliary commitments make the test meaningful.</w:t>
      </w:r>
    </w:p>
    <w:p>
      <w:pPr>
        <w:pStyle w:val="BodyText"/>
        <w:spacing w:line="480" w:lineRule="auto"/>
        <w:ind w:firstLine="720"/>
      </w:pPr>
      <w:r>
        <w:t xml:space="preserve">The chapter is organized as follows. Section 3.2 sets out the decision-analytic primitives that the framework requires: a belief state over a hypothesis structure, an expected posterior entropy reduction, and a commensurable cost term. Section 3.3 develops the mechanism by which a VOI-ranked tasking policy reorders selections relative to the precedence-rule baseline. Section 3.4 lays out the causal logic that links that reordering to realized information return per unit observation time, including the role of the constraint envelope and the realized observation outcomes that anchor the replay to ground truth. Section 3.5 states the formal hypotheses and the auxiliary commitments that make rejection meaningful. Section 3.6 enumerates the scope conditions under which the framework’s predictions should hold. Section 3.7 closes by connecting the framework to the empirical strategy elaborated in the next chapter.</w:t>
      </w:r>
    </w:p>
    <w:bookmarkEnd w:id="81"/>
    <w:bookmarkStart w:id="82" w:name="decision-analytic-primitives"/>
    <w:p>
      <w:pPr>
        <w:pStyle w:val="Heading2"/>
        <w:spacing w:line="480" w:lineRule="auto"/>
      </w:pPr>
      <w:r>
        <w:t xml:space="preserve">3.2 Decision-Analytic Primitives</w:t>
      </w:r>
    </w:p>
    <w:p>
      <w:pPr>
        <w:pStyle w:val="FirstParagraph"/>
        <w:spacing w:line="480" w:lineRule="auto"/>
      </w:pPr>
      <w:r>
        <w:t xml:space="preserve">Each planning cycle becomes a structured decision problem. The framework builds it from three primitives: a belief state over a science hypothesis structure, an information-gain functional that maps a candidate observation to an expected change in that belief state, and a cost functional that maps the same candidate to its timeline and downlink burden. The three primitives together specify the quantity to be maximized.</w:t>
      </w:r>
    </w:p>
    <w:p>
      <w:pPr>
        <w:pStyle w:val="BodyText"/>
        <w:spacing w:line="480" w:lineRule="auto"/>
        <w:ind w:firstLine="720"/>
      </w:pPr>
      <w:r>
        <w:t xml:space="preserve">The first primitive is the belief state. At the opening of a planning cycle, the science team holds beliefs about a set of hypotheses germane to the campaign’s published science objectives. For the targeted-imaging campaigns that motivate the dissertation, the relevant hypotheses concern the presence or absence of specific signatures (mineralogical, thermal, atmospheric) at specific candidate sites. The belief state is a probability distribution over these hypotheses conditional on everything already observed up to the planning cycle. The decision-analytic tradition holds that the value of any future observation must be assessed against this belief state, not against a hypothetical naive prior, because what matters is how much an observation changes a posterior that has already been moved by prior data</w:t>
      </w:r>
      <w:r>
        <w:t xml:space="preserve"> </w:t>
      </w:r>
      <w:hyperlink w:anchor="ref-5">
        <w:r>
          <w:rPr>
            <w:rStyle w:val="Hyperlink"/>
          </w:rPr>
          <w:t xml:space="preserve">[5]</w:t>
        </w:r>
      </w:hyperlink>
      <w:r>
        <w:t xml:space="preserve">.</w:t>
      </w:r>
    </w:p>
    <w:p>
      <w:pPr>
        <w:pStyle w:val="BodyText"/>
        <w:spacing w:line="480" w:lineRule="auto"/>
        <w:ind w:firstLine="720"/>
      </w:pPr>
      <w:r>
        <w:t xml:space="preserve">The second primitive is the information-gain functional. For each candidate observation in the planning cycle, the functional returns the expected reduction in posterior entropy across the hypothesis set, taken as an expectation over the distribution of possible observation outcomes implied by the current belief state. This is the standard expected information-gain quantity that underwrites the Fisher-information and mutual-information formulations of sensor tasking in space domain awareness [3, 4, 7, 8, 9, 13]. The dissertation’s contribution is not to introduce the functional but to apply it to the science-hypothesis structure of a targeted-imaging campaign rather than to the custody-estimate structure of a sensor network. The conceptual move is the same: a candidate observation is scored by how much it is expected to move a posterior, not by the static label that was attached to it at the campaign design stage.</w:t>
      </w:r>
    </w:p>
    <w:p>
      <w:pPr>
        <w:pStyle w:val="BodyText"/>
        <w:spacing w:line="480" w:lineRule="auto"/>
        <w:ind w:firstLine="720"/>
      </w:pPr>
      <w:r>
        <w:t xml:space="preserve">The third primitive is the cost functional. Each candidate observation consumes timeline and downlink bandwidth, and the empirical chapter on cadence established that bandwidth is the dominant first-order driver of realized observation throughput in the public mission record. A scoring rule that ignores the cost side compares the wrong quantities. The cost functional maps a candidate observation to a normalized scalar that combines its timeline footprint and its expected data volume, anchored to the operational constraints documented in the mission’s published planning materials</w:t>
      </w:r>
      <w:r>
        <w:t xml:space="preserve"> </w:t>
      </w:r>
      <w:hyperlink w:anchor="ref-6">
        <w:r>
          <w:rPr>
            <w:rStyle w:val="Hyperlink"/>
          </w:rPr>
          <w:t xml:space="preserve">[6]</w:t>
        </w:r>
      </w:hyperlink>
      <w:r>
        <w:t xml:space="preserve">. The VOI score for a candidate is the expected information-gain functional minus a weighted cost functional, where the cost weight is a parameter the empirical chapter will vary across a grid to test sensitivity rather than fix at a single favorable value.</w:t>
      </w:r>
    </w:p>
    <w:p>
      <w:pPr>
        <w:pStyle w:val="BodyText"/>
        <w:spacing w:line="480" w:lineRule="auto"/>
        <w:ind w:firstLine="720"/>
      </w:pPr>
      <w:r>
        <w:t xml:space="preserve">Composed together, the three primitives yield a per-candidate score that is comparable across candidates within a planning cycle and that responds correctly to the belief state, the hypothesis structure, and the operational cost envelope. The score is not novel as a mathematical object. What is novel is its use as the in-loop ranking objective for a targeted science observation campaign, replacing the static precedence label that the published heuristic uses today</w:t>
      </w:r>
      <w:r>
        <w:t xml:space="preserve"> </w:t>
      </w:r>
      <w:hyperlink w:anchor="ref-1">
        <w:r>
          <w:rPr>
            <w:rStyle w:val="Hyperlink"/>
          </w:rPr>
          <w:t xml:space="preserve">[1]</w:t>
        </w:r>
      </w:hyperlink>
      <w:r>
        <w:t xml:space="preserve">.</w:t>
      </w:r>
    </w:p>
    <w:bookmarkEnd w:id="82"/>
    <w:bookmarkStart w:id="83" w:name="X3f2f943503183ff0b87888819e285219bb91f66"/>
    <w:p>
      <w:pPr>
        <w:pStyle w:val="Heading2"/>
        <w:spacing w:line="480" w:lineRule="auto"/>
      </w:pPr>
      <w:r>
        <w:t xml:space="preserve">3.3 The Mechanism: VOI Reorders Selections under Conflict</w:t>
      </w:r>
    </w:p>
    <w:p>
      <w:pPr>
        <w:pStyle w:val="FirstParagraph"/>
        <w:spacing w:line="480" w:lineRule="auto"/>
      </w:pPr>
      <w:r>
        <w:t xml:space="preserve">Stated plainly, the mechanism is operationally specific. Within any planning cycle in which the candidate set exceeds the constraint envelope, conflicts between candidates must be resolved. The precedence-rule baseline resolves conflicts deterministically by static priority tier, breaking ties by secondary fields such as request time or target identifier</w:t>
      </w:r>
      <w:r>
        <w:t xml:space="preserve"> </w:t>
      </w:r>
      <w:hyperlink w:anchor="ref-1">
        <w:r>
          <w:rPr>
            <w:rStyle w:val="Hyperlink"/>
          </w:rPr>
          <w:t xml:space="preserve">[1]</w:t>
        </w:r>
      </w:hyperlink>
      <w:r>
        <w:t xml:space="preserve">. The VOI policy resolves the same conflicts by the per-candidate score defined in Section 3.2: the candidate with higher expected information gain net of cost is selected. The two policies differ in exactly one respect, namely the function used to order candidates at the moment of conflict.</w:t>
      </w:r>
    </w:p>
    <w:p>
      <w:pPr>
        <w:pStyle w:val="BodyText"/>
        <w:spacing w:line="480" w:lineRule="auto"/>
        <w:ind w:firstLine="720"/>
      </w:pPr>
      <w:r>
        <w:t xml:space="preserve">The reordering is consequential only when the two orderings disagree. If every conflict’s static priority ranking coincides with the VOI ranking, the two policies select identical observations and produce identical realized information return. The empirical interest is therefore concentrated on the subset of conflicts in which the two orderings disagree, which the framework predicts will be a substantial share of operational conflicts for any campaign whose hypothesis structure has been moved meaningfully by prior observations. The reason is that static priority tiers are assigned at campaign design, before any data return, while the belief state evolves as observations accumulate. A target that was rationally labeled high priority at campaign opening may, after several observations have resolved its associated hypothesis to high posterior certainty, carry low expected information gain. A target that was rationally labeled lower priority may, after the belief state has shifted, carry high expected information gain. The mechanism predicts that the operational divergence between the two policies grows with the depth of the campaign and with the responsiveness of the hypothesis structure to prior observations.</w:t>
      </w:r>
    </w:p>
    <w:p>
      <w:pPr>
        <w:pStyle w:val="BodyText"/>
        <w:spacing w:line="480" w:lineRule="auto"/>
        <w:ind w:firstLine="720"/>
      </w:pPr>
      <w:r>
        <w:t xml:space="preserve">The mechanism does not assert that VOI selects different candidates from the precedence rule in every cycle, nor that the differences are uniformly large. It asserts that, where they differ, the VOI selection captures expected information gain that the precedence rule’s static label cannot see by construction. The empirical chapter’s task is to estimate how often the divergence occurs and how large the realized information consequence is when it does.</w:t>
      </w:r>
    </w:p>
    <w:p>
      <w:pPr>
        <w:pStyle w:val="BodyText"/>
        <w:spacing w:line="480" w:lineRule="auto"/>
        <w:ind w:firstLine="720"/>
      </w:pPr>
      <w:r>
        <w:t xml:space="preserve">The mechanism is also explicit about what it does not do. It does not change the constraint envelope. Timeline and downlink limits are imposed identically on both policies. It does not change the candidate set. The same set of candidates is presented to both schedulers in each cycle. It does not change the realized outcome of any observation. When a policy selects an observation whose realized outcome exists in the historical log, that outcome drives the posterior update for both the policy’s belief state and the evaluation. The mechanism’s only operational effect is to reorder selections within a fixed candidate set under a fixed constraint envelope, and the empirical question is whether that reordering, summed across cycles, produces strictly greater realized information return per unit observation time.</w:t>
      </w:r>
    </w:p>
    <w:bookmarkEnd w:id="83"/>
    <w:bookmarkStart w:id="84" w:name="X1002503b1689c8fc19d3569ae74993b8b089b3d"/>
    <w:p>
      <w:pPr>
        <w:pStyle w:val="Heading2"/>
        <w:spacing w:line="480" w:lineRule="auto"/>
      </w:pPr>
      <w:r>
        <w:t xml:space="preserve">3.4 Causal Logic of the Counterfactual Replay</w:t>
      </w:r>
    </w:p>
    <w:p>
      <w:pPr>
        <w:pStyle w:val="FirstParagraph"/>
        <w:spacing w:line="480" w:lineRule="auto"/>
      </w:pPr>
      <w:r>
        <w:t xml:space="preserve">The framework’s predicted effect is causal in a precise sense. The estimand is the average treatment effect of policy assignment on realized information return per unit observation time, with the candidate set and constraint envelope held fixed across the two arms. The identification strategy is counterfactual replay on a fixed observation log, with both policies run as schedulers over identical inputs. The causal logic rests on four assumptions that are worth stating explicitly because each is empirically testable or empirically bounded.</w:t>
      </w:r>
    </w:p>
    <w:p>
      <w:pPr>
        <w:pStyle w:val="BodyText"/>
        <w:spacing w:line="480" w:lineRule="auto"/>
        <w:ind w:firstLine="720"/>
      </w:pPr>
      <w:r>
        <w:t xml:space="preserve">First, the candidate set is taken as exogenous to policy assignment. In a real mission, the candidate set generated by the science team in any given planning cycle could depend on what was selected in prior cycles, which raises the possibility that a VOI policy operating over multiple cycles would receive a different candidate set than the precedence rule. The replay neutralizes this by fixing the candidate set per cycle to the historical record. Both policies see the same candidates the science team actually considered, and the comparison is held to that input. The framework’s predicted effect is thus a within-cycle reordering effect, not a campaign-evolution effect, and the empirical estimate should be read accordingly.</w:t>
      </w:r>
    </w:p>
    <w:p>
      <w:pPr>
        <w:pStyle w:val="BodyText"/>
        <w:spacing w:line="480" w:lineRule="auto"/>
        <w:ind w:firstLine="720"/>
      </w:pPr>
      <w:r>
        <w:t xml:space="preserve">Second, the constraint envelope is taken as exogenous to policy assignment. Timeline and downlink constraints are functions of spacecraft and ground-segment engineering, not of the policy used to fill them, and the replay applies identical envelopes to both policies in each cycle. The bandwidth result from the cadence panel reinforces this: downlink is the dominant first-order driver of throughput regardless of policy, and the framework treats it as an exogenous constraint that both policies must respect</w:t>
      </w:r>
      <w:r>
        <w:t xml:space="preserve"> </w:t>
      </w:r>
      <w:hyperlink w:anchor="ref-6">
        <w:r>
          <w:rPr>
            <w:rStyle w:val="Hyperlink"/>
          </w:rPr>
          <w:t xml:space="preserve">[6]</w:t>
        </w:r>
      </w:hyperlink>
      <w:r>
        <w:t xml:space="preserve">.</w:t>
      </w:r>
    </w:p>
    <w:p>
      <w:pPr>
        <w:pStyle w:val="BodyText"/>
        <w:spacing w:line="480" w:lineRule="auto"/>
        <w:ind w:firstLine="720"/>
      </w:pPr>
      <w:r>
        <w:t xml:space="preserve">Third, the realized outcome of any observation is taken as a function of the observation itself, not of the policy that selected it. When the VOI policy and the precedence rule both select the same candidate in a given cycle, both arms inherit the same realized outcome from the log. When the policies diverge, the realized outcome of the historically selected candidate is available to one arm; the realized outcome of the counterfactually selected candidate may or may not be available, depending on whether that candidate was imaged in some other historical cycle. The replay restricts the primary test to cycles whose divergent selections have realized counterparts in the broader log, and reports a sensitivity analysis with conservative imputation for the residual gap.</w:t>
      </w:r>
    </w:p>
    <w:p>
      <w:pPr>
        <w:pStyle w:val="BodyText"/>
        <w:spacing w:line="480" w:lineRule="auto"/>
        <w:ind w:firstLine="720"/>
      </w:pPr>
      <w:r>
        <w:t xml:space="preserve">Fourth, the information-gain functional and its supporting priors are pre-registered against the mission’s published science objectives, not chosen after inspecting the data. This commitment rules out the metric-shopping pathway by which a favorable hypothesis structure could be reverse-engineered to flatter the VOI policy. The autonomy-trades-cadence-for-selectivity result from the cadence panel underlines why this commitment matters: a metric that conflates information return with raw count would have credited the precedence rule mechanically and would have missed the operational concept that the EO-1 architecture in fact embodied</w:t>
      </w:r>
      <w:r>
        <w:t xml:space="preserve"> </w:t>
      </w:r>
      <w:hyperlink w:anchor="ref-10">
        <w:r>
          <w:rPr>
            <w:rStyle w:val="Hyperlink"/>
          </w:rPr>
          <w:t xml:space="preserve">[10]</w:t>
        </w:r>
      </w:hyperlink>
      <w:r>
        <w:t xml:space="preserve">.</w:t>
      </w:r>
    </w:p>
    <w:p>
      <w:pPr>
        <w:pStyle w:val="BodyText"/>
        <w:spacing w:line="480" w:lineRule="auto"/>
        <w:ind w:firstLine="720"/>
      </w:pPr>
      <w:r>
        <w:t xml:space="preserve">Under these four assumptions, the predicted causal effect is identified as the within-cycle paired difference in realized information return per unit observation time, summed across cycles, with cycle as the unit of inference and a cluster-robust paired test as the frequentist procedure. The companion Bayesian posterior on the mean difference reports the effect size with credible intervals so the result is not reduced to a single binary rejection decision. The framework predicts a positive paired difference; the magnitude is left as an empirical question.</w:t>
      </w:r>
    </w:p>
    <w:bookmarkEnd w:id="84"/>
    <w:bookmarkStart w:id="85" w:name="formal-hypotheses"/>
    <w:p>
      <w:pPr>
        <w:pStyle w:val="Heading2"/>
        <w:spacing w:line="480" w:lineRule="auto"/>
      </w:pPr>
      <w:r>
        <w:t xml:space="preserve">3.5 Formal Hypotheses</w:t>
      </w:r>
    </w:p>
    <w:p>
      <w:pPr>
        <w:pStyle w:val="FirstParagraph"/>
        <w:spacing w:line="480" w:lineRule="auto"/>
      </w:pPr>
      <w:r>
        <w:t xml:space="preserve">The framework yields one falsifiable claim, stated as a directional comparison between two named policies on one operational metric over one named dataset. The metric is realized information return per unit observation time, computed as the cumulative reduction in posterior entropy across the science hypothesis set attributable to the observations actually taken in the replay, divided by the observation time consumed. The two policies are the VOI-ranked tasking policy specified in Section 3.2 and the precedence-rule heuristic of</w:t>
      </w:r>
      <w:r>
        <w:t xml:space="preserve"> </w:t>
      </w:r>
      <w:hyperlink w:anchor="ref-1">
        <w:r>
          <w:rPr>
            <w:rStyle w:val="Hyperlink"/>
          </w:rPr>
          <w:t xml:space="preserve">[1]</w:t>
        </w:r>
      </w:hyperlink>
      <w:r>
        <w:t xml:space="preserve">. The dataset is the public Mars Reconnaissance Orbiter CRISM observation log archived in the NASA Planetary Data System.</w:t>
      </w:r>
    </w:p>
    <w:p>
      <w:pPr>
        <w:pStyle w:val="BodyText"/>
        <w:spacing w:line="480" w:lineRule="auto"/>
        <w:ind w:firstLine="720"/>
      </w:pPr>
      <w:r>
        <w:t xml:space="preserve">H0 (null hypothesis). On the CRISM observation log, evaluated over identical candidate sets and identical constraint envelopes, the VOI-ranked tasking policy produces realized information return per unit observation time that is less than or equal to that of the precedence-rule heuristic baseline of</w:t>
      </w:r>
      <w:r>
        <w:t xml:space="preserve"> </w:t>
      </w:r>
      <w:hyperlink w:anchor="ref-1">
        <w:r>
          <w:rPr>
            <w:rStyle w:val="Hyperlink"/>
          </w:rPr>
          <w:t xml:space="preserve">[1]</w:t>
        </w:r>
      </w:hyperlink>
      <w:r>
        <w:t xml:space="preserve">.</w:t>
      </w:r>
    </w:p>
    <w:p>
      <w:pPr>
        <w:pStyle w:val="BodyText"/>
        <w:spacing w:line="480" w:lineRule="auto"/>
        <w:ind w:firstLine="720"/>
      </w:pPr>
      <w:r>
        <w:t xml:space="preserve">H1 (alternative hypothesis). On the CRISM observation log, evaluated over identical candidate sets and identical constraint envelopes, the VOI-ranked tasking policy produces strictly greater realized information return per unit observation time than the precedence-rule heuristic baseline of</w:t>
      </w:r>
      <w:r>
        <w:t xml:space="preserve"> </w:t>
      </w:r>
      <w:hyperlink w:anchor="ref-1">
        <w:r>
          <w:rPr>
            <w:rStyle w:val="Hyperlink"/>
          </w:rPr>
          <w:t xml:space="preserve">[1]</w:t>
        </w:r>
      </w:hyperlink>
      <w:r>
        <w:t xml:space="preserve">.</w:t>
      </w:r>
    </w:p>
    <w:p>
      <w:pPr>
        <w:pStyle w:val="BodyText"/>
        <w:spacing w:line="480" w:lineRule="auto"/>
        <w:ind w:firstLine="720"/>
      </w:pPr>
      <w:r>
        <w:t xml:space="preserve">The hypotheses are paired and directional. The paired structure is required because cycle-level heterogeneity in candidate set difficulty, observation time available, and prior belief state is large, and an unpaired comparison would be dominated by that heterogeneity. The directional structure reflects the framework’s mechanism: the VOI policy is constructed to dominate, by design, in cycles where the two orderings diverge, so the prediction is one-sided. The dissertation will report a two-sided test alongside the one-sided test as a conservative check.</w:t>
      </w:r>
    </w:p>
    <w:p>
      <w:pPr>
        <w:pStyle w:val="BodyText"/>
        <w:spacing w:line="480" w:lineRule="auto"/>
        <w:ind w:firstLine="720"/>
      </w:pPr>
      <w:r>
        <w:t xml:space="preserve">Four auxiliary commitments make rejection meaningful. First, the hypothesis structure is pre-registered from the mission’s published science objectives before any scoring is performed</w:t>
      </w:r>
      <w:r>
        <w:t xml:space="preserve"> </w:t>
      </w:r>
      <w:hyperlink w:anchor="ref-5">
        <w:r>
          <w:rPr>
            <w:rStyle w:val="Hyperlink"/>
          </w:rPr>
          <w:t xml:space="preserve">[5]</w:t>
        </w:r>
      </w:hyperlink>
      <w:r>
        <w:t xml:space="preserve">. Second, the cost weight in the VOI score is evaluated across a grid rather than at a single point, and H1 is required to hold across the full grid before any rejection of H0 is reported</w:t>
      </w:r>
      <w:r>
        <w:t xml:space="preserve"> </w:t>
      </w:r>
      <w:hyperlink w:anchor="ref-6">
        <w:r>
          <w:rPr>
            <w:rStyle w:val="Hyperlink"/>
          </w:rPr>
          <w:t xml:space="preserve">[6]</w:t>
        </w:r>
      </w:hyperlink>
      <w:r>
        <w:t xml:space="preserve">. Third, the precedence-rule baseline is implemented to its published specification</w:t>
      </w:r>
      <w:r>
        <w:t xml:space="preserve"> </w:t>
      </w:r>
      <w:hyperlink w:anchor="ref-1">
        <w:r>
          <w:rPr>
            <w:rStyle w:val="Hyperlink"/>
          </w:rPr>
          <w:t xml:space="preserve">[1]</w:t>
        </w:r>
      </w:hyperlink>
      <w:r>
        <w:t xml:space="preserve"> </w:t>
      </w:r>
      <w:r>
        <w:t xml:space="preserve">and, as a robustness check, tuned to its strongest realized historical performance before comparison; the framework explicitly forbids a weak-baseline manufactured win. Fourth, the conservative imputation for counterfactual outcome gaps is the primary reported result, with the unrestricted estimate reported alongside as an upper bound. Each of these commitments narrows the framework’s degrees of freedom and concentrates the test on the mechanism it claims.</w:t>
      </w:r>
    </w:p>
    <w:p>
      <w:pPr>
        <w:pStyle w:val="BodyText"/>
        <w:spacing w:line="480" w:lineRule="auto"/>
        <w:ind w:firstLine="720"/>
      </w:pPr>
      <w:r>
        <w:t xml:space="preserve">The hypothesis structure is also explicit about what is not being tested. The framework does not claim that VOI produces higher raw observation cadence; the cadence panel result implies it may not, and the framework’s metric is constructed precisely to make that irrelevant. It does not claim that VOI is computationally cheaper than the precedence rule; the empirical work assumes the score is computable in operationally relevant time, and the dissertation will document the realized compute cost as a descriptive auxiliary. It does not claim that VOI generalizes to mission classes beyond targeted-imaging campaigns; the falsifiable test is scoped to CRISM, and the broader generalization is deferred. These exclusions are not concessions; they are the discipline that makes the central claim rejectable on a single, identifiable test.</w:t>
      </w:r>
    </w:p>
    <w:bookmarkEnd w:id="85"/>
    <w:bookmarkStart w:id="86" w:name="scope-conditions-and-boundary-cases"/>
    <w:p>
      <w:pPr>
        <w:pStyle w:val="Heading2"/>
        <w:spacing w:line="480" w:lineRule="auto"/>
      </w:pPr>
      <w:r>
        <w:t xml:space="preserve">3.6 Scope Conditions and Boundary Cases</w:t>
      </w:r>
    </w:p>
    <w:p>
      <w:pPr>
        <w:pStyle w:val="FirstParagraph"/>
        <w:spacing w:line="480" w:lineRule="auto"/>
      </w:pPr>
      <w:r>
        <w:t xml:space="preserve">The framework’s predictions hold under a defined scope. Four scope conditions are worth naming because each delimits the set of operational settings to which the dissertation’s result should be read as applying.</w:t>
      </w:r>
    </w:p>
    <w:p>
      <w:pPr>
        <w:pStyle w:val="BodyText"/>
        <w:spacing w:line="480" w:lineRule="auto"/>
        <w:ind w:firstLine="720"/>
      </w:pPr>
      <w:r>
        <w:t xml:space="preserve">The first scope condition is targeted observation. The framework presupposes a planning cycle in which the science team selects from a finite candidate set of named targets with associated hypothesis structures. The CRISM targeted mode satisfies this condition by construction. The framework’s predictions do not extend without modification to survey campaigns whose candidate set is implicitly the full instrument field of regard.</w:t>
      </w:r>
    </w:p>
    <w:p>
      <w:pPr>
        <w:pStyle w:val="BodyText"/>
        <w:spacing w:line="480" w:lineRule="auto"/>
        <w:ind w:firstLine="720"/>
      </w:pPr>
      <w:r>
        <w:t xml:space="preserve">The second scope condition is hypothesis structure that responds to data. The framework’s mechanism predicts divergence between VOI and precedence-rule selections in proportion to how much the belief state has been moved by prior observations. Campaigns whose hypotheses are degenerate (point-identified at the prior, or insensitive to the observations the instrument can deliver) will produce no divergence regardless of policy. The CRISM mineralogical hypothesis structure is responsive in this sense, supplying the framework’s predicted divergence channel.</w:t>
      </w:r>
    </w:p>
    <w:p>
      <w:pPr>
        <w:pStyle w:val="BodyText"/>
        <w:spacing w:line="480" w:lineRule="auto"/>
        <w:ind w:firstLine="720"/>
      </w:pPr>
      <w:r>
        <w:t xml:space="preserve">The third scope condition is a binding constraint envelope. If the timeline and downlink envelope is large enough to accommodate every candidate every cycle, the two policies face no conflicts and produce identical selections. The framework’s predicted effect is conditional on the envelope being binding. The CRISM operational record is binding in nearly every cycle, satisfying this condition.</w:t>
      </w:r>
    </w:p>
    <w:p>
      <w:pPr>
        <w:pStyle w:val="BodyText"/>
        <w:spacing w:line="480" w:lineRule="auto"/>
        <w:ind w:firstLine="720"/>
      </w:pPr>
      <w:r>
        <w:t xml:space="preserve">The fourth scope condition is a faithful implementation of the precedence-rule baseline. The framework’s claim is comparative, not absolute, and a weak or mis-specified baseline would not test the mechanism. The empirical chapter implements the baseline to the published specification of</w:t>
      </w:r>
      <w:r>
        <w:t xml:space="preserve"> </w:t>
      </w:r>
      <w:hyperlink w:anchor="ref-1">
        <w:r>
          <w:rPr>
            <w:rStyle w:val="Hyperlink"/>
          </w:rPr>
          <w:t xml:space="preserve">[1]</w:t>
        </w:r>
      </w:hyperlink>
      <w:r>
        <w:t xml:space="preserve"> </w:t>
      </w:r>
      <w:r>
        <w:t xml:space="preserve">and, as the robustness check noted in Section 3.5, tunes the baseline to its strongest realized performance before comparison. The framework’s predicted effect should survive both implementations.</w:t>
      </w:r>
    </w:p>
    <w:p>
      <w:pPr>
        <w:pStyle w:val="BodyText"/>
        <w:spacing w:line="480" w:lineRule="auto"/>
        <w:ind w:firstLine="720"/>
      </w:pPr>
      <w:r>
        <w:t xml:space="preserve">Boundary cases are worth surfacing. The framework does not predict that VOI dominates the baseline in every cycle; it predicts that VOI dominates on the aggregate metric across cycles. Cycle-level losses for the VOI policy are expected in cycles where realized observation outcomes resolve the favored candidate to less information gain than its expectation suggested. The aggregate metric absorbs this noise across cycles. The framework also does not predict that VOI dominates under every cost weight; it predicts that VOI dominates across the pre-registered grid of cost weights. A failure of dominance at any grid point falsifies the operational claim, even if dominance holds elsewhere. The grid commitment is the framework’s discipline against cost-term metric shopping.</w:t>
      </w:r>
    </w:p>
    <w:bookmarkEnd w:id="86"/>
    <w:bookmarkStart w:id="87" w:name="from-framework-to-empirical-test"/>
    <w:p>
      <w:pPr>
        <w:pStyle w:val="Heading2"/>
        <w:spacing w:line="480" w:lineRule="auto"/>
      </w:pPr>
      <w:r>
        <w:t xml:space="preserve">3.7 From Framework to Empirical Test</w:t>
      </w:r>
    </w:p>
    <w:p>
      <w:pPr>
        <w:pStyle w:val="FirstParagraph"/>
        <w:spacing w:line="480" w:lineRule="auto"/>
      </w:pPr>
      <w:r>
        <w:t xml:space="preserve">The framework developed in this chapter does three things. It specifies the decision-analytic primitives that the VOI policy requires. It states the mechanism by which the policy reorders selections relative to the precedence-rule baseline. And it derives the causal logic that connects that reordering to a measurable change in realized information return per unit observation time, under four explicit assumptions that the counterfactual replay either satisfies by construction or bounds by sensitivity analysis.</w:t>
      </w:r>
    </w:p>
    <w:p>
      <w:pPr>
        <w:pStyle w:val="BodyText"/>
        <w:spacing w:line="480" w:lineRule="auto"/>
        <w:ind w:firstLine="720"/>
      </w:pPr>
      <w:r>
        <w:t xml:space="preserve">The framework’s central commitment is methodological humility about what is being claimed. The two preceding empirical chapters showed that the value-of-information idea does not manifest at the mission-design level: the information-value index coded from stated objectives does not predict observed cadence in the public record once engineering controls are imposed, and predicts plan attainment only directionally in a small panel. Those results constrained the dissertation’s claim to the in-loop tasking decision, where VOI is operationalized as a score that orders selections inside a planning cycle rather than read off as a paper-stage attribute. The framework in this chapter is the formal apparatus for the constrained, in-loop claim. The hypotheses are paired, directional, and scoped to a single named baseline on a single named dataset; the auxiliary commitments are pre-registered before any contact with the held-out CRISM cycles; and the predicted effect is identified under explicit assumptions that the replay either holds fixed or bounds.</w:t>
      </w:r>
    </w:p>
    <w:p>
      <w:pPr>
        <w:pStyle w:val="BodyText"/>
        <w:spacing w:line="480" w:lineRule="auto"/>
        <w:ind w:firstLine="720"/>
      </w:pPr>
      <w:r>
        <w:t xml:space="preserve">The next chapter operationalizes this framework into the empirical strategy. It specifies the CRISM planning-cycle reconstruction, the per-cycle implementation of both policies, the pre-registered hypothesis structure and cost-weight grid, the cluster-robust paired test, the Bayesian posterior on the mean difference, and the sensitivity analyses required by the assumptions above. The chapter that follows after that reports the results of the test. The framework’s value is that if H1 is rejected by the test, the rejection identifies what is being rejected. If H1 survives the test, the survival is interpretable as evidence for one operational mechanism in one named setting, not as a general claim about autonomy, throughput, or the future of mission operations. That narrowness is the contribution.</w:t>
      </w:r>
    </w:p>
    <w:bookmarkEnd w:id="87"/>
    <w:bookmarkEnd w:id="88"/>
    <w:bookmarkStart w:id="98" w:name="chapter-4.-data-and-measurement"/>
    <w:p>
      <w:pPr>
        <w:pStyle w:val="Heading1"/>
        <w:spacing w:line="480" w:lineRule="auto"/>
      </w:pPr>
      <w:r>
        <w:t xml:space="preserve">Chapter 4. Data and Measurement</w:t>
      </w:r>
    </w:p>
    <w:bookmarkStart w:id="89" w:name="purpose-and-scope-of-this-chapter"/>
    <w:p>
      <w:pPr>
        <w:pStyle w:val="Heading2"/>
        <w:spacing w:line="480" w:lineRule="auto"/>
      </w:pPr>
      <w:r>
        <w:t xml:space="preserve">4.1 Purpose and Scope of This Chapter</w:t>
      </w:r>
    </w:p>
    <w:p>
      <w:pPr>
        <w:pStyle w:val="FirstParagraph"/>
        <w:spacing w:line="480" w:lineRule="auto"/>
      </w:pPr>
      <w:r>
        <w:t xml:space="preserve">This chapter specifies the empirical substrate on which the dissertation’s falsifiable contribution rests. The prospectus advances a single testable claim: that a Value of Information (VOI) ranked tasking policy yields strictly greater realized information return per unit of observation time than the precedence-rule heuristic baseline that dominates current onboard and ground-based science observation planning</w:t>
      </w:r>
      <w:r>
        <w:t xml:space="preserve"> </w:t>
      </w:r>
      <w:hyperlink w:anchor="ref-1">
        <w:r>
          <w:rPr>
            <w:rStyle w:val="Hyperlink"/>
          </w:rPr>
          <w:t xml:space="preserve">[1]</w:t>
        </w:r>
      </w:hyperlink>
      <w:r>
        <w:t xml:space="preserve">. Two empirical exercises support that claim. The first is an ordinary-least-squares panel that asks whether a coded information-value index of mission objectives explains realized observation cadence after controls. The second is a logit specification that recasts the dependent variable as a binary attainment outcome against an a priori adaptive observation plan. Both rest on the same family of public archival records and the same coding protocols, and both are constructed so that any reader can trace a reported number to its source row in the embedded workbooks. The chapter that follows describes those datasets, the authoritative archives from which they are drawn, the unit of analysis, and the construction of each variable from primary records. No proprietary, embargoed, or internally generated mission data is used at any stage; the falsifiability of the central claim depends on independent reproducibility.</w:t>
      </w:r>
    </w:p>
    <w:p>
      <w:pPr>
        <w:pStyle w:val="BodyText"/>
        <w:spacing w:line="480" w:lineRule="auto"/>
        <w:ind w:firstLine="720"/>
      </w:pPr>
      <w:r>
        <w:t xml:space="preserve">The chapter proceeds in four parts. Section 4.2 names the datasets, their unit of analysis, and the public archives that supply them. Section 4.3 describes the source records and the provenance discipline imposed on every row. Section 4.4 specifies the construction of each variable from primary records, including the rubric used to code the information-value index. Section 4.5 documents the limits of the data, including illustrative rows, missingness, and the threats to validity that follow from the choice of public records over operationally privileged ones.</w:t>
      </w:r>
    </w:p>
    <w:bookmarkEnd w:id="89"/>
    <w:bookmarkStart w:id="90" w:name="X96ab0fc70834eb1c17b6bd971dcfce8eebad5f1"/>
    <w:p>
      <w:pPr>
        <w:pStyle w:val="Heading2"/>
        <w:spacing w:line="480" w:lineRule="auto"/>
      </w:pPr>
      <w:r>
        <w:t xml:space="preserve">4.2 Datasets, Unit of Analysis, and Authoritative Sources</w:t>
      </w:r>
    </w:p>
    <w:p>
      <w:pPr>
        <w:pStyle w:val="FirstParagraph"/>
        <w:spacing w:line="480" w:lineRule="auto"/>
      </w:pPr>
      <w:r>
        <w:t xml:space="preserve">Three datasets are used. The first is the OLS panel of 24 instrument-year records that supports the cadence regression. The second is the logit panel of 35 mission-instrument-year records that supports the binary attainment specification. The third is the NASA Planetary Data System Mars Reconnaissance Orbiter CRISM cumulative observation index and observation log, which supplies the candidate sets and realized outcomes for the counterfactual replay analysis specified in the prospectus.</w:t>
      </w:r>
    </w:p>
    <w:p>
      <w:pPr>
        <w:pStyle w:val="BodyText"/>
        <w:spacing w:line="480" w:lineRule="auto"/>
        <w:ind w:firstLine="720"/>
      </w:pPr>
      <w:r>
        <w:t xml:space="preserve">The unit of analysis is consistent across the two econometric panels and differs only by scope. In the OLS panel, the unit is one instrument on one named spacecraft in one reported year, indexed by mission, instrument, and the year for which a cumulative observation count is published in the relevant archive. In the logit panel, the unit is one mission-instrument-year, with the year selected to align with a NASA Senior Review reporting cycle or a U.S. Government Accountability Office Major Project assessment year</w:t>
      </w:r>
      <w:r>
        <w:t xml:space="preserve"> </w:t>
      </w:r>
      <w:hyperlink w:anchor="ref-16">
        <w:r>
          <w:rPr>
            <w:rStyle w:val="Hyperlink"/>
          </w:rPr>
          <w:t xml:space="preserve">[16]</w:t>
        </w:r>
      </w:hyperlink>
      <w:r>
        <w:t xml:space="preserve">. Both panels treat heterogeneity across mission classes (Mars orbiter, Mars rover, small-body rendezvous, outer-planet flagship, Earth-observing) as a feature to be conditioned on through engineering covariates rather than absorbed by mission fixed effects, because the cross-mission variation is the variation the VOI proxy is designed to identify.</w:t>
      </w:r>
    </w:p>
    <w:p>
      <w:pPr>
        <w:pStyle w:val="BodyText"/>
        <w:spacing w:line="480" w:lineRule="auto"/>
        <w:ind w:firstLine="720"/>
      </w:pPr>
      <w:r>
        <w:t xml:space="preserve">The authoritative sources fall into three families. The first family is mission archives that publish cumulative observation counts and instrument metadata under persistent identifiers. The NASA Planetary Data System Geosciences Node holds the Mars Reconnaissance Orbiter CRISM observation index and the cumulative observation logs for HiRISE; the PDS Imaging Node and Atmospheres Node hold the Mars Express HRSC, OMEGA, and MARSIS records; the PDS Small Bodies Node holds Dawn FC, OSIRIS-REx OCAMS, and New Horizons LORRI records; the European Space Agency Planetary Science Archive holds the ExoMars TGO CaSSIS and NOMAD products and the Venus Express VMC records; the USGS Earth Resources Observation and Science Center publishes the Landsat-8 OLI cumulative scene count; the Copernicus Open Access Hub publishes the Sentinel-2A MSI cumulative product count. Each row’s source column carries the persistent identifier or archive URL by which the cumulative count can be re-pulled.</w:t>
      </w:r>
    </w:p>
    <w:p>
      <w:pPr>
        <w:pStyle w:val="BodyText"/>
        <w:spacing w:line="480" w:lineRule="auto"/>
        <w:ind w:firstLine="720"/>
      </w:pPr>
      <w:r>
        <w:t xml:space="preserve">The second family is peer-reviewed instrument papers that supply the published science objectives section against which the information-value index is coded, and that supply the nominal downlink rate and autonomy posture as engineering parameters. These papers appear in</w:t>
      </w:r>
      <w:r>
        <w:t xml:space="preserve"> </w:t>
      </w:r>
      <w:r>
        <w:rPr>
          <w:i/>
          <w:iCs/>
        </w:rPr>
        <w:t xml:space="preserve">Space Science Reviews</w:t>
      </w:r>
      <w:r>
        <w:t xml:space="preserve">,</w:t>
      </w:r>
      <w:r>
        <w:t xml:space="preserve"> </w:t>
      </w:r>
      <w:r>
        <w:rPr>
          <w:i/>
          <w:iCs/>
        </w:rPr>
        <w:t xml:space="preserve">Icarus</w:t>
      </w:r>
      <w:r>
        <w:t xml:space="preserve">,</w:t>
      </w:r>
      <w:r>
        <w:t xml:space="preserve"> </w:t>
      </w:r>
      <w:r>
        <w:rPr>
          <w:i/>
          <w:iCs/>
        </w:rPr>
        <w:t xml:space="preserve">Journal of Geophysical Research: Planets</w:t>
      </w:r>
      <w:r>
        <w:t xml:space="preserve">, the</w:t>
      </w:r>
      <w:r>
        <w:t xml:space="preserve"> </w:t>
      </w:r>
      <w:r>
        <w:rPr>
          <w:i/>
          <w:iCs/>
        </w:rPr>
        <w:t xml:space="preserve">Journal of Field Robotics</w:t>
      </w:r>
      <w:r>
        <w:t xml:space="preserve"> </w:t>
      </w:r>
      <w:r>
        <w:t xml:space="preserve">(in particular for the EO-1 Autonomous Sciencecraft Experiment</w:t>
      </w:r>
      <w:r>
        <w:t xml:space="preserve"> </w:t>
      </w:r>
      <w:hyperlink w:anchor="ref-10">
        <w:r>
          <w:rPr>
            <w:rStyle w:val="Hyperlink"/>
          </w:rPr>
          <w:t xml:space="preserve">[10]</w:t>
        </w:r>
      </w:hyperlink>
      <w:r>
        <w:t xml:space="preserve">), and</w:t>
      </w:r>
      <w:r>
        <w:t xml:space="preserve"> </w:t>
      </w:r>
      <w:r>
        <w:rPr>
          <w:i/>
          <w:iCs/>
        </w:rPr>
        <w:t xml:space="preserve">Acta Astronautica</w:t>
      </w:r>
      <w:r>
        <w:t xml:space="preserve">. The instrument paper, not the mission archive, is the authoritative source for objectives text and for the engineering parameters that enter the regression covariates. Where an instrument paper has been superseded by a flight-revision paper, the more recent revision is used and noted in the source column.</w:t>
      </w:r>
    </w:p>
    <w:p>
      <w:pPr>
        <w:pStyle w:val="BodyText"/>
        <w:spacing w:line="480" w:lineRule="auto"/>
        <w:ind w:firstLine="720"/>
      </w:pPr>
      <w:r>
        <w:t xml:space="preserve">The third family is government-issued mission-attainment records. The U.S. Government Accountability Office</w:t>
      </w:r>
      <w:r>
        <w:t xml:space="preserve"> </w:t>
      </w:r>
      <w:r>
        <w:rPr>
          <w:i/>
          <w:iCs/>
        </w:rPr>
        <w:t xml:space="preserve">NASA: Assessments of Major Projects</w:t>
      </w:r>
      <w:r>
        <w:t xml:space="preserve"> </w:t>
      </w:r>
      <w:r>
        <w:t xml:space="preserve">series for fiscal years 2023, 2024, and 2025</w:t>
      </w:r>
      <w:r>
        <w:t xml:space="preserve"> </w:t>
      </w:r>
      <w:hyperlink w:anchor="ref-16">
        <w:r>
          <w:rPr>
            <w:rStyle w:val="Hyperlink"/>
          </w:rPr>
          <w:t xml:space="preserve">[16]</w:t>
        </w:r>
      </w:hyperlink>
      <w:r>
        <w:t xml:space="preserve"> </w:t>
      </w:r>
      <w:r>
        <w:t xml:space="preserve">supplies the project-level attainment exemplars for the logit panel and supplies the cost-and-schedule baselines against which Senior Review cadence reporting is read. NASA Senior Review reports, which are publicly released on the Science Mission Directorate website, supply instrument-level statements of whether a mission has met its adaptive observation plan in the assessment year and constitute the authoritative source for the binary dependent variable in the logit panel.</w:t>
      </w:r>
    </w:p>
    <w:p>
      <w:pPr>
        <w:pStyle w:val="BodyText"/>
        <w:spacing w:line="480" w:lineRule="auto"/>
        <w:ind w:firstLine="720"/>
      </w:pPr>
      <w:r>
        <w:t xml:space="preserve">The CRISM observation log used in the replay analysis is downloadable without restriction from pds-geosciences.wustl.edu. The log carries, for each targeted observation, the observation identifier, the planning cycle in which it was tasked, the acquisition mode (full resolution targeted, multispectral mapping, or atmospheric), the timestamp, the data volume, and the targeted scene coordinates. The instrument’s published science objectives, particularly the hydrated-mineral spectral signatures the targeted campaign was designed to characterize, supply the hypothesis structure against which posterior entropy reduction is scored in the counterfactual replay. Provenance is fully public and citable; no inferred or reconstructed records enter the replay.</w:t>
      </w:r>
    </w:p>
    <w:bookmarkEnd w:id="90"/>
    <w:bookmarkStart w:id="91" w:name="source-records-and-provenance-discipline"/>
    <w:p>
      <w:pPr>
        <w:pStyle w:val="Heading2"/>
        <w:spacing w:line="480" w:lineRule="auto"/>
      </w:pPr>
      <w:r>
        <w:t xml:space="preserve">4.3 Source Records and Provenance Discipline</w:t>
      </w:r>
    </w:p>
    <w:p>
      <w:pPr>
        <w:pStyle w:val="FirstParagraph"/>
        <w:spacing w:line="480" w:lineRule="auto"/>
      </w:pPr>
      <w:r>
        <w:t xml:space="preserve">Each row in each panel carries a citation field in the underlying CSV that names the archive identifier, the instrument paper, and the mission status report or Senior Review entry from which the row’s quantities were drawn. The citation field is not an annotation; it is a required column, and any row whose citation cannot be re-resolved by an independent reader is excluded from the panel. This discipline is the operational expression of the prospectus commitment that the empirical test rest on records obtainable by any researcher from public archives.</w:t>
      </w:r>
    </w:p>
    <w:p>
      <w:pPr>
        <w:pStyle w:val="BodyText"/>
        <w:spacing w:line="480" w:lineRule="auto"/>
        <w:ind w:firstLine="720"/>
      </w:pPr>
      <w:r>
        <w:t xml:space="preserve">In the OLS panel of 24 instrument-year records, the source field is populated in three layers. The first layer is the archive identifier for the cumulative observation count: a PDS dataset identifier for the planetary missions, an ESA Planetary Science Archive dataset identifier for the European-led missions, a USGS scene-count statistic for Landsat-8, and a Copernicus Open Access Hub product-count statistic for Sentinel-2A. The second layer is the instrument paper from which the science objectives, downlink rate, autonomy posture, and instrument complexity are drawn. The third layer is the mission status report from which the elapsed operational days and any flight-revised engineering parameters are drawn. One row in the panel, the Sentinel-2A MSI 2017 daily cadence value, is marked [illustrative] in the source field because the Copernicus count is reported as a monthly aggregate rather than a daily cadence; this single illustrative entry is well under the fifteen percent ceiling that disciplines the panel against over-reliance on inferred values.</w:t>
      </w:r>
    </w:p>
    <w:p>
      <w:pPr>
        <w:pStyle w:val="BodyText"/>
        <w:spacing w:line="480" w:lineRule="auto"/>
        <w:ind w:firstLine="720"/>
      </w:pPr>
      <w:r>
        <w:t xml:space="preserve">In the logit panel of 35 mission-instrument-year records, the source field is populated in four layers. The first three layers parallel the OLS panel: archive identifier for the cumulative count, instrument paper for the objectives and engineering parameters, and mission status report for the operational record. The fourth layer is the Senior Review or GAO Major Project assessment entry that supplies the binary attainment outcome for that year</w:t>
      </w:r>
      <w:r>
        <w:t xml:space="preserve"> </w:t>
      </w:r>
      <w:hyperlink w:anchor="ref-16">
        <w:r>
          <w:rPr>
            <w:rStyle w:val="Hyperlink"/>
          </w:rPr>
          <w:t xml:space="preserve">[16]</w:t>
        </w:r>
      </w:hyperlink>
      <w:r>
        <w:t xml:space="preserve">. Five rows in the panel (14.3 percent) are marked [illustrative] in the source field for the late-mission flagships Europa Clipper and Psyche and for the GAO-aggregate exemplars, where instrument-level cadence attainment is not yet publicly verifiable at the granularity the panel requires. The illustrative share is reported explicitly to the reader, and the regression results are reported with and without the illustrative rows as a robustness check in the analytic chapter that follows.</w:t>
      </w:r>
    </w:p>
    <w:p>
      <w:pPr>
        <w:pStyle w:val="BodyText"/>
        <w:spacing w:line="480" w:lineRule="auto"/>
        <w:ind w:firstLine="720"/>
      </w:pPr>
      <w:r>
        <w:t xml:space="preserve">For the CRISM observation log used in the replay analysis, provenance is at a finer grain than row-level citation. Each candidate observation has a persistent PDS observation identifier; each realized observation has a published data product with a checksum-verified archive entry. The replay therefore inherits provenance per observation, not per row, and a reader can verify any selected observation by retrieving its PDS product page.</w:t>
      </w:r>
    </w:p>
    <w:p>
      <w:pPr>
        <w:pStyle w:val="BodyText"/>
        <w:spacing w:line="480" w:lineRule="auto"/>
        <w:ind w:firstLine="720"/>
      </w:pPr>
      <w:r>
        <w:t xml:space="preserve">This provenance discipline is the chapter’s principal claim on the falsifiability of the larger dissertation. A reader who disputes a coefficient can re-pull the cumulative count from the named archive, re-read the objectives section in the cited instrument paper, re-code the information-value index against the rubric, and re-run the regression. A reader who disputes a counterfactual replay decision can pull the PDS observation product and verify the realized outcome. No step in either chain depends on access to internal mission records.</w:t>
      </w:r>
    </w:p>
    <w:bookmarkEnd w:id="91"/>
    <w:bookmarkStart w:id="96" w:name="X4d68ae530fb50ff27d1ffe4ee4ca61bfe9c6755"/>
    <w:p>
      <w:pPr>
        <w:pStyle w:val="Heading2"/>
        <w:spacing w:line="480" w:lineRule="auto"/>
      </w:pPr>
      <w:r>
        <w:t xml:space="preserve">4.4 Variable Construction from Primary Records</w:t>
      </w:r>
    </w:p>
    <w:p>
      <w:pPr>
        <w:pStyle w:val="FirstParagraph"/>
        <w:spacing w:line="480" w:lineRule="auto"/>
      </w:pPr>
      <w:r>
        <w:t xml:space="preserve">This section specifies the construction of each variable in the two panels. The construction is intentionally mechanical; every transformation can be retraced from the cited primary record.</w:t>
      </w:r>
    </w:p>
    <w:bookmarkStart w:id="92" w:name="dependent-variables"/>
    <w:p>
      <w:pPr>
        <w:pStyle w:val="Heading3"/>
        <w:spacing w:line="480" w:lineRule="auto"/>
      </w:pPr>
      <w:r>
        <w:t xml:space="preserve">4.4.1 Dependent Variables</w:t>
      </w:r>
    </w:p>
    <w:p>
      <w:pPr>
        <w:pStyle w:val="FirstParagraph"/>
        <w:spacing w:line="480" w:lineRule="auto"/>
      </w:pPr>
      <w:r>
        <w:t xml:space="preserve">In the OLS panel, the dependent variable is the natural log of observations per operational day. The numerator is the cumulative observation count at the close of the reported year, taken from the relevant archive. For the planetary missions, this is the cumulative count published in the PDS dataset summary for the instrument’s data release covering the calendar year. For Mars Express and Venus Express, it is the ESA Planetary Science Archive cumulative product count. For Landsat-8, it is the USGS cumulative scene count. For Sentinel-2A, it is the Copernicus product count, converted to a daily rate from the published monthly aggregate (this is the source of the single [illustrative] flag). The denominator is the elapsed operational days from instrument commissioning to the close of the reported year, computed from the commissioning date stated in the instrument paper and the close-of-year boundary. The natural log transformation stabilizes variance across approximately three orders of magnitude in raw cadence, from outer-planet flagship rates to Earth-observing rates.</w:t>
      </w:r>
    </w:p>
    <w:p>
      <w:pPr>
        <w:pStyle w:val="BodyText"/>
        <w:spacing w:line="480" w:lineRule="auto"/>
        <w:ind w:firstLine="720"/>
      </w:pPr>
      <w:r>
        <w:t xml:space="preserve">In the logit panel, the dependent variable is the binary met_plan indicator coded 1 if the relevant Senior Review or GAO Major Project assessment for the year reports that the mission met its adaptive observation plan, 0 if it reports a shortfall. The coding is restricted to two text patterns. The plan is recorded as met when the Senior Review narrative states that the instrument met or exceeded its planned cadence and no asterisked anomaly is logged for the instrument-year. The plan is recorded as not met when the Senior Review narrative reports an explicit shortfall, an extended anomaly, or a cadence reduction relative to the planned baseline. Ambiguous Senior Review language is resolved by reference to the GAO Major Project assessment for the same year</w:t>
      </w:r>
      <w:r>
        <w:t xml:space="preserve"> </w:t>
      </w:r>
      <w:hyperlink w:anchor="ref-16">
        <w:r>
          <w:rPr>
            <w:rStyle w:val="Hyperlink"/>
          </w:rPr>
          <w:t xml:space="preserve">[16]</w:t>
        </w:r>
      </w:hyperlink>
      <w:r>
        <w:t xml:space="preserve">, and rows that remain ambiguous after both sources are consulted are dropped from the panel rather than coded by judgment.</w:t>
      </w:r>
    </w:p>
    <w:bookmarkEnd w:id="92"/>
    <w:bookmarkStart w:id="93" w:name="the-information-value-index"/>
    <w:p>
      <w:pPr>
        <w:pStyle w:val="Heading3"/>
        <w:spacing w:line="480" w:lineRule="auto"/>
      </w:pPr>
      <w:r>
        <w:t xml:space="preserve">4.4.2 The Information-Value Index</w:t>
      </w:r>
    </w:p>
    <w:p>
      <w:pPr>
        <w:pStyle w:val="FirstParagraph"/>
        <w:spacing w:line="480" w:lineRule="auto"/>
      </w:pPr>
      <w:r>
        <w:t xml:space="preserve">The information-value index (voi_index) is the principal proxy variable in both panels and warrants the longest construction note. The index is coded from the published science objectives section of each instrument paper against a fixed eight-item rubric. The rubric was finalized before the rest of either dataset was compiled, and is not adjusted in response to coefficient direction or significance.</w:t>
      </w:r>
    </w:p>
    <w:p>
      <w:pPr>
        <w:pStyle w:val="BodyText"/>
        <w:spacing w:line="480" w:lineRule="auto"/>
        <w:ind w:firstLine="720"/>
      </w:pPr>
      <w:r>
        <w:t xml:space="preserve">The eight rubric items each score one feature of how a science objective is written. Item 1 scores whether the objective names a specific scientific hypothesis (1 if yes, 0 if not). Item 2 scores whether the objective specifies a measurable acceptance criterion that distinguishes the hypothesis being true from being false (1 if yes, 0 if not). Item 3 scores whether the objective ties to a downstream decision: a mission planning decision, a follow-on target selection, an atmospheric or thermal model update, or a science campaign re-prioritization (1 if yes, 0 if not). Item 4 scores whether the objective specifies the spatial, temporal, or spectral resolution required to resolve the hypothesis (1 if yes, 0 if not). Item 5 scores whether the objective specifies a target population or candidate set against which the hypothesis is tested (1 if yes, 0 if not). Item 6 scores whether the objective references a Bayesian or otherwise probabilistic acceptance frame (1 if yes, 0 if not). Item 7 scores whether the objective explicitly trades observation cost against expected information gain (1 if yes, 0 if not). Item 8 scores whether the objective is hypothesis-resolving rather than reconnaissance-style (1 if yes, 0 if not, where reconnaissance-style means surveying a region without a hypothesis structure that the survey is designed to resolve).</w:t>
      </w:r>
    </w:p>
    <w:p>
      <w:pPr>
        <w:pStyle w:val="BodyText"/>
        <w:spacing w:line="480" w:lineRule="auto"/>
        <w:ind w:firstLine="720"/>
      </w:pPr>
      <w:r>
        <w:t xml:space="preserve">The instrument paper’s full science objectives section is read; each numbered objective in the paper is scored against the rubric; and the instrument’s voi_index is the unweighted mean of the per-objective rubric scores, on the interval [0,1]. The rubric is connected to the underlying decision-analytic literature: items 1, 2, 6, and 8 operationalize hypothesis-resolving payoff in the sense established by the work on space-derived information for decision-making</w:t>
      </w:r>
      <w:r>
        <w:t xml:space="preserve"> </w:t>
      </w:r>
      <w:hyperlink w:anchor="ref-5">
        <w:r>
          <w:rPr>
            <w:rStyle w:val="Hyperlink"/>
          </w:rPr>
          <w:t xml:space="preserve">[5]</w:t>
        </w:r>
      </w:hyperlink>
      <w:r>
        <w:t xml:space="preserve">; items 3, 4, 5, and 7 operationalize the cost-side commensurability that the economic-forecasting literature on the space economy requires of any information metric</w:t>
      </w:r>
      <w:r>
        <w:t xml:space="preserve"> </w:t>
      </w:r>
      <w:hyperlink w:anchor="ref-6">
        <w:r>
          <w:rPr>
            <w:rStyle w:val="Hyperlink"/>
          </w:rPr>
          <w:t xml:space="preserve">[6]</w:t>
        </w:r>
      </w:hyperlink>
      <w:r>
        <w:t xml:space="preserve">. The eight-item rubric is therefore not arbitrary; it is the operational projection of the prospectus’s decision-analytic theory onto the published-text record. The rubric is fixed before scoring to forestall the reverse-engineered-rubric threat to validity identified in the prospectus.</w:t>
      </w:r>
    </w:p>
    <w:p>
      <w:pPr>
        <w:pStyle w:val="BodyText"/>
        <w:spacing w:line="480" w:lineRule="auto"/>
        <w:ind w:firstLine="720"/>
      </w:pPr>
      <w:r>
        <w:t xml:space="preserve">A second-coder reliability check on a stratified subsample is planned as the next analytic step and is reported in the analytic chapter; the OLS panel result is reported under single-coder construction with that limitation declared.</w:t>
      </w:r>
    </w:p>
    <w:bookmarkEnd w:id="93"/>
    <w:bookmarkStart w:id="94" w:name="engineering-covariates"/>
    <w:p>
      <w:pPr>
        <w:pStyle w:val="Heading3"/>
        <w:spacing w:line="480" w:lineRule="auto"/>
      </w:pPr>
      <w:r>
        <w:t xml:space="preserve">4.4.3 Engineering Covariates</w:t>
      </w:r>
    </w:p>
    <w:p>
      <w:pPr>
        <w:pStyle w:val="FirstParagraph"/>
        <w:spacing w:line="480" w:lineRule="auto"/>
      </w:pPr>
      <w:r>
        <w:t xml:space="preserve">The natural log of nominal downlink rate (log_downlink_mbps) is constructed from the downlink budget table in the instrument paper or the mission system paper, expressed in megabits per second. The nominal rate, not a peak rate, is used. Where the instrument has multiple downlink modes, the highest-cadence operational mode is taken, and the choice is recorded in the source field. The natural log transformation stabilizes variance across roughly six orders of magnitude in bandwidth, from the New Horizons LORRI rate at planetary encounter to the Sentinel-2A MSI rate.</w:t>
      </w:r>
    </w:p>
    <w:p>
      <w:pPr>
        <w:pStyle w:val="BodyText"/>
        <w:spacing w:line="480" w:lineRule="auto"/>
        <w:ind w:firstLine="720"/>
      </w:pPr>
      <w:r>
        <w:t xml:space="preserve">Autonomy posture (autonomy_level) is coded against the operations description in the cited instrument paper or the mission system paper as 0, 1, or 2. A score of 0 denotes a fully ground-uplinked observation sequence in which the observation timeline is generated on the ground and uplinked to the spacecraft without onboard conflict resolution. A score of 1 denotes a ground-generated plan with onboard conflict resolution, in which the spacecraft can locally re-sequence to resolve conflicts but does not replan against new targets. A score of 2 denotes autonomous onboard replanning, in which the spacecraft can re-task itself against new candidate targets in response to onboard analysis. The category-2 records in the OLS panel are the two EO-1 Autonomous Sciencecraft Experiment instruments</w:t>
      </w:r>
      <w:r>
        <w:t xml:space="preserve"> </w:t>
      </w:r>
      <w:hyperlink w:anchor="ref-10">
        <w:r>
          <w:rPr>
            <w:rStyle w:val="Hyperlink"/>
          </w:rPr>
          <w:t xml:space="preserve">[10]</w:t>
        </w:r>
      </w:hyperlink>
      <w:r>
        <w:t xml:space="preserve">, for which the operations description explicitly traded raw observation throughput against onboard selectivity. The agent-based and onboard planning surveys [11, 14] provide the analytic frame against which the autonomy coefficient is interpreted.</w:t>
      </w:r>
    </w:p>
    <w:p>
      <w:pPr>
        <w:pStyle w:val="BodyText"/>
        <w:spacing w:line="480" w:lineRule="auto"/>
        <w:ind w:firstLine="720"/>
      </w:pPr>
      <w:r>
        <w:t xml:space="preserve">Mission age (mission_age_yr) is the elapsed time in years between the instrument’s commissioning and the close of the reported year. Commissioning, not launch, is used because the panel’s dependent variable is cadence per operational day, and the commissioning date is the start of the operational period. Where the instrument paper does not state commissioning, the start of nominal science operations as reported in the mission status report is used and recorded in the source field.</w:t>
      </w:r>
    </w:p>
    <w:p>
      <w:pPr>
        <w:pStyle w:val="BodyText"/>
        <w:spacing w:line="480" w:lineRule="auto"/>
        <w:ind w:firstLine="720"/>
      </w:pPr>
      <w:r>
        <w:t xml:space="preserve">Instrument complexity (instrument_complexity), used only in the logit panel, is an ordinal variable on the integers 2 to 4. The coding follows the instrument paper’s stated subsystem count and acquisition-mode count. A score of 2 denotes a single-subsystem instrument with a single acquisition mode, such as a fixed-filter imager. A score of 3 denotes a multi-mode instrument such as a hyperspectral imager with calibration and atmospheric modes. A score of 4 denotes a multi-subsystem suite that integrates imaging, spectroscopy, and active sensing, such as the Mars 2020 SuperCam suite. The ordinal coding is intended to absorb cross-instrument heterogeneity that is not captured by autonomy or downlink, in particular the operational overhead that complex instruments carry per observation cycle.</w:t>
      </w:r>
    </w:p>
    <w:bookmarkEnd w:id="94"/>
    <w:bookmarkStart w:id="95" w:name="variables-for-the-counterfactual-replay"/>
    <w:p>
      <w:pPr>
        <w:pStyle w:val="Heading3"/>
        <w:spacing w:line="480" w:lineRule="auto"/>
      </w:pPr>
      <w:r>
        <w:t xml:space="preserve">4.4.4 Variables for the Counterfactual Replay</w:t>
      </w:r>
    </w:p>
    <w:p>
      <w:pPr>
        <w:pStyle w:val="FirstParagraph"/>
        <w:spacing w:line="480" w:lineRule="auto"/>
      </w:pPr>
      <w:r>
        <w:t xml:space="preserve">The replay analysis uses three quantities per planning cycle, all constructed from the CRISM observation log and the published science objectives. The candidate observation set is the list of targets proposed for the cycle, taken from the planning-cycle entry in the log. The constraint envelope is the timeline and downlink budget reported for the cycle. The realized outcome for each observation that was taken is the published spectral product, identified by its PDS data product identifier, from which the posterior update for the relevant hydrated-mineral hypothesis is computed. The VOI score for a candidate is the expected posterior entropy reduction of the relevant hypothesis given the current belief state, weighted by the hypothesis’s decision relevance, minus a normalized timeline-plus-downlink cost term [5, 6]. The precedence-rule baseline applies the published precedence-rule logic</w:t>
      </w:r>
      <w:r>
        <w:t xml:space="preserve"> </w:t>
      </w:r>
      <w:hyperlink w:anchor="ref-1">
        <w:r>
          <w:rPr>
            <w:rStyle w:val="Hyperlink"/>
          </w:rPr>
          <w:t xml:space="preserve">[1]</w:t>
        </w:r>
      </w:hyperlink>
      <w:r>
        <w:t xml:space="preserve"> </w:t>
      </w:r>
      <w:r>
        <w:t xml:space="preserve">to the same set. The cost-term weighting is pre-registered as a grid; H1 is required to hold across the grid, not at a single favorable point. This requirement is the operational expression of the cost-term commensurability threat identified in the prospectus.</w:t>
      </w:r>
    </w:p>
    <w:bookmarkEnd w:id="95"/>
    <w:bookmarkEnd w:id="96"/>
    <w:bookmarkStart w:id="97" w:name="X33f3f89e8cb462040960da83e83359fd237c34f"/>
    <w:p>
      <w:pPr>
        <w:pStyle w:val="Heading2"/>
        <w:spacing w:line="480" w:lineRule="auto"/>
      </w:pPr>
      <w:r>
        <w:t xml:space="preserve">4.5 Limits, Illustrative Rows, and Threats Carried Through to Analysis</w:t>
      </w:r>
    </w:p>
    <w:p>
      <w:pPr>
        <w:pStyle w:val="FirstParagraph"/>
        <w:spacing w:line="480" w:lineRule="auto"/>
      </w:pPr>
      <w:r>
        <w:t xml:space="preserve">Three limits warrant explicit declaration. First, the OLS panel of 24 instrument-year records is small relative to the four covariates it carries; the precision of any single coefficient is therefore limited, and the panel is read for direction and order of magnitude rather than for tight significance. Second, the logit panel of 35 records is sufficient to estimate signs and partial associations on the conditioning set, but is not powered for tight significance bounds on the voi_index coefficient; this is acknowledged in the analytic chapter and the GAO Major Project assessment series</w:t>
      </w:r>
      <w:r>
        <w:t xml:space="preserve"> </w:t>
      </w:r>
      <w:hyperlink w:anchor="ref-16">
        <w:r>
          <w:rPr>
            <w:rStyle w:val="Hyperlink"/>
          </w:rPr>
          <w:t xml:space="preserve">[16]</w:t>
        </w:r>
      </w:hyperlink>
      <w:r>
        <w:t xml:space="preserve"> </w:t>
      </w:r>
      <w:r>
        <w:t xml:space="preserve">together with expanded Senior Review granularity is identified as the path to a larger panel. Third, the illustrative rows (one in the OLS panel at 4.2 percent, five in the logit panel at 14.3 percent) are below the fifteen percent ceiling but their identity is documented in the source field so that robustness checks can run the regressions with the illustrative rows dropped.</w:t>
      </w:r>
    </w:p>
    <w:p>
      <w:pPr>
        <w:pStyle w:val="BodyText"/>
        <w:spacing w:line="480" w:lineRule="auto"/>
        <w:ind w:firstLine="720"/>
      </w:pPr>
      <w:r>
        <w:t xml:space="preserve">The threats to validity catalogued in the prospectus carry through to the data construction. The counterfactual outcome gap, in which the VOI policy may select observations the historical team did not take, is addressed by restricting the primary replay test to cycles whose candidate sets are fully covered by the historical CRISM log and by reporting a sensitivity analysis in which unobserved selections receive a conservative zero-information-gain imputation. Hypothesis specification dependence is addressed by drawing the hypothesis structure from the mission’s published science objectives, freezing it before scoring, and by coding the voi_index against a rubric finalized before the panel was assembled. Cost-term commensurability is addressed by the pre-registered grid of cost weightings. Baseline strength is addressed by implementing the precedence-rule baseline</w:t>
      </w:r>
      <w:r>
        <w:t xml:space="preserve"> </w:t>
      </w:r>
      <w:hyperlink w:anchor="ref-1">
        <w:r>
          <w:rPr>
            <w:rStyle w:val="Hyperlink"/>
          </w:rPr>
          <w:t xml:space="preserve">[1]</w:t>
        </w:r>
      </w:hyperlink>
      <w:r>
        <w:t xml:space="preserve"> </w:t>
      </w:r>
      <w:r>
        <w:t xml:space="preserve">faithfully to its published specification and tuning its priority tiers to their best realized historical performance before comparison, so the baseline is its strongest form rather than its most convenient one. External validity remains scoped by design: the single-campaign, single-instrument replay does not establish generality, and the dissertation’s claim is scoped accordingly.</w:t>
      </w:r>
    </w:p>
    <w:p>
      <w:pPr>
        <w:pStyle w:val="BodyText"/>
        <w:spacing w:line="480" w:lineRule="auto"/>
        <w:ind w:firstLine="720"/>
      </w:pPr>
      <w:r>
        <w:t xml:space="preserve">The data and measurement framework specified in this chapter is the substrate on which Chapter 5 (Empirical Results) reports the OLS and logit panel estimations, and on which Chapter 6 (Counterfactual Replay) reports the head-to-head test of the VOI-ranked policy against the precedence-rule baseline on the CRISM observation log. The provenance discipline, the rubric, and the variable construction protocols described here are the conditions under which any reported coefficient or replay outcome is reproducible by an independent reader from public archives alone.</w:t>
      </w:r>
    </w:p>
    <w:bookmarkEnd w:id="97"/>
    <w:bookmarkEnd w:id="98"/>
    <w:bookmarkStart w:id="107" w:name="chapter-5.-methods-and-identification"/>
    <w:p>
      <w:pPr>
        <w:pStyle w:val="Heading1"/>
        <w:spacing w:line="480" w:lineRule="auto"/>
      </w:pPr>
      <w:r>
        <w:t xml:space="preserve">Chapter 5. Methods and Identification</w:t>
      </w:r>
    </w:p>
    <w:bookmarkStart w:id="99" w:name="overview"/>
    <w:p>
      <w:pPr>
        <w:pStyle w:val="Heading2"/>
        <w:spacing w:line="480" w:lineRule="auto"/>
      </w:pPr>
      <w:r>
        <w:t xml:space="preserve">5.1 Overview</w:t>
      </w:r>
    </w:p>
    <w:p>
      <w:pPr>
        <w:pStyle w:val="FirstParagraph"/>
        <w:spacing w:line="480" w:lineRule="auto"/>
      </w:pPr>
      <w:r>
        <w:t xml:space="preserve">This chapter specifies the empirical machinery by which the dissertation’s central claim is tested. The claim, as fixed in Chapter 1 and operationalized through the two companion papers in Chapters 3 and 4, is that a Value of Information (VOI) ranked tasking policy produces strictly greater realized information return per unit observation time than the precedence-rule heuristic baseline of Liang and colleagues</w:t>
      </w:r>
      <w:r>
        <w:t xml:space="preserve"> </w:t>
      </w:r>
      <w:hyperlink w:anchor="ref-1">
        <w:r>
          <w:rPr>
            <w:rStyle w:val="Hyperlink"/>
          </w:rPr>
          <w:t xml:space="preserve">[1]</w:t>
        </w:r>
      </w:hyperlink>
      <w:r>
        <w:t xml:space="preserve">. The chapter has three tasks. The first is to state the estimators precisely, including the counterfactual replay estimator that carries the dissertation’s primary identification weight and the two regression estimators (an ordinary least squares specification and a logit specification) that supply the surrounding evidence on whether the information-value construct travels across the public mission record</w:t>
      </w:r>
      <w:r>
        <w:t xml:space="preserve"> </w:t>
      </w:r>
      <w:hyperlink w:anchor="ref-12">
        <w:r>
          <w:rPr>
            <w:rStyle w:val="Hyperlink"/>
          </w:rPr>
          <w:t xml:space="preserve">[12]</w:t>
        </w:r>
      </w:hyperlink>
      <w:r>
        <w:t xml:space="preserve">. The second is to lay out the identification strategy that makes each estimator’s coefficient interpretable as the policy-relevant quantity rather than as an artifact of the data-generating process. The third is to enumerate the threats to validity that bear on those identifications and to specify, for each, the bound or sensitivity check that prevents the threat from quietly determining the result.</w:t>
      </w:r>
    </w:p>
    <w:p>
      <w:pPr>
        <w:pStyle w:val="BodyText"/>
        <w:spacing w:line="480" w:lineRule="auto"/>
        <w:ind w:firstLine="720"/>
      </w:pPr>
      <w:r>
        <w:t xml:space="preserve">The chapter is deliberately conservative about what the empirical apparatus can deliver. The estimand is local to one mission archive (the Mars Reconnaissance Orbiter CRISM observation log) and to one named comparator (the precedence-rule baseline). The supporting regressions are local to a cross-section of 24 instrument-year records and a panel of 35 mission-instrument-year records, both assembled from public archives. None of the three estimators, taken alone or together, sustains a general claim about adaptive autonomy in space systems [2, 26]. Each sustains, within its scope, a claim that is falsifiable on observable quantities and that can be checked by a reader with access to the same public sources.</w:t>
      </w:r>
    </w:p>
    <w:bookmarkEnd w:id="99"/>
    <w:bookmarkStart w:id="100" w:name="X5158a94f6c2a8d702853f97d2b45a3816b49633"/>
    <w:p>
      <w:pPr>
        <w:pStyle w:val="Heading2"/>
        <w:spacing w:line="480" w:lineRule="auto"/>
      </w:pPr>
      <w:r>
        <w:t xml:space="preserve">5.2 The Estimand and Why It Requires Three Estimators</w:t>
      </w:r>
    </w:p>
    <w:p>
      <w:pPr>
        <w:pStyle w:val="FirstParagraph"/>
        <w:spacing w:line="480" w:lineRule="auto"/>
      </w:pPr>
      <w:r>
        <w:t xml:space="preserve">The estimand of the dissertation is the average treatment effect on realized information return per unit observation time of assigning a VOI-ranked tasking policy in place of the precedence-rule baseline, holding the candidate set and the constraint envelope fixed. The estimand is a difference in two cumulative quantities, each of which is a sum of per-observation entropy reductions weighted by hypothesis decision-relevance and divided by the timeline-plus-downlink cost actually consumed [5, 6]. The unit of analysis is the planning cycle. The estimand is paired across policies within cycle.</w:t>
      </w:r>
    </w:p>
    <w:p>
      <w:pPr>
        <w:pStyle w:val="BodyText"/>
        <w:spacing w:line="480" w:lineRule="auto"/>
        <w:ind w:firstLine="720"/>
      </w:pPr>
      <w:r>
        <w:t xml:space="preserve">A single estimator does not suffice, because the policy comparison itself rests on a construct (the information-value content of a mission’s objectives) that has to be validated as a meaningful and measurable quantity before its in-loop instantiation is tested. The two companion papers</w:t>
      </w:r>
      <w:r>
        <w:t xml:space="preserve"> </w:t>
      </w:r>
      <w:hyperlink w:anchor="ref-12">
        <w:r>
          <w:rPr>
            <w:rStyle w:val="Hyperlink"/>
          </w:rPr>
          <w:t xml:space="preserve">[12]</w:t>
        </w:r>
      </w:hyperlink>
      <w:r>
        <w:t xml:space="preserve"> </w:t>
      </w:r>
      <w:r>
        <w:t xml:space="preserve">therefore play distinct evidentiary roles. The ordinary least squares cross-section asks whether the information-value index, treated as a static mission-level attribute, predicts realized observation cadence after engineering controls; the logit panel asks whether the index predicts a binary plan-attainment outcome on a slightly different set of mission-instrument-years drawn from GAO Major Project assessments</w:t>
      </w:r>
      <w:r>
        <w:t xml:space="preserve"> </w:t>
      </w:r>
      <w:hyperlink w:anchor="ref-16">
        <w:r>
          <w:rPr>
            <w:rStyle w:val="Hyperlink"/>
          </w:rPr>
          <w:t xml:space="preserve">[16]</w:t>
        </w:r>
      </w:hyperlink>
      <w:r>
        <w:t xml:space="preserve"> </w:t>
      </w:r>
      <w:r>
        <w:t xml:space="preserve">and Senior Reviews. Both supporting estimators are designed to fail benignly. A null or weak result on either constrains, rather than refutes, the in-loop claim, because the in-loop claim is precisely that VOI must be operationalized as a tasking policy rather than treated as a covariate at the mission-design level.</w:t>
      </w:r>
    </w:p>
    <w:p>
      <w:pPr>
        <w:pStyle w:val="BodyText"/>
        <w:spacing w:line="480" w:lineRule="auto"/>
        <w:ind w:firstLine="720"/>
      </w:pPr>
      <w:r>
        <w:t xml:space="preserve">The counterfactual replay estimator is the load-bearing one. It is described in Section 5.3. The OLS and logit estimators are described in Section 5.4. The identification strategy is the joint subject of Section 5.5. Threats to validity are taken in turn in Section 5.6.</w:t>
      </w:r>
    </w:p>
    <w:bookmarkEnd w:id="100"/>
    <w:bookmarkStart w:id="101" w:name="the-counterfactual-replay-estimator"/>
    <w:p>
      <w:pPr>
        <w:pStyle w:val="Heading2"/>
        <w:spacing w:line="480" w:lineRule="auto"/>
      </w:pPr>
      <w:r>
        <w:t xml:space="preserve">5.3 The Counterfactual Replay Estimator</w:t>
      </w:r>
    </w:p>
    <w:p>
      <w:pPr>
        <w:pStyle w:val="FirstParagraph"/>
        <w:spacing w:line="480" w:lineRule="auto"/>
      </w:pPr>
      <w:r>
        <w:t xml:space="preserve">The replay estimator is constructed on a fixed observation log, the publicly archived CRISM observation index from the NASA Planetary Data System. For each historical planning cycle the log supplies three quantities: the candidate observation set actually considered, the timeline-and-downlink constraint envelope under which the cycle was scheduled, and the realized data outcome of each observation that was acquired. The estimator runs two schedulers over the identical candidate set and constraint envelope. The first scheduler implements the precedence-rule heuristic of Liang and colleagues</w:t>
      </w:r>
      <w:r>
        <w:t xml:space="preserve"> </w:t>
      </w:r>
      <w:hyperlink w:anchor="ref-1">
        <w:r>
          <w:rPr>
            <w:rStyle w:val="Hyperlink"/>
          </w:rPr>
          <w:t xml:space="preserve">[1]</w:t>
        </w:r>
      </w:hyperlink>
      <w:r>
        <w:t xml:space="preserve">, applied faithfully to its published specification. The second scheduler implements the VOI policy: for each candidate observation the score is the expected reduction in posterior entropy of the relevant hypothesis given the current belief state, weighted by the hypothesis’s decision relevance and net of a normalized timeline-plus-downlink cost term [5, 6].</w:t>
      </w:r>
    </w:p>
    <w:p>
      <w:pPr>
        <w:pStyle w:val="BodyText"/>
        <w:spacing w:line="480" w:lineRule="auto"/>
        <w:ind w:firstLine="720"/>
      </w:pPr>
      <w:r>
        <w:t xml:space="preserve">When either scheduler selects an observation whose realized outcome exists in the historical log, the actual outcome drives the posterior update. This is the device by which the estimator anchors information return to ground truth. It deliberately refuses the cleaner-looking alternative of a fully simulated outcome distribution, because a simulator’s assumptions are exactly what the precedence-rule baseline and the VOI policy would otherwise be free to game. Where the VOI policy selects a candidate that the historical team did not image, the realized outcome is unknown and the per-cycle calculation is treated under two regimes, described in Section 5.6.</w:t>
      </w:r>
    </w:p>
    <w:p>
      <w:pPr>
        <w:pStyle w:val="BodyText"/>
        <w:spacing w:line="480" w:lineRule="auto"/>
        <w:ind w:firstLine="720"/>
      </w:pPr>
      <w:r>
        <w:t xml:space="preserve">Per-cycle information return is computed as the sum, across observations actually executed under the policy, of the per-observation posterior entropy reduction. Per-cycle cost is the sum of timeline-and-downlink consumption. The cycle-level outcome is the ratio. Inference is by paired comparison across cycles, with cycle as the unit. The primary test is a cluster-robust paired t-test on the per-cycle difference in information return per unit time, with the cluster being the campaign segment. A Bayesian companion reports the posterior over the mean difference with a weakly informative prior, allowing the result to be presented as both a rejection decision and a credible interval over effect size. The information metric and its priors are pre-registered before the held-out cycles are touched. Pre-registration is not a courtesy; it is what prevents the metric from being shopped post hoc to obtain a favorable ordering.</w:t>
      </w:r>
    </w:p>
    <w:p>
      <w:pPr>
        <w:pStyle w:val="BodyText"/>
        <w:spacing w:line="480" w:lineRule="auto"/>
        <w:ind w:firstLine="720"/>
      </w:pPr>
      <w:r>
        <w:t xml:space="preserve">The replay estimator does not pretend to be a randomized experiment. It is a paired counterfactual on a fixed information set. Its identification depends on the assumption that, conditional on candidate set and constraint envelope, the differences in cumulative information return are attributable to the policy assignment rather than to the data-generating process of the historical schedule. That assumption is interrogated in Section 5.5.</w:t>
      </w:r>
    </w:p>
    <w:bookmarkEnd w:id="101"/>
    <w:bookmarkStart w:id="102" w:name="the-supporting-regression-estimators"/>
    <w:p>
      <w:pPr>
        <w:pStyle w:val="Heading2"/>
        <w:spacing w:line="480" w:lineRule="auto"/>
      </w:pPr>
      <w:r>
        <w:t xml:space="preserve">5.4 The Supporting Regression Estimators</w:t>
      </w:r>
    </w:p>
    <w:p>
      <w:pPr>
        <w:pStyle w:val="FirstParagraph"/>
        <w:spacing w:line="480" w:lineRule="auto"/>
      </w:pPr>
      <w:r>
        <w:t xml:space="preserve">The first companion paper estimates an ordinary least squares specification on a cross-section of 24 instrument-year records</w:t>
      </w:r>
      <w:r>
        <w:t xml:space="preserve"> </w:t>
      </w:r>
      <w:hyperlink w:anchor="ref-12">
        <w:r>
          <w:rPr>
            <w:rStyle w:val="Hyperlink"/>
          </w:rPr>
          <w:t xml:space="preserve">[12]</w:t>
        </w:r>
      </w:hyperlink>
      <w:r>
        <w:t xml:space="preserve">. The dependent variable is the natural log of observations per operational day. The covariates are the coded information-value index in the unit interval, the natural log of nominal downlink rate, the autonomy posture coded zero to two against the operations description in each cited instrument paper</w:t>
      </w:r>
      <w:r>
        <w:t xml:space="preserve"> </w:t>
      </w:r>
      <w:hyperlink w:anchor="ref-10">
        <w:r>
          <w:rPr>
            <w:rStyle w:val="Hyperlink"/>
          </w:rPr>
          <w:t xml:space="preserve">[10]</w:t>
        </w:r>
      </w:hyperlink>
      <w:r>
        <w:t xml:space="preserve">, and mission age in years. Standard errors are HC1 heteroskedasticity-robust. The log transformation on cadence and on downlink stabilizes variance across three orders of magnitude in the dependent variable and six in the bandwidth covariate. The estimator is conventional, but the construct under test, the information-value index, is the bespoke quantity. It is coded against a fixed eight-item rubric on the published science-objectives section of each instrument paper, with the rubric finalized before the rest of the dataset was assembled. Sequencing the rubric ahead of the data is what makes the OLS coefficient interpretable as a test of the construct rather than as the residual of a coding choice.</w:t>
      </w:r>
    </w:p>
    <w:p>
      <w:pPr>
        <w:pStyle w:val="BodyText"/>
        <w:spacing w:line="480" w:lineRule="auto"/>
        <w:ind w:firstLine="720"/>
      </w:pPr>
      <w:r>
        <w:t xml:space="preserve">The second companion paper estimates a maximum-likelihood logit on a panel of 35 mission-instrument-year records covering eight NASA planetary missions, two recent flagships, and four GAO Major Project assessment aggregates</w:t>
      </w:r>
      <w:r>
        <w:t xml:space="preserve"> </w:t>
      </w:r>
      <w:hyperlink w:anchor="ref-16">
        <w:r>
          <w:rPr>
            <w:rStyle w:val="Hyperlink"/>
          </w:rPr>
          <w:t xml:space="preserve">[16]</w:t>
        </w:r>
      </w:hyperlink>
      <w:r>
        <w:t xml:space="preserve">. The binary outcome is met or did not meet adaptive observation plan, coded against the relevant Senior Review or mission status report. The covariates are the information-value index, the log of downlink rate, autonomy level, mission age, and ordinal instrument complexity. Standard errors are observed-information based. The logit is parsimonious by choice: with N equal to 35 the priority is an interpretable coefficient on the conditioning set rather than a high-parameter specification. Mission fixed effects are not imposed, because doing so would absorb the cross-mission variation on which the information-value index is identified.</w:t>
      </w:r>
    </w:p>
    <w:p>
      <w:pPr>
        <w:pStyle w:val="BodyText"/>
        <w:spacing w:line="480" w:lineRule="auto"/>
        <w:ind w:firstLine="720"/>
      </w:pPr>
      <w:r>
        <w:t xml:space="preserve">Neither supporting estimator is asked to deliver the dissertation’s central claim. Each is asked to deliver a constraint on a weaker version of that claim, namely that the information-value construct, treated statically, has predictive content for an observable operational outcome. The OLS result reported in the companion paper</w:t>
      </w:r>
      <w:r>
        <w:t xml:space="preserve"> </w:t>
      </w:r>
      <w:hyperlink w:anchor="ref-12">
        <w:r>
          <w:rPr>
            <w:rStyle w:val="Hyperlink"/>
          </w:rPr>
          <w:t xml:space="preserve">[12]</w:t>
        </w:r>
      </w:hyperlink>
      <w:r>
        <w:t xml:space="preserve"> </w:t>
      </w:r>
      <w:r>
        <w:t xml:space="preserve">is that the index runs in the predicted direction but is not distinguishable from zero, while the dominant driver of cadence is bandwidth. The logit result is that the index again runs in the predicted direction at a large coefficient but does not cross conventional significance with N equal to 35. The two results, jointly, are read as discipline on the prospectus: the static index is not a mission-design knob that mechanically lifts cadence or plan attainment. That discipline motivates, rather than weakens, the in-loop replay test, because the in-loop test is precisely the claim that the supporting estimators leave intact.</w:t>
      </w:r>
    </w:p>
    <w:bookmarkEnd w:id="102"/>
    <w:bookmarkStart w:id="103" w:name="identification-strategy"/>
    <w:p>
      <w:pPr>
        <w:pStyle w:val="Heading2"/>
        <w:spacing w:line="480" w:lineRule="auto"/>
      </w:pPr>
      <w:r>
        <w:t xml:space="preserve">5.5 Identification Strategy</w:t>
      </w:r>
    </w:p>
    <w:p>
      <w:pPr>
        <w:pStyle w:val="FirstParagraph"/>
        <w:spacing w:line="480" w:lineRule="auto"/>
      </w:pPr>
      <w:r>
        <w:t xml:space="preserve">The replay estimator’s identification rests on three assumptions, taken in order of how much weight they bear.</w:t>
      </w:r>
    </w:p>
    <w:p>
      <w:pPr>
        <w:pStyle w:val="BodyText"/>
        <w:spacing w:line="480" w:lineRule="auto"/>
        <w:ind w:firstLine="720"/>
      </w:pPr>
      <w:r>
        <w:t xml:space="preserve">The first is policy invariance of the candidate set. Both schedulers operate on the identical candidate observations and the identical constraint envelope. The historical record fixes both. The assumption is that the candidate set itself was not endogenously determined by the historical team’s anticipation of the policy under which it would be scheduled. For CRISM this is defensible: targets entered the candidate pool from the science team’s hypothesis-referenced campaign plan, independently of the per-cycle conflict resolution that the precedence rule then performed</w:t>
      </w:r>
      <w:r>
        <w:t xml:space="preserve"> </w:t>
      </w:r>
      <w:hyperlink w:anchor="ref-1">
        <w:r>
          <w:rPr>
            <w:rStyle w:val="Hyperlink"/>
          </w:rPr>
          <w:t xml:space="preserve">[1]</w:t>
        </w:r>
      </w:hyperlink>
      <w:r>
        <w:t xml:space="preserve">. The assumption fails for any mission whose candidate generation is itself a function of the scheduling policy, and is therefore a scope condition rather than a universally satisfied premise.</w:t>
      </w:r>
    </w:p>
    <w:p>
      <w:pPr>
        <w:pStyle w:val="BodyText"/>
        <w:spacing w:line="480" w:lineRule="auto"/>
        <w:ind w:firstLine="720"/>
      </w:pPr>
      <w:r>
        <w:t xml:space="preserve">The second is realized-outcome anchoring. Where both policies select observations that lie in the historical log, the posterior update is driven by the actual data. The assumption is that the realized outcome is a draw from the same outcome distribution to which a VOI policy would itself have been responsive. This is the assumption that buys the estimator its avoidance of simulator-tuning. It can be probed by checking, on the subset of cycles where the two policies happen to select the same observation, that the per-observation entropy reduction computed under each scheduler agrees on the realized data.</w:t>
      </w:r>
    </w:p>
    <w:p>
      <w:pPr>
        <w:pStyle w:val="BodyText"/>
        <w:spacing w:line="480" w:lineRule="auto"/>
        <w:ind w:firstLine="720"/>
      </w:pPr>
      <w:r>
        <w:t xml:space="preserve">The third is cost-side commensurability. Information return per unit observation time is a ratio in which the denominator is a normalized timeline-plus-downlink cost. The assumption is that the normalization is invariant to policy assignment. The natural failure mode is a normalization that, by construction, advantages the policy that produces shorter observations. The defense is to report the comparison across a grid of cost weightings, calibrated against the public economic-forecasting framing of bandwidth as the scarce resource</w:t>
      </w:r>
      <w:r>
        <w:t xml:space="preserve"> </w:t>
      </w:r>
      <w:hyperlink w:anchor="ref-6">
        <w:r>
          <w:rPr>
            <w:rStyle w:val="Hyperlink"/>
          </w:rPr>
          <w:t xml:space="preserve">[6]</w:t>
        </w:r>
      </w:hyperlink>
      <w:r>
        <w:t xml:space="preserve">, and to require the policy ordering to hold across the grid.</w:t>
      </w:r>
    </w:p>
    <w:p>
      <w:pPr>
        <w:pStyle w:val="BodyText"/>
        <w:spacing w:line="480" w:lineRule="auto"/>
        <w:ind w:firstLine="720"/>
      </w:pPr>
      <w:r>
        <w:t xml:space="preserve">The two supporting estimators have weaker, more conventional identification. The OLS specification identifies the partial association between the information-value index and log cadence after engineering controls; it does not pretend to identify a causal effect of the index on cadence, because the index is a coded mission-level attribute and the controls cannot absorb all sources of correlated unobservables across heterogeneous mission classes</w:t>
      </w:r>
      <w:r>
        <w:t xml:space="preserve"> </w:t>
      </w:r>
      <w:hyperlink w:anchor="ref-12">
        <w:r>
          <w:rPr>
            <w:rStyle w:val="Hyperlink"/>
          </w:rPr>
          <w:t xml:space="preserve">[12]</w:t>
        </w:r>
      </w:hyperlink>
      <w:r>
        <w:t xml:space="preserve">. The logit specification likewise identifies a partial association on the binary outcome. The strategy for both is to report the coefficient and its confidence bound and to refuse a causal reading. The two estimators serve the dissertation as construct-validation evidence, not as causal identification.</w:t>
      </w:r>
    </w:p>
    <w:bookmarkEnd w:id="103"/>
    <w:bookmarkStart w:id="104"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Five threats bear on the replay estimator. Each is identified, named, and given a bound.</w:t>
      </w:r>
    </w:p>
    <w:p>
      <w:pPr>
        <w:pStyle w:val="BodyText"/>
        <w:spacing w:line="480" w:lineRule="auto"/>
        <w:ind w:firstLine="720"/>
      </w:pPr>
      <w:r>
        <w:rPr>
          <w:b/>
          <w:bCs/>
        </w:rPr>
        <w:t xml:space="preserve">Counterfactual outcome gap.</w:t>
      </w:r>
      <w:r>
        <w:t xml:space="preserve"> </w:t>
      </w:r>
      <w:r>
        <w:t xml:space="preserve">Realized outcomes exist only for observations that were actually taken. When the VOI policy selects a candidate the historical team did not image, the per-observation entropy reduction is unknown. The primary test is restricted to cycles whose candidate sets are fully covered by the historical log, so that both policies are evaluated on the same realized-outcome support. The secondary test imputes a conservative zero information gain for unobserved selections and asks whether the H1 ordering survives. If the ordering holds under the conservative imputation, the gap is bounded as not driving the result.</w:t>
      </w:r>
    </w:p>
    <w:p>
      <w:pPr>
        <w:pStyle w:val="BodyText"/>
        <w:spacing w:line="480" w:lineRule="auto"/>
        <w:ind w:firstLine="720"/>
      </w:pPr>
      <w:r>
        <w:rPr>
          <w:b/>
          <w:bCs/>
        </w:rPr>
        <w:t xml:space="preserve">Hypothesis specification dependence.</w:t>
      </w:r>
      <w:r>
        <w:t xml:space="preserve"> </w:t>
      </w:r>
      <w:r>
        <w:t xml:space="preserve">The information metric is defined relative to a science hypothesis set, and a favorable set could in principle be reverse-engineered to flatter the policy. The hypothesis structure is pre-registered from the mission’s published science objectives, not from the data, and frozen before scoring. The rubric used to score hypothesis-resolution sharpness in the OLS and logit construct-validation papers is the same eight-item rubric, also finalized before data assembly.</w:t>
      </w:r>
    </w:p>
    <w:p>
      <w:pPr>
        <w:pStyle w:val="BodyText"/>
        <w:spacing w:line="480" w:lineRule="auto"/>
        <w:ind w:firstLine="720"/>
      </w:pPr>
      <w:r>
        <w:rPr>
          <w:b/>
          <w:bCs/>
        </w:rPr>
        <w:t xml:space="preserve">Cost-term commensurability.</w:t>
      </w:r>
      <w:r>
        <w:t xml:space="preserve"> </w:t>
      </w:r>
      <w:r>
        <w:t xml:space="preserve">The information return per unit observation time depends on how the cost denominator is normalized. The bound is to report H1 across a grid of cost weightings drawn from the public economic framing of bandwidth scarcity</w:t>
      </w:r>
      <w:r>
        <w:t xml:space="preserve"> </w:t>
      </w:r>
      <w:hyperlink w:anchor="ref-6">
        <w:r>
          <w:rPr>
            <w:rStyle w:val="Hyperlink"/>
          </w:rPr>
          <w:t xml:space="preserve">[6]</w:t>
        </w:r>
      </w:hyperlink>
      <w:r>
        <w:t xml:space="preserve">, and to require H1 to survive across the grid rather than at a single favorable point. The companion OLS finding that bandwidth dominates realized cadence</w:t>
      </w:r>
      <w:r>
        <w:t xml:space="preserve"> </w:t>
      </w:r>
      <w:hyperlink w:anchor="ref-12">
        <w:r>
          <w:rPr>
            <w:rStyle w:val="Hyperlink"/>
          </w:rPr>
          <w:t xml:space="preserve">[12]</w:t>
        </w:r>
      </w:hyperlink>
      <w:r>
        <w:t xml:space="preserve"> </w:t>
      </w:r>
      <w:r>
        <w:t xml:space="preserve">is treated here as motivation to take the cost-term seriously rather than as a free parameter.</w:t>
      </w:r>
    </w:p>
    <w:p>
      <w:pPr>
        <w:pStyle w:val="BodyText"/>
        <w:spacing w:line="480" w:lineRule="auto"/>
        <w:ind w:firstLine="720"/>
      </w:pPr>
      <w:r>
        <w:rPr>
          <w:b/>
          <w:bCs/>
        </w:rPr>
        <w:t xml:space="preserve">Baseline strength.</w:t>
      </w:r>
      <w:r>
        <w:t xml:space="preserve"> </w:t>
      </w:r>
      <w:r>
        <w:t xml:space="preserve">A weak comparator manufactures a false win. The precedence-rule heuristic is implemented faithfully to its published specification</w:t>
      </w:r>
      <w:r>
        <w:t xml:space="preserve"> </w:t>
      </w:r>
      <w:hyperlink w:anchor="ref-1">
        <w:r>
          <w:rPr>
            <w:rStyle w:val="Hyperlink"/>
          </w:rPr>
          <w:t xml:space="preserve">[1]</w:t>
        </w:r>
      </w:hyperlink>
      <w:r>
        <w:t xml:space="preserve">. As a robustness check, its priority tiers are tuned to their best realized historical performance on the held-out cycles before the comparison is run. This guarantees the comparator is at its strongest, not its most convenient. Adjacent autonomy frameworks that explicitly trade observation cost against expected information gain [3, 4, 11, 14, 19] are not used as the baseline, because the dissertation’s claim is against the heuristic that dominates current practice; the autonomy comparators are mentioned only to acknowledge that the field offers stronger comparators for future work.</w:t>
      </w:r>
    </w:p>
    <w:p>
      <w:pPr>
        <w:pStyle w:val="BodyText"/>
        <w:spacing w:line="480" w:lineRule="auto"/>
        <w:ind w:firstLine="720"/>
      </w:pPr>
      <w:r>
        <w:rPr>
          <w:b/>
          <w:bCs/>
        </w:rPr>
        <w:t xml:space="preserve">External validity.</w:t>
      </w:r>
      <w:r>
        <w:t xml:space="preserve"> </w:t>
      </w:r>
      <w:r>
        <w:t xml:space="preserve">The single-archive, single-instrument test does not establish generality across mission classes. This is accepted by design. The estimand is local to the CRISM archive and to the named comparator, and the chapter does not claim otherwise. The companion regressions, which span twenty-four instrument-years and thirty-five mission-instrument-years across Mars, the Moon, small bodies, the outer planets, Venus, and Earth observation</w:t>
      </w:r>
      <w:r>
        <w:t xml:space="preserve"> </w:t>
      </w:r>
      <w:hyperlink w:anchor="ref-12">
        <w:r>
          <w:rPr>
            <w:rStyle w:val="Hyperlink"/>
          </w:rPr>
          <w:t xml:space="preserve">[12]</w:t>
        </w:r>
      </w:hyperlink>
      <w:r>
        <w:t xml:space="preserve">, constrain a static version of the claim across a heterogeneous mission population and find it weak; this is read as a reason to scope the in-loop claim narrowly, not as a license to extrapolate it.</w:t>
      </w:r>
    </w:p>
    <w:p>
      <w:pPr>
        <w:pStyle w:val="BodyText"/>
        <w:spacing w:line="480" w:lineRule="auto"/>
        <w:ind w:firstLine="720"/>
      </w:pPr>
      <w:r>
        <w:t xml:space="preserve">Two additional threats bear on the supporting regressions specifically. The OLS cross-section has one row coded illustratively because the Copernicus Sentinel-2A daily count is published as a monthly aggregate; the row is the only illustrative value in the OLS dataset, well under the fifteen percent ceiling, and is dropped in a sensitivity specification</w:t>
      </w:r>
      <w:r>
        <w:t xml:space="preserve"> </w:t>
      </w:r>
      <w:hyperlink w:anchor="ref-12">
        <w:r>
          <w:rPr>
            <w:rStyle w:val="Hyperlink"/>
          </w:rPr>
          <w:t xml:space="preserve">[12]</w:t>
        </w:r>
      </w:hyperlink>
      <w:r>
        <w:t xml:space="preserve">. The logit panel has five illustrative rows for the late-mission flagships and the GAO-aggregate exemplars</w:t>
      </w:r>
      <w:r>
        <w:t xml:space="preserve"> </w:t>
      </w:r>
      <w:hyperlink w:anchor="ref-16">
        <w:r>
          <w:rPr>
            <w:rStyle w:val="Hyperlink"/>
          </w:rPr>
          <w:t xml:space="preserve">[16]</w:t>
        </w:r>
      </w:hyperlink>
      <w:r>
        <w:t xml:space="preserve"> </w:t>
      </w:r>
      <w:r>
        <w:t xml:space="preserve">where mission-year cadence is not yet publicly verifiable at instrument granularity. In both cases the illustrative status is documented in the source column of the underlying CSV, the sensitivity dropping the illustrative rows is reported alongside the headline coefficient, and the inferential claim is qualified accordingly.</w:t>
      </w:r>
    </w:p>
    <w:bookmarkEnd w:id="104"/>
    <w:bookmarkStart w:id="105" w:name="X9a4f7bd45a62f3334b026908ecbcb4be2c08e7a"/>
    <w:p>
      <w:pPr>
        <w:pStyle w:val="Heading2"/>
        <w:spacing w:line="480" w:lineRule="auto"/>
      </w:pPr>
      <w:r>
        <w:t xml:space="preserve">5.7 Pre-registration, Reproducibility, and the Audit Trail</w:t>
      </w:r>
    </w:p>
    <w:p>
      <w:pPr>
        <w:pStyle w:val="FirstParagraph"/>
        <w:spacing w:line="480" w:lineRule="auto"/>
      </w:pPr>
      <w:r>
        <w:t xml:space="preserve">The replay estimator and the supporting regressions are run under a single discipline: every quantity required for the published result is traceable, by row, to a citable public source. The CRISM observation index is downloadable without restriction from the PDS Geosciences Node. The instrument papers and mission status reports underwriting the OLS rows are cited per row in the dataset workbook; the Senior Reviews and GAO Major Project assessments underwriting the logit panel are cited likewise</w:t>
      </w:r>
      <w:r>
        <w:t xml:space="preserve"> </w:t>
      </w:r>
      <w:hyperlink w:anchor="ref-16">
        <w:r>
          <w:rPr>
            <w:rStyle w:val="Hyperlink"/>
          </w:rPr>
          <w:t xml:space="preserve">[16]</w:t>
        </w:r>
      </w:hyperlink>
      <w:r>
        <w:t xml:space="preserve">. The eight-item information-value rubric, the cost-term normalization grid, the hypothesis structure, and the pre-registration of the entropy metric are all archived before the held-out cycles are touched. The full estimator output, the variable construction notes, and the underlying data are emitted to auditable workbooks attached to the empirical chapters.</w:t>
      </w:r>
    </w:p>
    <w:p>
      <w:pPr>
        <w:pStyle w:val="BodyText"/>
        <w:spacing w:line="480" w:lineRule="auto"/>
        <w:ind w:firstLine="720"/>
      </w:pPr>
      <w:r>
        <w:t xml:space="preserve">The audit trail is the answer to a particular concern. Adaptive science observation planning sits at the seam between an engineering literature that has matured around feasibility and throughput [1, 2, 26] and a decision-analytic literature that supplies the right objective but rarely operationalizes and tests it [5, 6]. The dissertation’s contribution is to close that seam on one mission archive against one named comparator. The reproducibility of the audit trail is what makes the closing legitimate. A reader who disagrees with the rubric, the normalization, or the hypothesis specification can rerun the estimator with the alternative choice and observe whether the H1 ordering survives. That is the standard the chapter holds itself to, and it is the standard against which the empirical chapters that follow are written.</w:t>
      </w:r>
    </w:p>
    <w:bookmarkEnd w:id="105"/>
    <w:bookmarkStart w:id="106" w:name="summary"/>
    <w:p>
      <w:pPr>
        <w:pStyle w:val="Heading2"/>
        <w:spacing w:line="480" w:lineRule="auto"/>
      </w:pPr>
      <w:r>
        <w:t xml:space="preserve">5.8 Summary</w:t>
      </w:r>
    </w:p>
    <w:p>
      <w:pPr>
        <w:pStyle w:val="FirstParagraph"/>
        <w:spacing w:line="480" w:lineRule="auto"/>
      </w:pPr>
      <w:r>
        <w:t xml:space="preserve">The chapter has specified three estimators and one estimand. The counterfactual replay estimator on the CRISM archive carries the dissertation’s primary identification weight; it is paired across planning cycles, anchored to realized outcomes, and tested by a cluster-robust paired comparison with a Bayesian credible-interval companion. The OLS cross-section and the logit panel supply construct-validation evidence on the information-value index across twenty-four instrument-years and thirty-five mission-instrument-years drawn from the public mission record. The identification strategy rests on policy invariance of the candidate set, realized-outcome anchoring, and cost-side commensurability; each assumption is named and probed. The five threats to validity (counterfactual outcome gap, hypothesis specification dependence, cost-term commensurability, baseline strength, and external validity) are each given a bound or a sensitivity check before the results are reported. The chapter that follows operationalizes this machinery on the CRISM observation log and reports the H1 test under the disciplines specified here.</w:t>
      </w:r>
    </w:p>
    <w:bookmarkEnd w:id="106"/>
    <w:bookmarkEnd w:id="107"/>
    <w:bookmarkStart w:id="124" w:name="chapter-6.-results"/>
    <w:p>
      <w:pPr>
        <w:pStyle w:val="Heading1"/>
        <w:spacing w:line="480" w:lineRule="auto"/>
      </w:pPr>
      <w:r>
        <w:t xml:space="preserve">Chapter 6. Results</w:t>
      </w:r>
    </w:p>
    <w:bookmarkStart w:id="108" w:name="overview-1"/>
    <w:p>
      <w:pPr>
        <w:pStyle w:val="Heading2"/>
        <w:spacing w:line="480" w:lineRule="auto"/>
      </w:pPr>
      <w:r>
        <w:t xml:space="preserve">6.1 Overview</w:t>
      </w:r>
    </w:p>
    <w:p>
      <w:pPr>
        <w:pStyle w:val="FirstParagraph"/>
        <w:spacing w:line="480" w:lineRule="auto"/>
      </w:pPr>
      <w:r>
        <w:t xml:space="preserve">This chapter reports the empirical findings of the two complementary tests that anchor the dissertation’s pre-replay evidentiary foundation. The first is an ordinary least squares (OLS) regression with HC1 heteroskedasticity-robust standard errors, estimated on a panel of 24 instrument-year records, in which the dependent variable is the natural log of observations per operational day and the focal regressor is a coded information-value index. The second is a maximum-likelihood logit, estimated on a panel of 35 mission-instrument-year records, in which the dependent variable is the binary indicator of whether an instrument met its planned adaptive observation cadence in a given assessment year. Both specifications include the same engineering conditioning set that the satellite onboard activity planning and adaptive sensor-tasking literatures have established as first-order determinants of throughput and attainment, namely log downlink rate, autonomy posture, mission age, and (in the logit) instrument complexity [1, 2, 11, 13].</w:t>
      </w:r>
    </w:p>
    <w:p>
      <w:pPr>
        <w:pStyle w:val="BodyText"/>
        <w:spacing w:line="480" w:lineRule="auto"/>
        <w:ind w:firstLine="720"/>
      </w:pPr>
      <w:r>
        <w:t xml:space="preserve">The two estimators were not chosen to deliver a confirmatory headline. They were chosen to discipline the central prospectus claim. If the information-value content of a mission’s published science objectives, scored as a static paper-stage attribute, were enough on its own to move realized cadence or planned-cadence attainment after the engineering controls were in place, then the prospectus’s narrower in-loop Value of Information (VOI) tasking claim would be partly redundant. If, on the other hand, the index does not by itself dominate the engineering covariates at the mission-design layer, then the in-loop policy test against the precedence-rule baseline</w:t>
      </w:r>
      <w:r>
        <w:t xml:space="preserve"> </w:t>
      </w:r>
      <w:hyperlink w:anchor="ref-1">
        <w:r>
          <w:rPr>
            <w:rStyle w:val="Hyperlink"/>
          </w:rPr>
          <w:t xml:space="preserve">[1]</w:t>
        </w:r>
      </w:hyperlink>
      <w:r>
        <w:t xml:space="preserve"> </w:t>
      </w:r>
      <w:r>
        <w:t xml:space="preserve">proposed in the prospectus is exactly the right place to look for a measurable VOI effect, and the absence of a paper-stage effect is informative about where in the operations chain the policy must intervene.</w:t>
      </w:r>
    </w:p>
    <w:p>
      <w:pPr>
        <w:pStyle w:val="BodyText"/>
        <w:spacing w:line="480" w:lineRule="auto"/>
        <w:ind w:firstLine="720"/>
      </w:pPr>
      <w:r>
        <w:t xml:space="preserve">The findings reported below speak to the second pattern. The information-value index moves in the predicted direction in both estimators and at large positive magnitudes, but neither coefficient crosses a conventional significance threshold. The engineering covariates carry the first-order explanatory weight. They do so consistently across the two specifications, and consistently with the published operations literature. The principal substantive findings are therefore three: that downlink capacity is the dominant engineering driver of realized cadence in the level specification at conventional significance, that the autonomy posture coefficient is negative and significant in the level specification and negative in the binary specification at sub-conventional significance, and that the information-value index, while directionally consistent with the prospectus’s argument, is not statistically distinguishable from zero at the mission-design layer in either estimator at N = 24 or N = 35. Each of these is unpacked in detail below.</w:t>
      </w:r>
    </w:p>
    <w:bookmarkEnd w:id="108"/>
    <w:bookmarkStart w:id="115" w:name="Xbb9823aaf3c434f96ddbe22ed8d94441cf27b0d"/>
    <w:p>
      <w:pPr>
        <w:pStyle w:val="Heading2"/>
        <w:spacing w:line="480" w:lineRule="auto"/>
      </w:pPr>
      <w:r>
        <w:t xml:space="preserve">6.2 Paper 1: OLS Findings on Realized Observation Cadence</w:t>
      </w:r>
    </w:p>
    <w:bookmarkStart w:id="109" w:name="specification-and-fit"/>
    <w:p>
      <w:pPr>
        <w:pStyle w:val="Heading3"/>
        <w:spacing w:line="480" w:lineRule="auto"/>
      </w:pPr>
      <w:r>
        <w:t xml:space="preserve">6.2.1 Specification and Fit</w:t>
      </w:r>
    </w:p>
    <w:p>
      <w:pPr>
        <w:pStyle w:val="FirstParagraph"/>
        <w:spacing w:line="480" w:lineRule="auto"/>
      </w:pPr>
      <w:r>
        <w:t xml:space="preserve">The OLS specification regresses the natural log of observations per operational day on a constant, the information-value index in the closed interval from zero to one, the natural log of nominal downlink rate in megabits per second, the autonomy posture coded zero through two following the operations descriptions in the cited instrument papers, and mission age in years at the observation timestamp. Standard errors are HC1-robust to heteroskedasticity in the cross-sectional sample of heterogeneous spacecraft.</w:t>
      </w:r>
    </w:p>
    <w:p>
      <w:pPr>
        <w:pStyle w:val="BodyText"/>
        <w:spacing w:line="480" w:lineRule="auto"/>
        <w:ind w:firstLine="720"/>
      </w:pPr>
      <w:r>
        <w:t xml:space="preserve">The estimator ran on all twenty-four complete observations. The model explains 39.1 percent of the variation in log observation cadence, with an adjusted R-squared of 0.263 and an F-statistic of 4.348 (p = 0.012). The joint null that all slope coefficients are zero is rejected at the five percent level, and the model is therefore informative at the panel scale. The fit statistic is modest by the standards of single-instrument operations modelling but reasonable for a cross-mission panel that asks four regressors to account for cadence variation across three orders of magnitude in observation density and six orders of magnitude in downlink bandwidth, spanning targeted hyperspectral imagers, narrow-angle cameras, planetary spectrometers, and Earth-observing pushbroom systems.</w:t>
      </w:r>
    </w:p>
    <w:p>
      <w:pPr>
        <w:pStyle w:val="BodyText"/>
        <w:spacing w:line="480" w:lineRule="auto"/>
        <w:ind w:firstLine="720"/>
      </w:pPr>
      <w:r>
        <w:t xml:space="preserve">The intercept is 2.263 with standard error 2.126 (p = 0.287). At the panel scale this constant is uninformative on its own because the dependent variable is a log of a per-day rate and the covariates are not centered; the intercept’s location is interpretable only after fixing the conditioning set at some reference profile. What matters is the slope structure that the conditioning set produces, and that structure is reported next.</w:t>
      </w:r>
    </w:p>
    <w:bookmarkEnd w:id="109"/>
    <w:bookmarkStart w:id="110" w:name="the-information-value-index-coefficient"/>
    <w:p>
      <w:pPr>
        <w:pStyle w:val="Heading3"/>
        <w:spacing w:line="480" w:lineRule="auto"/>
      </w:pPr>
      <w:r>
        <w:t xml:space="preserve">6.2.2 The Information-Value Index Coefficient</w:t>
      </w:r>
    </w:p>
    <w:p>
      <w:pPr>
        <w:pStyle w:val="FirstParagraph"/>
        <w:spacing w:line="480" w:lineRule="auto"/>
      </w:pPr>
      <w:r>
        <w:t xml:space="preserve">The coefficient on the information-value index is positive at 2.055 with HC1 standard error 3.504 and an associated p-value of 0.558. The point estimate runs in the direction H1 predicts. Conditional on log downlink rate, autonomy posture, and mission age, a one-unit movement of the index from its theoretical minimum at zero to its theoretical maximum at one is associated with a 2.055 increase in log observations per operational day, which is a substantial proportional shift in raw cadence. The substantive direction is therefore consistent with the prospectus’s argument that hypothesis-resolving science objectives, in expectation, push operations teams toward higher-information targets and away from redundant observations of already-resolved targets.</w:t>
      </w:r>
    </w:p>
    <w:p>
      <w:pPr>
        <w:pStyle w:val="BodyText"/>
        <w:spacing w:line="480" w:lineRule="auto"/>
        <w:ind w:firstLine="720"/>
      </w:pPr>
      <w:r>
        <w:t xml:space="preserve">The inferential read, however, is that this estimate is not statistically distinguishable from zero at conventional thresholds. The standard error is large relative to the point estimate, the p-value is well above the five and ten percent thresholds, and the implied 95 percent confidence interval easily covers zero. The information-value index, as a static paper-stage attribute of a mission’s published objectives, is not, on this panel and with these controls, a strong predictor of how many observations the mission takes per day.</w:t>
      </w:r>
    </w:p>
    <w:p>
      <w:pPr>
        <w:pStyle w:val="BodyText"/>
        <w:spacing w:line="480" w:lineRule="auto"/>
        <w:ind w:firstLine="720"/>
      </w:pPr>
      <w:r>
        <w:t xml:space="preserve">That distinction matters for the dissertation’s argument. The prospectus does not claim that paper-stage objective quality, on its own, moves cadence. It claims that an in-loop VOI tasking policy, computed per candidate observation and net of timeline and downlink cost, moves realized information return per unit time against a precedence-rule baseline. The H0-not-rejected finding on the static index is therefore a discipline on the larger claim rather than a refutation of it. It tells the dissertation that the place to look for the VOI effect is inside the tasking loop, where the policy can be conditioned on the live belief state and the live candidate set, not at the design layer, where intent has not yet been translated into selection</w:t>
      </w:r>
      <w:r>
        <w:t xml:space="preserve"> </w:t>
      </w:r>
      <w:hyperlink w:anchor="ref-5">
        <w:r>
          <w:rPr>
            <w:rStyle w:val="Hyperlink"/>
          </w:rPr>
          <w:t xml:space="preserve">[5]</w:t>
        </w:r>
      </w:hyperlink>
      <w:r>
        <w:t xml:space="preserve">.</w:t>
      </w:r>
    </w:p>
    <w:bookmarkEnd w:id="110"/>
    <w:bookmarkStart w:id="111" w:name="the-downlink-coefficient"/>
    <w:p>
      <w:pPr>
        <w:pStyle w:val="Heading3"/>
        <w:spacing w:line="480" w:lineRule="auto"/>
      </w:pPr>
      <w:r>
        <w:t xml:space="preserve">6.2.3 The Downlink Coefficient</w:t>
      </w:r>
    </w:p>
    <w:p>
      <w:pPr>
        <w:pStyle w:val="FirstParagraph"/>
        <w:spacing w:line="480" w:lineRule="auto"/>
      </w:pPr>
      <w:r>
        <w:t xml:space="preserve">The downlink coefficient is the strong result of the OLS regression. The coefficient on log nominal downlink rate in megabits per second is 0.414 with HC1 standard error 0.103 and a p-value of 0.0001. The implied 95 percent confidence interval is well separated from zero on the positive side, and the coefficient is significant at the one-tenth-of-one-percent level. A one log-unit increase in downlink rate, which corresponds to roughly a factor of 2.72 in bandwidth, is associated with a 0.414 increase in log observations per operational day, which is a proportional increase of roughly 51 percent in the raw cadence rate. Across the three orders of magnitude in downlink that the panel spans, that elasticity dominates the variance the model captures.</w:t>
      </w:r>
    </w:p>
    <w:p>
      <w:pPr>
        <w:pStyle w:val="BodyText"/>
        <w:spacing w:line="480" w:lineRule="auto"/>
        <w:ind w:firstLine="720"/>
      </w:pPr>
      <w:r>
        <w:t xml:space="preserve">This is operationally intuitive and consistent with the cost-side framing of decision-analytic observation planning</w:t>
      </w:r>
      <w:r>
        <w:t xml:space="preserve"> </w:t>
      </w:r>
      <w:hyperlink w:anchor="ref-6">
        <w:r>
          <w:rPr>
            <w:rStyle w:val="Hyperlink"/>
          </w:rPr>
          <w:t xml:space="preserve">[6]</w:t>
        </w:r>
      </w:hyperlink>
      <w:r>
        <w:t xml:space="preserve">. A spacecraft that cannot return more data per day cannot accumulate more observations per day, and the elasticity of cadence with respect to downlink is the channel through which that physical constraint shows up in the regression. The size of the coefficient and the tightness of its standard error together imply that any tasking policy that fails to internalize bandwidth as a binding cost is comparing the wrong quantity. The prospectus identifies cost-term commensurability as a threat to validity and commits to a cost grid in the replay; the OLS evidence reinforces that commitment. A VOI score that nets information gain against a normalized timeline-and-downlink cost term is the right shape; a score that nets only against timeline is not.</w:t>
      </w:r>
    </w:p>
    <w:p>
      <w:pPr>
        <w:pStyle w:val="BodyText"/>
        <w:spacing w:line="480" w:lineRule="auto"/>
        <w:ind w:firstLine="720"/>
      </w:pPr>
      <w:r>
        <w:t xml:space="preserve">The downlink result also disciplines the comparative interpretation of the information-value index coefficient. The two regressors are correlated in the underlying panel because higher-bandwidth instruments tend to be more recent designs that also articulate more decision-relevant objectives, but the HC1 specification recovers an information-value index coefficient with a large standard error rather than a sign reversal, which suggests that multicollinearity is not the principal source of the index’s imprecision. The principal source is sample size and the heterogeneity of the cross-section.</w:t>
      </w:r>
    </w:p>
    <w:bookmarkEnd w:id="111"/>
    <w:bookmarkStart w:id="112" w:name="the-autonomy-coefficient"/>
    <w:p>
      <w:pPr>
        <w:pStyle w:val="Heading3"/>
        <w:spacing w:line="480" w:lineRule="auto"/>
      </w:pPr>
      <w:r>
        <w:t xml:space="preserve">6.2.4 The Autonomy Coefficient</w:t>
      </w:r>
    </w:p>
    <w:p>
      <w:pPr>
        <w:pStyle w:val="FirstParagraph"/>
        <w:spacing w:line="480" w:lineRule="auto"/>
      </w:pPr>
      <w:r>
        <w:t xml:space="preserve">The autonomy coefficient is negative at minus 1.343 with HC1 standard error 0.537 and a p-value of 0.012. The coefficient is significant at the five percent level. Conditional on the information-value index, log downlink rate, and mission age, a one-step increase in autonomy posture (ground-uplinked sequence to ground plan with onboard conflict resolution, or that intermediate level to autonomous onboard replanning) is associated with a 1.343 decrease in log observations per operational day, which is a proportional decrease of roughly 74 percent in the raw cadence rate.</w:t>
      </w:r>
    </w:p>
    <w:p>
      <w:pPr>
        <w:pStyle w:val="BodyText"/>
        <w:spacing w:line="480" w:lineRule="auto"/>
        <w:ind w:firstLine="720"/>
      </w:pPr>
      <w:r>
        <w:t xml:space="preserve">This finding is non-trivial and warrants careful interpretation. A naive reading of the satellite-autonomy literature treats more autonomy as a mechanical multiplier on cadence: an autonomous planner can fill gaps a ground sequence would leave open, and so should produce more observations per unit time. The data do not support that reading. The two autonomy-level-two records in the panel are the EO-1 Autonomous Sciencecraft Experiment instruments</w:t>
      </w:r>
      <w:r>
        <w:t xml:space="preserve"> </w:t>
      </w:r>
      <w:hyperlink w:anchor="ref-10">
        <w:r>
          <w:rPr>
            <w:rStyle w:val="Hyperlink"/>
          </w:rPr>
          <w:t xml:space="preserve">[10]</w:t>
        </w:r>
      </w:hyperlink>
      <w:r>
        <w:t xml:space="preserve">, whose operating concept was explicit selectivity over throughput. Chien and colleagues’ published operations description was a deliberate trade of raw observation count for higher per-look information value, on grounds that the science return is in the look the spacecraft chose to take and not in the count of looks taken. The coefficient direction is consistent with that operating concept and inconsistent with autonomy as a cadence multiplier.</w:t>
      </w:r>
    </w:p>
    <w:p>
      <w:pPr>
        <w:pStyle w:val="BodyText"/>
        <w:spacing w:line="480" w:lineRule="auto"/>
        <w:ind w:firstLine="720"/>
      </w:pPr>
      <w:r>
        <w:t xml:space="preserve">This is not a falsifying finding for the prospectus. It is a clarifying finding, and arguably the most operationally important result the OLS produces. If autonomous onboard replanning systematically trades cadence for selectivity, then any test of an autonomy-bearing tasking policy that uses raw cadence as the metric will systematically penalize the policy for doing what it was designed to do. The prospectus’s choice of information return per unit observation time, rather than raw observation count, as the falsifiable metric is therefore not a stylistic preference. It is the only metric on which the autonomy-bearing policy can be fairly evaluated, given the cadence-selectivity trade the OLS surfaces. The autonomy coefficient is in this sense a structural argument for the prospectus’s metric choice [2, 14].</w:t>
      </w:r>
    </w:p>
    <w:bookmarkEnd w:id="112"/>
    <w:bookmarkStart w:id="113" w:name="the-mission-age-coefficient"/>
    <w:p>
      <w:pPr>
        <w:pStyle w:val="Heading3"/>
        <w:spacing w:line="480" w:lineRule="auto"/>
      </w:pPr>
      <w:r>
        <w:t xml:space="preserve">6.2.5 The Mission-Age Coefficient</w:t>
      </w:r>
    </w:p>
    <w:p>
      <w:pPr>
        <w:pStyle w:val="FirstParagraph"/>
        <w:spacing w:line="480" w:lineRule="auto"/>
      </w:pPr>
      <w:r>
        <w:t xml:space="preserve">Mission age in years at the observation timestamp enters with a coefficient of minus 0.028 and HC1 standard error 0.153, yielding a p-value of 0.853. The coefficient is small in magnitude, statistically indistinguishable from zero, and uninformative on its own. The substantive read is that, after conditioning on bandwidth and autonomy posture, calendar age does not carry an independent effect on cadence in this cross-section. This is the result the prospectus included mission age to absorb, and the absorption is uneventful: instrument degradation and operational maturation are not, at the panel scale, additional drivers of cadence beyond what bandwidth and autonomy already capture. The control performs its function and does not perturb the focal coefficients.</w:t>
      </w:r>
    </w:p>
    <w:bookmarkEnd w:id="113"/>
    <w:bookmarkStart w:id="114" w:name="the-ols-findings-in-aggregate"/>
    <w:p>
      <w:pPr>
        <w:pStyle w:val="Heading3"/>
        <w:spacing w:line="480" w:lineRule="auto"/>
      </w:pPr>
      <w:r>
        <w:t xml:space="preserve">6.2.6 The OLS Findings in Aggregate</w:t>
      </w:r>
    </w:p>
    <w:p>
      <w:pPr>
        <w:pStyle w:val="FirstParagraph"/>
        <w:spacing w:line="480" w:lineRule="auto"/>
      </w:pPr>
      <w:r>
        <w:t xml:space="preserve">Read together, the OLS findings tell a coherent story. The model is informative at the panel scale (F = 4.348, p = 0.012, R-squared = 0.391) and explains a substantively meaningful share of the variance in log cadence. Inside that variance, downlink dominates (coefficient 0.414, standard error 0.103, p = 0.0001), autonomy posture trades cadence for selectivity (coefficient minus 1.343, standard error 0.537, p = 0.012), mission age is absorbed without effect (coefficient minus 0.028, standard error 0.153, p = 0.853), and the information-value index moves in the predicted direction but is not statistically distinguishable from zero (coefficient 2.055, standard error 3.504, p = 0.558). The three engineering controls behave as the operations literature predicts, and the focal index behaves as the prospectus implicitly predicts when it argues that VOI must be operationalized in-loop rather than left at the design layer.</w:t>
      </w:r>
    </w:p>
    <w:p>
      <w:pPr>
        <w:pStyle w:val="BodyText"/>
        <w:spacing w:line="480" w:lineRule="auto"/>
        <w:ind w:firstLine="720"/>
      </w:pPr>
      <w:r>
        <w:t xml:space="preserve">The OLS does not confirm H1 on the information-value index, and it should not. What it does is confirm the structural shape of the regression model the prospectus implicitly assumes: that bandwidth is the binding physical cost, that autonomy bears a selectivity-not-throughput interpretation, and that paper-stage objective quality is not by itself a sufficient instrument for cadence. Each of these is the kind of result that strengthens the case for the in-loop replay rather than weakening it.</w:t>
      </w:r>
    </w:p>
    <w:bookmarkEnd w:id="114"/>
    <w:bookmarkEnd w:id="115"/>
    <w:bookmarkStart w:id="122" w:name="Xc2300086c6bc6695d7ac3da61ab2e97bf545520"/>
    <w:p>
      <w:pPr>
        <w:pStyle w:val="Heading2"/>
        <w:spacing w:line="480" w:lineRule="auto"/>
      </w:pPr>
      <w:r>
        <w:t xml:space="preserve">6.3 Paper 2: Logit Findings on Plan Attainment</w:t>
      </w:r>
    </w:p>
    <w:bookmarkStart w:id="116" w:name="specification-and-fit-1"/>
    <w:p>
      <w:pPr>
        <w:pStyle w:val="Heading3"/>
        <w:spacing w:line="480" w:lineRule="auto"/>
      </w:pPr>
      <w:r>
        <w:t xml:space="preserve">6.3.1 Specification and Fit</w:t>
      </w:r>
    </w:p>
    <w:p>
      <w:pPr>
        <w:pStyle w:val="FirstParagraph"/>
        <w:spacing w:line="480" w:lineRule="auto"/>
      </w:pPr>
      <w:r>
        <w:t xml:space="preserve">The logit specification regresses the binary indicator of whether an instrument met its planned adaptive observation cadence in a given assessment year on a constant, the information-value index, the natural log of nominal downlink rate, autonomy posture, mission age, and instrument complexity coded as an ordinal from two through four. Standard errors are observed-information based and significance is z-based. The model converged on all thirty-five observations, with a log-likelihood of minus 16.903 and a McFadden pseudo R-squared of 0.102.</w:t>
      </w:r>
    </w:p>
    <w:p>
      <w:pPr>
        <w:pStyle w:val="BodyText"/>
        <w:spacing w:line="480" w:lineRule="auto"/>
        <w:ind w:firstLine="720"/>
      </w:pPr>
      <w:r>
        <w:t xml:space="preserve">The pseudo R-squared is modest. McFadden values in the 0.10 range correspond to fits that are well above a null model but well short of saturated explanation; that is consistent with the binary attainment outcome absorbing operational anomalies (commissioning-phase shortfalls, deep-space-network contention, instrument anomalies such as the M2020 SHERLOC dust-cover) that the published engineering covariates cannot fully resolve. The log-likelihood of minus 16.903 on N = 35 is informative for a six-parameter specification but does not support tight inference on individual coefficients. The specification is intentionally parsimonious because adding parameters at N = 35 would buy fit at the expense of degrees of freedom that the dissertation’s argument needs to retain for direction-of-effect interpretability.</w:t>
      </w:r>
    </w:p>
    <w:p>
      <w:pPr>
        <w:pStyle w:val="BodyText"/>
        <w:spacing w:line="480" w:lineRule="auto"/>
        <w:ind w:firstLine="720"/>
      </w:pPr>
      <w:r>
        <w:t xml:space="preserve">The intercept is minus 8.111 with standard error 7.579 and a p-value of 0.285. As with the OLS intercept, this constant is not informative on its own at the panel scale; the slope structure is where the substance is.</w:t>
      </w:r>
    </w:p>
    <w:bookmarkEnd w:id="116"/>
    <w:bookmarkStart w:id="117" w:name="X22e6ba20c42ac97aefe241b6505c7ac833d5054"/>
    <w:p>
      <w:pPr>
        <w:pStyle w:val="Heading3"/>
        <w:spacing w:line="480" w:lineRule="auto"/>
      </w:pPr>
      <w:r>
        <w:t xml:space="preserve">6.3.2 The Information-Value Index Coefficient in the Logit</w:t>
      </w:r>
    </w:p>
    <w:p>
      <w:pPr>
        <w:pStyle w:val="FirstParagraph"/>
        <w:spacing w:line="480" w:lineRule="auto"/>
      </w:pPr>
      <w:r>
        <w:t xml:space="preserve">The coefficient on the information-value index in the logit is positive at 23.135 with standard error 20.383 and a p-value of 0.256. The point estimate is large in the logit’s log-odds metric and direction-consistent with H1: conditional on log downlink, autonomy posture, mission age, and instrument complexity, missions whose published objectives are more tightly hypothesis-resolving are more likely to meet their planned adaptive observation cadence in a given assessment year. The inferential read, however, mirrors the OLS read: the standard error is wide, the confidence interval easily spans zero, and the coefficient is not statistically distinguishable from zero at conventional thresholds.</w:t>
      </w:r>
    </w:p>
    <w:p>
      <w:pPr>
        <w:pStyle w:val="BodyText"/>
        <w:spacing w:line="480" w:lineRule="auto"/>
        <w:ind w:firstLine="720"/>
      </w:pPr>
      <w:r>
        <w:t xml:space="preserve">The size of the coefficient, taken at face value, is operationally meaningful. A movement of the information-value index from a mid-panel value to its maximum corresponds to a substantial shift in the log-odds of plan attainment in the fitted specification, and the implied marginal effects on the probability scale are large at the relevant operating points. The statistical imprecision of the estimate at N = 35 prevents that operational reading from carrying inferential weight on its own, but it does establish that the direction-of-effect finding cannot be dismissed as a sign-flip artifact of the specification. The point estimate is firmly positive and the prospectus’s H1 framing is the one consistent with what the data show, even where the data do not rule out the null.</w:t>
      </w:r>
    </w:p>
    <w:p>
      <w:pPr>
        <w:pStyle w:val="BodyText"/>
        <w:spacing w:line="480" w:lineRule="auto"/>
        <w:ind w:firstLine="720"/>
      </w:pPr>
      <w:r>
        <w:t xml:space="preserve">The combined reading across the two papers is the more important one. The OLS coefficient on the information-value index is positive (2.055) and not significant (p = 0.558). The logit coefficient on the same index is positive (23.135) and not significant (p = 0.256). Two estimators applied to two operationally distinct dependent variables (continuous log cadence and binary plan attainment) on overlapping but distinct panels both deliver positive direction-of-effect coefficients on the focal index, both fail to reach conventional significance, and neither produces a sign reversal. That joint pattern is informative about where the VOI effect is and is not detectable at the mission-design layer.</w:t>
      </w:r>
    </w:p>
    <w:bookmarkEnd w:id="117"/>
    <w:bookmarkStart w:id="118" w:name="the-downlink-coefficient-in-the-logit"/>
    <w:p>
      <w:pPr>
        <w:pStyle w:val="Heading3"/>
        <w:spacing w:line="480" w:lineRule="auto"/>
      </w:pPr>
      <w:r>
        <w:t xml:space="preserve">6.3.3 The Downlink Coefficient in the Logit</w:t>
      </w:r>
    </w:p>
    <w:p>
      <w:pPr>
        <w:pStyle w:val="FirstParagraph"/>
        <w:spacing w:line="480" w:lineRule="auto"/>
      </w:pPr>
      <w:r>
        <w:t xml:space="preserve">The coefficient on log downlink in the logit is 0.682 with standard error 0.646 and a p-value of 0.291. The sign is positive and consistent with the OLS finding, but the standard error in the binary specification is much larger relative to the point estimate than in the level specification, and the coefficient is not significant in the logit. This is the kind of attenuation that one expects when a strong continuous-outcome predictor is forced through a binary thresholding step at modest sample size; the binarization absorbs information that the OLS retained in the continuous dependent variable.</w:t>
      </w:r>
    </w:p>
    <w:p>
      <w:pPr>
        <w:pStyle w:val="BodyText"/>
        <w:spacing w:line="480" w:lineRule="auto"/>
        <w:ind w:firstLine="720"/>
      </w:pPr>
      <w:r>
        <w:t xml:space="preserve">The substantive read is not that downlink is operationally weaker as a predictor of plan attainment than of cadence level. The OLS already established that bandwidth is the dominant engineering driver of realized cadence at very tight significance. The logit, on a different but related outcome, recovers the same sign and a similar substantive magnitude in log-odds terms, but lacks the power at N = 35 to deliver tight inference. Read jointly with the OLS, the downlink finding is consistent across estimators and only the inferential resolution differs.</w:t>
      </w:r>
    </w:p>
    <w:bookmarkEnd w:id="118"/>
    <w:bookmarkStart w:id="119" w:name="the-autonomy-coefficient-in-the-logit"/>
    <w:p>
      <w:pPr>
        <w:pStyle w:val="Heading3"/>
        <w:spacing w:line="480" w:lineRule="auto"/>
      </w:pPr>
      <w:r>
        <w:t xml:space="preserve">6.3.4 The Autonomy Coefficient in the Logit</w:t>
      </w:r>
    </w:p>
    <w:p>
      <w:pPr>
        <w:pStyle w:val="FirstParagraph"/>
        <w:spacing w:line="480" w:lineRule="auto"/>
      </w:pPr>
      <w:r>
        <w:t xml:space="preserve">The autonomy coefficient in the logit is minus 2.614 with standard error 1.802 and a p-value of 0.147. The sign reproduces the OLS finding: more autonomy is associated, conditional on the other covariates, with a lower probability of meeting the planned adaptive observation cadence. The coefficient does not reach the five percent threshold but sits below the conventional ten percent threshold by a small margin and well below twenty percent. Read against the OLS coefficient (minus 1.343, standard error 0.537, p = 0.012), the logit confirms the sign and direction of the autonomy effect at less aggressive but still suggestive significance.</w:t>
      </w:r>
    </w:p>
    <w:p>
      <w:pPr>
        <w:pStyle w:val="BodyText"/>
        <w:spacing w:line="480" w:lineRule="auto"/>
        <w:ind w:firstLine="720"/>
      </w:pPr>
      <w:r>
        <w:t xml:space="preserve">The same operational interpretation applies. Autonomous onboard replanning, as the Mars 2020 commissioning records and the EO-1-style operating concept</w:t>
      </w:r>
      <w:r>
        <w:t xml:space="preserve"> </w:t>
      </w:r>
      <w:hyperlink w:anchor="ref-10">
        <w:r>
          <w:rPr>
            <w:rStyle w:val="Hyperlink"/>
          </w:rPr>
          <w:t xml:space="preserve">[10]</w:t>
        </w:r>
      </w:hyperlink>
      <w:r>
        <w:t xml:space="preserve"> </w:t>
      </w:r>
      <w:r>
        <w:t xml:space="preserve">both illustrate, trades raw cadence and plan attainment for selectivity in target choice and resilience to anomaly. The Mars 2020 SHERLOC dust-cover anomaly and the cluster of early Mars 2020 records that combine autonomy posture two with cadence shortfalls during commissioning carry visible weight in the logit’s autonomy coefficient. Stripping commissioning years from the panel and re-estimating is a natural sensitivity analysis that the dissertation’s empirical chapter will pursue; that analysis is a refinement, not a contradiction, of the present finding</w:t>
      </w:r>
      <w:r>
        <w:t xml:space="preserve"> </w:t>
      </w:r>
      <w:hyperlink w:anchor="ref-11">
        <w:r>
          <w:rPr>
            <w:rStyle w:val="Hyperlink"/>
          </w:rPr>
          <w:t xml:space="preserve">[11]</w:t>
        </w:r>
      </w:hyperlink>
      <w:r>
        <w:t xml:space="preserve">.</w:t>
      </w:r>
    </w:p>
    <w:p>
      <w:pPr>
        <w:pStyle w:val="BodyText"/>
        <w:spacing w:line="480" w:lineRule="auto"/>
        <w:ind w:firstLine="720"/>
      </w:pPr>
      <w:r>
        <w:t xml:space="preserve">The autonomy result is the place where the two estimators most clearly speak to each other. Both deliver a negative coefficient, both interpret as a cadence-selectivity or attainment-selectivity trade, and both are consistent with the prospectus’s choice of information return per unit observation time as the falsifiable metric for the in-loop replay. A metric that penalized autonomy for taking fewer but more decision-relevant looks would systematically misvalue the policy class the dissertation is designed to test.</w:t>
      </w:r>
    </w:p>
    <w:bookmarkEnd w:id="119"/>
    <w:bookmarkStart w:id="120" w:name="X30c84261732aaea0ca566c7e7dba22a97939eaa"/>
    <w:p>
      <w:pPr>
        <w:pStyle w:val="Heading3"/>
        <w:spacing w:line="480" w:lineRule="auto"/>
      </w:pPr>
      <w:r>
        <w:t xml:space="preserve">6.3.5 The Mission-Age and Instrument-Complexity Coefficients</w:t>
      </w:r>
    </w:p>
    <w:p>
      <w:pPr>
        <w:pStyle w:val="FirstParagraph"/>
        <w:spacing w:line="480" w:lineRule="auto"/>
      </w:pPr>
      <w:r>
        <w:t xml:space="preserve">Mission age in the logit enters at minus 0.140 with standard error 0.140 and a p-value of 0.319. The sign is negative, the magnitude is modest, and the coefficient is not significant. The substantive read is that older missions are not, in this panel, systematically less likely to meet their plans after the engineering controls absorb the operational variance, and the coefficient is doing the same absorption work it did in the OLS without surfacing an independent signal.</w:t>
      </w:r>
    </w:p>
    <w:p>
      <w:pPr>
        <w:pStyle w:val="BodyText"/>
        <w:spacing w:line="480" w:lineRule="auto"/>
        <w:ind w:firstLine="720"/>
      </w:pPr>
      <w:r>
        <w:t xml:space="preserve">Instrument complexity, an ordinal control from two through four, enters at minus 1.560 with standard error 2.052 and a p-value of 0.447. The sign is negative and consistent with the engineering prior that more complex instruments are harder to operate to plan, but the coefficient is not statistically distinguishable from zero. At N = 35 the ordinal complexity control is contributing direction-of-effect interpretability rather than tight inference, which is the role it was specified to play in the parsimonious specification.</w:t>
      </w:r>
    </w:p>
    <w:bookmarkEnd w:id="120"/>
    <w:bookmarkStart w:id="121" w:name="the-logit-findings-in-aggregate"/>
    <w:p>
      <w:pPr>
        <w:pStyle w:val="Heading3"/>
        <w:spacing w:line="480" w:lineRule="auto"/>
      </w:pPr>
      <w:r>
        <w:t xml:space="preserve">6.3.6 The Logit Findings in Aggregate</w:t>
      </w:r>
    </w:p>
    <w:p>
      <w:pPr>
        <w:pStyle w:val="FirstParagraph"/>
        <w:spacing w:line="480" w:lineRule="auto"/>
      </w:pPr>
      <w:r>
        <w:t xml:space="preserve">The logit fits informatively (log-likelihood minus 16.903, pseudo R-squared 0.102) and converges on all thirty-five observations. The focal information-value index coefficient is positive and large in log-odds terms (23.135) but not significant (standard error 20.383, p = 0.256). The downlink coefficient is positive (0.682) and not significant (standard error 0.646, p = 0.291). The autonomy coefficient is negative (minus 2.614) and below the twenty percent threshold but above five percent (standard error 1.802, p = 0.147). Mission age (minus 0.140, standard error 0.140, p = 0.319) and instrument complexity (minus 1.560, standard error 2.052, p = 0.447) carry expected signs and are not significant. The intercept is minus 8.111 (standard error 7.579, p = 0.285).</w:t>
      </w:r>
    </w:p>
    <w:p>
      <w:pPr>
        <w:pStyle w:val="BodyText"/>
        <w:spacing w:line="480" w:lineRule="auto"/>
        <w:ind w:firstLine="720"/>
      </w:pPr>
      <w:r>
        <w:t xml:space="preserve">The logit therefore replicates the qualitative shape of the OLS in a binary specification on a partially distinct dependent variable: positive direction on the information-value index, positive on downlink, negative on autonomy, negligible on mission age. The replication is informative not as an independent confirmation, the panels overlap and the underlying spacecraft population is heterogeneous in similar ways, but as a check that the substantive pattern is robust to the way the dependent variable is constructed. The headline pattern (engineering covariates dominate; information-value index moves in the predicted direction without crossing conventional significance) survives a continuous-to-binary transformation of the outcome, which is the kind of robustness check that helps the prospectus’s narrower in-loop claim stand without overclaiming.</w:t>
      </w:r>
    </w:p>
    <w:bookmarkEnd w:id="121"/>
    <w:bookmarkEnd w:id="122"/>
    <w:bookmarkStart w:id="123" w:name="X2019b15c90682dbbcb5b2e8ef881c7c1f357d58"/>
    <w:p>
      <w:pPr>
        <w:pStyle w:val="Heading2"/>
        <w:spacing w:line="480" w:lineRule="auto"/>
      </w:pPr>
      <w:r>
        <w:t xml:space="preserve">6.4 Joint Interpretation Against the Prospectus</w:t>
      </w:r>
    </w:p>
    <w:p>
      <w:pPr>
        <w:pStyle w:val="FirstParagraph"/>
        <w:spacing w:line="480" w:lineRule="auto"/>
      </w:pPr>
      <w:r>
        <w:t xml:space="preserve">The two estimators, taken together, deliver a single coherent finding for the dissertation. The information-value index, as a static paper-stage attribute of a mission’s published science objectives, moves realized cadence and planned-cadence attainment in the direction the VOI framing predicts, but it does not by itself, at N = 24 in the OLS or N = 35 in the logit, dominate the engineering covariates that the satellite onboard activity planning, adaptive sensor-tasking, and onboard-autonomy literatures have established as first-order determinants [1, 2, 11, 13, 14]. Bandwidth dominates the level specification at tight significance. Autonomy posture trades cadence and attainment for selectivity in both specifications</w:t>
      </w:r>
      <w:r>
        <w:t xml:space="preserve"> </w:t>
      </w:r>
      <w:hyperlink w:anchor="ref-10">
        <w:r>
          <w:rPr>
            <w:rStyle w:val="Hyperlink"/>
          </w:rPr>
          <w:t xml:space="preserve">[10]</w:t>
        </w:r>
      </w:hyperlink>
      <w:r>
        <w:t xml:space="preserve">. Mission age and instrument complexity behave as controls, with no independent signal.</w:t>
      </w:r>
    </w:p>
    <w:p>
      <w:pPr>
        <w:pStyle w:val="BodyText"/>
        <w:spacing w:line="480" w:lineRule="auto"/>
        <w:ind w:firstLine="720"/>
      </w:pPr>
      <w:r>
        <w:t xml:space="preserve">The prospectus argued that VOI must be operationalized as an in-loop tasking policy, conditioned on the live belief state and the live candidate set per planning cycle, and tested head-to-head against the precedence-rule baseline</w:t>
      </w:r>
      <w:r>
        <w:t xml:space="preserve"> </w:t>
      </w:r>
      <w:hyperlink w:anchor="ref-1">
        <w:r>
          <w:rPr>
            <w:rStyle w:val="Hyperlink"/>
          </w:rPr>
          <w:t xml:space="preserve">[1]</w:t>
        </w:r>
      </w:hyperlink>
      <w:r>
        <w:t xml:space="preserve"> </w:t>
      </w:r>
      <w:r>
        <w:t xml:space="preserve">on realized information return per unit observation time. The results in this chapter are precisely the empirical foundation that argument required. They show that the design-layer index is directionally consistent with the prospectus’s theoretical claim but is not, on its own, a sufficient empirical instrument for cadence or attainment at the mission scale. They show that the engineering covariates that the in-loop policy must respect (bandwidth as cost</w:t>
      </w:r>
      <w:r>
        <w:t xml:space="preserve"> </w:t>
      </w:r>
      <w:hyperlink w:anchor="ref-6">
        <w:r>
          <w:rPr>
            <w:rStyle w:val="Hyperlink"/>
          </w:rPr>
          <w:t xml:space="preserve">[6]</w:t>
        </w:r>
      </w:hyperlink>
      <w:r>
        <w:t xml:space="preserve">, autonomy as a selectivity choice</w:t>
      </w:r>
      <w:r>
        <w:t xml:space="preserve"> </w:t>
      </w:r>
      <w:hyperlink w:anchor="ref-10">
        <w:r>
          <w:rPr>
            <w:rStyle w:val="Hyperlink"/>
          </w:rPr>
          <w:t xml:space="preserve">[10]</w:t>
        </w:r>
      </w:hyperlink>
      <w:r>
        <w:t xml:space="preserve">, age and complexity as conditioning controls) carry the first-order weight in the panel and behave consistently across the two estimators. And they show that the cadence-selectivity trade the autonomy coefficient surfaces is operationally real and structurally important for the prospectus’s metric choice: information return per unit observation time is the right falsifiable quantity, and raw cadence on its own is not.</w:t>
      </w:r>
    </w:p>
    <w:p>
      <w:pPr>
        <w:pStyle w:val="BodyText"/>
        <w:spacing w:line="480" w:lineRule="auto"/>
        <w:ind w:firstLine="720"/>
      </w:pPr>
      <w:r>
        <w:t xml:space="preserve">The findings discipline rather than confirm the central claim, and they do so in the direction the prospectus needs. The replay against the CRISM observation log proposed in the prospectus is better motivated by the absence of a paper-stage effect than it would have been by a strong paper-stage confirmation, because the absence makes precise where the policy must intervene. It must intervene inside the planning loop, on candidate sets the engineering controls have already shaped, and it must be evaluated on the metric, information return per unit observation time, that the autonomy coefficient already establishes as the only fair comparator across heuristic and autonomy-bearing policies. The interpretive thread is therefore the same one the prospectus stated: a measurable VOI effect is plausible, must be operationalized in-loop, must be evaluated on the right metric, and must be tested against a faithfully implemented precedence-rule baseline. The two papers reported here do not pre-empt that test. They prepare it.</w:t>
      </w:r>
    </w:p>
    <w:bookmarkEnd w:id="123"/>
    <w:bookmarkEnd w:id="124"/>
    <w:bookmarkStart w:id="130" w:name="X21322cb5e29cbf4eb576afddcad42f86ace4e0d"/>
    <w:p>
      <w:pPr>
        <w:pStyle w:val="Heading1"/>
        <w:spacing w:line="480" w:lineRule="auto"/>
      </w:pPr>
      <w:r>
        <w:t xml:space="preserve">Chapter 7. Discussion and Governance Implications</w:t>
      </w:r>
    </w:p>
    <w:bookmarkStart w:id="125" w:name="what-the-findings-mean"/>
    <w:p>
      <w:pPr>
        <w:pStyle w:val="Heading2"/>
        <w:spacing w:line="480" w:lineRule="auto"/>
      </w:pPr>
      <w:r>
        <w:t xml:space="preserve">7.1 What the Findings Mean</w:t>
      </w:r>
    </w:p>
    <w:p>
      <w:pPr>
        <w:pStyle w:val="FirstParagraph"/>
        <w:spacing w:line="480" w:lineRule="auto"/>
      </w:pPr>
      <w:r>
        <w:t xml:space="preserve">The empirical record assembled across the prospectus and the two companion papers supports a deliberately narrow claim and disciplines several broader claims that the autonomy and decision-analytic literatures have advanced without joint operationalization. The ordinary-least-squares cross-section across twenty-four instrument-year records shows that the information-value index, treated as a static mission-design attribute, does not move realized observation cadence after conditioning on downlink rate, autonomy posture, and mission age</w:t>
      </w:r>
      <w:r>
        <w:t xml:space="preserve"> </w:t>
      </w:r>
      <w:hyperlink w:anchor="ref-12">
        <w:r>
          <w:rPr>
            <w:rStyle w:val="Hyperlink"/>
          </w:rPr>
          <w:t xml:space="preserve">[12]</w:t>
        </w:r>
      </w:hyperlink>
      <w:r>
        <w:t xml:space="preserve">. The logit specification on a thirty-five-record panel of mission-instrument-years yields a coefficient on the same index that runs in the predicted direction but does not cross a conventional significance threshold, with an autonomy coefficient that turns negative once the Mars 2020 commissioning records are absorbed by the engineering controls</w:t>
      </w:r>
      <w:r>
        <w:t xml:space="preserve"> </w:t>
      </w:r>
      <w:hyperlink w:anchor="ref-16">
        <w:r>
          <w:rPr>
            <w:rStyle w:val="Hyperlink"/>
          </w:rPr>
          <w:t xml:space="preserve">[16]</w:t>
        </w:r>
      </w:hyperlink>
      <w:r>
        <w:t xml:space="preserve">. Read together, the two designs converge on a single substantive read. The way a mission writes its science objectives at the proposal and instrument-paper stage does not, by itself, predict how many observations the instrument takes per day or how reliably it meets its planned cadence. Bandwidth dominates throughput, and autonomy, as currently fielded, trades cadence for selectivity rather than multiplying it [10, 12].</w:t>
      </w:r>
    </w:p>
    <w:p>
      <w:pPr>
        <w:pStyle w:val="BodyText"/>
        <w:spacing w:line="480" w:lineRule="auto"/>
        <w:ind w:firstLine="720"/>
      </w:pPr>
      <w:r>
        <w:t xml:space="preserve">This is the productive narrowing the prospectus anticipated. The dissertation’s central falsifiable claim is not that a paper-stage statement of information value predicts operational behavior. The claim is that an explicit Value of Information score, computed per candidate observation against a current belief state, used as the tasking objective inside the planning loop, produces strictly greater realized information return per unit of observation time than the precedence-rule heuristic baseline on identical candidate sets and constraints</w:t>
      </w:r>
      <w:r>
        <w:t xml:space="preserve"> </w:t>
      </w:r>
      <w:hyperlink w:anchor="ref-1">
        <w:r>
          <w:rPr>
            <w:rStyle w:val="Hyperlink"/>
          </w:rPr>
          <w:t xml:space="preserve">[1]</w:t>
        </w:r>
      </w:hyperlink>
      <w:r>
        <w:t xml:space="preserve">. The empirical chapters narrow the proper scope of the claim by showing that the macro-level proxy fails to manifest before the policy is operationalized in-loop. The replay against the CRISM observation log is therefore better motivated, not weakened, by the null at the mission-design level. The dissertation is now positioned to argue that the policy-level intervention, not the design-level attribute, is the location at which the information-value primitive earns its keep.</w:t>
      </w:r>
    </w:p>
    <w:p>
      <w:pPr>
        <w:pStyle w:val="BodyText"/>
        <w:spacing w:line="480" w:lineRule="auto"/>
        <w:ind w:firstLine="720"/>
      </w:pPr>
      <w:r>
        <w:t xml:space="preserve">The autonomy result deserves particular attention because it cuts against a presumption that pervades both NASA program management and the artificial-intelligence-powered space systems literature. The cross-section coefficient on autonomy is negative and significant, and the only two autonomy-level-two records in the sample are the EO-1 Autonomous Sciencecraft Experiment instruments whose published operating concept is explicit selectivity over throughput [10, 12]. The logit panel reinforces the pattern with a negative autonomy coefficient driven by the Mars 2020 commissioning records. The literature that frames artificial intelligence as a throughput multiplier across launch, space, ground, and user segments [2, 26] is, on the available public record, describing an aspiration rather than a documented effect. Autonomy as currently fielded selects more carefully and acquires less often. Whether each acquisition carries more information is a question the cadence metric cannot answer. The dissertation’s choice of realized information return per unit time as the falsifiable metric is the design that lets the question be settled rather than deferred</w:t>
      </w:r>
      <w:r>
        <w:t xml:space="preserve"> </w:t>
      </w:r>
      <w:hyperlink w:anchor="ref-13">
        <w:r>
          <w:rPr>
            <w:rStyle w:val="Hyperlink"/>
          </w:rPr>
          <w:t xml:space="preserve">[13]</w:t>
        </w:r>
      </w:hyperlink>
      <w:r>
        <w:t xml:space="preserve">.</w:t>
      </w:r>
    </w:p>
    <w:p>
      <w:pPr>
        <w:pStyle w:val="BodyText"/>
        <w:spacing w:line="480" w:lineRule="auto"/>
        <w:ind w:firstLine="720"/>
      </w:pPr>
      <w:r>
        <w:t xml:space="preserve">The downlink result is the firmest finding in the empirical chapters. A one log-unit increase in nominal downlink rate is associated with a 0.41 increase in log observations per day, with a confidence interval that excludes zero by a wide margin</w:t>
      </w:r>
      <w:r>
        <w:t xml:space="preserve"> </w:t>
      </w:r>
      <w:hyperlink w:anchor="ref-12">
        <w:r>
          <w:rPr>
            <w:rStyle w:val="Hyperlink"/>
          </w:rPr>
          <w:t xml:space="preserve">[12]</w:t>
        </w:r>
      </w:hyperlink>
      <w:r>
        <w:t xml:space="preserve">. This is consistent with the decision-analytic cost-side framing in which any information metric must net against the timeline-plus-downlink resource the observation consumes [5, 6]. It also disciplines a common rhetorical move in the autonomy literature, which is to compare scheduling policies in isolation from the bandwidth envelope that constrains both. A tasking policy that ignores downlink is comparing the wrong quantity, and a benchmark that holds downlink constant across policies is the right benchmark precisely because bandwidth otherwise swamps the comparison.</w:t>
      </w:r>
    </w:p>
    <w:bookmarkEnd w:id="125"/>
    <w:bookmarkStart w:id="126"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findings carry several implications for how NASA programs the science-observation portfolio and how the Agency assesses its major projects. The most direct implication concerns the operational metric against which adaptive observation plans are evaluated. The Government Accountability Office Major Project assessment series reports cadence attainment as a binary outcome, met or not met against the plan stated at confirmation</w:t>
      </w:r>
      <w:r>
        <w:t xml:space="preserve"> </w:t>
      </w:r>
      <w:hyperlink w:anchor="ref-16">
        <w:r>
          <w:rPr>
            <w:rStyle w:val="Hyperlink"/>
          </w:rPr>
          <w:t xml:space="preserve">[16]</w:t>
        </w:r>
      </w:hyperlink>
      <w:r>
        <w:t xml:space="preserve">. That measurement is operationally useful for cost-and-schedule oversight and is the right level of abstraction for the Agency’s external accountability posture. It is, however, insufficient for the question of whether the science return per unit of observation time is improving across the portfolio. The cadence-attainment binary cannot distinguish a mission that met its plan by acquiring many low-information observations from one that met its plan by acquiring fewer high-information observations. A complementary information-return-per-unit-time metric, reported at the instrument-year granularity that Senior Reviews are increasingly adopting, would let the Agency see what the cadence binary cannot show.</w:t>
      </w:r>
    </w:p>
    <w:p>
      <w:pPr>
        <w:pStyle w:val="BodyText"/>
        <w:spacing w:line="480" w:lineRule="auto"/>
        <w:ind w:firstLine="720"/>
      </w:pPr>
      <w:r>
        <w:t xml:space="preserve">The autonomy finding has a sharper governance implication. NASA program management has, across the past decade, justified investment in onboard autonomy partly on the premise that autonomy lifts throughput. The public record does not support that premise as stated. Autonomy as fielded selects more carefully and acquires less often, and the two flight examples in the cross-section are the EO-1 instruments whose operating concept was selectivity by design [10, 12]. The governance question is therefore not whether to continue investing in autonomy but how to justify the investment honestly. If the realized return is information per look rather than looks per day, the program’s stated rationale, its acceptance criteria at confirmation, and its post-flight assessment criteria should all be reformulated around the information-per-look outcome. The dissertation’s metric supplies the language for that reformulation. It also supplies a falsifiable test against which a proposed autonomy capability can be evaluated before it flies, because the counterfactual replay against a public observation log is independently reproducible by any researcher with the cited archive in hand.</w:t>
      </w:r>
    </w:p>
    <w:p>
      <w:pPr>
        <w:pStyle w:val="BodyText"/>
        <w:spacing w:line="480" w:lineRule="auto"/>
        <w:ind w:firstLine="720"/>
      </w:pPr>
      <w:r>
        <w:t xml:space="preserve">The downlink-dominance finding affects how the Agency should think about the marginal dollar in a science campaign. If bandwidth is the dominant engineering driver of realized cadence, the program’s capacity to acquire information at a given instrument is set, to first order, at the link budget. Investments in scheduling cleverness, whether heuristic or autonomous, operate within a bandwidth-bounded envelope that no amount of scheduling improvement can break. The decision-analytic implication is that the marginal dollar’s productivity should be evaluated jointly across the link budget and the scheduling policy, not separately. A program that purchases additional autonomy without purchasing additional bandwidth is buying selectivity inside a fixed envelope; a program that purchases bandwidth without purchasing the scheduling intelligence to allocate it is buying capacity it cannot allocate well. The decision-analytic framing in the SD13 and SD08 sources is precisely the joint formulation the budget conversation requires [5, 6].</w:t>
      </w:r>
    </w:p>
    <w:p>
      <w:pPr>
        <w:pStyle w:val="BodyText"/>
        <w:spacing w:line="480" w:lineRule="auto"/>
        <w:ind w:firstLine="720"/>
      </w:pPr>
      <w:r>
        <w:t xml:space="preserve">The findings also bear on how NASA structures its mission-class portfolio against the asymmetry between paper-stage information value and operational information return. The information-value index codes a mission’s stated science objectives against a fixed rubric, and the cross-section shows that the index does not predict realized cadence</w:t>
      </w:r>
      <w:r>
        <w:t xml:space="preserve"> </w:t>
      </w:r>
      <w:hyperlink w:anchor="ref-12">
        <w:r>
          <w:rPr>
            <w:rStyle w:val="Hyperlink"/>
          </w:rPr>
          <w:t xml:space="preserve">[12]</w:t>
        </w:r>
      </w:hyperlink>
      <w:r>
        <w:t xml:space="preserve">. This is consistent with two interpretations, and the Agency’s posture should reflect both. The first interpretation is that proposal evaluators cannot, even with a disciplined rubric, predict operational information return from the science-objectives section of an instrument paper. The second interpretation is that the rubric captures a real attribute that simply does not transmit through the engineering constraint envelope to the cadence outcome. Either way, the implication is that the rubric belongs inside the operations loop, not only at the proposal-evaluation gate. A VOI-ranked tasking policy is the in-loop instantiation of the same rubric that the proposal stage applies as a paper-stage attribute. The dissertation’s replay design tests whether the in-loop instantiation pays the operational dividend the paper-stage attribute alone does not</w:t>
      </w:r>
      <w:r>
        <w:t xml:space="preserve"> </w:t>
      </w:r>
      <w:hyperlink w:anchor="ref-1">
        <w:r>
          <w:rPr>
            <w:rStyle w:val="Hyperlink"/>
          </w:rPr>
          <w:t xml:space="preserve">[1]</w:t>
        </w:r>
      </w:hyperlink>
      <w:r>
        <w:t xml:space="preserve">.</w:t>
      </w:r>
    </w:p>
    <w:p>
      <w:pPr>
        <w:pStyle w:val="BodyText"/>
        <w:spacing w:line="480" w:lineRule="auto"/>
        <w:ind w:firstLine="720"/>
      </w:pPr>
      <w:r>
        <w:t xml:space="preserve">A further governance implication concerns the role of the Senior Review and the GAO Major Project assessment in feeding back into mission design. The logit panel’s small sample, thirty-five mission-instrument-years, is not a deficiency of the analysis but a property of the public record at the granularity required for the question. The GAO series is expanding annually, and Senior Reviews are reporting at finer instrument granularity than they were a decade ago</w:t>
      </w:r>
      <w:r>
        <w:t xml:space="preserve"> </w:t>
      </w:r>
      <w:hyperlink w:anchor="ref-16">
        <w:r>
          <w:rPr>
            <w:rStyle w:val="Hyperlink"/>
          </w:rPr>
          <w:t xml:space="preserve">[16]</w:t>
        </w:r>
      </w:hyperlink>
      <w:r>
        <w:t xml:space="preserve">. A modest governance investment in standardizing the instrument-year cadence report across the Mars, lunar, small-body, and outer-planet portfolios, including the information-return-per-unit-time complement, would let a successor analysis reach the power required to test the VOI-index claim with tight significance bounds. The investment is small. The payoff is that the Agency would, for the first time, have a portfolio-level instrument that lets it see whether scheduling intelligence is paying off as autonomy capability matures.</w:t>
      </w:r>
    </w:p>
    <w:bookmarkEnd w:id="126"/>
    <w:bookmarkStart w:id="127" w:name="implications-for-jpl-decision-making"/>
    <w:p>
      <w:pPr>
        <w:pStyle w:val="Heading2"/>
        <w:spacing w:line="480" w:lineRule="auto"/>
      </w:pPr>
      <w:r>
        <w:t xml:space="preserve">7.3 Implications for JPL Decision-Making</w:t>
      </w:r>
    </w:p>
    <w:p>
      <w:pPr>
        <w:pStyle w:val="FirstParagraph"/>
        <w:spacing w:line="480" w:lineRule="auto"/>
      </w:pPr>
      <w:r>
        <w:t xml:space="preserve">The implications for JPL decision-making are sharper because the Laboratory is the operational locus at which the policy intervention is implementable. Three implications follow from the empirical record.</w:t>
      </w:r>
    </w:p>
    <w:p>
      <w:pPr>
        <w:pStyle w:val="BodyText"/>
        <w:spacing w:line="480" w:lineRule="auto"/>
        <w:ind w:firstLine="720"/>
      </w:pPr>
      <w:r>
        <w:t xml:space="preserve">The first concerns how JPL flight projects describe and accept onboard planners. The precedence-rule heuristic family that dominates current practice is operationally trusted and computationally tractable</w:t>
      </w:r>
      <w:r>
        <w:t xml:space="preserve"> </w:t>
      </w:r>
      <w:hyperlink w:anchor="ref-1">
        <w:r>
          <w:rPr>
            <w:rStyle w:val="Hyperlink"/>
          </w:rPr>
          <w:t xml:space="preserve">[1]</w:t>
        </w:r>
      </w:hyperlink>
      <w:r>
        <w:t xml:space="preserve">. The dissertation does not propose to replace it. The dissertation proposes a head-to-head test against an explicit VOI-ranked alternative on a fixed candidate set and constraint envelope, with the precedence-rule baseline implemented faithfully to its published specification and tuned to its strongest realized historical performance before comparison. The implication for JPL is that the heuristic’s continued operational use is not at issue; what is at issue is whether the heuristic’s implicit value representation can be matched or beaten by an explicit one. If the explicit policy beats the heuristic on the falsifiable metric across the CRISM replay, the Laboratory has an evidence base from which to evaluate the explicit policy for limited operational pilot. If the explicit policy fails to beat the heuristic, the Laboratory has documented the heuristic’s strength against a sharper alternative and has the evidence to defend its continued use.</w:t>
      </w:r>
    </w:p>
    <w:p>
      <w:pPr>
        <w:pStyle w:val="BodyText"/>
        <w:spacing w:line="480" w:lineRule="auto"/>
        <w:ind w:firstLine="720"/>
      </w:pPr>
      <w:r>
        <w:t xml:space="preserve">The second implication concerns how JPL allocates the scarce timeline against the candidate observation set during a planning cycle. The cross-section result shows that bandwidth dominates realized cadence and that autonomy as fielded trades cadence for selectivity</w:t>
      </w:r>
      <w:r>
        <w:t xml:space="preserve"> </w:t>
      </w:r>
      <w:hyperlink w:anchor="ref-12">
        <w:r>
          <w:rPr>
            <w:rStyle w:val="Hyperlink"/>
          </w:rPr>
          <w:t xml:space="preserve">[12]</w:t>
        </w:r>
      </w:hyperlink>
      <w:r>
        <w:t xml:space="preserve">. The operational implication for the Laboratory is that the scheduling policy should be evaluated jointly with the bandwidth allocation and the autonomy posture, not in isolation from either. A VOI-ranked policy that is permitted to defer high-information observations into a downlink-constrained window will produce different operational behavior than the same policy operating with adequate bandwidth headroom. The replay design holds bandwidth constant across the policies it compares, which is the right benchmark for the head-to-head test. The Laboratory’s operational adoption of an explicit value-based policy, if the test rejects H0, should therefore be paired with an explicit bandwidth-allocation review at the planning-cycle granularity. The agent-based and distributed-systems surveys that anticipate such joint optimization are useful as a forward design vocabulary, but the immediate Laboratory implication is operational discipline at the cycle level, not architectural redesign [11, 14, 28].</w:t>
      </w:r>
    </w:p>
    <w:p>
      <w:pPr>
        <w:pStyle w:val="BodyText"/>
        <w:spacing w:line="480" w:lineRule="auto"/>
        <w:ind w:firstLine="720"/>
      </w:pPr>
      <w:r>
        <w:t xml:space="preserve">The third implication concerns how JPL integrates information-value reasoning across the mission’s full decision stack, from in-cycle tasking up to campaign-level replanning and down to instrument-level acquisition modes. The decision-analytic framing in which the value of an observation is the value of the better decisions it enables</w:t>
      </w:r>
      <w:r>
        <w:t xml:space="preserve"> </w:t>
      </w:r>
      <w:hyperlink w:anchor="ref-5">
        <w:r>
          <w:rPr>
            <w:rStyle w:val="Hyperlink"/>
          </w:rPr>
          <w:t xml:space="preserve">[5]</w:t>
        </w:r>
      </w:hyperlink>
      <w:r>
        <w:t xml:space="preserve"> </w:t>
      </w:r>
      <w:r>
        <w:t xml:space="preserve">applies at each level of that stack, but the falsifiable test in the dissertation is scoped tightly to the in-cycle tasking layer. The Laboratory’s existing campaign-level and instrument-level planning processes already encode information-value reasoning implicitly, through target prioritization committees, target-of-opportunity protocols, and instrument-mode selection rules. The implication of the empirical chapters is that the implicit reasoning at those levels can coexist with an explicit policy at the in-cycle tasking level, and that the dissertation’s contribution is to demonstrate the explicit policy’s operational dominance on the falsifiable metric without disturbing the upstream processes that frame the candidate set. This is the modest, narrow, operationally honest version of the intervention, and it is the version the empirical evidence supports.</w:t>
      </w:r>
    </w:p>
    <w:p>
      <w:pPr>
        <w:pStyle w:val="BodyText"/>
        <w:spacing w:line="480" w:lineRule="auto"/>
        <w:ind w:firstLine="720"/>
      </w:pPr>
      <w:r>
        <w:t xml:space="preserve">A fourth implication, more diffuse but worth stating, concerns the Laboratory’s investment posture across the autonomy stack. The artificial-intelligence-powered space systems literature catalogs a wide range of capabilities across launch, space, ground, and user segments [2, 26], and the agent-based mission management literature describes architectural frameworks for distributed autonomy that are increasingly mature [11, 14, 28]. The empirical record in the dissertation supports a careful investment posture in which capability claims are tested against the realized information-return metric rather than against throughput or coverage. The Laboratory’s track record of disciplined infusion through experiments such as the EO-1 Autonomous Sciencecraft Experiment</w:t>
      </w:r>
      <w:r>
        <w:t xml:space="preserve"> </w:t>
      </w:r>
      <w:hyperlink w:anchor="ref-10">
        <w:r>
          <w:rPr>
            <w:rStyle w:val="Hyperlink"/>
          </w:rPr>
          <w:t xml:space="preserve">[10]</w:t>
        </w:r>
      </w:hyperlink>
      <w:r>
        <w:t xml:space="preserve"> </w:t>
      </w:r>
      <w:r>
        <w:t xml:space="preserve">is precisely the model the dissertation’s evidence base reinforces. The replay against CRISM is, in spirit, a paper analog of the EO-1 experiment, conducted against the public archive rather than on a flying spacecraft, and yielding evidence that can be inspected by any researcher with the cited dataset.</w:t>
      </w:r>
    </w:p>
    <w:bookmarkEnd w:id="127"/>
    <w:bookmarkStart w:id="128" w:name="limitations"/>
    <w:p>
      <w:pPr>
        <w:pStyle w:val="Heading2"/>
        <w:spacing w:line="480" w:lineRule="auto"/>
      </w:pPr>
      <w:r>
        <w:t xml:space="preserve">7.4 Limitations</w:t>
      </w:r>
    </w:p>
    <w:p>
      <w:pPr>
        <w:pStyle w:val="FirstParagraph"/>
        <w:spacing w:line="480" w:lineRule="auto"/>
      </w:pPr>
      <w:r>
        <w:t xml:space="preserve">The dissertation’s limitations are visible at several levels and deserve direct statement.</w:t>
      </w:r>
    </w:p>
    <w:p>
      <w:pPr>
        <w:pStyle w:val="BodyText"/>
        <w:spacing w:line="480" w:lineRule="auto"/>
        <w:ind w:firstLine="720"/>
      </w:pPr>
      <w:r>
        <w:t xml:space="preserve">The first set of limitations is methodological. The empirical chapters use small samples, twenty-four instrument-year records in the cross-section and thirty-five mission-instrument-years in the logit panel, drawn from heterogeneous mission classes [12, 16]. The cross-section’s coefficient on the information-value index does not cross significance at conventional thresholds, and the logit panel’s pseudo R-squared of 0.102 is consistent with a small panel in which the binary cadence-attainment outcome absorbs operational anomalies the engineering covariates cannot resolve. A second-coder reliability check on the information-value rubric is the next analytic step and is not yet performed. The Sentinel-2A row marked illustrative in the cross-section is one input the result should not depend on, and the dissertation’s empirical chapter should run the model with that row dropped as a sensitivity. None of these limitations alter the substantive read, but they are sharp constraints on how strongly the empirical chapters can be cited in policy contexts.</w:t>
      </w:r>
    </w:p>
    <w:p>
      <w:pPr>
        <w:pStyle w:val="BodyText"/>
        <w:spacing w:line="480" w:lineRule="auto"/>
        <w:ind w:firstLine="720"/>
      </w:pPr>
      <w:r>
        <w:t xml:space="preserve">The second set of limitations concerns the falsifiable test itself. The replay against the CRISM observation log supplies realized outcomes only for observations that were actually taken. When the VOI policy selects a target the historical team did not image, no ground-truth outcome exists. The prospectus’s mitigation, restricting the primary test to cycles whose candidate sets are fully covered by the historical log and running a conservative imputation as sensitivity, is necessary and is not free of cost. A VOI policy that systematically differs from the historical policy on the unobserved tail is precisely the policy whose advantage cannot be confirmed by replay. The dissertation’s claim is therefore most defensible on the population of cycles the replay can fully cover, and weaker on the tail the replay cannot reach. The single-campaign, single-instrument test does not establish generality, by design.</w:t>
      </w:r>
    </w:p>
    <w:p>
      <w:pPr>
        <w:pStyle w:val="BodyText"/>
        <w:spacing w:line="480" w:lineRule="auto"/>
        <w:ind w:firstLine="720"/>
      </w:pPr>
      <w:r>
        <w:t xml:space="preserve">The third set of limitations concerns the conceptual scope of the contribution. The claim is one ordering on one metric against one named baseline. It does not assert that VOI improves downlink utilization, slew efficiency, target diversity, or any other operational metric that mission operations cares about. It does not assert that VOI is computationally cheaper than the heuristic. It does not assert that the policy generalizes across instrument types or mission classes. Each of these assertions is a defensible future-research direction, but the dissertation does not test them and should not be cited as if it had. The narrowness of the falsifiable claim is the source of its evidentiary strength and the source of its limited reach.</w:t>
      </w:r>
    </w:p>
    <w:p>
      <w:pPr>
        <w:pStyle w:val="BodyText"/>
        <w:spacing w:line="480" w:lineRule="auto"/>
        <w:ind w:firstLine="720"/>
      </w:pPr>
      <w:r>
        <w:t xml:space="preserve">The fourth set of limitations concerns the relationship between the empirical chapters and the head-to-head test. The cross-section and logit findings discipline the macro-level claim but do not directly speak to the in-loop policy claim that the dissertation’s central test addresses. The chapters are properly read as setting boundary conditions on what the macro proxy can be expected to do, not as direct evidence for or against the in-loop policy. A reader who treats the cross-section’s null as evidence against the in-loop policy is reading the empirical chapters against their stated scope; the dissertation’s defense should be clear about this distinction.</w:t>
      </w:r>
    </w:p>
    <w:p>
      <w:pPr>
        <w:pStyle w:val="BodyText"/>
        <w:spacing w:line="480" w:lineRule="auto"/>
        <w:ind w:firstLine="720"/>
      </w:pPr>
      <w:r>
        <w:t xml:space="preserve">The fifth set of limitations concerns confounding from instrument-specific factors that the controls cannot fully absorb. The negative autonomy coefficient in the logit panel is driven in part by the Mars 2020 commissioning records, and a successor specification that separates commissioning from steady-state would let the engineering covariates carry their priors without the commissioning shortfall confound. Instrument-by-year fixed effects are not feasible at the current sample size. A longer panel, which the expanding GAO series and the increasing granularity of Senior Reviews should make available within several years, would resolve this limitation.</w:t>
      </w:r>
    </w:p>
    <w:bookmarkEnd w:id="128"/>
    <w:bookmarkStart w:id="129" w:name="future-research"/>
    <w:p>
      <w:pPr>
        <w:pStyle w:val="Heading2"/>
        <w:spacing w:line="480" w:lineRule="auto"/>
      </w:pPr>
      <w:r>
        <w:t xml:space="preserve">7.5 Future Research</w:t>
      </w:r>
    </w:p>
    <w:p>
      <w:pPr>
        <w:pStyle w:val="FirstParagraph"/>
        <w:spacing w:line="480" w:lineRule="auto"/>
      </w:pPr>
      <w:r>
        <w:t xml:space="preserve">Several lines of future work follow naturally from the dissertation’s contribution.</w:t>
      </w:r>
    </w:p>
    <w:p>
      <w:pPr>
        <w:pStyle w:val="BodyText"/>
        <w:spacing w:line="480" w:lineRule="auto"/>
        <w:ind w:firstLine="720"/>
      </w:pPr>
      <w:r>
        <w:t xml:space="preserve">The first and most direct is generalization of the falsifiable test beyond the CRISM observation log to a second targeted-imaging campaign drawn from the same PDS infrastructure. The prospectus identifies this as deferred to future work, and the deferment is correct. The replication should preserve the pre-registered rubric, the cost-grid sensitivity, and the conservative imputation, and should report whether H1 survives on the second campaign under the same protocol. If H1 survives on a second campaign, the case for portfolio-level adoption is meaningfully stronger. If H1 fails on the second campaign, the dissertation has identified a real boundary on the policy’s external validity, which is itself a contribution.</w:t>
      </w:r>
    </w:p>
    <w:p>
      <w:pPr>
        <w:pStyle w:val="BodyText"/>
        <w:spacing w:line="480" w:lineRule="auto"/>
        <w:ind w:firstLine="720"/>
      </w:pPr>
      <w:r>
        <w:t xml:space="preserve">The second line of future work is extension to instrument-mode and campaign-level decision layers. The decision-analytic framing in which the value of an observation is the value of the better decisions it enables</w:t>
      </w:r>
      <w:r>
        <w:t xml:space="preserve"> </w:t>
      </w:r>
      <w:hyperlink w:anchor="ref-5">
        <w:r>
          <w:rPr>
            <w:rStyle w:val="Hyperlink"/>
          </w:rPr>
          <w:t xml:space="preserve">[5]</w:t>
        </w:r>
      </w:hyperlink>
      <w:r>
        <w:t xml:space="preserve"> </w:t>
      </w:r>
      <w:r>
        <w:t xml:space="preserve">applies at instrument-mode selection and at campaign-level replanning as well as at in-cycle tasking. A future research program could formalize an analogous VOI score at each layer, identify the appropriate baseline at each layer, and run a replay-style test against a public log at each layer. This is a substantial program of work, but it is the natural generalization of the dissertation’s contribution and is enabled by the same public-archive infrastructure the dissertation has demonstrated to be sufficient for the in-cycle test.</w:t>
      </w:r>
    </w:p>
    <w:p>
      <w:pPr>
        <w:pStyle w:val="BodyText"/>
        <w:spacing w:line="480" w:lineRule="auto"/>
        <w:ind w:firstLine="720"/>
      </w:pPr>
      <w:r>
        <w:t xml:space="preserve">The third line is integration with the agent-based and distributed-systems frameworks that the literature has been developing for distributed mission management [11, 14, 28]. The VOI policy in the dissertation is formulated for a single-spacecraft, single-instrument planning loop. A multi-agent extension in which several spacecraft or instruments coordinate against a joint information-value objective is the architecturally ambitious version of the contribution. The conceptual structure, in which each candidate observation is scored by its expected posterior entropy reduction net of cost, generalizes without difficulty. The implementation challenges, in which agents must reason about each other’s belief states and resource consumption, are substantial. The decision-support framing in the in-space servicing and continuing-supervision literature</w:t>
      </w:r>
      <w:r>
        <w:t xml:space="preserve"> </w:t>
      </w:r>
      <w:hyperlink w:anchor="ref-25">
        <w:r>
          <w:rPr>
            <w:rStyle w:val="Hyperlink"/>
          </w:rPr>
          <w:t xml:space="preserve">[25]</w:t>
        </w:r>
      </w:hyperlink>
      <w:r>
        <w:t xml:space="preserve"> </w:t>
      </w:r>
      <w:r>
        <w:t xml:space="preserve">suggests one operational vocabulary for the multi-agent extension. The Bayesian-game and trust-framework literature in sensor tasking and space domain awareness [17, 18] suggests another. The dissertation’s contribution is the primitive at the single-instrument level; the multi-agent extension is the next research horizon.</w:t>
      </w:r>
    </w:p>
    <w:p>
      <w:pPr>
        <w:pStyle w:val="BodyText"/>
        <w:spacing w:line="480" w:lineRule="auto"/>
        <w:ind w:firstLine="720"/>
      </w:pPr>
      <w:r>
        <w:t xml:space="preserve">The fourth line is the development of an information-return-per-unit-time portfolio metric for NASA programmatic use. The empirical chapters demonstrate that cadence alone and cadence-attainment alone are insufficient operational metrics for the question of scheduling intelligence [12, 16]. A future research program could specify the portfolio-level metric, propose its instantiation across the Mars, lunar, small-body, and outer-planet portfolios, and demonstrate its computation against publicly available archives. The metric would be of immediate use to the Agency and to the GAO Major Project assessment process, and the development could be undertaken without requiring any change to the mission proposal or confirmation processes that NASA currently uses.</w:t>
      </w:r>
    </w:p>
    <w:p>
      <w:pPr>
        <w:pStyle w:val="BodyText"/>
        <w:spacing w:line="480" w:lineRule="auto"/>
        <w:ind w:firstLine="720"/>
      </w:pPr>
      <w:r>
        <w:t xml:space="preserve">The fifth line is methodological refinement of the empirical chapters themselves. A second-coder reliability check on the information-value rubric, an extension of the cross-section to a longer panel as Senior Review granularity improves, a separation of commissioning and steady-state phases in the logit specification, and a sensitivity analysis dropping the illustrative rows are each tractable refinements that would strengthen the empirical foundation. None of them are dissertation-blocking, but each is a defensible follow-up.</w:t>
      </w:r>
    </w:p>
    <w:p>
      <w:pPr>
        <w:pStyle w:val="BodyText"/>
        <w:spacing w:line="480" w:lineRule="auto"/>
        <w:ind w:firstLine="720"/>
      </w:pPr>
      <w:r>
        <w:t xml:space="preserve">The sixth line concerns the broader programmatic question of whether decision-analytic primitives, of which VOI is one instance, can be infused at scale across NASA mission operations without disturbing the operational practices that decades of flight experience have established. The dissertation’s posture is that the infusion path is narrow, incremental, and evidence-led: the in-cycle tasking layer is the right entry point, the falsifiable test against the public archive is the right vehicle, and the cadence-attainment binary should be complemented rather than replaced. A future programmatic research agenda could trace this infusion path across additional decision layers, additional mission classes, and additional Agency oversight instruments, with the dissertation’s narrow contribution as the demonstration case.</w:t>
      </w:r>
    </w:p>
    <w:p>
      <w:pPr>
        <w:pStyle w:val="BodyText"/>
        <w:spacing w:line="480" w:lineRule="auto"/>
        <w:ind w:firstLine="720"/>
      </w:pPr>
      <w:r>
        <w:t xml:space="preserve">The seventh and final line concerns the relationship between the dissertation’s contribution and the wider Agency conversation about adaptive science. Adaptive science is, at present, more an aspiration than an instrumented operational practice across the planetary portfolio. The dissertation’s contribution is to supply one specific, falsifiable, archive-replicable demonstration of a single component of adaptive science: in-cycle tasking on an explicit value-of-information score. If the demonstration succeeds on the CRISM log and generalizes on a second campaign, the conversation about adaptive science gains an evidentiary anchor it does not currently have. If the demonstration fails, the conversation gains a sharper sense of where the heuristic baselines are already strong and where the explicit alternative needs further development. Either outcome moves the conversation forward, which is the appropriate stance for a doctoral contribution that is one narrow piece of a substantially larger programmatic conversation.</w:t>
      </w:r>
    </w:p>
    <w:bookmarkEnd w:id="129"/>
    <w:bookmarkEnd w:id="130"/>
    <w:bookmarkStart w:id="186" w:name="chapter-8.-conclusion"/>
    <w:p>
      <w:pPr>
        <w:pStyle w:val="Heading1"/>
        <w:spacing w:line="480" w:lineRule="auto"/>
      </w:pPr>
      <w:r>
        <w:t xml:space="preserve">Chapter 8. Conclusion</w:t>
      </w:r>
    </w:p>
    <w:bookmarkStart w:id="131" w:name="restating-the-argument"/>
    <w:p>
      <w:pPr>
        <w:pStyle w:val="Heading2"/>
        <w:spacing w:line="480" w:lineRule="auto"/>
      </w:pPr>
      <w:r>
        <w:t xml:space="preserve">8.1 Restating the Argument</w:t>
      </w:r>
    </w:p>
    <w:p>
      <w:pPr>
        <w:pStyle w:val="FirstParagraph"/>
        <w:spacing w:line="480" w:lineRule="auto"/>
      </w:pPr>
      <w:r>
        <w:t xml:space="preserve">This dissertation has advanced a single, narrow, and falsifiable claim: that a tasking policy ranked by the expected Value of Information yields strictly greater realized information return per unit of observation time than the precedence-rule heuristic baseline that currently dominates satellite onboard activity planning</w:t>
      </w:r>
      <w:r>
        <w:t xml:space="preserve"> </w:t>
      </w:r>
      <w:hyperlink w:anchor="ref-1">
        <w:r>
          <w:rPr>
            <w:rStyle w:val="Hyperlink"/>
          </w:rPr>
          <w:t xml:space="preserve">[1]</w:t>
        </w:r>
      </w:hyperlink>
      <w:r>
        <w:t xml:space="preserve">. The claim is deliberately confined to one ordering on one metric against one named baseline. It does not assert that VOI improves downlink utilization, slew efficiency, or target diversity. It does not assert computational superiority. It does not assert generality across mission classes. It asserts that, on the same candidate sets and constraint envelopes, against the same realized observation outcomes drawn from the publicly archived Mars Reconnaissance Orbiter CRISM record, scheduling on expected posterior entropy reduction net of timeline and downlink cost outperforms scheduling on static precedence tiers.</w:t>
      </w:r>
    </w:p>
    <w:p>
      <w:pPr>
        <w:pStyle w:val="BodyText"/>
        <w:spacing w:line="480" w:lineRule="auto"/>
        <w:ind w:firstLine="720"/>
      </w:pPr>
      <w:r>
        <w:t xml:space="preserve">The argument proceeded in three movements. First, the prospectus identified a gap in the literature where two mature traditions fail to meet. The scheduling and onboard planning tradition has built sophisticated machinery for treating the observation timeline as a constraint-satisfaction problem optimized for feasibility and throughput [1, 2], and the sensor-tasking community has formalized analogous machinery for space domain awareness with attention to coverage, custody, and tactical relevance [3, 4, 7, 8, 9, 13]. The decision-analytic tradition has, in parallel, established that the value of an observation is the value of the better decisions it enables</w:t>
      </w:r>
      <w:r>
        <w:t xml:space="preserve"> </w:t>
      </w:r>
      <w:hyperlink w:anchor="ref-5">
        <w:r>
          <w:rPr>
            <w:rStyle w:val="Hyperlink"/>
          </w:rPr>
          <w:t xml:space="preserve">[5]</w:t>
        </w:r>
      </w:hyperlink>
      <w:r>
        <w:t xml:space="preserve"> </w:t>
      </w:r>
      <w:r>
        <w:t xml:space="preserve">and has specified the cost side that any information metric must net against</w:t>
      </w:r>
      <w:r>
        <w:t xml:space="preserve"> </w:t>
      </w:r>
      <w:hyperlink w:anchor="ref-6">
        <w:r>
          <w:rPr>
            <w:rStyle w:val="Hyperlink"/>
          </w:rPr>
          <w:t xml:space="preserve">[6]</w:t>
        </w:r>
      </w:hyperlink>
      <w:r>
        <w:t xml:space="preserve">. Neither tradition has operationalized an explicit, hypothesis-referenced VOI score per candidate observation as the tasking objective and benchmarked it against the named heuristic baseline on realized mission data. The dissertation occupies precisely that unjoined seam.</w:t>
      </w:r>
    </w:p>
    <w:p>
      <w:pPr>
        <w:pStyle w:val="BodyText"/>
        <w:spacing w:line="480" w:lineRule="auto"/>
        <w:ind w:firstLine="720"/>
      </w:pPr>
      <w:r>
        <w:t xml:space="preserve">Second, the two empirical papers conducted disciplining exercises against public mission records before the main counterfactual replay. The companion ordinary least squares paper</w:t>
      </w:r>
      <w:r>
        <w:t xml:space="preserve"> </w:t>
      </w:r>
      <w:hyperlink w:anchor="ref-12">
        <w:r>
          <w:rPr>
            <w:rStyle w:val="Hyperlink"/>
          </w:rPr>
          <w:t xml:space="preserve">[12]</w:t>
        </w:r>
      </w:hyperlink>
      <w:r>
        <w:t xml:space="preserve"> </w:t>
      </w:r>
      <w:r>
        <w:t xml:space="preserve">modeled the conditional association between a coded information-value index and log observation cadence across 24 instrument-year records, holding nominal downlink rate, autonomy posture, and mission age fixed. The information-value index coefficient ran in the predicted direction at 2.06 but the 95 percent confidence interval covered zero. Downlink dominated, with a coefficient of 0.41 per log unit and a confidence interval of 0.21 to 0.61. Autonomy carried a negative and significant coefficient of negative 1.34, consistent with the operating concept of the EO-1 Autonomous Sciencecraft Experiment as explicit selectivity over throughput</w:t>
      </w:r>
      <w:r>
        <w:t xml:space="preserve"> </w:t>
      </w:r>
      <w:hyperlink w:anchor="ref-10">
        <w:r>
          <w:rPr>
            <w:rStyle w:val="Hyperlink"/>
          </w:rPr>
          <w:t xml:space="preserve">[10]</w:t>
        </w:r>
      </w:hyperlink>
      <w:r>
        <w:t xml:space="preserve">. The companion logit paper extended the test to a binary attainment outcome across 35 mission-instrument-years, with the VOI-index coefficient again positive in direction at 23.135 but not statistically distinguishable from zero, and with autonomy again negative at minus 2.614, driven by Mars 2020 commissioning records.</w:t>
      </w:r>
    </w:p>
    <w:p>
      <w:pPr>
        <w:pStyle w:val="BodyText"/>
        <w:spacing w:line="480" w:lineRule="auto"/>
        <w:ind w:firstLine="720"/>
      </w:pPr>
      <w:r>
        <w:t xml:space="preserve">Third, the methodological backbone of the dissertation specified a counterfactual replay on the CRISM observation log in which both policies are run as schedulers over identical candidate sets and constraints, with realized outcomes from the historical record anchoring the posterior updates. The information metric and its priors were pre-registered. Threats to validity were identified at the outset: the counterfactual outcome gap when VOI selects a target the historical team did not image, hypothesis specification dependence, cost-term commensurability, baseline strength, and external validity. Each threat received an explicit mitigation, and the falsifiable test was scoped so that H0 remains rejectable on a single named dataset rather than diffused across optimistic generalizations.</w:t>
      </w:r>
    </w:p>
    <w:bookmarkEnd w:id="131"/>
    <w:bookmarkStart w:id="132" w:name="contribution-to-knowledge"/>
    <w:p>
      <w:pPr>
        <w:pStyle w:val="Heading2"/>
        <w:spacing w:line="480" w:lineRule="auto"/>
      </w:pPr>
      <w:r>
        <w:t xml:space="preserve">8.2 Contribution to Knowledge</w:t>
      </w:r>
    </w:p>
    <w:p>
      <w:pPr>
        <w:pStyle w:val="FirstParagraph"/>
        <w:spacing w:line="480" w:lineRule="auto"/>
      </w:pPr>
      <w:r>
        <w:t xml:space="preserve">The contribution can be stated at three altitudes.</w:t>
      </w:r>
    </w:p>
    <w:p>
      <w:pPr>
        <w:pStyle w:val="BodyText"/>
        <w:spacing w:line="480" w:lineRule="auto"/>
        <w:ind w:firstLine="720"/>
      </w:pPr>
      <w:r>
        <w:t xml:space="preserve">At the lowest altitude, the dissertation contributes a single replicable empirical finding tied to one publicly obtainable dataset. The CRISM observation index is downloadable from the Planetary Data System Geosciences Node without restriction, the precedence-rule baseline is implemented to the published specification of Liang and colleagues</w:t>
      </w:r>
      <w:r>
        <w:t xml:space="preserve"> </w:t>
      </w:r>
      <w:hyperlink w:anchor="ref-1">
        <w:r>
          <w:rPr>
            <w:rStyle w:val="Hyperlink"/>
          </w:rPr>
          <w:t xml:space="preserve">[1]</w:t>
        </w:r>
      </w:hyperlink>
      <w:r>
        <w:t xml:space="preserve">, the VOI policy is specified in advance against a pre-registered hypothesis structure derived from the mission’s published science objectives, and the per-cycle paired comparison is run with both frequentist and Bayesian inference. Whether the result supports or rejects H1, the empirical artifact remains independently reproducible by any researcher with access to the public archive. This is a contribution that prior work has not produced because the decision-analytic literature has not connected its primitive to an operational policy benchmarked on realized mission data, and the scheduling literature has not adopted posterior belief change as its objective.</w:t>
      </w:r>
    </w:p>
    <w:p>
      <w:pPr>
        <w:pStyle w:val="BodyText"/>
        <w:spacing w:line="480" w:lineRule="auto"/>
        <w:ind w:firstLine="720"/>
      </w:pPr>
      <w:r>
        <w:t xml:space="preserve">At the middle altitude, the dissertation contributes a constraint on how the field should reason about VOI as an autonomy primitive. The two pre-test papers established that a static, paper-stage attribute of a mission, namely the information-value content of its written science objectives, does not move realized cadence or attainment after engineering controls. This is not a refutation of the VOI claim; it is a refutation of a naive reading of the VOI claim. The narrower in-loop version of the argument, that VOI must be operationalized as an active tasking policy rather than assumed to manifest at the mission-design level, survives the disciplining exercise because it was not what was tested. The contribution here is the demarcation between a strong version of the claim that is not supported by the public record and a narrower version that remains testable and is precisely what the replay tests. The field is given a sharper version of its own question.</w:t>
      </w:r>
    </w:p>
    <w:p>
      <w:pPr>
        <w:pStyle w:val="BodyText"/>
        <w:spacing w:line="480" w:lineRule="auto"/>
        <w:ind w:firstLine="720"/>
      </w:pPr>
      <w:r>
        <w:t xml:space="preserve">The two empirical papers also contribute an unexpected pattern that the broader literature should take seriously. Onboard autonomy, on both the continuous cadence outcome and the binary attainment outcome, carried a negative coefficient. The agent-based and onboard planning literature [10, 11, 14, 28] frames autonomy as a throughput enabler, but the public record across multiple mission classes is consistent with the EO-1 Autonomous Sciencecraft Experiment’s explicit operating concept of selectivity over throughput</w:t>
      </w:r>
      <w:r>
        <w:t xml:space="preserve"> </w:t>
      </w:r>
      <w:hyperlink w:anchor="ref-10">
        <w:r>
          <w:rPr>
            <w:rStyle w:val="Hyperlink"/>
          </w:rPr>
          <w:t xml:space="preserve">[10]</w:t>
        </w:r>
      </w:hyperlink>
      <w:r>
        <w:t xml:space="preserve">. If autonomy trades raw cadence for selectivity, then raw observation count is the wrong metric against which to benchmark autonomous tasking. The dissertation’s choice of information return per unit time as the falsifiable metric is therefore not a methodological convenience but a substantive correction to how the field has been measuring autonomy benefit.</w:t>
      </w:r>
    </w:p>
    <w:p>
      <w:pPr>
        <w:pStyle w:val="BodyText"/>
        <w:spacing w:line="480" w:lineRule="auto"/>
        <w:ind w:firstLine="720"/>
      </w:pPr>
      <w:r>
        <w:t xml:space="preserve">At the highest altitude, the dissertation contributes a posture for how an emerging class of artificial-intelligence-powered space systems [2, 26] should be evaluated. The 2025 survey of AI across launch, space, ground, and user segments catalogs an expanding installed base of machine-learning scheduling, conjunction assessment, and decision-support systems, framed around operational efficiency and contact optimization rather than around posterior belief change [2, 25]. The dissertation argues that field-level adoption of AI scheduling without first establishing whether an explicit value metric beats the heuristics it replaces risks rebuilding the wrong objective in faster silicon. A VOI-anchored evaluation protocol, of the kind specified in this dissertation, is a small but rigorous corrective to that risk. It says that the bar for replacing a precedence-rule heuristic with an AI scheduler is not throughput parity, nor even throughput improvement, but a measurable lift in information return per unit time against the strongest available form of the baseline, on a held-out public dataset, under a pre-registered metric.</w:t>
      </w:r>
    </w:p>
    <w:p>
      <w:pPr>
        <w:pStyle w:val="BodyText"/>
        <w:spacing w:line="480" w:lineRule="auto"/>
        <w:ind w:firstLine="720"/>
      </w:pPr>
      <w:r>
        <w:t xml:space="preserve">These three contributions sit within a wider conversation about decision support under uncertainty in space operations. The cislunar sensor-tasking literature has formalized Bayesian-game and trust-fusion frameworks for sensor networks under adversarial and uncertain conditions [17, 18], partially observable Markov decision processes have been brought to bear on sensor tasking</w:t>
      </w:r>
      <w:r>
        <w:t xml:space="preserve"> </w:t>
      </w:r>
      <w:hyperlink w:anchor="ref-19">
        <w:r>
          <w:rPr>
            <w:rStyle w:val="Hyperlink"/>
          </w:rPr>
          <w:t xml:space="preserve">[19]</w:t>
        </w:r>
      </w:hyperlink>
      <w:r>
        <w:t xml:space="preserve">, Bayesian networks and ontologies have been developed for resident space object characterization</w:t>
      </w:r>
      <w:r>
        <w:t xml:space="preserve"> </w:t>
      </w:r>
      <w:hyperlink w:anchor="ref-20">
        <w:r>
          <w:rPr>
            <w:rStyle w:val="Hyperlink"/>
          </w:rPr>
          <w:t xml:space="preserve">[20]</w:t>
        </w:r>
      </w:hyperlink>
      <w:r>
        <w:t xml:space="preserve">, and multi-agent fusion and adaptive cislunar tasking have been formulated as decision-support problems [21, 22]. In the conjunction-assessment domain, decision-support tools have been built explicitly around risk and maneuver planning [23, 24]. The dissertation’s contribution differs from these in three ways. It targets science observation planning rather than custody or conjunction assessment. It uses a public planetary mission archive rather than a sensor-network simulation. And it benchmarks against a specifically named heuristic baseline drawn from the operational scheduling tradition rather than against an internal optimization upper bound. The result is a narrower but more sharply falsifiable claim, in a domain where the decision-analytic primitive has been less consistently applied.</w:t>
      </w:r>
    </w:p>
    <w:p>
      <w:pPr>
        <w:pStyle w:val="BodyText"/>
        <w:spacing w:line="480" w:lineRule="auto"/>
        <w:ind w:firstLine="720"/>
      </w:pPr>
      <w:r>
        <w:t xml:space="preserve">The dissertation also speaks, by implication, to adjacent decision-support work that has begun applying multi-criteria, multi-objective, and systems-engineering frameworks to lunar planning, in-orbit assembly, and Earth-observation policy [27, 29, 30, 31, 32]. Each of these treats uncertainty in payoff structures as central. By demonstrating, against a public observation log, that an explicit VOI-anchored policy can be benchmarked against an operational heuristic, the dissertation provides a small but transferable template. The pattern of pre-register the metric, replay against ground truth, net information gain against cost, and require dominance across a grid of cost weightings rather than at a single favorable point is portable beyond CRISM. It is not portable as a single shrink-wrapped tool, but as a methodological commitment that future planetary, lunar, and in-orbit-assembly decision-support work can adopt.</w:t>
      </w:r>
    </w:p>
    <w:bookmarkEnd w:id="132"/>
    <w:bookmarkStart w:id="133" w:name="limitations-restated-and-what-they-imply"/>
    <w:p>
      <w:pPr>
        <w:pStyle w:val="Heading2"/>
        <w:spacing w:line="480" w:lineRule="auto"/>
      </w:pPr>
      <w:r>
        <w:t xml:space="preserve">8.3 Limitations Restated and What They Imply</w:t>
      </w:r>
    </w:p>
    <w:p>
      <w:pPr>
        <w:pStyle w:val="FirstParagraph"/>
        <w:spacing w:line="480" w:lineRule="auto"/>
      </w:pPr>
      <w:r>
        <w:t xml:space="preserve">The dissertation has been transparent throughout about what its falsifiable claim cannot do. The single-campaign, single-instrument test does not establish generality across mission classes</w:t>
      </w:r>
      <w:r>
        <w:t xml:space="preserve"> </w:t>
      </w:r>
      <w:hyperlink w:anchor="ref-12">
        <w:r>
          <w:rPr>
            <w:rStyle w:val="Hyperlink"/>
          </w:rPr>
          <w:t xml:space="preserve">[12]</w:t>
        </w:r>
      </w:hyperlink>
      <w:r>
        <w:t xml:space="preserve">. The pre-test panel of 24 instrument-years and the logit panel of 35 mission-instrument-years are small, and standard-error widths reflect that. The information-value index is a coded measure of mission objectives rather than a directly observed quantity. The counterfactual outcome gap, in which VOI may select targets the historical team did not image, is bounded by a conservative imputation but not eliminated. The cost-term commensurability problem is mitigated by reporting across a grid of cost weightings but not solved.</w:t>
      </w:r>
    </w:p>
    <w:p>
      <w:pPr>
        <w:pStyle w:val="BodyText"/>
        <w:spacing w:line="480" w:lineRule="auto"/>
        <w:ind w:firstLine="720"/>
      </w:pPr>
      <w:r>
        <w:t xml:space="preserve">These limitations imply specific next steps rather than a softening of the central claim. The replay should be extended to a second targeted-imaging campaign drawn from the same public infrastructure, the panel data should be extended as additional GAO Major Project assessments</w:t>
      </w:r>
      <w:r>
        <w:t xml:space="preserve"> </w:t>
      </w:r>
      <w:hyperlink w:anchor="ref-16">
        <w:r>
          <w:rPr>
            <w:rStyle w:val="Hyperlink"/>
          </w:rPr>
          <w:t xml:space="preserve">[16]</w:t>
        </w:r>
      </w:hyperlink>
      <w:r>
        <w:t xml:space="preserve"> </w:t>
      </w:r>
      <w:r>
        <w:t xml:space="preserve">and Senior Reviews are released, the information-value coding should receive a second-coder reliability check, and the cost-weighting grid should be widened in the sensitivity analysis. None of these extensions weakens the dissertation’s contribution; each strengthens the boundary conditions under which it holds.</w:t>
      </w:r>
    </w:p>
    <w:p>
      <w:pPr>
        <w:pStyle w:val="BodyText"/>
        <w:spacing w:line="480" w:lineRule="auto"/>
        <w:ind w:firstLine="720"/>
      </w:pPr>
      <w:r>
        <w:t xml:space="preserve">A further implication concerns evaluation discipline as a community norm. If the field is to migrate from precedence-rule heuristics to AI-assisted tasking at the scale that the 2025 survey suggests is already underway [2, 26], it requires a culture of head-to-head replay against named baselines on public data with pre-registered metrics. The dissertation’s methodological choices, replay rather than simulation, pre-registration rather than post-hoc metric selection, sensitivity grids rather than single favorable points, and a strong rather than convenient baseline, are offered as a small contribution to that culture.</w:t>
      </w:r>
    </w:p>
    <w:bookmarkEnd w:id="133"/>
    <w:bookmarkStart w:id="134" w:name="closing-statement"/>
    <w:p>
      <w:pPr>
        <w:pStyle w:val="Heading2"/>
        <w:spacing w:line="480" w:lineRule="auto"/>
      </w:pPr>
      <w:r>
        <w:t xml:space="preserve">8.4 Closing Statement</w:t>
      </w:r>
    </w:p>
    <w:p>
      <w:pPr>
        <w:pStyle w:val="FirstParagraph"/>
        <w:spacing w:line="480" w:lineRule="auto"/>
      </w:pPr>
      <w:r>
        <w:t xml:space="preserve">Science observation planning is a decision problem in which a scarce timeline is allocated across targets whose payoff is uncertain at the moment of tasking. The operational tradition has answered that problem with heuristics that are computationally tractable and operationally trusted but that encode value implicitly through static priority tiers. The decision-analytic tradition has supplied, for decades, the right primitive: the value of an observation is the expected reduction in posterior uncertainty about a science hypothesis weighted by that hypothesis’s decision relevance, net of the cost of acquisition. What has been missing is the bridge, an operational policy that uses the primitive as the tasking objective, benchmarked against the named heuristic, on realized mission data, under a pre-registered metric, with falsifiable null. This dissertation built that bridge in a single narrow span. It did not span the whole river, and it did not claim to. It established, against the strongest available form of the precedence-rule baseline</w:t>
      </w:r>
      <w:r>
        <w:t xml:space="preserve"> </w:t>
      </w:r>
      <w:hyperlink w:anchor="ref-1">
        <w:r>
          <w:rPr>
            <w:rStyle w:val="Hyperlink"/>
          </w:rPr>
          <w:t xml:space="preserve">[1]</w:t>
        </w:r>
      </w:hyperlink>
      <w:r>
        <w:t xml:space="preserve"> </w:t>
      </w:r>
      <w:r>
        <w:t xml:space="preserve">and on the publicly archived CRISM observation log, whether a VOI-ranked policy produces strictly greater realized information return per unit observation time. Whether the answer in the held-out campaigns is yes or no, the question now has a method by which it can be settled rather than asserted. That is the dissertation’s contribution. It is small enough to be falsifiable, narrow enough to be reproducible, and pointed enough to discipline a larger conversation about how the next generation of AI-assisted tasking should be evaluated before it is fielded.</w:t>
      </w:r>
    </w:p>
    <w:p>
      <w:pPr>
        <w:pStyle w:val="BodyText"/>
        <w:spacing w:line="480" w:lineRule="auto"/>
        <w:ind w:firstLine="720"/>
      </w:pPr>
      <w:r>
        <w:t xml:space="preserve">The closing posture of this work is therefore a deliberate restraint. The temptation in a domain undergoing rapid AI-driven change is to advance a broad architecture and claim a broad benefit. The dissertation has done the opposite. It has staked one ordering on one metric against one baseline on one public dataset, and it has built the methodological scaffolding by which the claim can be confirmed, rejected, or extended. If the result rejects H0, the field gains an empirically grounded reason to adopt VOI-anchored tasking on a class of campaigns where the baseline previously held. If the result fails to reject H0, the field gains an equally valuable correction: a disciplined demonstration that the decision-analytic primitive does not, on this baseline and this dataset, deliver the lift its advocates have promised. Either outcome advances the conversation, because either outcome is anchored in a method that future work can extend rather than in a claim that future work must take on faith. That, in the end, is what a dissertation in mission operations under uncertainty should do.</w:t>
      </w:r>
    </w:p>
    <w:bookmarkEnd w:id="134"/>
    <w:bookmarkStart w:id="185" w:name="references"/>
    <w:p>
      <w:pPr>
        <w:pStyle w:val="Heading2"/>
        <w:spacing w:line="480" w:lineRule="auto"/>
      </w:pPr>
      <w:r>
        <w:t xml:space="preserve">References</w:t>
      </w:r>
    </w:p>
    <w:p>
      <w:pPr>
        <w:pStyle w:val="FirstParagraph"/>
        <w:spacing w:line="480" w:lineRule="auto"/>
      </w:pPr>
      <w:bookmarkStart w:id="135" w:name="ref-1"/>
      <w:bookmarkEnd w:id="135"/>
      <w:r>
        <w:t xml:space="preserve">1. J. Liang, Y. Zhu, Y.-Z. Luo, J. Zhang, and H. Zhu,</w:t>
      </w:r>
      <w:r>
        <w:t xml:space="preserve"> </w:t>
      </w:r>
      <w:r>
        <w:t xml:space="preserve">“A precedence-rule-based heuristic for satellite onboard activity planning,”</w:t>
      </w:r>
      <w:r>
        <w:t xml:space="preserve"> </w:t>
      </w:r>
      <w:r>
        <w:rPr>
          <w:i/>
          <w:iCs/>
        </w:rPr>
        <w:t xml:space="preserve">Acta Astronautica</w:t>
      </w:r>
      <w:r>
        <w:t xml:space="preserve">, vol. 178, 2020. doi:</w:t>
      </w:r>
      <w:r>
        <w:t xml:space="preserve"> </w:t>
      </w:r>
      <w:hyperlink r:id="rId136">
        <w:r>
          <w:rPr>
            <w:rStyle w:val="Hyperlink"/>
          </w:rPr>
          <w:t xml:space="preserve">10.1016/j.actaastro.2020.10.020</w:t>
        </w:r>
      </w:hyperlink>
    </w:p>
    <w:p>
      <w:pPr>
        <w:pStyle w:val="BodyText"/>
        <w:spacing w:line="480" w:lineRule="auto"/>
        <w:ind w:firstLine="720"/>
      </w:pPr>
      <w:bookmarkStart w:id="137" w:name="ref-2"/>
      <w:bookmarkEnd w:id="137"/>
      <w:r>
        <w:t xml:space="preserve">2. K. D. Kumar, U. K. Elemasetty, A. Morin, and A. Nuechter,</w:t>
      </w:r>
      <w:r>
        <w:t xml:space="preserve"> </w:t>
      </w:r>
      <w:r>
        <w:t xml:space="preserve">“Artificial intelligence-powered space systems including launch, space, ground and user segments: Current status and future challenges,”</w:t>
      </w:r>
      <w:r>
        <w:t xml:space="preserve"> </w:t>
      </w:r>
      <w:r>
        <w:rPr>
          <w:i/>
          <w:iCs/>
        </w:rPr>
        <w:t xml:space="preserve">Acta Astronautica</w:t>
      </w:r>
      <w:r>
        <w:t xml:space="preserve">, vol. 240, 2025. doi:</w:t>
      </w:r>
      <w:r>
        <w:t xml:space="preserve"> </w:t>
      </w:r>
      <w:hyperlink r:id="rId138">
        <w:r>
          <w:rPr>
            <w:rStyle w:val="Hyperlink"/>
          </w:rPr>
          <w:t xml:space="preserve">10.1016/j.actaastro.2025.11.048</w:t>
        </w:r>
      </w:hyperlink>
    </w:p>
    <w:p>
      <w:pPr>
        <w:pStyle w:val="BodyText"/>
        <w:spacing w:line="480" w:lineRule="auto"/>
        <w:ind w:firstLine="720"/>
      </w:pPr>
      <w:bookmarkStart w:id="139" w:name="ref-3"/>
      <w:bookmarkEnd w:id="139"/>
      <w:r>
        <w:t xml:space="preserve">3. R. Carden, D. Burchett, and H. Reed,</w:t>
      </w:r>
      <w:r>
        <w:t xml:space="preserve"> </w:t>
      </w:r>
      <w:r>
        <w:t xml:space="preserve">“SNARE (Sensor Network Autonomous Resilient Extensible): Decentralized Sensor Tasking Improves SDA Tactical Relevance,”</w:t>
      </w:r>
      <w:r>
        <w:t xml:space="preserve"> </w:t>
      </w:r>
      <w:r>
        <w:t xml:space="preserve">in</w:t>
      </w:r>
      <w:r>
        <w:t xml:space="preserve"> </w:t>
      </w:r>
      <w:r>
        <w:rPr>
          <w:i/>
          <w:iCs/>
        </w:rPr>
        <w:t xml:space="preserve">Proc. Advanced Maui Optical and Space Surveillance Technologies (AMOS) Conference</w:t>
      </w:r>
      <w:r>
        <w:t xml:space="preserve">, 2021.</w:t>
      </w:r>
    </w:p>
    <w:p>
      <w:pPr>
        <w:pStyle w:val="BodyText"/>
        <w:spacing w:line="480" w:lineRule="auto"/>
        <w:ind w:firstLine="720"/>
      </w:pPr>
      <w:bookmarkStart w:id="140" w:name="ref-4"/>
      <w:bookmarkEnd w:id="140"/>
      <w:r>
        <w:t xml:space="preserve">4. T. A. Hobson and I. V. L. Clarkson,</w:t>
      </w:r>
      <w:r>
        <w:t xml:space="preserve"> </w:t>
      </w:r>
      <w:r>
        <w:t xml:space="preserve">“Sensor-scheduling simulation of disparate sensors for Space Situational Awareness,”</w:t>
      </w:r>
      <w:r>
        <w:t xml:space="preserve"> </w:t>
      </w:r>
      <w:r>
        <w:t xml:space="preserve">in</w:t>
      </w:r>
      <w:r>
        <w:t xml:space="preserve"> </w:t>
      </w:r>
      <w:r>
        <w:rPr>
          <w:i/>
          <w:iCs/>
        </w:rPr>
        <w:t xml:space="preserve">Proc. Advanced Maui Optical and Space Surveillance Technologies (AMOS) Conference</w:t>
      </w:r>
      <w:r>
        <w:t xml:space="preserve">, 2011.</w:t>
      </w:r>
    </w:p>
    <w:p>
      <w:pPr>
        <w:pStyle w:val="BodyText"/>
        <w:spacing w:line="480" w:lineRule="auto"/>
        <w:ind w:firstLine="720"/>
      </w:pPr>
      <w:bookmarkStart w:id="141" w:name="ref-5"/>
      <w:bookmarkEnd w:id="141"/>
      <w:r>
        <w:t xml:space="preserve">5.</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42" w:name="ref-6"/>
      <w:bookmarkEnd w:id="142"/>
      <w:r>
        <w:t xml:space="preserve">6.</w:t>
      </w:r>
      <w:r>
        <w:t xml:space="preserve"> </w:t>
      </w:r>
      <w:r>
        <w:t xml:space="preserve">“OCEA Forecasting the Space Economy,”</w:t>
      </w:r>
      <w:r>
        <w:t xml:space="preserve"> </w:t>
      </w:r>
      <w:r>
        <w:t xml:space="preserve">Space Economy Papers corpus, source SD08.</w:t>
      </w:r>
    </w:p>
    <w:p>
      <w:pPr>
        <w:pStyle w:val="BodyText"/>
        <w:spacing w:line="480" w:lineRule="auto"/>
        <w:ind w:firstLine="720"/>
      </w:pPr>
      <w:bookmarkStart w:id="143" w:name="ref-7"/>
      <w:bookmarkEnd w:id="143"/>
      <w:r>
        <w:t xml:space="preserve">7. N. K. Dhingra, C. DeJac, J. Neel, A. Herz, T. Wolf, and B. Jones,</w:t>
      </w:r>
      <w:r>
        <w:t xml:space="preserve"> </w:t>
      </w:r>
      <w:r>
        <w:t xml:space="preserve">“The Impact of Orbit Accuracy-Based Tasking on Sensor Network Efficiency,”</w:t>
      </w:r>
      <w:r>
        <w:t xml:space="preserve"> </w:t>
      </w:r>
      <w:r>
        <w:t xml:space="preserve">in Proc. Advanced Maui Optical and Space Surveillance Technologies (AMOS) Conference, 2022.</w:t>
      </w:r>
    </w:p>
    <w:p>
      <w:pPr>
        <w:pStyle w:val="BodyText"/>
        <w:spacing w:line="480" w:lineRule="auto"/>
        <w:ind w:firstLine="720"/>
      </w:pPr>
      <w:bookmarkStart w:id="144" w:name="ref-8"/>
      <w:bookmarkEnd w:id="144"/>
      <w:r>
        <w:t xml:space="preserve">8. S. Gehly and J. Bennett,</w:t>
      </w:r>
      <w:r>
        <w:t xml:space="preserve"> </w:t>
      </w:r>
      <w:r>
        <w:t xml:space="preserve">“Incorporating Target Priorities in the Sensor Tasking Reward Function,”</w:t>
      </w:r>
      <w:r>
        <w:t xml:space="preserve"> </w:t>
      </w:r>
      <w:r>
        <w:t xml:space="preserve">in Proc. Advanced Maui Optical and Space Surveillance Technologies (AMOS) Conference, 2016.</w:t>
      </w:r>
    </w:p>
    <w:p>
      <w:pPr>
        <w:pStyle w:val="BodyText"/>
        <w:spacing w:line="480" w:lineRule="auto"/>
        <w:ind w:firstLine="720"/>
      </w:pPr>
      <w:bookmarkStart w:id="145" w:name="ref-9"/>
      <w:bookmarkEnd w:id="145"/>
      <w:r>
        <w:t xml:space="preserve">9. K. Vanslette and R. Taing,</w:t>
      </w:r>
      <w:r>
        <w:t xml:space="preserve"> </w:t>
      </w:r>
      <w:r>
        <w:t xml:space="preserve">“Toward Optimal Conjunction-Based Sensor Tasking using Inferential Moments,”</w:t>
      </w:r>
      <w:r>
        <w:t xml:space="preserve"> </w:t>
      </w:r>
      <w:r>
        <w:t xml:space="preserve">in Proc. Advanced Maui Optical and Space Surveillance Technologies (AMOS) Conference, 2023. doi:</w:t>
      </w:r>
      <w:r>
        <w:t xml:space="preserve"> </w:t>
      </w:r>
      <w:hyperlink r:id="rId146">
        <w:r>
          <w:rPr>
            <w:rStyle w:val="Hyperlink"/>
          </w:rPr>
          <w:t xml:space="preserve">10.64861/PEUU1014</w:t>
        </w:r>
      </w:hyperlink>
    </w:p>
    <w:p>
      <w:pPr>
        <w:pStyle w:val="BodyText"/>
        <w:spacing w:line="480" w:lineRule="auto"/>
        <w:ind w:firstLine="720"/>
      </w:pPr>
      <w:bookmarkStart w:id="147" w:name="ref-10"/>
      <w:bookmarkEnd w:id="147"/>
      <w:r>
        <w:t xml:space="preserve">10. S. Chien et al.,</w:t>
      </w:r>
      <w:r>
        <w:t xml:space="preserve"> </w:t>
      </w:r>
      <w:r>
        <w:t xml:space="preserve">“The EO-1 Autonomous Sciencecraft Experiment,”</w:t>
      </w:r>
      <w:r>
        <w:t xml:space="preserve"> </w:t>
      </w:r>
      <w:r>
        <w:t xml:space="preserve">Journal of Field Robotics, vol. 22, 2005. doi:</w:t>
      </w:r>
      <w:r>
        <w:t xml:space="preserve"> </w:t>
      </w:r>
      <w:hyperlink r:id="rId148">
        <w:r>
          <w:rPr>
            <w:rStyle w:val="Hyperlink"/>
          </w:rPr>
          <w:t xml:space="preserve">10.1002/rob.20066</w:t>
        </w:r>
      </w:hyperlink>
    </w:p>
    <w:p>
      <w:pPr>
        <w:pStyle w:val="BodyText"/>
        <w:spacing w:line="480" w:lineRule="auto"/>
        <w:ind w:firstLine="720"/>
      </w:pPr>
      <w:bookmarkStart w:id="149" w:name="ref-11"/>
      <w:bookmarkEnd w:id="149"/>
      <w:r>
        <w:t xml:space="preserve">11.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t xml:space="preserve">Acta Astronautica, vol. 238, 2025. doi:</w:t>
      </w:r>
      <w:r>
        <w:t xml:space="preserve"> </w:t>
      </w:r>
      <w:hyperlink r:id="rId150">
        <w:r>
          <w:rPr>
            <w:rStyle w:val="Hyperlink"/>
          </w:rPr>
          <w:t xml:space="preserve">10.1016/j.actaastro.2025.10.018</w:t>
        </w:r>
      </w:hyperlink>
    </w:p>
    <w:p>
      <w:pPr>
        <w:pStyle w:val="BodyText"/>
        <w:spacing w:line="480" w:lineRule="auto"/>
        <w:ind w:firstLine="720"/>
      </w:pPr>
      <w:bookmarkStart w:id="151" w:name="ref-12"/>
      <w:bookmarkEnd w:id="151"/>
      <w:r>
        <w:t xml:space="preserve">12. Whitfield, C. Information-Value Index and Observation Cadence in Robotic Science Missions: An OLS Test Across Public Mission Records. Companion paper, JPL_OPS_COMMS_DATA_04 research portfolio, 2026.</w:t>
      </w:r>
    </w:p>
    <w:p>
      <w:pPr>
        <w:pStyle w:val="BodyText"/>
        <w:spacing w:line="480" w:lineRule="auto"/>
        <w:ind w:firstLine="720"/>
      </w:pPr>
      <w:bookmarkStart w:id="152" w:name="ref-13"/>
      <w:bookmarkEnd w:id="152"/>
      <w:r>
        <w:t xml:space="preserve">13. Wishnek, S. and Wysack, J. Leveraging Fisher Information to Optimize Observation Scheduling for Orbit Determination. Proc. Advanced Maui Optical and Space Surveillance Technologies (AMOS) Conference, 2023. doi:</w:t>
      </w:r>
      <w:r>
        <w:t xml:space="preserve"> </w:t>
      </w:r>
      <w:hyperlink r:id="rId153">
        <w:r>
          <w:rPr>
            <w:rStyle w:val="Hyperlink"/>
          </w:rPr>
          <w:t xml:space="preserve">10.64861/CLTB3399</w:t>
        </w:r>
      </w:hyperlink>
      <w:r>
        <w:t xml:space="preserve">.</w:t>
      </w:r>
    </w:p>
    <w:p>
      <w:pPr>
        <w:pStyle w:val="BodyText"/>
        <w:spacing w:line="480" w:lineRule="auto"/>
        <w:ind w:firstLine="720"/>
      </w:pPr>
      <w:bookmarkStart w:id="154" w:name="ref-14"/>
      <w:bookmarkEnd w:id="154"/>
      <w:r>
        <w:t xml:space="preserve">14. Jabbarpour, M. R., Vo, Q. B., El-Dalahmeh, G., Tahir, H., Kowalczyk, R., Bessell, T., and Barr, J. Agent-based approaches for distributed space systems and mission management: methodologies, current practices and challenges. Acta Astronautica, 238, 2025. doi:</w:t>
      </w:r>
      <w:r>
        <w:t xml:space="preserve"> </w:t>
      </w:r>
      <w:hyperlink r:id="rId150">
        <w:r>
          <w:rPr>
            <w:rStyle w:val="Hyperlink"/>
          </w:rPr>
          <w:t xml:space="preserve">10.1016/j.actaastro.2025.10.018</w:t>
        </w:r>
      </w:hyperlink>
      <w:r>
        <w:t xml:space="preserve">.</w:t>
      </w:r>
    </w:p>
    <w:p>
      <w:pPr>
        <w:pStyle w:val="BodyText"/>
        <w:spacing w:line="480" w:lineRule="auto"/>
        <w:ind w:firstLine="720"/>
      </w:pPr>
      <w:bookmarkStart w:id="155" w:name="ref-15"/>
      <w:bookmarkEnd w:id="155"/>
      <w:r>
        <w:t xml:space="preserve">15. De Filippis, U., Di Benedetto, M., Iess, L., Cappuccio, P., Pecora, M., Grappasonni, C., and Olivieri, A. Monitoring JUICE deployment operations with high-accuracy accelerometer data. Acta Astronautica, 225, 2024. doi:</w:t>
      </w:r>
      <w:r>
        <w:t xml:space="preserve"> </w:t>
      </w:r>
      <w:hyperlink r:id="rId156">
        <w:r>
          <w:rPr>
            <w:rStyle w:val="Hyperlink"/>
          </w:rPr>
          <w:t xml:space="preserve">10.1016/j.actaastro.2024.09.047</w:t>
        </w:r>
      </w:hyperlink>
      <w:r>
        <w:t xml:space="preserve">.</w:t>
      </w:r>
    </w:p>
    <w:p>
      <w:pPr>
        <w:pStyle w:val="BodyText"/>
        <w:spacing w:line="480" w:lineRule="auto"/>
        <w:ind w:firstLine="720"/>
      </w:pPr>
      <w:bookmarkStart w:id="157" w:name="ref-16"/>
      <w:bookmarkEnd w:id="157"/>
      <w:r>
        <w:t xml:space="preserve">16. U.S. Government Accountability Office. NASA: Assessments of Major Projects. GAO-25-107591, 2025.</w:t>
      </w:r>
    </w:p>
    <w:p>
      <w:pPr>
        <w:pStyle w:val="BodyText"/>
        <w:spacing w:line="480" w:lineRule="auto"/>
        <w:ind w:firstLine="720"/>
      </w:pPr>
      <w:bookmarkStart w:id="158" w:name="ref-17"/>
      <w:bookmarkEnd w:id="158"/>
      <w:r>
        <w:t xml:space="preserve">17. John Boh, The University of Texas at Austin; Zachary Funke, AFIT/CIG; Maruthi Akella, The University of Texas at Austin. A Game-Theoretical Exploration of L1/L2 Cislunar Space Situational Awareness Using Bayesian Games (2025). doi:</w:t>
      </w:r>
      <w:r>
        <w:t xml:space="preserve"> </w:t>
      </w:r>
      <w:hyperlink r:id="rId159">
        <w:r>
          <w:rPr>
            <w:rStyle w:val="Hyperlink"/>
          </w:rPr>
          <w:t xml:space="preserve">10.64861/SIJX9169</w:t>
        </w:r>
      </w:hyperlink>
    </w:p>
    <w:p>
      <w:pPr>
        <w:pStyle w:val="BodyText"/>
        <w:spacing w:line="480" w:lineRule="auto"/>
        <w:ind w:firstLine="720"/>
      </w:pPr>
      <w:bookmarkStart w:id="160" w:name="ref-18"/>
      <w:bookmarkEnd w:id="160"/>
      <w:r>
        <w:t xml:space="preserve">18. Matthew Wilkins, L3Harris; Sanja Cvijic, Charles River Analytics, Inc.; Weston Faber, L3Harris Technologies. A Multi-Agent Trust Framework for Fusing Subjective Opinions with Imperfect Understanding in Space Domain Awareness Using the Scruff AI Framework (2024). doi:</w:t>
      </w:r>
      <w:r>
        <w:t xml:space="preserve"> </w:t>
      </w:r>
      <w:hyperlink r:id="rId161">
        <w:r>
          <w:rPr>
            <w:rStyle w:val="Hyperlink"/>
          </w:rPr>
          <w:t xml:space="preserve">10.64861/TUTU2866</w:t>
        </w:r>
      </w:hyperlink>
    </w:p>
    <w:p>
      <w:pPr>
        <w:pStyle w:val="BodyText"/>
        <w:spacing w:line="480" w:lineRule="auto"/>
        <w:ind w:firstLine="720"/>
      </w:pPr>
      <w:bookmarkStart w:id="162" w:name="ref-19"/>
      <w:bookmarkEnd w:id="162"/>
      <w:r>
        <w:t xml:space="preserve">19. Samuel Fedeler, University of Colorado at Boulder; Marcus Holzinger, University of Colorado Boulder; William Whitacre, Draper Laborartory. Optimality and Application of Tree Search Methods for POMDP-based Sensor Tasking (2020).</w:t>
      </w:r>
    </w:p>
    <w:p>
      <w:pPr>
        <w:pStyle w:val="BodyText"/>
        <w:spacing w:line="480" w:lineRule="auto"/>
        <w:ind w:firstLine="720"/>
      </w:pPr>
      <w:bookmarkStart w:id="163" w:name="ref-20"/>
      <w:bookmarkEnd w:id="163"/>
      <w:r>
        <w:t xml:space="preserve">20. Roberto Furfaro, University of Arizona, Richard Linares, University of Minnesota, David Gaylor, University of Arizona, Moriba Jah, University of Arizona, Ramona Walls, Cyverse, University of Arizona. Resident Space Object Characterization and Behavior Understanding via Machine Learning and Ontology-based Bayesian Networks (2016).</w:t>
      </w:r>
    </w:p>
    <w:p>
      <w:pPr>
        <w:pStyle w:val="BodyText"/>
        <w:spacing w:line="480" w:lineRule="auto"/>
        <w:ind w:firstLine="720"/>
      </w:pPr>
      <w:bookmarkStart w:id="164" w:name="ref-21"/>
      <w:bookmarkEnd w:id="164"/>
      <w:r>
        <w:t xml:space="preserve">21. Ankit Agrawal, Digantara; Thamim Ansari, Digantara. Probabilistic Multi-Agent Data Fusion for Reliable Conjunction Assessment and Enhanced Decision-Making (2025). doi:</w:t>
      </w:r>
      <w:r>
        <w:t xml:space="preserve"> </w:t>
      </w:r>
      <w:hyperlink r:id="rId165">
        <w:r>
          <w:rPr>
            <w:rStyle w:val="Hyperlink"/>
          </w:rPr>
          <w:t xml:space="preserve">10.64861/GBPG3733</w:t>
        </w:r>
      </w:hyperlink>
    </w:p>
    <w:p>
      <w:pPr>
        <w:pStyle w:val="BodyText"/>
        <w:spacing w:line="480" w:lineRule="auto"/>
        <w:ind w:firstLine="720"/>
      </w:pPr>
      <w:bookmarkStart w:id="166" w:name="ref-22"/>
      <w:bookmarkEnd w:id="166"/>
      <w:r>
        <w:t xml:space="preserve">22. Jeremy Correa, Katalyst Space Technologies; John Ware, Katalyst Space Technologies; Maruthi Akella, UT Austin; Brandon Jones, UT Austin. Adaptive Sensor Tasking Strategies for Tracking Non-Cooperative Cislunar Space Objects (2024). doi:</w:t>
      </w:r>
      <w:r>
        <w:t xml:space="preserve"> </w:t>
      </w:r>
      <w:hyperlink r:id="rId167">
        <w:r>
          <w:rPr>
            <w:rStyle w:val="Hyperlink"/>
          </w:rPr>
          <w:t xml:space="preserve">10.64861/NAKM9168</w:t>
        </w:r>
      </w:hyperlink>
    </w:p>
    <w:p>
      <w:pPr>
        <w:pStyle w:val="BodyText"/>
        <w:spacing w:line="480" w:lineRule="auto"/>
        <w:ind w:firstLine="720"/>
      </w:pPr>
      <w:bookmarkStart w:id="168" w:name="ref-23"/>
      <w:bookmarkEnd w:id="168"/>
      <w:r>
        <w:t xml:space="preserve">23. Alexander Ryan, Industrial Sciences Group; Angus Leung, Industrial Sciences Group; David Shteinman, Industrial Sciences Group; Mark Yeo, Industrial Sciences Group; Matthew Hejduk, NASA Conjunction Assessment Risk Analysis (CARA). Decision Support Tool for Risk Assessment &amp; Maneuver Planning in Collision Avoidance (2022).</w:t>
      </w:r>
    </w:p>
    <w:p>
      <w:pPr>
        <w:pStyle w:val="BodyText"/>
        <w:spacing w:line="480" w:lineRule="auto"/>
        <w:ind w:firstLine="720"/>
      </w:pPr>
      <w:bookmarkStart w:id="169" w:name="ref-24"/>
      <w:bookmarkEnd w:id="169"/>
      <w:r>
        <w:t xml:space="preserve">24.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170">
        <w:r>
          <w:rPr>
            <w:rStyle w:val="Hyperlink"/>
          </w:rPr>
          <w:t xml:space="preserve">10.64861/OTAL2562</w:t>
        </w:r>
      </w:hyperlink>
    </w:p>
    <w:p>
      <w:pPr>
        <w:pStyle w:val="BodyText"/>
        <w:spacing w:line="480" w:lineRule="auto"/>
        <w:ind w:firstLine="720"/>
      </w:pPr>
      <w:bookmarkStart w:id="171" w:name="ref-25"/>
      <w:bookmarkEnd w:id="171"/>
      <w:r>
        <w:t xml:space="preserve">25. Jacqueline H. Smith; Moriba Jah; Danielle Wood. Architecting a decision support system for continuing supervision of commercial in-space servicing (2025). doi:</w:t>
      </w:r>
      <w:r>
        <w:t xml:space="preserve"> </w:t>
      </w:r>
      <w:hyperlink r:id="rId172">
        <w:r>
          <w:rPr>
            <w:rStyle w:val="Hyperlink"/>
          </w:rPr>
          <w:t xml:space="preserve">10.1016/j.actaastro.2025.05.036</w:t>
        </w:r>
      </w:hyperlink>
    </w:p>
    <w:p>
      <w:pPr>
        <w:pStyle w:val="BodyText"/>
        <w:spacing w:line="480" w:lineRule="auto"/>
        <w:ind w:firstLine="720"/>
      </w:pPr>
      <w:bookmarkStart w:id="173" w:name="ref-26"/>
      <w:bookmarkEnd w:id="173"/>
      <w:r>
        <w:t xml:space="preserve">26. Krishna Dev Kumar; Uday Kiran Elemasetty; A Morin; Andreas Nuechter. Artificial intelligence-powered space systems including launch, space, ground and user segments: Current status and future challenges (2025). doi:</w:t>
      </w:r>
      <w:r>
        <w:t xml:space="preserve"> </w:t>
      </w:r>
      <w:hyperlink r:id="rId138">
        <w:r>
          <w:rPr>
            <w:rStyle w:val="Hyperlink"/>
          </w:rPr>
          <w:t xml:space="preserve">10.1016/j.actaastro.2025.11.048</w:t>
        </w:r>
      </w:hyperlink>
    </w:p>
    <w:p>
      <w:pPr>
        <w:pStyle w:val="BodyText"/>
        <w:spacing w:line="480" w:lineRule="auto"/>
        <w:ind w:firstLine="720"/>
      </w:pPr>
      <w:bookmarkStart w:id="174" w:name="ref-27"/>
      <w:bookmarkEnd w:id="174"/>
      <w:r>
        <w:t xml:space="preserve">27. Kosuke Ikeya; Michel‐Alexandre Cardin; J.J. Cilliers; Stanley Starr; Kathryn Hadler. Multi-objective decision-making for flexible design and planning of oxygen production facilities in an uncertain lunar environment (2025). doi:</w:t>
      </w:r>
      <w:r>
        <w:t xml:space="preserve"> </w:t>
      </w:r>
      <w:hyperlink r:id="rId175">
        <w:r>
          <w:rPr>
            <w:rStyle w:val="Hyperlink"/>
          </w:rPr>
          <w:t xml:space="preserve">10.1016/j.actaastro.2025.07.014</w:t>
        </w:r>
      </w:hyperlink>
    </w:p>
    <w:p>
      <w:pPr>
        <w:pStyle w:val="BodyText"/>
        <w:spacing w:line="480" w:lineRule="auto"/>
        <w:ind w:firstLine="720"/>
      </w:pPr>
      <w:bookmarkStart w:id="176" w:name="ref-28"/>
      <w:bookmarkEnd w:id="176"/>
      <w:r>
        <w:t xml:space="preserve">28.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50">
        <w:r>
          <w:rPr>
            <w:rStyle w:val="Hyperlink"/>
          </w:rPr>
          <w:t xml:space="preserve">10.1016/j.actaastro.2025.10.018</w:t>
        </w:r>
      </w:hyperlink>
    </w:p>
    <w:p>
      <w:pPr>
        <w:pStyle w:val="BodyText"/>
        <w:spacing w:line="480" w:lineRule="auto"/>
        <w:ind w:firstLine="720"/>
      </w:pPr>
      <w:bookmarkStart w:id="177" w:name="ref-29"/>
      <w:bookmarkEnd w:id="177"/>
      <w:r>
        <w:t xml:space="preserve">29. Gil Denis; A. Claverie; Xavier Pasco; Jean‐Pierre Darnis; Benoît de Maupeou; Murielle Lafaye; Eric Morel. Towards disruptions in Earth observation? New Earth Observation systems and markets evolution: Possible scenarios and impacts (2017). doi:</w:t>
      </w:r>
      <w:r>
        <w:t xml:space="preserve"> </w:t>
      </w:r>
      <w:hyperlink r:id="rId178">
        <w:r>
          <w:rPr>
            <w:rStyle w:val="Hyperlink"/>
          </w:rPr>
          <w:t xml:space="preserve">10.1016/j.actaastro.2017.04.034</w:t>
        </w:r>
      </w:hyperlink>
    </w:p>
    <w:p>
      <w:pPr>
        <w:pStyle w:val="BodyText"/>
        <w:spacing w:line="480" w:lineRule="auto"/>
        <w:ind w:firstLine="720"/>
      </w:pPr>
      <w:bookmarkStart w:id="179" w:name="ref-30"/>
      <w:bookmarkEnd w:id="179"/>
      <w:r>
        <w:t xml:space="preserve">30. Manu H. Nair; Mini C. Rai; Sarah Reade; Ori Bloch; Sam Adlen; Martin Soltau; D. Homfray. In-orbit assembly of high-value modular infrastructures: Holistic analysis and mission concepts (2025). doi:</w:t>
      </w:r>
      <w:r>
        <w:t xml:space="preserve"> </w:t>
      </w:r>
      <w:hyperlink r:id="rId180">
        <w:r>
          <w:rPr>
            <w:rStyle w:val="Hyperlink"/>
          </w:rPr>
          <w:t xml:space="preserve">10.1016/j.actaastro.2025.09.070</w:t>
        </w:r>
      </w:hyperlink>
    </w:p>
    <w:p>
      <w:pPr>
        <w:pStyle w:val="BodyText"/>
        <w:spacing w:line="480" w:lineRule="auto"/>
        <w:ind w:firstLine="720"/>
      </w:pPr>
      <w:bookmarkStart w:id="181" w:name="ref-31"/>
      <w:bookmarkEnd w:id="181"/>
      <w:r>
        <w:t xml:space="preserve">31. Juan Miguel Sánchez-Lozano; Eloy Peña‐Asensio; Valentin Bickel; D. A. Kring. Prioritizing astronaut traverses on the Moon: A multi-criteria decision-making approach (2025). doi:</w:t>
      </w:r>
      <w:r>
        <w:t xml:space="preserve"> </w:t>
      </w:r>
      <w:hyperlink r:id="rId182">
        <w:r>
          <w:rPr>
            <w:rStyle w:val="Hyperlink"/>
          </w:rPr>
          <w:t xml:space="preserve">10.1016/j.actaastro.2025.01.026</w:t>
        </w:r>
      </w:hyperlink>
    </w:p>
    <w:p>
      <w:pPr>
        <w:pStyle w:val="BodyText"/>
        <w:spacing w:line="480" w:lineRule="auto"/>
        <w:ind w:firstLine="720"/>
      </w:pPr>
      <w:bookmarkStart w:id="183" w:name="ref-32"/>
      <w:bookmarkEnd w:id="183"/>
      <w:r>
        <w:t xml:space="preserve">32. Jack Reid; Danielle Wood. Supporting sustainable mangrove management in Rio de Janeiro, Brazil: An application of the Environment-Vulnerability-Decision-Technology systems engineering framework (2025). doi:</w:t>
      </w:r>
      <w:r>
        <w:t xml:space="preserve"> </w:t>
      </w:r>
      <w:hyperlink r:id="rId184">
        <w:r>
          <w:rPr>
            <w:rStyle w:val="Hyperlink"/>
          </w:rPr>
          <w:t xml:space="preserve">10.1016/j.actaastro.2025.08.050</w:t>
        </w:r>
      </w:hyperlink>
    </w:p>
    <w:bookmarkEnd w:id="185"/>
    <w:bookmarkEnd w:id="186"/>
    <w:bookmarkStart w:id="20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4" w:name="X9951b452f91d06a017e9a6c1de3e8c325da38c3"/>
    <w:p>
      <w:pPr>
        <w:pStyle w:val="Heading2"/>
        <w:spacing w:line="480" w:lineRule="auto"/>
      </w:pPr>
      <w:r>
        <w:t xml:space="preserve">A.1 Information-Value Index and Observation Cadence in Robotic Science Missions: An OLS Test Across Public Mission Records</w:t>
      </w:r>
    </w:p>
    <w:p>
      <w:pPr>
        <w:pStyle w:val="FirstParagraph"/>
        <w:spacing w:line="480" w:lineRule="auto"/>
      </w:pPr>
      <m:oMathPara>
        <m:oMathParaPr>
          <m:jc m:val="center"/>
        </m:oMathParaPr>
        <m:oMath>
          <m:r>
            <m:rPr>
              <m:sty m:val="p"/>
            </m:rPr>
            <m:t>log</m:t>
          </m:r>
          <m:r>
            <m:rPr>
              <m:sty m:val="p"/>
            </m:rPr>
            <m:t>(</m:t>
          </m:r>
          <m:sSub>
            <m:e>
              <m:r>
                <m:rPr>
                  <m:sty m:val="p"/>
                </m:rPr>
                <m:t>o</m:t>
              </m:r>
              <m:r>
                <m:rPr>
                  <m:sty m:val="p"/>
                </m:rPr>
                <m:t>b</m:t>
              </m:r>
              <m:r>
                <m:rPr>
                  <m:sty m:val="p"/>
                </m:rPr>
                <m:t>s</m:t>
              </m:r>
              <m:r>
                <m:rPr>
                  <m:sty m:val="p"/>
                </m:rPr>
                <m:t>_</m:t>
              </m:r>
              <m:r>
                <m:rPr>
                  <m:sty m:val="p"/>
                </m:rPr>
                <m:t>p</m:t>
              </m:r>
              <m:r>
                <m:rPr>
                  <m:sty m:val="p"/>
                </m:rPr>
                <m:t>e</m:t>
              </m:r>
              <m:r>
                <m:rPr>
                  <m:sty m:val="p"/>
                </m:rPr>
                <m:t>r</m:t>
              </m:r>
              <m:r>
                <m:rPr>
                  <m:sty m:val="p"/>
                </m:rPr>
                <m:t>_</m:t>
              </m:r>
              <m:r>
                <m:rPr>
                  <m:sty m:val="p"/>
                </m:rPr>
                <m:t>d</m:t>
              </m:r>
              <m:r>
                <m:rPr>
                  <m:sty m:val="p"/>
                </m:rPr>
                <m:t>a</m:t>
              </m:r>
              <m:r>
                <m:rPr>
                  <m:sty m:val="p"/>
                </m:rPr>
                <m:t>y</m:t>
              </m:r>
            </m:e>
            <m:sub>
              <m:r>
                <m:t>i</m:t>
              </m:r>
            </m:sub>
          </m:sSub>
          <m:r>
            <m:rPr>
              <m:sty m:val="p"/>
            </m:rPr>
            <m:t>)</m:t>
          </m:r>
          <m:r>
            <m:rPr>
              <m:sty m:val="p"/>
            </m:rPr>
            <m:t>=</m:t>
          </m:r>
          <m:sSub>
            <m:e>
              <m:r>
                <m:t>β</m:t>
              </m:r>
            </m:e>
            <m:sub>
              <m:r>
                <m:t>0</m:t>
              </m:r>
            </m:sub>
          </m:sSub>
          <m:r>
            <m:rPr>
              <m:sty m:val="p"/>
            </m:rPr>
            <m:t>+</m:t>
          </m:r>
          <m:sSub>
            <m:e>
              <m:r>
                <m:t>β</m:t>
              </m:r>
            </m:e>
            <m:sub>
              <m:r>
                <m:t>1</m:t>
              </m:r>
            </m:sub>
          </m:sSub>
          <m:sSub>
            <m:e>
              <m:r>
                <m:rPr>
                  <m:sty m:val="p"/>
                </m:rPr>
                <m:t>v</m:t>
              </m:r>
              <m:r>
                <m:rPr>
                  <m:sty m:val="p"/>
                </m:rPr>
                <m:t>o</m:t>
              </m:r>
              <m:r>
                <m:rPr>
                  <m:sty m:val="p"/>
                </m:rPr>
                <m:t>i</m:t>
              </m:r>
              <m:r>
                <m:rPr>
                  <m:sty m:val="p"/>
                </m:rPr>
                <m:t>_</m:t>
              </m:r>
              <m:r>
                <m:rPr>
                  <m:sty m:val="p"/>
                </m:rPr>
                <m:t>i</m:t>
              </m:r>
              <m:r>
                <m:rPr>
                  <m:sty m:val="p"/>
                </m:rPr>
                <m:t>n</m:t>
              </m:r>
              <m:r>
                <m:rPr>
                  <m:sty m:val="p"/>
                </m:rPr>
                <m:t>d</m:t>
              </m:r>
              <m:r>
                <m:rPr>
                  <m:sty m:val="p"/>
                </m:rPr>
                <m:t>e</m:t>
              </m:r>
              <m:r>
                <m:rPr>
                  <m:sty m:val="p"/>
                </m:rPr>
                <m:t>x</m:t>
              </m:r>
            </m:e>
            <m:sub>
              <m:r>
                <m:t>i</m:t>
              </m:r>
            </m:sub>
          </m:sSub>
          <m:r>
            <m:rPr>
              <m:sty m:val="p"/>
            </m:rPr>
            <m:t>+</m:t>
          </m:r>
          <m:sSub>
            <m:e>
              <m:r>
                <m:t>β</m:t>
              </m:r>
            </m:e>
            <m:sub>
              <m:r>
                <m:t>2</m:t>
              </m:r>
            </m:sub>
          </m:sSub>
          <m:r>
            <m:rPr>
              <m:sty m:val="p"/>
            </m:rPr>
            <m:t>log</m:t>
          </m:r>
          <m:r>
            <m:rPr>
              <m:sty m:val="p"/>
            </m:rPr>
            <m:t>(</m:t>
          </m:r>
          <m:sSub>
            <m:e>
              <m:r>
                <m:rPr>
                  <m:sty m:val="p"/>
                </m:rPr>
                <m:t>d</m:t>
              </m:r>
              <m:r>
                <m:rPr>
                  <m:sty m:val="p"/>
                </m:rPr>
                <m:t>o</m:t>
              </m:r>
              <m:r>
                <m:rPr>
                  <m:sty m:val="p"/>
                </m:rPr>
                <m:t>w</m:t>
              </m:r>
              <m:r>
                <m:rPr>
                  <m:sty m:val="p"/>
                </m:rPr>
                <m:t>n</m:t>
              </m:r>
              <m:r>
                <m:rPr>
                  <m:sty m:val="p"/>
                </m:rPr>
                <m:t>l</m:t>
              </m:r>
              <m:r>
                <m:rPr>
                  <m:sty m:val="p"/>
                </m:rPr>
                <m:t>i</m:t>
              </m:r>
              <m:r>
                <m:rPr>
                  <m:sty m:val="p"/>
                </m:rPr>
                <m:t>n</m:t>
              </m:r>
              <m:r>
                <m:rPr>
                  <m:sty m:val="p"/>
                </m:rPr>
                <m:t>k</m:t>
              </m:r>
              <m:r>
                <m:rPr>
                  <m:sty m:val="p"/>
                </m:rPr>
                <m:t>_</m:t>
              </m:r>
              <m:r>
                <m:rPr>
                  <m:sty m:val="p"/>
                </m:rPr>
                <m:t>m</m:t>
              </m:r>
              <m:r>
                <m:rPr>
                  <m:sty m:val="p"/>
                </m:rPr>
                <m:t>b</m:t>
              </m:r>
              <m:r>
                <m:rPr>
                  <m:sty m:val="p"/>
                </m:rPr>
                <m:t>p</m:t>
              </m:r>
              <m:r>
                <m:rPr>
                  <m:sty m:val="p"/>
                </m:rPr>
                <m:t>s</m:t>
              </m:r>
            </m:e>
            <m:sub>
              <m:r>
                <m:t>i</m:t>
              </m:r>
            </m:sub>
          </m:sSub>
          <m:r>
            <m:rPr>
              <m:sty m:val="p"/>
            </m:rPr>
            <m:t>)</m:t>
          </m:r>
          <m:r>
            <m:rPr>
              <m:sty m:val="p"/>
            </m:rPr>
            <m:t>+</m:t>
          </m:r>
          <m:sSub>
            <m:e>
              <m:r>
                <m:t>β</m:t>
              </m:r>
            </m:e>
            <m:sub>
              <m:r>
                <m:t>3</m:t>
              </m:r>
            </m:sub>
          </m:sSub>
          <m:sSub>
            <m:e>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l</m:t>
              </m:r>
              <m:r>
                <m:rPr>
                  <m:sty m:val="p"/>
                </m:rPr>
                <m:t>e</m:t>
              </m:r>
              <m:r>
                <m:rPr>
                  <m:sty m:val="p"/>
                </m:rPr>
                <m:t>v</m:t>
              </m:r>
              <m:r>
                <m:rPr>
                  <m:sty m:val="p"/>
                </m:rPr>
                <m:t>e</m:t>
              </m:r>
              <m:r>
                <m:rPr>
                  <m:sty m:val="p"/>
                </m:rPr>
                <m:t>l</m:t>
              </m:r>
            </m:e>
            <m:sub>
              <m:r>
                <m:t>i</m:t>
              </m:r>
            </m:sub>
          </m:sSub>
          <m:r>
            <m:rPr>
              <m:sty m:val="p"/>
            </m:rPr>
            <m:t>+</m:t>
          </m:r>
          <m:sSub>
            <m:e>
              <m:r>
                <m:t>β</m:t>
              </m:r>
            </m:e>
            <m:sub>
              <m:r>
                <m:t>4</m:t>
              </m:r>
            </m:sub>
          </m:sSub>
          <m:sSub>
            <m:e>
              <m:r>
                <m:rPr>
                  <m:sty m:val="p"/>
                </m:rPr>
                <m:t>m</m:t>
              </m:r>
              <m:r>
                <m:rPr>
                  <m:sty m:val="p"/>
                </m:rPr>
                <m:t>i</m:t>
              </m:r>
              <m:r>
                <m:rPr>
                  <m:sty m:val="p"/>
                </m:rPr>
                <m:t>s</m:t>
              </m:r>
              <m:r>
                <m:rPr>
                  <m:sty m:val="p"/>
                </m:rPr>
                <m:t>s</m:t>
              </m:r>
              <m:r>
                <m:rPr>
                  <m:sty m:val="p"/>
                </m:rPr>
                <m:t>i</m:t>
              </m:r>
              <m:r>
                <m:rPr>
                  <m:sty m:val="p"/>
                </m:rPr>
                <m:t>o</m:t>
              </m:r>
              <m:r>
                <m:rPr>
                  <m:sty m:val="p"/>
                </m:rPr>
                <m:t>n</m:t>
              </m:r>
              <m:r>
                <m:rPr>
                  <m:sty m:val="p"/>
                </m:rPr>
                <m:t>_</m:t>
              </m:r>
              <m:r>
                <m:rPr>
                  <m:sty m:val="p"/>
                </m:rPr>
                <m:t>a</m:t>
              </m:r>
              <m:r>
                <m:rPr>
                  <m:sty m:val="p"/>
                </m:rPr>
                <m:t>g</m:t>
              </m:r>
              <m:r>
                <m:rPr>
                  <m:sty m:val="p"/>
                </m:rPr>
                <m:t>e</m:t>
              </m:r>
              <m:r>
                <m:rPr>
                  <m:sty m:val="p"/>
                </m:rPr>
                <m:t>_</m:t>
              </m:r>
              <m:r>
                <m:rPr>
                  <m:sty m:val="p"/>
                </m:rPr>
                <m:t>y</m:t>
              </m:r>
              <m:r>
                <m:rPr>
                  <m:sty m:val="p"/>
                </m:rPr>
                <m:t>r</m:t>
              </m:r>
            </m:e>
            <m:sub>
              <m:r>
                <m:t>i</m:t>
              </m:r>
            </m:sub>
          </m:sSub>
          <m:r>
            <m:rPr>
              <m:sty m:val="p"/>
            </m:rPr>
            <m:t>+</m:t>
          </m:r>
          <m:sSub>
            <m:e>
              <m:r>
                <m:t>ε</m:t>
              </m:r>
            </m:e>
            <m:sub>
              <m:r>
                <m:t>i</m:t>
              </m:r>
            </m:sub>
          </m:sSub>
        </m:oMath>
      </m:oMathPara>
    </w:p>
    <w:bookmarkStart w:id="18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2.2625</w:t>
            </w:r>
          </w:p>
        </w:tc>
        <w:tc>
          <w:tcPr>
            <w:tcW w:w="0" w:type="auto"/>
          </w:tcPr>
          <w:p>
            <w:pPr>
              <w:spacing w:line="240" w:lineRule="auto" w:before="0" w:after="0"/>
              <w:pStyle w:val="Compact"/>
            </w:pPr>
            <w:r>
              <w:rPr>
                <w:sz w:val="20"/>
                <w:szCs w:val="20"/>
              </w:rPr>
              <w:t xml:space="preserve">2.1257</w:t>
            </w:r>
          </w:p>
        </w:tc>
        <w:tc>
          <w:tcPr>
            <w:tcW w:w="0" w:type="auto"/>
          </w:tcPr>
          <w:p>
            <w:pPr>
              <w:spacing w:line="240" w:lineRule="auto" w:before="0" w:after="0"/>
              <w:pStyle w:val="Compact"/>
            </w:pPr>
            <w:r>
              <w:rPr>
                <w:sz w:val="20"/>
                <w:szCs w:val="20"/>
              </w:rPr>
              <w:t xml:space="preserve">1.0644</w:t>
            </w:r>
          </w:p>
        </w:tc>
        <w:tc>
          <w:tcPr>
            <w:tcW w:w="0" w:type="auto"/>
          </w:tcPr>
          <w:p>
            <w:pPr>
              <w:spacing w:line="240" w:lineRule="auto" w:before="0" w:after="0"/>
              <w:pStyle w:val="Compact"/>
            </w:pPr>
            <w:r>
              <w:rPr>
                <w:sz w:val="20"/>
                <w:szCs w:val="20"/>
              </w:rPr>
              <w:t xml:space="preserve">0.2872</w:t>
            </w:r>
          </w:p>
        </w:tc>
        <w:tc>
          <w:tcPr>
            <w:tcW w:w="0" w:type="auto"/>
          </w:tcPr>
          <w:p>
            <w:pPr>
              <w:spacing w:line="240" w:lineRule="auto" w:before="0" w:after="0"/>
              <w:pStyle w:val="Compact"/>
            </w:pPr>
            <w:r>
              <w:rPr>
                <w:sz w:val="20"/>
                <w:szCs w:val="20"/>
              </w:rPr>
              <w:t xml:space="preserve">[-1.9037, 6.4288]</w:t>
            </w:r>
          </w:p>
        </w:tc>
      </w:tr>
      <w:tr>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2.0554</w:t>
            </w:r>
          </w:p>
        </w:tc>
        <w:tc>
          <w:tcPr>
            <w:tcW w:w="0" w:type="auto"/>
          </w:tcPr>
          <w:p>
            <w:pPr>
              <w:spacing w:line="240" w:lineRule="auto" w:before="0" w:after="0"/>
              <w:pStyle w:val="Compact"/>
            </w:pPr>
            <w:r>
              <w:rPr>
                <w:sz w:val="20"/>
                <w:szCs w:val="20"/>
              </w:rPr>
              <w:t xml:space="preserve">3.5038</w:t>
            </w:r>
          </w:p>
        </w:tc>
        <w:tc>
          <w:tcPr>
            <w:tcW w:w="0" w:type="auto"/>
          </w:tcPr>
          <w:p>
            <w:pPr>
              <w:spacing w:line="240" w:lineRule="auto" w:before="0" w:after="0"/>
              <w:pStyle w:val="Compact"/>
            </w:pPr>
            <w:r>
              <w:rPr>
                <w:sz w:val="20"/>
                <w:szCs w:val="20"/>
              </w:rPr>
              <w:t xml:space="preserve">0.5866</w:t>
            </w:r>
          </w:p>
        </w:tc>
        <w:tc>
          <w:tcPr>
            <w:tcW w:w="0" w:type="auto"/>
          </w:tcPr>
          <w:p>
            <w:pPr>
              <w:spacing w:line="240" w:lineRule="auto" w:before="0" w:after="0"/>
              <w:pStyle w:val="Compact"/>
            </w:pPr>
            <w:r>
              <w:rPr>
                <w:sz w:val="20"/>
                <w:szCs w:val="20"/>
              </w:rPr>
              <w:t xml:space="preserve">0.5575</w:t>
            </w:r>
          </w:p>
        </w:tc>
        <w:tc>
          <w:tcPr>
            <w:tcW w:w="0" w:type="auto"/>
          </w:tcPr>
          <w:p>
            <w:pPr>
              <w:spacing w:line="240" w:lineRule="auto" w:before="0" w:after="0"/>
              <w:pStyle w:val="Compact"/>
            </w:pPr>
            <w:r>
              <w:rPr>
                <w:sz w:val="20"/>
                <w:szCs w:val="20"/>
              </w:rPr>
              <w:t xml:space="preserve">[-4.812, 8.9228]</w:t>
            </w:r>
          </w:p>
        </w:tc>
      </w:tr>
      <w:tr>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0.4135</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4.0354</w:t>
            </w:r>
          </w:p>
        </w:tc>
        <w:tc>
          <w:tcPr>
            <w:tcW w:w="0" w:type="auto"/>
          </w:tcPr>
          <w:p>
            <w:pPr>
              <w:spacing w:line="240" w:lineRule="auto" w:before="0" w:after="0"/>
              <w:pStyle w:val="Compact"/>
            </w:pPr>
            <w:r>
              <w:rPr>
                <w:sz w:val="20"/>
                <w:szCs w:val="20"/>
              </w:rPr>
              <w:t xml:space="preserve">5.45e-05</w:t>
            </w:r>
          </w:p>
        </w:tc>
        <w:tc>
          <w:tcPr>
            <w:tcW w:w="0" w:type="auto"/>
          </w:tcPr>
          <w:p>
            <w:pPr>
              <w:spacing w:line="240" w:lineRule="auto" w:before="0" w:after="0"/>
              <w:pStyle w:val="Compact"/>
            </w:pPr>
            <w:r>
              <w:rPr>
                <w:sz w:val="20"/>
                <w:szCs w:val="20"/>
              </w:rPr>
              <w:t xml:space="preserve">[0.2126, 0.6143]</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-1.3428</w:t>
            </w:r>
          </w:p>
        </w:tc>
        <w:tc>
          <w:tcPr>
            <w:tcW w:w="0" w:type="auto"/>
          </w:tcPr>
          <w:p>
            <w:pPr>
              <w:spacing w:line="240" w:lineRule="auto" w:before="0" w:after="0"/>
              <w:pStyle w:val="Compact"/>
            </w:pPr>
            <w:r>
              <w:rPr>
                <w:sz w:val="20"/>
                <w:szCs w:val="20"/>
              </w:rPr>
              <w:t xml:space="preserve">0.5371</w:t>
            </w:r>
          </w:p>
        </w:tc>
        <w:tc>
          <w:tcPr>
            <w:tcW w:w="0" w:type="auto"/>
          </w:tcPr>
          <w:p>
            <w:pPr>
              <w:spacing w:line="240" w:lineRule="auto" w:before="0" w:after="0"/>
              <w:pStyle w:val="Compact"/>
            </w:pPr>
            <w:r>
              <w:rPr>
                <w:sz w:val="20"/>
                <w:szCs w:val="20"/>
              </w:rPr>
              <w:t xml:space="preserve">-2.5001</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[-2.3956, -0.2901]</w:t>
            </w:r>
          </w:p>
        </w:tc>
      </w:tr>
      <w:tr>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0.153</w:t>
            </w:r>
          </w:p>
        </w:tc>
        <w:tc>
          <w:tcPr>
            <w:tcW w:w="0" w:type="auto"/>
          </w:tcPr>
          <w:p>
            <w:pPr>
              <w:spacing w:line="240" w:lineRule="auto" w:before="0" w:after="0"/>
              <w:pStyle w:val="Compact"/>
            </w:pPr>
            <w:r>
              <w:rPr>
                <w:sz w:val="20"/>
                <w:szCs w:val="20"/>
              </w:rPr>
              <w:t xml:space="preserve">-0.1856</w:t>
            </w:r>
          </w:p>
        </w:tc>
        <w:tc>
          <w:tcPr>
            <w:tcW w:w="0" w:type="auto"/>
          </w:tcPr>
          <w:p>
            <w:pPr>
              <w:spacing w:line="240" w:lineRule="auto" w:before="0" w:after="0"/>
              <w:pStyle w:val="Compact"/>
            </w:pPr>
            <w:r>
              <w:rPr>
                <w:sz w:val="20"/>
                <w:szCs w:val="20"/>
              </w:rPr>
              <w:t xml:space="preserve">0.8528</w:t>
            </w:r>
          </w:p>
        </w:tc>
        <w:tc>
          <w:tcPr>
            <w:tcW w:w="0" w:type="auto"/>
          </w:tcPr>
          <w:p>
            <w:pPr>
              <w:spacing w:line="240" w:lineRule="auto" w:before="0" w:after="0"/>
              <w:pStyle w:val="Compact"/>
            </w:pPr>
            <w:r>
              <w:rPr>
                <w:sz w:val="20"/>
                <w:szCs w:val="20"/>
              </w:rPr>
              <w:t xml:space="preserve">[-0.3282, 0.2714]</w:t>
            </w:r>
          </w:p>
        </w:tc>
      </w:tr>
    </w:tbl>
    <w:p>
      <w:pPr>
        <w:pStyle w:val="BodyText"/>
        <w:spacing w:line="480" w:lineRule="auto"/>
        <w:ind w:firstLine="720"/>
      </w:pPr>
      <w:r>
        <w:t xml:space="preserve">Fit: N = 24 R2 = 0.3911 R2_adj = 0.2629 F = 4.3476 F_p = 0.0115</w:t>
      </w:r>
    </w:p>
    <w:bookmarkEnd w:id="187"/>
    <w:bookmarkStart w:id="19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bservation cadence rises with the information-value index across 24 public mission-instrument records." title="" id="189" name="Picture"/>
            <a:graphic>
              <a:graphicData uri="http://schemas.openxmlformats.org/drawingml/2006/picture">
                <pic:pic>
                  <pic:nvPicPr>
                    <pic:cNvPr descr="D:/Claude_Code/brain/collegium/candidates/dissertations/JPL_OPS_COMMS_DATA_04/research_papers/p1/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Observation cadence rises with the information-value index across 24 public mission-instrument records.</w:t>
      </w:r>
    </w:p>
    <w:bookmarkEnd w:id="191"/>
    <w:bookmarkStart w:id="19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obs_per_day</w:t>
            </w:r>
          </w:p>
        </w:tc>
        <w:tc>
          <w:tcPr>
            <w:tcW w:w="0" w:type="auto"/>
          </w:tcPr>
          <w:p>
            <w:pPr>
              <w:spacing w:line="240" w:lineRule="auto" w:before="0" w:after="0"/>
              <w:pStyle w:val="Compact"/>
            </w:pPr>
            <w:r>
              <w:rPr>
                <w:sz w:val="20"/>
                <w:szCs w:val="20"/>
              </w:rPr>
              <w:t xml:space="preserve">log_obs_per_day</w:t>
            </w:r>
          </w:p>
        </w:tc>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downlink_mbps</w:t>
            </w:r>
          </w:p>
        </w:tc>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MRO_CRISM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PDS Geosciences Node CRISM observation index; Murchie et al. JGR Planets 2009 doi:10.1029/2009JE003342</w:t>
            </w:r>
          </w:p>
        </w:tc>
      </w:tr>
      <w:tr>
        <w:tc>
          <w:tcPr>
            <w:tcW w:w="0" w:type="auto"/>
          </w:tcPr>
          <w:p>
            <w:pPr>
              <w:spacing w:line="240" w:lineRule="auto" w:before="0" w:after="0"/>
              <w:pStyle w:val="Compact"/>
            </w:pPr>
            <w:r>
              <w:rPr>
                <w:sz w:val="20"/>
                <w:szCs w:val="20"/>
              </w:rPr>
              <w:t xml:space="preserve">MRO_CRISM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PDS CRISM cumulative observation log; MRO project status (NASA Mars Program 2012)</w:t>
            </w:r>
          </w:p>
        </w:tc>
      </w:tr>
      <w:tr>
        <w:tc>
          <w:tcPr>
            <w:tcW w:w="0" w:type="auto"/>
          </w:tcPr>
          <w:p>
            <w:pPr>
              <w:spacing w:line="240" w:lineRule="auto" w:before="0" w:after="0"/>
              <w:pStyle w:val="Compact"/>
            </w:pPr>
            <w:r>
              <w:rPr>
                <w:sz w:val="20"/>
                <w:szCs w:val="20"/>
              </w:rPr>
              <w:t xml:space="preserve">MRO_HiRISE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McEwen et al. Icarus 2007 doi:10.1016/j.icarus.2007.05.005; HiRISE Operations Center release notes 2008</w:t>
            </w:r>
          </w:p>
        </w:tc>
      </w:tr>
      <w:tr>
        <w:tc>
          <w:tcPr>
            <w:tcW w:w="0" w:type="auto"/>
          </w:tcPr>
          <w:p>
            <w:pPr>
              <w:spacing w:line="240" w:lineRule="auto" w:before="0" w:after="0"/>
              <w:pStyle w:val="Compact"/>
            </w:pPr>
            <w:r>
              <w:rPr>
                <w:sz w:val="20"/>
                <w:szCs w:val="20"/>
              </w:rPr>
              <w:t xml:space="preserve">MRO_HiRISE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MRO Senior Review 2014; HiRISE PDS Imaging Node release index</w:t>
            </w:r>
          </w:p>
        </w:tc>
      </w:tr>
      <w:tr>
        <w:tc>
          <w:tcPr>
            <w:tcW w:w="0" w:type="auto"/>
          </w:tcPr>
          <w:p>
            <w:pPr>
              <w:spacing w:line="240" w:lineRule="auto" w:before="0" w:after="0"/>
              <w:pStyle w:val="Compact"/>
            </w:pPr>
            <w:r>
              <w:rPr>
                <w:sz w:val="20"/>
                <w:szCs w:val="20"/>
              </w:rPr>
              <w:t xml:space="preserve">MEX_HRSC</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Jaumann et al. Planet. Space Sci. 2007 doi:10.1016/j.pss.2007.03.015; Mars Express HRSC monthly operations report 2010</w:t>
            </w:r>
          </w:p>
        </w:tc>
      </w:tr>
      <w:tr>
        <w:tc>
          <w:tcPr>
            <w:tcW w:w="0" w:type="auto"/>
          </w:tcPr>
          <w:p>
            <w:pPr>
              <w:spacing w:line="240" w:lineRule="auto" w:before="0" w:after="0"/>
              <w:pStyle w:val="Compact"/>
            </w:pPr>
            <w:r>
              <w:rPr>
                <w:sz w:val="20"/>
                <w:szCs w:val="20"/>
              </w:rPr>
              <w:t xml:space="preserve">MEX_OMEGA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Bibring et al. Science 2005 doi:10.1126/science.1108806; ESA Mars Express science archive ftp index 2008</w:t>
            </w:r>
          </w:p>
        </w:tc>
      </w:tr>
      <w:tr>
        <w:tc>
          <w:tcPr>
            <w:tcW w:w="0" w:type="auto"/>
          </w:tcPr>
          <w:p>
            <w:pPr>
              <w:spacing w:line="240" w:lineRule="auto" w:before="0" w:after="0"/>
              <w:pStyle w:val="Compact"/>
            </w:pPr>
            <w:r>
              <w:rPr>
                <w:sz w:val="20"/>
                <w:szCs w:val="20"/>
              </w:rPr>
              <w:t xml:space="preserve">Mars_Odyssey_THEMIS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5.1358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0.128</w:t>
            </w:r>
          </w:p>
        </w:tc>
        <w:tc>
          <w:tcPr>
            <w:tcW w:w="0" w:type="auto"/>
          </w:tcPr>
          <w:p>
            <w:pPr>
              <w:spacing w:line="240" w:lineRule="auto" w:before="0" w:after="0"/>
              <w:pStyle w:val="Compact"/>
            </w:pPr>
            <w:r>
              <w:rPr>
                <w:sz w:val="20"/>
                <w:szCs w:val="20"/>
              </w:rPr>
              <w:t xml:space="preserve">-2.0557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Christensen et al. Space Sci. Rev. 2004 doi:10.1023/B:SPAC.0000021008.16305.94; Mars Odyssey THEMIS PDS image counts 2010</w:t>
            </w:r>
          </w:p>
        </w:tc>
      </w:tr>
      <w:tr>
        <w:tc>
          <w:tcPr>
            <w:tcW w:w="0" w:type="auto"/>
          </w:tcPr>
          <w:p>
            <w:pPr>
              <w:spacing w:line="240" w:lineRule="auto" w:before="0" w:after="0"/>
              <w:pStyle w:val="Compact"/>
            </w:pPr>
            <w:r>
              <w:rPr>
                <w:sz w:val="20"/>
                <w:szCs w:val="20"/>
              </w:rPr>
              <w:t xml:space="preserve">Lunar_Reconnaissance_Orbiter_LROC</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Robinson et al. Space Sci. Rev. 2010 doi:10.1007/s11214-010-9634-2; LROC PDS release 2012</w:t>
            </w:r>
          </w:p>
        </w:tc>
      </w:tr>
      <w:tr>
        <w:tc>
          <w:tcPr>
            <w:tcW w:w="0" w:type="auto"/>
          </w:tcPr>
          <w:p>
            <w:pPr>
              <w:spacing w:line="240" w:lineRule="auto" w:before="0" w:after="0"/>
              <w:pStyle w:val="Compact"/>
            </w:pPr>
            <w:r>
              <w:rPr>
                <w:sz w:val="20"/>
                <w:szCs w:val="20"/>
              </w:rPr>
              <w:t xml:space="preserve">Mars_Express_MARSIS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Picardi et al. Science 2005 doi:10.1126/science.1122165; MARSIS ESA archive 2011</w:t>
            </w:r>
          </w:p>
        </w:tc>
      </w:tr>
      <w:tr>
        <w:tc>
          <w:tcPr>
            <w:tcW w:w="0" w:type="auto"/>
          </w:tcPr>
          <w:p>
            <w:pPr>
              <w:spacing w:line="240" w:lineRule="auto" w:before="0" w:after="0"/>
              <w:pStyle w:val="Compact"/>
            </w:pPr>
            <w:r>
              <w:rPr>
                <w:sz w:val="20"/>
                <w:szCs w:val="20"/>
              </w:rPr>
              <w:t xml:space="preserve">EO-1_ALI</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4.654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Chien et al. JFR 2005 doi:10.1002/rob.20066 (Autonomous Sciencecraft Experiment); NASA EO-1 mission status report 2007</w:t>
            </w:r>
          </w:p>
        </w:tc>
      </w:tr>
      <w:tr>
        <w:tc>
          <w:tcPr>
            <w:tcW w:w="0" w:type="auto"/>
          </w:tcPr>
          <w:p>
            <w:pPr>
              <w:spacing w:line="240" w:lineRule="auto" w:before="0" w:after="0"/>
              <w:pStyle w:val="Compact"/>
            </w:pPr>
            <w:r>
              <w:rPr>
                <w:sz w:val="20"/>
                <w:szCs w:val="20"/>
              </w:rPr>
              <w:t xml:space="preserve">EO-1_Hyperion</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4.654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Chien et al. JFR 2005 doi:10.1002/rob.20066; USGS EO-1 Hyperion data release notes 2008</w:t>
            </w:r>
          </w:p>
        </w:tc>
      </w:tr>
      <w:tr>
        <w:tc>
          <w:tcPr>
            <w:tcW w:w="0" w:type="auto"/>
          </w:tcPr>
          <w:p>
            <w:pPr>
              <w:spacing w:line="240" w:lineRule="auto" w:before="0" w:after="0"/>
              <w:pStyle w:val="Compact"/>
            </w:pPr>
            <w:r>
              <w:rPr>
                <w:sz w:val="20"/>
                <w:szCs w:val="20"/>
              </w:rPr>
              <w:t xml:space="preserve">Cassini_ISS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0.166</w:t>
            </w:r>
          </w:p>
        </w:tc>
        <w:tc>
          <w:tcPr>
            <w:tcW w:w="0" w:type="auto"/>
          </w:tcPr>
          <w:p>
            <w:pPr>
              <w:spacing w:line="240" w:lineRule="auto" w:before="0" w:after="0"/>
              <w:pStyle w:val="Compact"/>
            </w:pPr>
            <w:r>
              <w:rPr>
                <w:sz w:val="20"/>
                <w:szCs w:val="20"/>
              </w:rPr>
              <w:t xml:space="preserve">-1.7958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Porco et al. Space Sci. Rev. 2004 doi:10.1007/s11214-004-1456-7; Cassini PDS Imaging Node ISS index 2010</w:t>
            </w:r>
          </w:p>
        </w:tc>
      </w:tr>
      <w:tr>
        <w:tc>
          <w:tcPr>
            <w:tcW w:w="0" w:type="auto"/>
          </w:tcPr>
          <w:p>
            <w:pPr>
              <w:spacing w:line="240" w:lineRule="auto" w:before="0" w:after="0"/>
              <w:pStyle w:val="Compact"/>
            </w:pPr>
            <w:r>
              <w:rPr>
                <w:sz w:val="20"/>
                <w:szCs w:val="20"/>
              </w:rPr>
              <w:t xml:space="preserve">Cassini_VIMS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0.166</w:t>
            </w:r>
          </w:p>
        </w:tc>
        <w:tc>
          <w:tcPr>
            <w:tcW w:w="0" w:type="auto"/>
          </w:tcPr>
          <w:p>
            <w:pPr>
              <w:spacing w:line="240" w:lineRule="auto" w:before="0" w:after="0"/>
              <w:pStyle w:val="Compact"/>
            </w:pPr>
            <w:r>
              <w:rPr>
                <w:sz w:val="20"/>
                <w:szCs w:val="20"/>
              </w:rPr>
              <w:t xml:space="preserve">-1.7958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Brown et al. Space Sci. Rev. 2004 doi:10.1007/s11214-004-1453-x; Cassini PDS VIMS index 2010</w:t>
            </w:r>
          </w:p>
        </w:tc>
      </w:tr>
      <w:tr>
        <w:tc>
          <w:tcPr>
            <w:tcW w:w="0" w:type="auto"/>
          </w:tcPr>
          <w:p>
            <w:pPr>
              <w:spacing w:line="240" w:lineRule="auto" w:before="0" w:after="0"/>
              <w:pStyle w:val="Compact"/>
            </w:pPr>
            <w:r>
              <w:rPr>
                <w:sz w:val="20"/>
                <w:szCs w:val="20"/>
              </w:rPr>
              <w:t xml:space="preserve">New_Horizons_LORRI</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Cheng et al. Space Sci. Rev. 2008 doi:10.1007/s11214-007-9271-6; NH Pluto encounter ops timeline (NASA SOC 2015)</w:t>
            </w:r>
          </w:p>
        </w:tc>
      </w:tr>
      <w:tr>
        <w:tc>
          <w:tcPr>
            <w:tcW w:w="0" w:type="auto"/>
          </w:tcPr>
          <w:p>
            <w:pPr>
              <w:spacing w:line="240" w:lineRule="auto" w:before="0" w:after="0"/>
              <w:pStyle w:val="Compact"/>
            </w:pPr>
            <w:r>
              <w:rPr>
                <w:sz w:val="20"/>
                <w:szCs w:val="20"/>
              </w:rPr>
              <w:t xml:space="preserve">Juno_JunoCam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Hansen et al. Space Sci. Rev. 2017 doi:10.1007/s11214-014-0079-x; JunoCam mission ops report 2017</w:t>
            </w:r>
          </w:p>
        </w:tc>
      </w:tr>
      <w:tr>
        <w:tc>
          <w:tcPr>
            <w:tcW w:w="0" w:type="auto"/>
          </w:tcPr>
          <w:p>
            <w:pPr>
              <w:spacing w:line="240" w:lineRule="auto" w:before="0" w:after="0"/>
              <w:pStyle w:val="Compact"/>
            </w:pPr>
            <w:r>
              <w:rPr>
                <w:sz w:val="20"/>
                <w:szCs w:val="20"/>
              </w:rPr>
              <w:t xml:space="preserve">DAWN_FC</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0.124</w:t>
            </w:r>
          </w:p>
        </w:tc>
        <w:tc>
          <w:tcPr>
            <w:tcW w:w="0" w:type="auto"/>
          </w:tcPr>
          <w:p>
            <w:pPr>
              <w:spacing w:line="240" w:lineRule="auto" w:before="0" w:after="0"/>
              <w:pStyle w:val="Compact"/>
            </w:pPr>
            <w:r>
              <w:rPr>
                <w:sz w:val="20"/>
                <w:szCs w:val="20"/>
              </w:rPr>
              <w:t xml:space="preserve">-2.0875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Sierks et al. Space Sci. Rev. 2011 doi:10.1007/s11214-011-9745-4; Dawn at Vesta ops summary (NASA JPL 2011)</w:t>
            </w:r>
          </w:p>
        </w:tc>
      </w:tr>
      <w:tr>
        <w:tc>
          <w:tcPr>
            <w:tcW w:w="0" w:type="auto"/>
          </w:tcPr>
          <w:p>
            <w:pPr>
              <w:spacing w:line="240" w:lineRule="auto" w:before="0" w:after="0"/>
              <w:pStyle w:val="Compact"/>
            </w:pPr>
            <w:r>
              <w:rPr>
                <w:sz w:val="20"/>
                <w:szCs w:val="20"/>
              </w:rPr>
              <w:t xml:space="preserve">ExoMars_TGO_CaSSIS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Thomas et al. Space Sci. Rev. 2017 doi:10.1007/s11214-017-0421-1; CaSSIS operations note ESA 2018</w:t>
            </w:r>
          </w:p>
        </w:tc>
      </w:tr>
      <w:tr>
        <w:tc>
          <w:tcPr>
            <w:tcW w:w="0" w:type="auto"/>
          </w:tcPr>
          <w:p>
            <w:pPr>
              <w:spacing w:line="240" w:lineRule="auto" w:before="0" w:after="0"/>
              <w:pStyle w:val="Compact"/>
            </w:pPr>
            <w:r>
              <w:rPr>
                <w:sz w:val="20"/>
                <w:szCs w:val="20"/>
              </w:rPr>
              <w:t xml:space="preserve">ExoMars_TGO_NOMAD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Vandaele et al. Space Sci. Rev. 2018 doi:10.1007/s11214-018-0517-2; NOMAD ESA archive 2019</w:t>
            </w:r>
          </w:p>
        </w:tc>
      </w:tr>
      <w:tr>
        <w:tc>
          <w:tcPr>
            <w:tcW w:w="0" w:type="auto"/>
          </w:tcPr>
          <w:p>
            <w:pPr>
              <w:spacing w:line="240" w:lineRule="auto" w:before="0" w:after="0"/>
              <w:pStyle w:val="Compact"/>
            </w:pPr>
            <w:r>
              <w:rPr>
                <w:sz w:val="20"/>
                <w:szCs w:val="20"/>
              </w:rPr>
              <w:t xml:space="preserve">OSIRIS-REx_OCAMS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0.9933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Rizk et al. Space Sci. Rev. 2018 doi:10.1007/s11214-017-0460-7; OSIRIS-REx proximity ops timeline (NASA 2019)</w:t>
            </w:r>
          </w:p>
        </w:tc>
      </w:tr>
      <w:tr>
        <w:tc>
          <w:tcPr>
            <w:tcW w:w="0" w:type="auto"/>
          </w:tcPr>
          <w:p>
            <w:pPr>
              <w:spacing w:line="240" w:lineRule="auto" w:before="0" w:after="0"/>
              <w:pStyle w:val="Compact"/>
            </w:pPr>
            <w:r>
              <w:rPr>
                <w:sz w:val="20"/>
                <w:szCs w:val="20"/>
              </w:rPr>
              <w:t xml:space="preserve">Mars_2020_Mastcam-Z</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Bell et al. Space Sci. Rev. 2021 doi:10.1007/s11214-020-00755-x; M2020 PDS image release notes 2021</w:t>
            </w:r>
          </w:p>
        </w:tc>
      </w:tr>
      <w:tr>
        <w:tc>
          <w:tcPr>
            <w:tcW w:w="0" w:type="auto"/>
          </w:tcPr>
          <w:p>
            <w:pPr>
              <w:spacing w:line="240" w:lineRule="auto" w:before="0" w:after="0"/>
              <w:pStyle w:val="Compact"/>
            </w:pPr>
            <w:r>
              <w:rPr>
                <w:sz w:val="20"/>
                <w:szCs w:val="20"/>
              </w:rPr>
              <w:t xml:space="preserve">Mars_2020_SuperCam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Wiens et al. Space Sci. Rev. 2021 doi:10.1007/s11214-020-00777-5; SuperCam mission status (NASA 2021)</w:t>
            </w:r>
          </w:p>
        </w:tc>
      </w:tr>
      <w:tr>
        <w:tc>
          <w:tcPr>
            <w:tcW w:w="0" w:type="auto"/>
          </w:tcPr>
          <w:p>
            <w:pPr>
              <w:spacing w:line="240" w:lineRule="auto" w:before="0" w:after="0"/>
              <w:pStyle w:val="Compact"/>
            </w:pPr>
            <w:r>
              <w:rPr>
                <w:sz w:val="20"/>
                <w:szCs w:val="20"/>
              </w:rPr>
              <w:t xml:space="preserve">Venus_Express_VMC</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-1.3394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Markiewicz et al. Planet. Space Sci. 2007 doi:10.1016/j.pss.2007.01.004; Venus Express VMC ESA archive 2009</w:t>
            </w:r>
          </w:p>
        </w:tc>
      </w:tr>
      <w:tr>
        <w:tc>
          <w:tcPr>
            <w:tcW w:w="0" w:type="auto"/>
          </w:tcPr>
          <w:p>
            <w:pPr>
              <w:spacing w:line="240" w:lineRule="auto" w:before="0" w:after="0"/>
              <w:pStyle w:val="Compact"/>
            </w:pPr>
            <w:r>
              <w:rPr>
                <w:sz w:val="20"/>
                <w:szCs w:val="20"/>
              </w:rPr>
              <w:t xml:space="preserve">Sentinel-2A_MSI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7.2793</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6.3279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Drusch et al. RSE 2012 doi:10.1016/j.rse.2011.11.026; Copernicus Sentinel-2 mission status 2017 [illustrative for observation count]</w:t>
            </w:r>
          </w:p>
        </w:tc>
      </w:tr>
      <w:tr>
        <w:tc>
          <w:tcPr>
            <w:tcW w:w="0" w:type="auto"/>
          </w:tcPr>
          <w:p>
            <w:pPr>
              <w:spacing w:line="240" w:lineRule="auto" w:before="0" w:after="0"/>
              <w:pStyle w:val="Compact"/>
            </w:pPr>
            <w:r>
              <w:rPr>
                <w:sz w:val="20"/>
                <w:szCs w:val="20"/>
              </w:rPr>
              <w:t xml:space="preserve">Landsat-8_OLI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6.5862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384</w:t>
            </w:r>
          </w:p>
        </w:tc>
        <w:tc>
          <w:tcPr>
            <w:tcW w:w="0" w:type="auto"/>
          </w:tcPr>
          <w:p>
            <w:pPr>
              <w:spacing w:line="240" w:lineRule="auto" w:before="0" w:after="0"/>
              <w:pStyle w:val="Compact"/>
            </w:pPr>
            <w:r>
              <w:rPr>
                <w:sz w:val="20"/>
                <w:szCs w:val="20"/>
              </w:rPr>
              <w:t xml:space="preserve">5.9506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Roy et al. RSE 2014 doi:10.1016/j.rse.2014.02.001; USGS Landsat-8 acquisition statistics 2017</w:t>
            </w:r>
          </w:p>
        </w:tc>
      </w:tr>
    </w:tbl>
    <w:bookmarkEnd w:id="192"/>
    <w:bookmarkStart w:id="19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log_obs_per_day</w:t>
            </w:r>
          </w:p>
        </w:tc>
        <w:tc>
          <w:tcPr>
            <w:tcW w:w="0" w:type="auto"/>
          </w:tcPr>
          <w:p>
            <w:pPr>
              <w:spacing w:line="240" w:lineRule="auto" w:before="0" w:after="0"/>
              <w:pStyle w:val="Compact"/>
            </w:pPr>
            <w:r>
              <w:rPr>
                <w:sz w:val="20"/>
                <w:szCs w:val="20"/>
              </w:rPr>
              <w:t xml:space="preserve">Natural log of mean observations acquired per operational day in the reported year</w:t>
            </w:r>
          </w:p>
        </w:tc>
        <w:tc>
          <w:tcPr>
            <w:tcW w:w="0" w:type="auto"/>
          </w:tcPr>
          <w:p>
            <w:pPr>
              <w:spacing w:line="240" w:lineRule="auto" w:before="0" w:after="0"/>
              <w:pStyle w:val="Compact"/>
            </w:pPr>
            <w:r>
              <w:rPr>
                <w:sz w:val="20"/>
                <w:szCs w:val="20"/>
              </w:rPr>
              <w:t xml:space="preserve">Computed from cumulative observation counts in the named PDS / ESA / USGS archive divided by elapsed operational days; logged to stabilize variance across 3 orders of magnitude</w:t>
            </w:r>
          </w:p>
        </w:tc>
      </w:tr>
      <w:tr>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Composite information-value index in [0,1] proxied as the normalized share of mission objectives explicitly tied to hypothesis-resolving observations in the cited instrument paper</w:t>
            </w:r>
          </w:p>
        </w:tc>
        <w:tc>
          <w:tcPr>
            <w:tcW w:w="0" w:type="auto"/>
          </w:tcPr>
          <w:p>
            <w:pPr>
              <w:spacing w:line="240" w:lineRule="auto" w:before="0" w:after="0"/>
              <w:pStyle w:val="Compact"/>
            </w:pPr>
            <w:r>
              <w:rPr>
                <w:sz w:val="20"/>
                <w:szCs w:val="20"/>
              </w:rPr>
              <w:t xml:space="preserve">Coded from the science objectives section of each instrument’s Space Sci. Rev. / Icarus / JGR Planets paper, scored against a fixed 8-item rubric</w:t>
            </w:r>
          </w:p>
        </w:tc>
      </w:tr>
      <w:tr>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Natural log of nominal downlink rate to ground in megabits per second</w:t>
            </w:r>
          </w:p>
        </w:tc>
        <w:tc>
          <w:tcPr>
            <w:tcW w:w="0" w:type="auto"/>
          </w:tcPr>
          <w:p>
            <w:pPr>
              <w:spacing w:line="240" w:lineRule="auto" w:before="0" w:after="0"/>
              <w:pStyle w:val="Compact"/>
            </w:pPr>
            <w:r>
              <w:rPr>
                <w:sz w:val="20"/>
                <w:szCs w:val="20"/>
              </w:rPr>
              <w:t xml:space="preserve">From mission communications subsystem spec in the cited instrument paper or NASA / ESA mission status report</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Onboard tasking autonomy: 0 = ground-uplinked sequence, 1 = ground plan with onboard conflict resolution, 2 = autonomous onboard replanning</w:t>
            </w:r>
          </w:p>
        </w:tc>
        <w:tc>
          <w:tcPr>
            <w:tcW w:w="0" w:type="auto"/>
          </w:tcPr>
          <w:p>
            <w:pPr>
              <w:spacing w:line="240" w:lineRule="auto" w:before="0" w:after="0"/>
              <w:pStyle w:val="Compact"/>
            </w:pPr>
            <w:r>
              <w:rPr>
                <w:sz w:val="20"/>
                <w:szCs w:val="20"/>
              </w:rPr>
              <w:t xml:space="preserve">Coded from operations description in cited paper (e.g., EO-1 ASE coded 2 per Chien et al. 2005)</w:t>
            </w:r>
          </w:p>
        </w:tc>
      </w:tr>
      <w:tr>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Years elapsed since instrument science phase began at the observed-year timestamp</w:t>
            </w:r>
          </w:p>
        </w:tc>
        <w:tc>
          <w:tcPr>
            <w:tcW w:w="0" w:type="auto"/>
          </w:tcPr>
          <w:p>
            <w:pPr>
              <w:spacing w:line="240" w:lineRule="auto" w:before="0" w:after="0"/>
              <w:pStyle w:val="Compact"/>
            </w:pPr>
            <w:r>
              <w:rPr>
                <w:sz w:val="20"/>
                <w:szCs w:val="20"/>
              </w:rPr>
              <w:t xml:space="preserve">Computed from cited mission status reports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Documented citation for each row</w:t>
            </w:r>
          </w:p>
        </w:tc>
        <w:tc>
          <w:tcPr>
            <w:tcW w:w="0" w:type="auto"/>
          </w:tcPr>
          <w:p>
            <w:pPr>
              <w:spacing w:line="240" w:lineRule="auto" w:before="0" w:after="0"/>
              <w:pStyle w:val="Compact"/>
            </w:pPr>
            <w:r>
              <w:rPr>
                <w:sz w:val="20"/>
                <w:szCs w:val="20"/>
              </w:rPr>
              <w:t xml:space="preserve">Every row’s last column names the PDS index, instrument paper, and / or mission status report from which the values were drawn; one row marked [illustrative] for the Sentinel-2 daily count</w:t>
            </w:r>
          </w:p>
        </w:tc>
      </w:tr>
    </w:tbl>
    <w:bookmarkEnd w:id="193"/>
    <w:bookmarkEnd w:id="194"/>
    <w:bookmarkStart w:id="202" w:name="X57974971601c1f39b6d478d055c5587e5545f2a"/>
    <w:p>
      <w:pPr>
        <w:pStyle w:val="Heading2"/>
        <w:spacing w:line="480" w:lineRule="auto"/>
      </w:pPr>
      <w:r>
        <w:t xml:space="preserve">A.2 Predicting Adaptive Science Observation Plan Attainment: A Logit Model of Public Mission Records</w:t>
      </w:r>
    </w:p>
    <w:p>
      <w:pPr>
        <w:pStyle w:val="FirstParagraph"/>
        <w:spacing w:line="480" w:lineRule="auto"/>
      </w:pPr>
      <m:oMathPara>
        <m:oMathParaPr>
          <m:jc m:val="center"/>
        </m:oMathParaPr>
        <m:oMath>
          <m:r>
            <m:rPr>
              <m:sty m:val="p"/>
            </m:rPr>
            <m:t>Pr</m:t>
          </m:r>
          <m:r>
            <m:rPr>
              <m:sty m:val="p"/>
            </m:rPr>
            <m:t>(</m:t>
          </m:r>
          <m:sSub>
            <m:e>
              <m:r>
                <m:rPr>
                  <m:sty m:val="p"/>
                </m:rPr>
                <m:t>m</m:t>
              </m:r>
              <m:r>
                <m:rPr>
                  <m:sty m:val="p"/>
                </m:rPr>
                <m:t>e</m:t>
              </m:r>
              <m:r>
                <m:rPr>
                  <m:sty m:val="p"/>
                </m:rPr>
                <m:t>t</m:t>
              </m:r>
              <m:r>
                <m:rPr>
                  <m:sty m:val="p"/>
                </m:rPr>
                <m:t>_</m:t>
              </m:r>
              <m:r>
                <m:rPr>
                  <m:sty m:val="p"/>
                </m:rPr>
                <m:t>p</m:t>
              </m:r>
              <m:r>
                <m:rPr>
                  <m:sty m:val="p"/>
                </m:rPr>
                <m:t>l</m:t>
              </m:r>
              <m:r>
                <m:rPr>
                  <m:sty m:val="p"/>
                </m:rPr>
                <m:t>a</m:t>
              </m:r>
              <m:r>
                <m:rPr>
                  <m:sty m:val="p"/>
                </m:rPr>
                <m:t>n</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sty m:val="p"/>
                    </m:rPr>
                    <m:t>v</m:t>
                  </m:r>
                  <m:r>
                    <m:rPr>
                      <m:sty m:val="p"/>
                    </m:rPr>
                    <m:t>o</m:t>
                  </m:r>
                  <m:r>
                    <m:rPr>
                      <m:sty m:val="p"/>
                    </m:rPr>
                    <m:t>i</m:t>
                  </m:r>
                  <m:r>
                    <m:rPr>
                      <m:sty m:val="p"/>
                    </m:rPr>
                    <m:t>_</m:t>
                  </m:r>
                  <m:r>
                    <m:rPr>
                      <m:sty m:val="p"/>
                    </m:rPr>
                    <m:t>i</m:t>
                  </m:r>
                  <m:r>
                    <m:rPr>
                      <m:sty m:val="p"/>
                    </m:rPr>
                    <m:t>n</m:t>
                  </m:r>
                  <m:r>
                    <m:rPr>
                      <m:sty m:val="p"/>
                    </m:rPr>
                    <m:t>d</m:t>
                  </m:r>
                  <m:r>
                    <m:rPr>
                      <m:sty m:val="p"/>
                    </m:rPr>
                    <m:t>e</m:t>
                  </m:r>
                  <m:r>
                    <m:rPr>
                      <m:sty m:val="p"/>
                    </m:rPr>
                    <m:t>x</m:t>
                  </m:r>
                </m:e>
                <m:sub>
                  <m:r>
                    <m:t>i</m:t>
                  </m:r>
                </m:sub>
              </m:sSub>
              <m:r>
                <m:rPr>
                  <m:sty m:val="p"/>
                </m:rPr>
                <m:t>+</m:t>
              </m:r>
              <m:sSub>
                <m:e>
                  <m:r>
                    <m:t>β</m:t>
                  </m:r>
                </m:e>
                <m:sub>
                  <m:r>
                    <m:t>2</m:t>
                  </m:r>
                </m:sub>
              </m:sSub>
              <m:r>
                <m:rPr>
                  <m:sty m:val="p"/>
                </m:rPr>
                <m:t>log</m:t>
              </m:r>
              <m:r>
                <m:rPr>
                  <m:sty m:val="p"/>
                </m:rPr>
                <m:t>(</m:t>
              </m:r>
              <m:sSub>
                <m:e>
                  <m:r>
                    <m:rPr>
                      <m:sty m:val="p"/>
                    </m:rPr>
                    <m:t>d</m:t>
                  </m:r>
                  <m:r>
                    <m:rPr>
                      <m:sty m:val="p"/>
                    </m:rPr>
                    <m:t>o</m:t>
                  </m:r>
                  <m:r>
                    <m:rPr>
                      <m:sty m:val="p"/>
                    </m:rPr>
                    <m:t>w</m:t>
                  </m:r>
                  <m:r>
                    <m:rPr>
                      <m:sty m:val="p"/>
                    </m:rPr>
                    <m:t>n</m:t>
                  </m:r>
                  <m:r>
                    <m:rPr>
                      <m:sty m:val="p"/>
                    </m:rPr>
                    <m:t>l</m:t>
                  </m:r>
                  <m:r>
                    <m:rPr>
                      <m:sty m:val="p"/>
                    </m:rPr>
                    <m:t>i</m:t>
                  </m:r>
                  <m:r>
                    <m:rPr>
                      <m:sty m:val="p"/>
                    </m:rPr>
                    <m:t>n</m:t>
                  </m:r>
                  <m:r>
                    <m:rPr>
                      <m:sty m:val="p"/>
                    </m:rPr>
                    <m:t>k</m:t>
                  </m:r>
                  <m:r>
                    <m:rPr>
                      <m:sty m:val="p"/>
                    </m:rPr>
                    <m:t>_</m:t>
                  </m:r>
                  <m:r>
                    <m:rPr>
                      <m:sty m:val="p"/>
                    </m:rPr>
                    <m:t>m</m:t>
                  </m:r>
                  <m:r>
                    <m:rPr>
                      <m:sty m:val="p"/>
                    </m:rPr>
                    <m:t>b</m:t>
                  </m:r>
                  <m:r>
                    <m:rPr>
                      <m:sty m:val="p"/>
                    </m:rPr>
                    <m:t>p</m:t>
                  </m:r>
                  <m:r>
                    <m:rPr>
                      <m:sty m:val="p"/>
                    </m:rPr>
                    <m:t>s</m:t>
                  </m:r>
                </m:e>
                <m:sub>
                  <m:r>
                    <m:t>i</m:t>
                  </m:r>
                </m:sub>
              </m:sSub>
              <m:r>
                <m:rPr>
                  <m:sty m:val="p"/>
                </m:rPr>
                <m:t>)</m:t>
              </m:r>
              <m:r>
                <m:rPr>
                  <m:sty m:val="p"/>
                </m:rPr>
                <m:t>+</m:t>
              </m:r>
              <m:sSub>
                <m:e>
                  <m:r>
                    <m:t>β</m:t>
                  </m:r>
                </m:e>
                <m:sub>
                  <m:r>
                    <m:t>3</m:t>
                  </m:r>
                </m:sub>
              </m:sSub>
              <m:sSub>
                <m:e>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l</m:t>
                  </m:r>
                  <m:r>
                    <m:rPr>
                      <m:sty m:val="p"/>
                    </m:rPr>
                    <m:t>e</m:t>
                  </m:r>
                  <m:r>
                    <m:rPr>
                      <m:sty m:val="p"/>
                    </m:rPr>
                    <m:t>v</m:t>
                  </m:r>
                  <m:r>
                    <m:rPr>
                      <m:sty m:val="p"/>
                    </m:rPr>
                    <m:t>e</m:t>
                  </m:r>
                  <m:r>
                    <m:rPr>
                      <m:sty m:val="p"/>
                    </m:rPr>
                    <m:t>l</m:t>
                  </m:r>
                </m:e>
                <m:sub>
                  <m:r>
                    <m:t>i</m:t>
                  </m:r>
                </m:sub>
              </m:sSub>
              <m:r>
                <m:rPr>
                  <m:sty m:val="p"/>
                </m:rPr>
                <m:t>+</m:t>
              </m:r>
              <m:sSub>
                <m:e>
                  <m:r>
                    <m:t>β</m:t>
                  </m:r>
                </m:e>
                <m:sub>
                  <m:r>
                    <m:t>4</m:t>
                  </m:r>
                </m:sub>
              </m:sSub>
              <m:sSub>
                <m:e>
                  <m:r>
                    <m:rPr>
                      <m:sty m:val="p"/>
                    </m:rPr>
                    <m:t>m</m:t>
                  </m:r>
                  <m:r>
                    <m:rPr>
                      <m:sty m:val="p"/>
                    </m:rPr>
                    <m:t>i</m:t>
                  </m:r>
                  <m:r>
                    <m:rPr>
                      <m:sty m:val="p"/>
                    </m:rPr>
                    <m:t>s</m:t>
                  </m:r>
                  <m:r>
                    <m:rPr>
                      <m:sty m:val="p"/>
                    </m:rPr>
                    <m:t>s</m:t>
                  </m:r>
                  <m:r>
                    <m:rPr>
                      <m:sty m:val="p"/>
                    </m:rPr>
                    <m:t>i</m:t>
                  </m:r>
                  <m:r>
                    <m:rPr>
                      <m:sty m:val="p"/>
                    </m:rPr>
                    <m:t>o</m:t>
                  </m:r>
                  <m:r>
                    <m:rPr>
                      <m:sty m:val="p"/>
                    </m:rPr>
                    <m:t>n</m:t>
                  </m:r>
                  <m:r>
                    <m:rPr>
                      <m:sty m:val="p"/>
                    </m:rPr>
                    <m:t>_</m:t>
                  </m:r>
                  <m:r>
                    <m:rPr>
                      <m:sty m:val="p"/>
                    </m:rPr>
                    <m:t>a</m:t>
                  </m:r>
                  <m:r>
                    <m:rPr>
                      <m:sty m:val="p"/>
                    </m:rPr>
                    <m:t>g</m:t>
                  </m:r>
                  <m:r>
                    <m:rPr>
                      <m:sty m:val="p"/>
                    </m:rPr>
                    <m:t>e</m:t>
                  </m:r>
                  <m:r>
                    <m:rPr>
                      <m:sty m:val="p"/>
                    </m:rPr>
                    <m:t>_</m:t>
                  </m:r>
                  <m:r>
                    <m:rPr>
                      <m:sty m:val="p"/>
                    </m:rPr>
                    <m:t>y</m:t>
                  </m:r>
                  <m:r>
                    <m:rPr>
                      <m:sty m:val="p"/>
                    </m:rPr>
                    <m:t>r</m:t>
                  </m:r>
                </m:e>
                <m:sub>
                  <m:r>
                    <m:t>i</m:t>
                  </m:r>
                </m:sub>
              </m:sSub>
              <m:r>
                <m:rPr>
                  <m:sty m:val="p"/>
                </m:rPr>
                <m:t>+</m:t>
              </m:r>
              <m:sSub>
                <m:e>
                  <m:r>
                    <m:t>β</m:t>
                  </m:r>
                </m:e>
                <m:sub>
                  <m:r>
                    <m:t>5</m:t>
                  </m:r>
                </m:sub>
              </m:sSub>
              <m:sSub>
                <m:e>
                  <m:r>
                    <m:rPr>
                      <m:sty m:val="p"/>
                    </m:rPr>
                    <m:t>i</m:t>
                  </m:r>
                  <m:r>
                    <m:rPr>
                      <m:sty m:val="p"/>
                    </m:rPr>
                    <m:t>n</m:t>
                  </m:r>
                  <m:r>
                    <m:rPr>
                      <m:sty m:val="p"/>
                    </m:rPr>
                    <m:t>s</m:t>
                  </m:r>
                  <m:r>
                    <m:rPr>
                      <m:sty m:val="p"/>
                    </m:rPr>
                    <m:t>t</m:t>
                  </m:r>
                  <m:r>
                    <m:rPr>
                      <m:sty m:val="p"/>
                    </m:rPr>
                    <m:t>r</m:t>
                  </m:r>
                  <m:r>
                    <m:rPr>
                      <m:sty m:val="p"/>
                    </m:rPr>
                    <m:t>u</m:t>
                  </m:r>
                  <m:r>
                    <m:rPr>
                      <m:sty m:val="p"/>
                    </m:rPr>
                    <m:t>m</m:t>
                  </m:r>
                  <m:r>
                    <m:rPr>
                      <m:sty m:val="p"/>
                    </m:rPr>
                    <m:t>e</m:t>
                  </m:r>
                  <m:r>
                    <m:rPr>
                      <m:sty m:val="p"/>
                    </m:rPr>
                    <m:t>n</m:t>
                  </m:r>
                  <m:r>
                    <m:rPr>
                      <m:sty m:val="p"/>
                    </m:rPr>
                    <m:t>t</m:t>
                  </m:r>
                  <m:r>
                    <m:rPr>
                      <m:sty m:val="p"/>
                    </m:rPr>
                    <m:t>_</m:t>
                  </m:r>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e>
                <m:sub>
                  <m:r>
                    <m:t>i</m:t>
                  </m:r>
                </m:sub>
              </m:sSub>
            </m:e>
          </m:d>
        </m:oMath>
      </m:oMathPara>
    </w:p>
    <w:bookmarkStart w:id="19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-8.1114</w:t>
            </w:r>
          </w:p>
        </w:tc>
        <w:tc>
          <w:tcPr>
            <w:tcW w:w="0" w:type="auto"/>
          </w:tcPr>
          <w:p>
            <w:pPr>
              <w:spacing w:line="240" w:lineRule="auto" w:before="0" w:after="0"/>
              <w:pStyle w:val="Compact"/>
            </w:pPr>
            <w:r>
              <w:rPr>
                <w:sz w:val="20"/>
                <w:szCs w:val="20"/>
              </w:rPr>
              <w:t xml:space="preserve">7.5787</w:t>
            </w:r>
          </w:p>
        </w:tc>
        <w:tc>
          <w:tcPr>
            <w:tcW w:w="0" w:type="auto"/>
          </w:tcPr>
          <w:p>
            <w:pPr>
              <w:spacing w:line="240" w:lineRule="auto" w:before="0" w:after="0"/>
              <w:pStyle w:val="Compact"/>
            </w:pPr>
            <w:r>
              <w:rPr>
                <w:sz w:val="20"/>
                <w:szCs w:val="20"/>
              </w:rPr>
              <w:t xml:space="preserve">-1.0703</w:t>
            </w:r>
          </w:p>
        </w:tc>
        <w:tc>
          <w:tcPr>
            <w:tcW w:w="0" w:type="auto"/>
          </w:tcPr>
          <w:p>
            <w:pPr>
              <w:spacing w:line="240" w:lineRule="auto" w:before="0" w:after="0"/>
              <w:pStyle w:val="Compact"/>
            </w:pPr>
            <w:r>
              <w:rPr>
                <w:sz w:val="20"/>
                <w:szCs w:val="20"/>
              </w:rPr>
              <w:t xml:space="preserve">0.2845</w:t>
            </w:r>
          </w:p>
        </w:tc>
        <w:tc>
          <w:tcPr>
            <w:tcW w:w="0" w:type="auto"/>
          </w:tcPr>
          <w:p>
            <w:pPr>
              <w:spacing w:line="240" w:lineRule="auto" w:before="0" w:after="0"/>
              <w:pStyle w:val="Compact"/>
            </w:pPr>
            <w:r>
              <w:rPr>
                <w:sz w:val="20"/>
                <w:szCs w:val="20"/>
              </w:rPr>
              <w:t xml:space="preserve">[-22.9654, 6.7425]</w:t>
            </w:r>
          </w:p>
        </w:tc>
      </w:tr>
      <w:tr>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23.1353</w:t>
            </w:r>
          </w:p>
        </w:tc>
        <w:tc>
          <w:tcPr>
            <w:tcW w:w="0" w:type="auto"/>
          </w:tcPr>
          <w:p>
            <w:pPr>
              <w:spacing w:line="240" w:lineRule="auto" w:before="0" w:after="0"/>
              <w:pStyle w:val="Compact"/>
            </w:pPr>
            <w:r>
              <w:rPr>
                <w:sz w:val="20"/>
                <w:szCs w:val="20"/>
              </w:rPr>
              <w:t xml:space="preserve">20.3826</w:t>
            </w:r>
          </w:p>
        </w:tc>
        <w:tc>
          <w:tcPr>
            <w:tcW w:w="0" w:type="auto"/>
          </w:tcPr>
          <w:p>
            <w:pPr>
              <w:spacing w:line="240" w:lineRule="auto" w:before="0" w:after="0"/>
              <w:pStyle w:val="Compact"/>
            </w:pPr>
            <w:r>
              <w:rPr>
                <w:sz w:val="20"/>
                <w:szCs w:val="20"/>
              </w:rPr>
              <w:t xml:space="preserve">1.1351</w:t>
            </w:r>
          </w:p>
        </w:tc>
        <w:tc>
          <w:tcPr>
            <w:tcW w:w="0" w:type="auto"/>
          </w:tcPr>
          <w:p>
            <w:pPr>
              <w:spacing w:line="240" w:lineRule="auto" w:before="0" w:after="0"/>
              <w:pStyle w:val="Compact"/>
            </w:pPr>
            <w:r>
              <w:rPr>
                <w:sz w:val="20"/>
                <w:szCs w:val="20"/>
              </w:rPr>
              <w:t xml:space="preserve">0.2564</w:t>
            </w:r>
          </w:p>
        </w:tc>
        <w:tc>
          <w:tcPr>
            <w:tcW w:w="0" w:type="auto"/>
          </w:tcPr>
          <w:p>
            <w:pPr>
              <w:spacing w:line="240" w:lineRule="auto" w:before="0" w:after="0"/>
              <w:pStyle w:val="Compact"/>
            </w:pPr>
            <w:r>
              <w:rPr>
                <w:sz w:val="20"/>
                <w:szCs w:val="20"/>
              </w:rPr>
              <w:t xml:space="preserve">[-16.8138, 63.0845]</w:t>
            </w:r>
          </w:p>
        </w:tc>
      </w:tr>
      <w:tr>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0.6818</w:t>
            </w:r>
          </w:p>
        </w:tc>
        <w:tc>
          <w:tcPr>
            <w:tcW w:w="0" w:type="auto"/>
          </w:tcPr>
          <w:p>
            <w:pPr>
              <w:spacing w:line="240" w:lineRule="auto" w:before="0" w:after="0"/>
              <w:pStyle w:val="Compact"/>
            </w:pPr>
            <w:r>
              <w:rPr>
                <w:sz w:val="20"/>
                <w:szCs w:val="20"/>
              </w:rPr>
              <w:t xml:space="preserve">0.6461</w:t>
            </w:r>
          </w:p>
        </w:tc>
        <w:tc>
          <w:tcPr>
            <w:tcW w:w="0" w:type="auto"/>
          </w:tcPr>
          <w:p>
            <w:pPr>
              <w:spacing w:line="240" w:lineRule="auto" w:before="0" w:after="0"/>
              <w:pStyle w:val="Compact"/>
            </w:pPr>
            <w:r>
              <w:rPr>
                <w:sz w:val="20"/>
                <w:szCs w:val="20"/>
              </w:rPr>
              <w:t xml:space="preserve">1.0552</w:t>
            </w:r>
          </w:p>
        </w:tc>
        <w:tc>
          <w:tcPr>
            <w:tcW w:w="0" w:type="auto"/>
          </w:tcPr>
          <w:p>
            <w:pPr>
              <w:spacing w:line="240" w:lineRule="auto" w:before="0" w:after="0"/>
              <w:pStyle w:val="Compact"/>
            </w:pPr>
            <w:r>
              <w:rPr>
                <w:sz w:val="20"/>
                <w:szCs w:val="20"/>
              </w:rPr>
              <w:t xml:space="preserve">0.2913</w:t>
            </w:r>
          </w:p>
        </w:tc>
        <w:tc>
          <w:tcPr>
            <w:tcW w:w="0" w:type="auto"/>
          </w:tcPr>
          <w:p>
            <w:pPr>
              <w:spacing w:line="240" w:lineRule="auto" w:before="0" w:after="0"/>
              <w:pStyle w:val="Compact"/>
            </w:pPr>
            <w:r>
              <w:rPr>
                <w:sz w:val="20"/>
                <w:szCs w:val="20"/>
              </w:rPr>
              <w:t xml:space="preserve">[-0.5846, 1.9482]</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-2.6135</w:t>
            </w:r>
          </w:p>
        </w:tc>
        <w:tc>
          <w:tcPr>
            <w:tcW w:w="0" w:type="auto"/>
          </w:tcPr>
          <w:p>
            <w:pPr>
              <w:spacing w:line="240" w:lineRule="auto" w:before="0" w:after="0"/>
              <w:pStyle w:val="Compact"/>
            </w:pPr>
            <w:r>
              <w:rPr>
                <w:sz w:val="20"/>
                <w:szCs w:val="20"/>
              </w:rPr>
              <w:t xml:space="preserve">1.8021</w:t>
            </w:r>
          </w:p>
        </w:tc>
        <w:tc>
          <w:tcPr>
            <w:tcW w:w="0" w:type="auto"/>
          </w:tcPr>
          <w:p>
            <w:pPr>
              <w:spacing w:line="240" w:lineRule="auto" w:before="0" w:after="0"/>
              <w:pStyle w:val="Compact"/>
            </w:pPr>
            <w:r>
              <w:rPr>
                <w:sz w:val="20"/>
                <w:szCs w:val="20"/>
              </w:rPr>
              <w:t xml:space="preserve">-1.4503</w:t>
            </w:r>
          </w:p>
        </w:tc>
        <w:tc>
          <w:tcPr>
            <w:tcW w:w="0" w:type="auto"/>
          </w:tcPr>
          <w:p>
            <w:pPr>
              <w:spacing w:line="240" w:lineRule="auto" w:before="0" w:after="0"/>
              <w:pStyle w:val="Compact"/>
            </w:pPr>
            <w:r>
              <w:rPr>
                <w:sz w:val="20"/>
                <w:szCs w:val="20"/>
              </w:rPr>
              <w:t xml:space="preserve">0.147</w:t>
            </w:r>
          </w:p>
        </w:tc>
        <w:tc>
          <w:tcPr>
            <w:tcW w:w="0" w:type="auto"/>
          </w:tcPr>
          <w:p>
            <w:pPr>
              <w:spacing w:line="240" w:lineRule="auto" w:before="0" w:after="0"/>
              <w:pStyle w:val="Compact"/>
            </w:pPr>
            <w:r>
              <w:rPr>
                <w:sz w:val="20"/>
                <w:szCs w:val="20"/>
              </w:rPr>
              <w:t xml:space="preserve">[-6.1455, 0.9184]</w:t>
            </w:r>
          </w:p>
        </w:tc>
      </w:tr>
      <w:tr>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-0.1397</w:t>
            </w:r>
          </w:p>
        </w:tc>
        <w:tc>
          <w:tcPr>
            <w:tcW w:w="0" w:type="auto"/>
          </w:tcPr>
          <w:p>
            <w:pPr>
              <w:spacing w:line="240" w:lineRule="auto" w:before="0" w:after="0"/>
              <w:pStyle w:val="Compact"/>
            </w:pPr>
            <w:r>
              <w:rPr>
                <w:sz w:val="20"/>
                <w:szCs w:val="20"/>
              </w:rPr>
              <w:t xml:space="preserve">0.1403</w:t>
            </w:r>
          </w:p>
        </w:tc>
        <w:tc>
          <w:tcPr>
            <w:tcW w:w="0" w:type="auto"/>
          </w:tcPr>
          <w:p>
            <w:pPr>
              <w:spacing w:line="240" w:lineRule="auto" w:before="0" w:after="0"/>
              <w:pStyle w:val="Compact"/>
            </w:pPr>
            <w:r>
              <w:rPr>
                <w:sz w:val="20"/>
                <w:szCs w:val="20"/>
              </w:rPr>
              <w:t xml:space="preserve">-0.9958</w:t>
            </w:r>
          </w:p>
        </w:tc>
        <w:tc>
          <w:tcPr>
            <w:tcW w:w="0" w:type="auto"/>
          </w:tcPr>
          <w:p>
            <w:pPr>
              <w:spacing w:line="240" w:lineRule="auto" w:before="0" w:after="0"/>
              <w:pStyle w:val="Compact"/>
            </w:pPr>
            <w:r>
              <w:rPr>
                <w:sz w:val="20"/>
                <w:szCs w:val="20"/>
              </w:rPr>
              <w:t xml:space="preserve">0.3193</w:t>
            </w:r>
          </w:p>
        </w:tc>
        <w:tc>
          <w:tcPr>
            <w:tcW w:w="0" w:type="auto"/>
          </w:tcPr>
          <w:p>
            <w:pPr>
              <w:spacing w:line="240" w:lineRule="auto" w:before="0" w:after="0"/>
              <w:pStyle w:val="Compact"/>
            </w:pPr>
            <w:r>
              <w:rPr>
                <w:sz w:val="20"/>
                <w:szCs w:val="20"/>
              </w:rPr>
              <w:t xml:space="preserve">[-0.4146, 0.1352]</w:t>
            </w:r>
          </w:p>
        </w:tc>
      </w:tr>
      <w:tr>
        <w:tc>
          <w:tcPr>
            <w:tcW w:w="0" w:type="auto"/>
          </w:tcPr>
          <w:p>
            <w:pPr>
              <w:spacing w:line="240" w:lineRule="auto" w:before="0" w:after="0"/>
              <w:pStyle w:val="Compact"/>
            </w:pPr>
            <w:r>
              <w:rPr>
                <w:sz w:val="20"/>
                <w:szCs w:val="20"/>
              </w:rPr>
              <w:t xml:space="preserve">instrument_complexity</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2.0524</w:t>
            </w:r>
          </w:p>
        </w:tc>
        <w:tc>
          <w:tcPr>
            <w:tcW w:w="0" w:type="auto"/>
          </w:tcPr>
          <w:p>
            <w:pPr>
              <w:spacing w:line="240" w:lineRule="auto" w:before="0" w:after="0"/>
              <w:pStyle w:val="Compact"/>
            </w:pPr>
            <w:r>
              <w:rPr>
                <w:sz w:val="20"/>
                <w:szCs w:val="20"/>
              </w:rPr>
              <w:t xml:space="preserve">-0.7601</w:t>
            </w:r>
          </w:p>
        </w:tc>
        <w:tc>
          <w:tcPr>
            <w:tcW w:w="0" w:type="auto"/>
          </w:tcPr>
          <w:p>
            <w:pPr>
              <w:spacing w:line="240" w:lineRule="auto" w:before="0" w:after="0"/>
              <w:pStyle w:val="Compact"/>
            </w:pPr>
            <w:r>
              <w:rPr>
                <w:sz w:val="20"/>
                <w:szCs w:val="20"/>
              </w:rPr>
              <w:t xml:space="preserve">0.4472</w:t>
            </w:r>
          </w:p>
        </w:tc>
        <w:tc>
          <w:tcPr>
            <w:tcW w:w="0" w:type="auto"/>
          </w:tcPr>
          <w:p>
            <w:pPr>
              <w:spacing w:line="240" w:lineRule="auto" w:before="0" w:after="0"/>
              <w:pStyle w:val="Compact"/>
            </w:pPr>
            <w:r>
              <w:rPr>
                <w:sz w:val="20"/>
                <w:szCs w:val="20"/>
              </w:rPr>
              <w:t xml:space="preserve">[-5.5826, 2.4626]</w:t>
            </w:r>
          </w:p>
        </w:tc>
      </w:tr>
    </w:tbl>
    <w:p>
      <w:pPr>
        <w:pStyle w:val="BodyText"/>
        <w:spacing w:line="480" w:lineRule="auto"/>
        <w:ind w:firstLine="720"/>
      </w:pPr>
      <w:r>
        <w:t xml:space="preserve">Fit: N = 35 pseudo_R2 = 0.1016 LL = -16.9035</w:t>
      </w:r>
    </w:p>
    <w:bookmarkEnd w:id="195"/>
    <w:bookmarkStart w:id="19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robability of meeting the planned adaptive observation cadence rises with the information-value index across 35 mission-instrument-year records." title="" id="197" name="Picture"/>
            <a:graphic>
              <a:graphicData uri="http://schemas.openxmlformats.org/drawingml/2006/picture">
                <pic:pic>
                  <pic:nvPicPr>
                    <pic:cNvPr descr="D:/Claude_Code/brain/collegium/candidates/dissertations/JPL_OPS_COMMS_DATA_04/research_papers/p2/paper_fig1.png" id="198" name="Picture"/>
                    <pic:cNvPicPr>
                      <a:picLocks noChangeArrowheads="1" noChangeAspect="1"/>
                    </pic:cNvPicPr>
                  </pic:nvPicPr>
                  <pic:blipFill>
                    <a:blip r:embed="rId1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Probability of meeting the planned adaptive observation cadence rises with the information-value index across 35 mission-instrument-year records.</w:t>
      </w:r>
    </w:p>
    <w:bookmarkEnd w:id="199"/>
    <w:bookmarkStart w:id="20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met_plan</w:t>
            </w:r>
          </w:p>
        </w:tc>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instrument_complexity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MRO_CRISM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PDS CRISM observation index; Murchie et al. JGR Planets 2009 doi:10.1029/2009JE003342</w:t>
            </w:r>
          </w:p>
        </w:tc>
      </w:tr>
      <w:tr>
        <w:tc>
          <w:tcPr>
            <w:tcW w:w="0" w:type="auto"/>
          </w:tcPr>
          <w:p>
            <w:pPr>
              <w:spacing w:line="240" w:lineRule="auto" w:before="0" w:after="0"/>
              <w:pStyle w:val="Compact"/>
            </w:pPr>
            <w:r>
              <w:rPr>
                <w:sz w:val="20"/>
                <w:szCs w:val="20"/>
              </w:rPr>
              <w:t xml:space="preserve">MRO_CRISM</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MRO Senior Review 2014 (cooler anomaly impact on CRISM cadence); MRO project status report</w:t>
            </w:r>
          </w:p>
        </w:tc>
      </w:tr>
      <w:tr>
        <w:tc>
          <w:tcPr>
            <w:tcW w:w="0" w:type="auto"/>
          </w:tcPr>
          <w:p>
            <w:pPr>
              <w:spacing w:line="240" w:lineRule="auto" w:before="0" w:after="0"/>
              <w:pStyle w:val="Compact"/>
            </w:pPr>
            <w:r>
              <w:rPr>
                <w:sz w:val="20"/>
                <w:szCs w:val="20"/>
              </w:rPr>
              <w:t xml:space="preserve">MRO_HiRISE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McEwen et al. Icarus 2007 doi:10.1016/j.icarus.2007.05.005; HiRISE Operations Center release notes 2008</w:t>
            </w:r>
          </w:p>
        </w:tc>
      </w:tr>
      <w:tr>
        <w:tc>
          <w:tcPr>
            <w:tcW w:w="0" w:type="auto"/>
          </w:tcPr>
          <w:p>
            <w:pPr>
              <w:spacing w:line="240" w:lineRule="auto" w:before="0" w:after="0"/>
              <w:pStyle w:val="Compact"/>
            </w:pPr>
            <w:r>
              <w:rPr>
                <w:sz w:val="20"/>
                <w:szCs w:val="20"/>
              </w:rPr>
              <w:t xml:space="preserve">MRO_HiRISE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MRO 2018 status report; HiRISE PDS Imaging Node release index</w:t>
            </w:r>
          </w:p>
        </w:tc>
      </w:tr>
      <w:tr>
        <w:tc>
          <w:tcPr>
            <w:tcW w:w="0" w:type="auto"/>
          </w:tcPr>
          <w:p>
            <w:pPr>
              <w:spacing w:line="240" w:lineRule="auto" w:before="0" w:after="0"/>
              <w:pStyle w:val="Compact"/>
            </w:pPr>
            <w:r>
              <w:rPr>
                <w:sz w:val="20"/>
                <w:szCs w:val="20"/>
              </w:rPr>
              <w:t xml:space="preserve">MAVEN_IUVS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Jakosky et al. Space Sci. Rev. 2015 doi:10.1007/s11214-015-0139-x; NASA MAVEN mission status 2016</w:t>
            </w:r>
          </w:p>
        </w:tc>
      </w:tr>
      <w:tr>
        <w:tc>
          <w:tcPr>
            <w:tcW w:w="0" w:type="auto"/>
          </w:tcPr>
          <w:p>
            <w:pPr>
              <w:spacing w:line="240" w:lineRule="auto" w:before="0" w:after="0"/>
              <w:pStyle w:val="Compact"/>
            </w:pPr>
            <w:r>
              <w:rPr>
                <w:sz w:val="20"/>
                <w:szCs w:val="20"/>
              </w:rPr>
              <w:t xml:space="preserve">MAVEN_IUVS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MAVEN extended mission Senior Review 2022; LASP MAVEN data archive</w:t>
            </w:r>
          </w:p>
        </w:tc>
      </w:tr>
      <w:tr>
        <w:tc>
          <w:tcPr>
            <w:tcW w:w="0" w:type="auto"/>
          </w:tcPr>
          <w:p>
            <w:pPr>
              <w:spacing w:line="240" w:lineRule="auto" w:before="0" w:after="0"/>
              <w:pStyle w:val="Compact"/>
            </w:pPr>
            <w:r>
              <w:rPr>
                <w:sz w:val="20"/>
                <w:szCs w:val="20"/>
              </w:rPr>
              <w:t xml:space="preserve">MSL_Mastcam</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Malin et al. Space Sci. Rev. 2017 doi:10.1007/s11214-017-0400-6; NASA MSL operations report 2013</w:t>
            </w:r>
          </w:p>
        </w:tc>
      </w:tr>
      <w:tr>
        <w:tc>
          <w:tcPr>
            <w:tcW w:w="0" w:type="auto"/>
          </w:tcPr>
          <w:p>
            <w:pPr>
              <w:spacing w:line="240" w:lineRule="auto" w:before="0" w:after="0"/>
              <w:pStyle w:val="Compact"/>
            </w:pPr>
            <w:r>
              <w:rPr>
                <w:sz w:val="20"/>
                <w:szCs w:val="20"/>
              </w:rPr>
              <w:t xml:space="preserve">MSL_Mastcam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MSL extended mission Senior Review 2016 (drill anomaly reduced cadence 2016-2017); MSL status</w:t>
            </w:r>
          </w:p>
        </w:tc>
      </w:tr>
      <w:tr>
        <w:tc>
          <w:tcPr>
            <w:tcW w:w="0" w:type="auto"/>
          </w:tcPr>
          <w:p>
            <w:pPr>
              <w:spacing w:line="240" w:lineRule="auto" w:before="0" w:after="0"/>
              <w:pStyle w:val="Compact"/>
            </w:pPr>
            <w:r>
              <w:rPr>
                <w:sz w:val="20"/>
                <w:szCs w:val="20"/>
              </w:rPr>
              <w:t xml:space="preserve">MSL_ChemCam</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Maurice et al. Space Sci. Rev. 2012 doi:10.1007/s11214-012-9912-2; NASA MSL operations report 2013</w:t>
            </w:r>
          </w:p>
        </w:tc>
      </w:tr>
      <w:tr>
        <w:tc>
          <w:tcPr>
            <w:tcW w:w="0" w:type="auto"/>
          </w:tcPr>
          <w:p>
            <w:pPr>
              <w:spacing w:line="240" w:lineRule="auto" w:before="0" w:after="0"/>
              <w:pStyle w:val="Compact"/>
            </w:pPr>
            <w:r>
              <w:rPr>
                <w:sz w:val="20"/>
                <w:szCs w:val="20"/>
              </w:rPr>
              <w:t xml:space="preserve">MSL_ChemCam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MSL 2019 Senior Review; PDS Geosciences ChemCam archive</w:t>
            </w:r>
          </w:p>
        </w:tc>
      </w:tr>
      <w:tr>
        <w:tc>
          <w:tcPr>
            <w:tcW w:w="0" w:type="auto"/>
          </w:tcPr>
          <w:p>
            <w:pPr>
              <w:spacing w:line="240" w:lineRule="auto" w:before="0" w:after="0"/>
              <w:pStyle w:val="Compact"/>
            </w:pPr>
            <w:r>
              <w:rPr>
                <w:sz w:val="20"/>
                <w:szCs w:val="20"/>
              </w:rPr>
              <w:t xml:space="preserve">M2020_SuperCam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Wiens et al. Space Sci. Rev. 2021 doi:10.1007/s11214-020-00777-5; NASA Mars 2020 status 2021</w:t>
            </w:r>
          </w:p>
        </w:tc>
      </w:tr>
      <w:tr>
        <w:tc>
          <w:tcPr>
            <w:tcW w:w="0" w:type="auto"/>
          </w:tcPr>
          <w:p>
            <w:pPr>
              <w:spacing w:line="240" w:lineRule="auto" w:before="0" w:after="0"/>
              <w:pStyle w:val="Compact"/>
            </w:pPr>
            <w:r>
              <w:rPr>
                <w:sz w:val="20"/>
                <w:szCs w:val="20"/>
              </w:rPr>
              <w:t xml:space="preserve">M2020_Mastcam-Z</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Bell et al. Space Sci. Rev. 2021 doi:10.1007/s11214-020-00755-x; NASA Mars 2020 status 2022</w:t>
            </w:r>
          </w:p>
        </w:tc>
      </w:tr>
      <w:tr>
        <w:tc>
          <w:tcPr>
            <w:tcW w:w="0" w:type="auto"/>
          </w:tcPr>
          <w:p>
            <w:pPr>
              <w:spacing w:line="240" w:lineRule="auto" w:before="0" w:after="0"/>
              <w:pStyle w:val="Compact"/>
            </w:pPr>
            <w:r>
              <w:rPr>
                <w:sz w:val="20"/>
                <w:szCs w:val="20"/>
              </w:rPr>
              <w:t xml:space="preserve">M2020_SHERLOC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M2020 status 2022 (SHERLOC dust-cover anomaly limited cadence); JPL release Jan 2022</w:t>
            </w:r>
          </w:p>
        </w:tc>
      </w:tr>
      <w:tr>
        <w:tc>
          <w:tcPr>
            <w:tcW w:w="0" w:type="auto"/>
          </w:tcPr>
          <w:p>
            <w:pPr>
              <w:spacing w:line="240" w:lineRule="auto" w:before="0" w:after="0"/>
              <w:pStyle w:val="Compact"/>
            </w:pPr>
            <w:r>
              <w:rPr>
                <w:sz w:val="20"/>
                <w:szCs w:val="20"/>
              </w:rPr>
              <w:t xml:space="preserve">LRO_LROC</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Robinson et al. Space Sci. Rev. 2010 doi:10.1007/s11214-010-9634-2; LRO PDS Imaging Node</w:t>
            </w:r>
          </w:p>
        </w:tc>
      </w:tr>
      <w:tr>
        <w:tc>
          <w:tcPr>
            <w:tcW w:w="0" w:type="auto"/>
          </w:tcPr>
          <w:p>
            <w:pPr>
              <w:spacing w:line="240" w:lineRule="auto" w:before="0" w:after="0"/>
              <w:pStyle w:val="Compact"/>
            </w:pPr>
            <w:r>
              <w:rPr>
                <w:sz w:val="20"/>
                <w:szCs w:val="20"/>
              </w:rPr>
              <w:t xml:space="preserve">LRO_LROC</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LRO extended mission Senior Review 2017; LROC RDR archive index</w:t>
            </w:r>
          </w:p>
        </w:tc>
      </w:tr>
      <w:tr>
        <w:tc>
          <w:tcPr>
            <w:tcW w:w="0" w:type="auto"/>
          </w:tcPr>
          <w:p>
            <w:pPr>
              <w:spacing w:line="240" w:lineRule="auto" w:before="0" w:after="0"/>
              <w:pStyle w:val="Compact"/>
            </w:pPr>
            <w:r>
              <w:rPr>
                <w:sz w:val="20"/>
                <w:szCs w:val="20"/>
              </w:rPr>
              <w:t xml:space="preserve">LRO_DIVINER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Paige et al. Space Sci. Rev. 2010 doi:10.1007/s11214-009-9529-2; LRO PDS Geosciences DIVINER</w:t>
            </w:r>
          </w:p>
        </w:tc>
      </w:tr>
      <w:tr>
        <w:tc>
          <w:tcPr>
            <w:tcW w:w="0" w:type="auto"/>
          </w:tcPr>
          <w:p>
            <w:pPr>
              <w:spacing w:line="240" w:lineRule="auto" w:before="0" w:after="0"/>
              <w:pStyle w:val="Compact"/>
            </w:pPr>
            <w:r>
              <w:rPr>
                <w:sz w:val="20"/>
                <w:szCs w:val="20"/>
              </w:rPr>
              <w:t xml:space="preserve">NH_LORRI</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Cheng et al. Space Sci. Rev. 2008 doi:10.1007/s11214-007-9271-6; NASA New Horizons Pluto encounter report 2015</w:t>
            </w:r>
          </w:p>
        </w:tc>
      </w:tr>
      <w:tr>
        <w:tc>
          <w:tcPr>
            <w:tcW w:w="0" w:type="auto"/>
          </w:tcPr>
          <w:p>
            <w:pPr>
              <w:spacing w:line="240" w:lineRule="auto" w:before="0" w:after="0"/>
              <w:pStyle w:val="Compact"/>
            </w:pPr>
            <w:r>
              <w:rPr>
                <w:sz w:val="20"/>
                <w:szCs w:val="20"/>
              </w:rPr>
              <w:t xml:space="preserve">NH_LORRI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New Horizons Arrokoth flyby status 2019; APL New Horizons PI report</w:t>
            </w:r>
          </w:p>
        </w:tc>
      </w:tr>
      <w:tr>
        <w:tc>
          <w:tcPr>
            <w:tcW w:w="0" w:type="auto"/>
          </w:tcPr>
          <w:p>
            <w:pPr>
              <w:spacing w:line="240" w:lineRule="auto" w:before="0" w:after="0"/>
              <w:pStyle w:val="Compact"/>
            </w:pPr>
            <w:r>
              <w:rPr>
                <w:sz w:val="20"/>
                <w:szCs w:val="20"/>
              </w:rPr>
              <w:t xml:space="preserve">Juno_JunoCam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Hansen et al. Space Sci. Rev. 2017 doi:10.1007/s11214-014-0079-x; NASA Juno status 2016</w:t>
            </w:r>
          </w:p>
        </w:tc>
      </w:tr>
      <w:tr>
        <w:tc>
          <w:tcPr>
            <w:tcW w:w="0" w:type="auto"/>
          </w:tcPr>
          <w:p>
            <w:pPr>
              <w:spacing w:line="240" w:lineRule="auto" w:before="0" w:after="0"/>
              <w:pStyle w:val="Compact"/>
            </w:pPr>
            <w:r>
              <w:rPr>
                <w:sz w:val="20"/>
                <w:szCs w:val="20"/>
              </w:rPr>
              <w:t xml:space="preserve">Juno_JunoCam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Juno extended mission Senior Review 2020; Juno operations report 2021</w:t>
            </w:r>
          </w:p>
        </w:tc>
      </w:tr>
      <w:tr>
        <w:tc>
          <w:tcPr>
            <w:tcW w:w="0" w:type="auto"/>
          </w:tcPr>
          <w:p>
            <w:pPr>
              <w:spacing w:line="240" w:lineRule="auto" w:before="0" w:after="0"/>
              <w:pStyle w:val="Compact"/>
            </w:pPr>
            <w:r>
              <w:rPr>
                <w:sz w:val="20"/>
                <w:szCs w:val="20"/>
              </w:rPr>
              <w:t xml:space="preserve">Cassini_ISS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Porco et al. Space Sci. Rev. 2004 doi:10.1023/B:SPAC.0000026129.59123.6f; NASA Cassini Solstice mission status 2010</w:t>
            </w:r>
          </w:p>
        </w:tc>
      </w:tr>
      <w:tr>
        <w:tc>
          <w:tcPr>
            <w:tcW w:w="0" w:type="auto"/>
          </w:tcPr>
          <w:p>
            <w:pPr>
              <w:spacing w:line="240" w:lineRule="auto" w:before="0" w:after="0"/>
              <w:pStyle w:val="Compact"/>
            </w:pPr>
            <w:r>
              <w:rPr>
                <w:sz w:val="20"/>
                <w:szCs w:val="20"/>
              </w:rPr>
              <w:t xml:space="preserve">Cassini_ISS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Cassini Grand Finale science plan 2016; Cassini PDS imaging archive</w:t>
            </w:r>
          </w:p>
        </w:tc>
      </w:tr>
      <w:tr>
        <w:tc>
          <w:tcPr>
            <w:tcW w:w="0" w:type="auto"/>
          </w:tcPr>
          <w:p>
            <w:pPr>
              <w:spacing w:line="240" w:lineRule="auto" w:before="0" w:after="0"/>
              <w:pStyle w:val="Compact"/>
            </w:pPr>
            <w:r>
              <w:rPr>
                <w:sz w:val="20"/>
                <w:szCs w:val="20"/>
              </w:rPr>
              <w:t xml:space="preserve">Cassini_CIRS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Cassini status 2014 (reaction wheel degradation reduced CIRS cadence); CIRS PDS archive</w:t>
            </w:r>
          </w:p>
        </w:tc>
      </w:tr>
      <w:tr>
        <w:tc>
          <w:tcPr>
            <w:tcW w:w="0" w:type="auto"/>
          </w:tcPr>
          <w:p>
            <w:pPr>
              <w:spacing w:line="240" w:lineRule="auto" w:before="0" w:after="0"/>
              <w:pStyle w:val="Compact"/>
            </w:pPr>
            <w:r>
              <w:rPr>
                <w:sz w:val="20"/>
                <w:szCs w:val="20"/>
              </w:rPr>
              <w:t xml:space="preserve">Dawn_FC</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Sierks et al. Space Sci. Rev. 2011 doi:10.1007/s11214-011-9745-4; NASA Dawn Vesta orbit status 2011</w:t>
            </w:r>
          </w:p>
        </w:tc>
      </w:tr>
      <w:tr>
        <w:tc>
          <w:tcPr>
            <w:tcW w:w="0" w:type="auto"/>
          </w:tcPr>
          <w:p>
            <w:pPr>
              <w:spacing w:line="240" w:lineRule="auto" w:before="0" w:after="0"/>
              <w:pStyle w:val="Compact"/>
            </w:pPr>
            <w:r>
              <w:rPr>
                <w:sz w:val="20"/>
                <w:szCs w:val="20"/>
              </w:rPr>
              <w:t xml:space="preserve">Dawn_FC</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Dawn Ceres orbit status 2015; Dawn PDS Small Bodies Node</w:t>
            </w:r>
          </w:p>
        </w:tc>
      </w:tr>
      <w:tr>
        <w:tc>
          <w:tcPr>
            <w:tcW w:w="0" w:type="auto"/>
          </w:tcPr>
          <w:p>
            <w:pPr>
              <w:spacing w:line="240" w:lineRule="auto" w:before="0" w:after="0"/>
              <w:pStyle w:val="Compact"/>
            </w:pPr>
            <w:r>
              <w:rPr>
                <w:sz w:val="20"/>
                <w:szCs w:val="20"/>
              </w:rPr>
              <w:t xml:space="preserve">OSIRIS-REx_OCAMS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Rizk et al. Space Sci. Rev. 2018 doi:10.1007/s11214-017-0460-7; NASA OSIRIS-REx Bennu arrival 2018</w:t>
            </w:r>
          </w:p>
        </w:tc>
      </w:tr>
      <w:tr>
        <w:tc>
          <w:tcPr>
            <w:tcW w:w="0" w:type="auto"/>
          </w:tcPr>
          <w:p>
            <w:pPr>
              <w:spacing w:line="240" w:lineRule="auto" w:before="0" w:after="0"/>
              <w:pStyle w:val="Compact"/>
            </w:pPr>
            <w:r>
              <w:rPr>
                <w:sz w:val="20"/>
                <w:szCs w:val="20"/>
              </w:rPr>
              <w:t xml:space="preserve">OSIRIS-REx_OTES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OSIRIS-REx status 2019 (TAG site search compressed OTES global mapping); OREx mission report</w:t>
            </w:r>
          </w:p>
        </w:tc>
      </w:tr>
      <w:tr>
        <w:tc>
          <w:tcPr>
            <w:tcW w:w="0" w:type="auto"/>
          </w:tcPr>
          <w:p>
            <w:pPr>
              <w:spacing w:line="240" w:lineRule="auto" w:before="0" w:after="0"/>
              <w:pStyle w:val="Compact"/>
            </w:pPr>
            <w:r>
              <w:rPr>
                <w:sz w:val="20"/>
                <w:szCs w:val="20"/>
              </w:rPr>
              <w:t xml:space="preserve">InSight_SEIS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Lognonné et al. Space Sci. Rev. 2019 doi:10.1007/s11214-018-0574-6; NASA InSight status 2019</w:t>
            </w:r>
          </w:p>
        </w:tc>
      </w:tr>
      <w:tr>
        <w:tc>
          <w:tcPr>
            <w:tcW w:w="0" w:type="auto"/>
          </w:tcPr>
          <w:p>
            <w:pPr>
              <w:spacing w:line="240" w:lineRule="auto" w:before="0" w:after="0"/>
              <w:pStyle w:val="Compact"/>
            </w:pPr>
            <w:r>
              <w:rPr>
                <w:sz w:val="20"/>
                <w:szCs w:val="20"/>
              </w:rPr>
              <w:t xml:space="preserve">InSight_SEIS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InSight end-of-mission report 2022 (dust accumulation reduced power and cadence); JPL release</w:t>
            </w:r>
          </w:p>
        </w:tc>
      </w:tr>
      <w:tr>
        <w:tc>
          <w:tcPr>
            <w:tcW w:w="0" w:type="auto"/>
          </w:tcPr>
          <w:p>
            <w:pPr>
              <w:spacing w:line="240" w:lineRule="auto" w:before="0" w:after="0"/>
              <w:pStyle w:val="Compact"/>
            </w:pPr>
            <w:r>
              <w:rPr>
                <w:sz w:val="20"/>
                <w:szCs w:val="20"/>
              </w:rPr>
              <w:t xml:space="preserve">Europa_Clipper_EIS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Turtle et al. Space Sci. Rev. 2024 doi:10.1007/s11214-024-01070-5; NASA Europa Clipper launch status [illustrative]</w:t>
            </w:r>
          </w:p>
        </w:tc>
      </w:tr>
      <w:tr>
        <w:tc>
          <w:tcPr>
            <w:tcW w:w="0" w:type="auto"/>
          </w:tcPr>
          <w:p>
            <w:pPr>
              <w:spacing w:line="240" w:lineRule="auto" w:before="0" w:after="0"/>
              <w:pStyle w:val="Compact"/>
            </w:pPr>
            <w:r>
              <w:rPr>
                <w:sz w:val="20"/>
                <w:szCs w:val="20"/>
              </w:rPr>
              <w:t xml:space="preserve">Psyche_Imager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Bell et al. Space Sci. Rev. 2023 doi:10.1007/s11214-023-00961-3; NASA Psyche post-launch status 2023 [illustrative]</w:t>
            </w:r>
          </w:p>
        </w:tc>
      </w:tr>
      <w:tr>
        <w:tc>
          <w:tcPr>
            <w:tcW w:w="0" w:type="auto"/>
          </w:tcPr>
          <w:p>
            <w:pPr>
              <w:spacing w:line="240" w:lineRule="auto" w:before="0" w:after="0"/>
              <w:pStyle w:val="Compact"/>
            </w:pPr>
            <w:r>
              <w:rPr>
                <w:sz w:val="20"/>
                <w:szCs w:val="20"/>
              </w:rPr>
              <w:t xml:space="preserve">GAO_NASA_flagship_1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GAO-25-107591 NASA Major Projects 2025 assessment (flagship aggregate row, cadence-shortfall during commissioning) [illustrative]</w:t>
            </w:r>
          </w:p>
        </w:tc>
      </w:tr>
      <w:tr>
        <w:tc>
          <w:tcPr>
            <w:tcW w:w="0" w:type="auto"/>
          </w:tcPr>
          <w:p>
            <w:pPr>
              <w:spacing w:line="240" w:lineRule="auto" w:before="0" w:after="0"/>
              <w:pStyle w:val="Compact"/>
            </w:pPr>
            <w:r>
              <w:rPr>
                <w:sz w:val="20"/>
                <w:szCs w:val="20"/>
              </w:rPr>
              <w:t xml:space="preserve">GAO_NASA_flagship_2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GAO-25-107591 NASA Major Projects 2025 assessment (flagship aggregate row, on-plan extended cruise) [illustrative]</w:t>
            </w:r>
          </w:p>
        </w:tc>
      </w:tr>
      <w:tr>
        <w:tc>
          <w:tcPr>
            <w:tcW w:w="0" w:type="auto"/>
          </w:tcPr>
          <w:p>
            <w:pPr>
              <w:spacing w:line="240" w:lineRule="auto" w:before="0" w:after="0"/>
              <w:pStyle w:val="Compact"/>
            </w:pPr>
            <w:r>
              <w:rPr>
                <w:sz w:val="20"/>
                <w:szCs w:val="20"/>
              </w:rPr>
              <w:t xml:space="preserve">GAO_NASA_smallsat_1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GAO-24-106767 NASA Major Projects 2024 assessment (smallsat-class aggregate row) [illustrative]</w:t>
            </w:r>
          </w:p>
        </w:tc>
      </w:tr>
      <w:tr>
        <w:tc>
          <w:tcPr>
            <w:tcW w:w="0" w:type="auto"/>
          </w:tcPr>
          <w:p>
            <w:pPr>
              <w:spacing w:line="240" w:lineRule="auto" w:before="0" w:after="0"/>
              <w:pStyle w:val="Compact"/>
            </w:pPr>
            <w:r>
              <w:rPr>
                <w:sz w:val="20"/>
                <w:szCs w:val="20"/>
              </w:rPr>
              <w:t xml:space="preserve">GAO_NASA_smallsat_2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Major Projects 2023 assessment (smallsat-class aggregate row, downlink-window-limited) [illustrative]</w:t>
            </w:r>
          </w:p>
        </w:tc>
      </w:tr>
    </w:tbl>
    <w:bookmarkEnd w:id="200"/>
    <w:bookmarkStart w:id="20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met_plan</w:t>
            </w:r>
          </w:p>
        </w:tc>
        <w:tc>
          <w:tcPr>
            <w:tcW w:w="0" w:type="auto"/>
          </w:tcPr>
          <w:p>
            <w:pPr>
              <w:spacing w:line="240" w:lineRule="auto" w:before="0" w:after="0"/>
              <w:pStyle w:val="Compact"/>
            </w:pPr>
            <w:r>
              <w:rPr>
                <w:sz w:val="20"/>
                <w:szCs w:val="20"/>
              </w:rPr>
              <w:t xml:space="preserve">Binary outcome: 1 if the instrument met its planned adaptive science observation cadence target for the assessment year, 0 if it fell short</w:t>
            </w:r>
          </w:p>
        </w:tc>
        <w:tc>
          <w:tcPr>
            <w:tcW w:w="0" w:type="auto"/>
          </w:tcPr>
          <w:p>
            <w:pPr>
              <w:spacing w:line="240" w:lineRule="auto" w:before="0" w:after="0"/>
              <w:pStyle w:val="Compact"/>
            </w:pPr>
            <w:r>
              <w:rPr>
                <w:sz w:val="20"/>
                <w:szCs w:val="20"/>
              </w:rPr>
              <w:t xml:space="preserve">Coded from cited mission status / Senior Review / GAO Major Project assessment for each mission-year</w:t>
            </w:r>
          </w:p>
        </w:tc>
      </w:tr>
      <w:tr>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Composite information-value index in [0,1] proxied as the normalized share of mission objectives explicitly tied to hypothesis-resolving observations in the cited instrument paper</w:t>
            </w:r>
          </w:p>
        </w:tc>
        <w:tc>
          <w:tcPr>
            <w:tcW w:w="0" w:type="auto"/>
          </w:tcPr>
          <w:p>
            <w:pPr>
              <w:spacing w:line="240" w:lineRule="auto" w:before="0" w:after="0"/>
              <w:pStyle w:val="Compact"/>
            </w:pPr>
            <w:r>
              <w:rPr>
                <w:sz w:val="20"/>
                <w:szCs w:val="20"/>
              </w:rPr>
              <w:t xml:space="preserve">Coded from the science objectives section of each instrument’s Space Sci. Rev. / Icarus / JGR Planets paper, scored against a fixed 8-item rubric</w:t>
            </w:r>
          </w:p>
        </w:tc>
      </w:tr>
      <w:tr>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Natural log of nominal downlink rate to ground in megabits per second</w:t>
            </w:r>
          </w:p>
        </w:tc>
        <w:tc>
          <w:tcPr>
            <w:tcW w:w="0" w:type="auto"/>
          </w:tcPr>
          <w:p>
            <w:pPr>
              <w:spacing w:line="240" w:lineRule="auto" w:before="0" w:after="0"/>
              <w:pStyle w:val="Compact"/>
            </w:pPr>
            <w:r>
              <w:rPr>
                <w:sz w:val="20"/>
                <w:szCs w:val="20"/>
              </w:rPr>
              <w:t xml:space="preserve">From mission communications subsystem spec in cited instrument paper or NASA mission status report</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Onboard tasking autonomy: 0 = ground-uplinked sequence, 1 = ground plan with onboard conflict resolution, 2 = autonomous onboard replanning</w:t>
            </w:r>
          </w:p>
        </w:tc>
        <w:tc>
          <w:tcPr>
            <w:tcW w:w="0" w:type="auto"/>
          </w:tcPr>
          <w:p>
            <w:pPr>
              <w:spacing w:line="240" w:lineRule="auto" w:before="0" w:after="0"/>
              <w:pStyle w:val="Compact"/>
            </w:pPr>
            <w:r>
              <w:rPr>
                <w:sz w:val="20"/>
                <w:szCs w:val="20"/>
              </w:rPr>
              <w:t xml:space="preserve">Coded from operations description in cited paper (e.g., M2020 SuperCam autonomous target selection coded 2 per Wiens et al. 2021)</w:t>
            </w:r>
          </w:p>
        </w:tc>
      </w:tr>
      <w:tr>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Years elapsed since instrument science phase began at the observed-year timestamp</w:t>
            </w:r>
          </w:p>
        </w:tc>
        <w:tc>
          <w:tcPr>
            <w:tcW w:w="0" w:type="auto"/>
          </w:tcPr>
          <w:p>
            <w:pPr>
              <w:spacing w:line="240" w:lineRule="auto" w:before="0" w:after="0"/>
              <w:pStyle w:val="Compact"/>
            </w:pPr>
            <w:r>
              <w:rPr>
                <w:sz w:val="20"/>
                <w:szCs w:val="20"/>
              </w:rPr>
              <w:t xml:space="preserve">Computed from cited mission status reports</w:t>
            </w:r>
          </w:p>
        </w:tc>
      </w:tr>
      <w:tr>
        <w:tc>
          <w:tcPr>
            <w:tcW w:w="0" w:type="auto"/>
          </w:tcPr>
          <w:p>
            <w:pPr>
              <w:spacing w:line="240" w:lineRule="auto" w:before="0" w:after="0"/>
              <w:pStyle w:val="Compact"/>
            </w:pPr>
            <w:r>
              <w:rPr>
                <w:sz w:val="20"/>
                <w:szCs w:val="20"/>
              </w:rPr>
              <w:t xml:space="preserve">instrument_complexity</w:t>
            </w:r>
          </w:p>
        </w:tc>
        <w:tc>
          <w:tcPr>
            <w:tcW w:w="0" w:type="auto"/>
          </w:tcPr>
          <w:p>
            <w:pPr>
              <w:spacing w:line="240" w:lineRule="auto" w:before="0" w:after="0"/>
              <w:pStyle w:val="Compact"/>
            </w:pPr>
            <w:r>
              <w:rPr>
                <w:sz w:val="20"/>
                <w:szCs w:val="20"/>
              </w:rPr>
              <w:t xml:space="preserve">Ordinal 2-4 complexity score (2 = single-detector imager, 3 = multi-channel imager/spectrometer, 4 = multi-instrument suite with active targeting)</w:t>
            </w:r>
          </w:p>
        </w:tc>
        <w:tc>
          <w:tcPr>
            <w:tcW w:w="0" w:type="auto"/>
          </w:tcPr>
          <w:p>
            <w:pPr>
              <w:spacing w:line="240" w:lineRule="auto" w:before="0" w:after="0"/>
              <w:pStyle w:val="Compact"/>
            </w:pPr>
            <w:r>
              <w:rPr>
                <w:sz w:val="20"/>
                <w:szCs w:val="20"/>
              </w:rPr>
              <w:t xml:space="preserve">Coded from instrument paper architecture description against fixed rubric</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Documented citation for each row</w:t>
            </w:r>
          </w:p>
        </w:tc>
        <w:tc>
          <w:tcPr>
            <w:tcW w:w="0" w:type="auto"/>
          </w:tcPr>
          <w:p>
            <w:pPr>
              <w:spacing w:line="240" w:lineRule="auto" w:before="0" w:after="0"/>
              <w:pStyle w:val="Compact"/>
            </w:pPr>
            <w:r>
              <w:rPr>
                <w:sz w:val="20"/>
                <w:szCs w:val="20"/>
              </w:rPr>
              <w:t xml:space="preserve">Final CSV column names the cited instrument paper, Senior Review, GAO Major Project assessment, or PDS archive page from which the values were drawn; five rows marked [illustrative] for late-mission flagships and GAO aggregate exemplars</w:t>
            </w:r>
          </w:p>
        </w:tc>
      </w:tr>
    </w:tbl>
    <w:bookmarkEnd w:id="201"/>
    <w:bookmarkEnd w:id="202"/>
    <w:bookmarkEnd w:id="20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8" Type="http://schemas.openxmlformats.org/officeDocument/2006/relationships/image" Target="media/rId188.png"/><Relationship Id="rId196" Type="http://schemas.openxmlformats.org/officeDocument/2006/relationships/image" Target="media/rId196.png"/><Relationship Id="rId148" Type="http://schemas.openxmlformats.org/officeDocument/2006/relationships/hyperlink" Target="https://doi.org/10.1002/rob.20066" TargetMode="External"/><Relationship Id="rId178" Type="http://schemas.openxmlformats.org/officeDocument/2006/relationships/hyperlink" Target="https://doi.org/10.1016/j.actaastro.2017.04.034" TargetMode="External"/><Relationship Id="rId136" Type="http://schemas.openxmlformats.org/officeDocument/2006/relationships/hyperlink" Target="https://doi.org/10.1016/j.actaastro.2020.10.020" TargetMode="External"/><Relationship Id="rId156" Type="http://schemas.openxmlformats.org/officeDocument/2006/relationships/hyperlink" Target="https://doi.org/10.1016/j.actaastro.2024.09.047" TargetMode="External"/><Relationship Id="rId182" Type="http://schemas.openxmlformats.org/officeDocument/2006/relationships/hyperlink" Target="https://doi.org/10.1016/j.actaastro.2025.01.026" TargetMode="External"/><Relationship Id="rId172" Type="http://schemas.openxmlformats.org/officeDocument/2006/relationships/hyperlink" Target="https://doi.org/10.1016/j.actaastro.2025.05.036" TargetMode="External"/><Relationship Id="rId175" Type="http://schemas.openxmlformats.org/officeDocument/2006/relationships/hyperlink" Target="https://doi.org/10.1016/j.actaastro.2025.07.014" TargetMode="External"/><Relationship Id="rId184" Type="http://schemas.openxmlformats.org/officeDocument/2006/relationships/hyperlink" Target="https://doi.org/10.1016/j.actaastro.2025.08.050" TargetMode="External"/><Relationship Id="rId180" Type="http://schemas.openxmlformats.org/officeDocument/2006/relationships/hyperlink" Target="https://doi.org/10.1016/j.actaastro.2025.09.070" TargetMode="External"/><Relationship Id="rId150" Type="http://schemas.openxmlformats.org/officeDocument/2006/relationships/hyperlink" Target="https://doi.org/10.1016/j.actaastro.2025.10.018" TargetMode="External"/><Relationship Id="rId138" Type="http://schemas.openxmlformats.org/officeDocument/2006/relationships/hyperlink" Target="https://doi.org/10.1016/j.actaastro.2025.11.048" TargetMode="External"/><Relationship Id="rId153" Type="http://schemas.openxmlformats.org/officeDocument/2006/relationships/hyperlink" Target="https://doi.org/10.64861/CLTB3399" TargetMode="External"/><Relationship Id="rId165" Type="http://schemas.openxmlformats.org/officeDocument/2006/relationships/hyperlink" Target="https://doi.org/10.64861/GBPG3733" TargetMode="External"/><Relationship Id="rId167" Type="http://schemas.openxmlformats.org/officeDocument/2006/relationships/hyperlink" Target="https://doi.org/10.64861/NAKM9168" TargetMode="External"/><Relationship Id="rId170" Type="http://schemas.openxmlformats.org/officeDocument/2006/relationships/hyperlink" Target="https://doi.org/10.64861/OTAL2562" TargetMode="External"/><Relationship Id="rId146" Type="http://schemas.openxmlformats.org/officeDocument/2006/relationships/hyperlink" Target="https://doi.org/10.64861/PEUU1014" TargetMode="External"/><Relationship Id="rId159" Type="http://schemas.openxmlformats.org/officeDocument/2006/relationships/hyperlink" Target="https://doi.org/10.64861/SIJX9169" TargetMode="External"/><Relationship Id="rId161" Type="http://schemas.openxmlformats.org/officeDocument/2006/relationships/hyperlink" Target="https://doi.org/10.64861/TUTU2866" TargetMode="External"/></Relationships>
</file>

<file path=word/_rels/footnotes.xml.rels><?xml version='1.0' encoding='UTF-8' standalone='yes'?>
<Relationships xmlns="http://schemas.openxmlformats.org/package/2006/relationships"><Relationship Id="rId148" Type="http://schemas.openxmlformats.org/officeDocument/2006/relationships/hyperlink" Target="https://doi.org/10.1002/rob.20066" TargetMode="External"/><Relationship Id="rId178" Type="http://schemas.openxmlformats.org/officeDocument/2006/relationships/hyperlink" Target="https://doi.org/10.1016/j.actaastro.2017.04.034" TargetMode="External"/><Relationship Id="rId136" Type="http://schemas.openxmlformats.org/officeDocument/2006/relationships/hyperlink" Target="https://doi.org/10.1016/j.actaastro.2020.10.020" TargetMode="External"/><Relationship Id="rId156" Type="http://schemas.openxmlformats.org/officeDocument/2006/relationships/hyperlink" Target="https://doi.org/10.1016/j.actaastro.2024.09.047" TargetMode="External"/><Relationship Id="rId182" Type="http://schemas.openxmlformats.org/officeDocument/2006/relationships/hyperlink" Target="https://doi.org/10.1016/j.actaastro.2025.01.026" TargetMode="External"/><Relationship Id="rId172" Type="http://schemas.openxmlformats.org/officeDocument/2006/relationships/hyperlink" Target="https://doi.org/10.1016/j.actaastro.2025.05.036" TargetMode="External"/><Relationship Id="rId175" Type="http://schemas.openxmlformats.org/officeDocument/2006/relationships/hyperlink" Target="https://doi.org/10.1016/j.actaastro.2025.07.014" TargetMode="External"/><Relationship Id="rId184" Type="http://schemas.openxmlformats.org/officeDocument/2006/relationships/hyperlink" Target="https://doi.org/10.1016/j.actaastro.2025.08.050" TargetMode="External"/><Relationship Id="rId180" Type="http://schemas.openxmlformats.org/officeDocument/2006/relationships/hyperlink" Target="https://doi.org/10.1016/j.actaastro.2025.09.070" TargetMode="External"/><Relationship Id="rId150" Type="http://schemas.openxmlformats.org/officeDocument/2006/relationships/hyperlink" Target="https://doi.org/10.1016/j.actaastro.2025.10.018" TargetMode="External"/><Relationship Id="rId138" Type="http://schemas.openxmlformats.org/officeDocument/2006/relationships/hyperlink" Target="https://doi.org/10.1016/j.actaastro.2025.11.048" TargetMode="External"/><Relationship Id="rId153" Type="http://schemas.openxmlformats.org/officeDocument/2006/relationships/hyperlink" Target="https://doi.org/10.64861/CLTB3399" TargetMode="External"/><Relationship Id="rId165" Type="http://schemas.openxmlformats.org/officeDocument/2006/relationships/hyperlink" Target="https://doi.org/10.64861/GBPG3733" TargetMode="External"/><Relationship Id="rId167" Type="http://schemas.openxmlformats.org/officeDocument/2006/relationships/hyperlink" Target="https://doi.org/10.64861/NAKM9168" TargetMode="External"/><Relationship Id="rId170" Type="http://schemas.openxmlformats.org/officeDocument/2006/relationships/hyperlink" Target="https://doi.org/10.64861/OTAL2562" TargetMode="External"/><Relationship Id="rId146" Type="http://schemas.openxmlformats.org/officeDocument/2006/relationships/hyperlink" Target="https://doi.org/10.64861/PEUU1014" TargetMode="External"/><Relationship Id="rId159" Type="http://schemas.openxmlformats.org/officeDocument/2006/relationships/hyperlink" Target="https://doi.org/10.64861/SIJX9169" TargetMode="External"/><Relationship Id="rId161" Type="http://schemas.openxmlformats.org/officeDocument/2006/relationships/hyperlink" Target="https://doi.org/10.64861/TUTU28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of Information in Adaptive Science Observation Planning: A Decision-Analytic Formulation</dc:title>
  <dc:creator>Cora Whitfield (1B-OPS-085)</dc:creator>
  <cp:keywords/>
  <dcterms:created xsi:type="dcterms:W3CDTF">2026-07-02T17:11:31Z</dcterms:created>
  <dcterms:modified xsi:type="dcterms:W3CDTF">2026-07-02T17:11:31Z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