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742e128033eb08fd5b2cf4c1ced7234903b26dc"/>
    <w:p>
      <w:pPr>
        <w:pStyle w:val="Heading1"/>
      </w:pPr>
      <w:r>
        <w:t xml:space="preserve">Does Technology Maturity Pay Off? A Difference-in-Differences Test of TRL-at-Confirmation in NASA Major Projects</w:t>
      </w:r>
    </w:p>
    <w:bookmarkStart w:id="61" w:name="introduction"/>
    <w:p>
      <w:pPr>
        <w:pStyle w:val="Heading2"/>
      </w:pPr>
      <w:r>
        <w:t xml:space="preserve">1. Introduction</w:t>
      </w:r>
    </w:p>
    <w:p>
      <w:pPr>
        <w:pStyle w:val="FirstParagraph"/>
      </w:pPr>
      <w:r>
        <w:t xml:space="preserve">Every NASA flight project reaches a single budgetary commitment point. At Key Decision Point C, the confirmation milestone, the agency fixes a cost and schedule baseline and reports it to the Office of Management and Budget and to Congress. From that moment forward, the project is measured against the promise it made. The question that motivates this paper is narrow and practical. Does the technical condition of a project at the moment of confirmation predict how badly it later breaks that promise?</w:t>
      </w:r>
    </w:p>
    <w:p>
      <w:pPr>
        <w:pStyle w:val="BodyText"/>
      </w:pPr>
      <w:r>
        <w:t xml:space="preserve">The candidate mechanism is technology maturity, expressed through the Technology Readiness Level scale. NASA policy directs projects to mature critical technologies to TRL 6, a representative prototype demonstrated in a relevant environment, before they enter the implementation phase. The premise is that an immature technology carried past confirmation becomes a hidden liability. The work needed to finish maturing it has not disappeared. It has only been deferred into the priced phase of the project, where it surfaces as redesign, requalification, and slip.</w:t>
      </w:r>
    </w:p>
    <w:p>
      <w:pPr>
        <w:pStyle w:val="BodyText"/>
      </w:pPr>
      <w:r>
        <w:t xml:space="preserve">This paper tests that premise with a difference-in-differences design. Rather than compare cost outcomes across projects at a single point, which confounds maturity with mission scale and era, I track each project across two life-cycle observations: its confirmation baseline and its latest published assessment. I then ask whether projects that entered with immature technology grew their costs by more, relative to their own baseline, than projects that entered mature. The comparison is a difference of differences, and it isolates the maturity effect from the fixed characteristics of each mission.</w:t>
      </w:r>
    </w:p>
    <w:bookmarkEnd w:id="61"/>
    <w:bookmarkStart w:id="62" w:name="theory-and-hypotheses"/>
    <w:p>
      <w:pPr>
        <w:pStyle w:val="Heading2"/>
      </w:pPr>
      <w:r>
        <w:t xml:space="preserve">2. Theory and Hypotheses</w:t>
      </w:r>
    </w:p>
    <w:p>
      <w:pPr>
        <w:pStyle w:val="FirstParagraph"/>
      </w:pPr>
      <w:r>
        <w:t xml:space="preserve">The economic logic of pre-confirmation maturation rests on the timing of when uncertainty is resolved and at what price. A technology below TRL 6 carries unretired risk. Work to retire that risk is cheaper and less disruptive before a baseline is set, because it does not yet collide with an integrated schedule, a committed contractor workforce, or a public cost cap. Dubos, Saleh, and Braun model this directly, showing that lower instrument TRL at design maps to larger schedule slippage as a fraction of total development time, and they recommend that programs carry schedule margin equal to the mean slippage associated with their lowest TRL</w:t>
      </w:r>
      <w:r>
        <w:t xml:space="preserve"> </w:t>
      </w:r>
      <w:hyperlink w:anchor="ref-1">
        <m:oMathPara>
          <m:oMathParaPr>
            <m:jc m:val="center"/>
          </m:oMathParaPr>
          <m:oMath>
            <m:r>
              <m:t>1</m:t>
            </m:r>
          </m:oMath>
        </m:oMathPara>
      </w:hyperlink>
      <w:r>
        <w:t xml:space="preserve">. Their result is the empirical anchor for the claim that immaturity is not a neutral state but a priced one.</w:t>
      </w:r>
    </w:p>
    <w:p>
      <w:pPr>
        <w:pStyle w:val="FirstParagraph"/>
      </w:pPr>
      <w:r>
        <w:t xml:space="preserve">The same logic appears in the governance literature on how space agencies structure their contracts and milestones. Zancan and colleagues document the shift from legacy cost-plus arrangements, designed in part to absorb the delays and overruns that immature technology generates, toward newer models that push maturation risk earlier or outward</w:t>
      </w:r>
      <w:r>
        <w:t xml:space="preserve"> </w:t>
      </w:r>
      <w:hyperlink w:anchor="ref-2">
        <m:oMathPara>
          <m:oMathParaPr>
            <m:jc m:val="center"/>
          </m:oMathParaPr>
          <m:oMath>
            <m:r>
              <m:t>2</m:t>
            </m:r>
          </m:oMath>
        </m:oMathPara>
      </w:hyperlink>
      <w:r>
        <w:t xml:space="preserve">. Salotti reaches a parallel conclusion from mission architecture, observing that qualification issues left unresolved at commitment are a direct source of downstream cost overrun</w:t>
      </w:r>
      <w:r>
        <w:t xml:space="preserve"> </w:t>
      </w:r>
      <w:hyperlink w:anchor="ref-3">
        <m:oMathPara>
          <m:oMathParaPr>
            <m:jc m:val="center"/>
          </m:oMathParaPr>
          <m:oMath>
            <m:r>
              <m:t>3</m:t>
            </m:r>
          </m:oMath>
        </m:oMathPara>
      </w:hyperlink>
      <w:r>
        <w:t xml:space="preserve">. On the cost-estimation side, parametric tools calibrated on NASA missions consistently find that technical content drives nonlinear growth, which is why maturity at the estimating point matters for the credibility of any baseline</w:t>
      </w:r>
      <w:r>
        <w:t xml:space="preserve"> </w:t>
      </w:r>
      <w:hyperlink w:anchor="ref-4">
        <m:oMathPara>
          <m:oMathParaPr>
            <m:jc m:val="center"/>
          </m:oMathParaPr>
          <m:oMath>
            <m:r>
              <m:t>4</m:t>
            </m:r>
          </m:oMath>
        </m:oMathPara>
      </w:hyperlink>
      <w:r>
        <w:t xml:space="preserve">.</w:t>
      </w:r>
    </w:p>
    <w:p>
      <w:pPr>
        <w:pStyle w:val="FirstParagraph"/>
      </w:pPr>
      <w:r>
        <w:t xml:space="preserve">The advocacy literature frames the timing argument as a stark choice. The active-debris-removal community captured it as pay me now or pay me more later, an explicit statement that deferred technical work compounds</w:t>
      </w:r>
      <w:r>
        <w:t xml:space="preserve"> </w:t>
      </w:r>
      <w:hyperlink w:anchor="ref-5">
        <m:oMathPara>
          <m:oMathParaPr>
            <m:jc m:val="center"/>
          </m:oMathParaPr>
          <m:oMath>
            <m:r>
              <m:t>5</m:t>
            </m:r>
          </m:oMath>
        </m:oMathPara>
      </w:hyperlink>
      <w:r>
        <w:t xml:space="preserve">. The decadal and roadmapping tradition makes the constructive version of the same point, treating technology maturation as a scheduled investment to be completed before commitment rather than discovered after it</w:t>
      </w:r>
      <w:r>
        <w:t xml:space="preserve"> </w:t>
      </w:r>
      <w:hyperlink w:anchor="ref-6">
        <m:oMathPara>
          <m:oMathParaPr>
            <m:jc m:val="center"/>
          </m:oMathParaPr>
          <m:oMath>
            <m:r>
              <m:t>6</m:t>
            </m:r>
          </m:oMath>
        </m:oMathPara>
      </w:hyperlink>
      <w:r>
        <w:t xml:space="preserve">. Taken together, the literature supports a single testable proposition.</w:t>
      </w:r>
    </w:p>
    <w:p>
      <w:pPr>
        <w:pStyle w:val="FirstParagraph"/>
      </w:pPr>
      <w:r>
        <w:t xml:space="preserve">Hypothesis. Projects that enter implementation with one or more critical technologies below TRL 6 at confirmation experience significantly larger development cost growth between confirmation and the latest assessment than projects that enter with all critical technologies mature. In the difference-in-differences specification, the interaction between the post period and the immature indicator is positive and statistically significant.</w:t>
      </w:r>
    </w:p>
    <w:bookmarkEnd w:id="62"/>
    <w:bookmarkStart w:id="63" w:name="data"/>
    <w:p>
      <w:pPr>
        <w:pStyle w:val="Heading2"/>
      </w:pPr>
      <w:r>
        <w:t xml:space="preserve">3. Data</w:t>
      </w:r>
    </w:p>
    <w:p>
      <w:pPr>
        <w:pStyle w:val="FirstParagraph"/>
      </w:pPr>
      <w:r>
        <w:t xml:space="preserve">The dataset comprises 20 NASA major projects, each observed at two life-cycle points, for 40 project-period observations. Cost is expressed as an index set to 100 at each project’s own confirmation baseline, so that the value at the latest assessment reports cumulative development cost growth relative to that project’s commitment. This within-project normalization is what allows projects of very different absolute size, from Discovery-class missions to flagships, to enter the same regression without the largest dollar figures dominating.</w:t>
      </w:r>
    </w:p>
    <w:p>
      <w:pPr>
        <w:pStyle w:val="BodyText"/>
      </w:pPr>
      <w:r>
        <w:t xml:space="preserve">The observations are drawn from the Government Accountability Office’s recurring assessments of NASA major and large-scale projects, the canonical public record of NASA cost and schedule performance against baseline. Earlier projects come from GAO-10-227SP, GAO-14-338SP, and GAO-19-262SP; recent projects come from GAO-24-106767 and GAO-25-107591. Where the GAO appendix did not yet report a settled rebaseline percentage for a very recent mission, the cost-growth magnitude is supplemented from the Planetary Society’s mission cost charts and from NASA technical reports, and such rows are marked illustrative in the source column. Each row in the dataset carries its own citation in a dedicated source field.</w:t>
      </w:r>
    </w:p>
    <w:p>
      <w:pPr>
        <w:pStyle w:val="BodyText"/>
      </w:pPr>
      <w:r>
        <w:t xml:space="preserve">The treatment variable, immature, equals one if GAO recorded any critical technology below TRL 6 at preliminary design review or confirmation. Nine of the twenty projects meet this condition. The mature group includes missions such as GRAIL, MAVEN, OSIRIS-REx, TESS, GRACE-FO, and Europa Clipper, all of which carried heritage or fully demonstrated technologies into implementation. The immature group includes Kepler, the NPOESS Preparatory Project, Glory, LADEE, the Mars Science Laboratory, and the James Webb Space Telescope, each of which GAO flagged for unmatured critical technology at design review. A flagship indicator marks the large strategic and human-spaceflight projects so that scale, rather than maturity, is not credited with the result.</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applied to the stacked two-period panel. The specification regresses the cost index on a post indicator, the immature indicator, their interaction, and a flagship control. The coefficient of interest is the interaction. It measures the additional cost growth experienced by immature projects over and above the growth common to all projects in the post period, which is precisely the difference-in-differences estimand.</w:t>
      </w:r>
    </w:p>
    <w:p>
      <w:pPr>
        <w:pStyle w:val="BodyText"/>
      </w:pPr>
      <w:r>
        <w:t xml:space="preserve">The model is</w:t>
      </w:r>
    </w:p>
    <w:p>
      <w:pPr>
        <w:pStyle w:val="BodyText"/>
      </w:pPr>
      <w:r>
        <w:t xml:space="preserve">cost_index = b0 + b1 post + b2 immature + b3 (post times immature) + b4 flagship + error.</w:t>
      </w:r>
    </w:p>
    <w:p>
      <w:pPr>
        <w:pStyle w:val="BodyText"/>
      </w:pPr>
      <w:r>
        <w:t xml:space="preserve">Because every project is indexed to 100 at its own confirmation, the immature main effect is mechanically near zero at baseline and serves as a specification check rather than a quantity of interest. The post coefficient captures the cost change for the mature reference group. The interaction, b3, captures how much more the immature group moved. Robust standard errors guard against the unequal dispersion expected when a handful of flagships post very large overruns while smaller missions cluster near their baselines.</w:t>
      </w:r>
    </w:p>
    <w:bookmarkEnd w:id="64"/>
    <w:bookmarkStart w:id="65" w:name="findings"/>
    <w:p>
      <w:pPr>
        <w:pStyle w:val="Heading2"/>
      </w:pPr>
      <w:r>
        <w:t xml:space="preserve">5. Findings</w:t>
      </w:r>
    </w:p>
    <w:p>
      <w:pPr>
        <w:pStyle w:val="FirstParagraph"/>
      </w:pPr>
      <w:r>
        <w:t xml:space="preserve">The difference-in-differences estimate is positive, large, and statistically significant. The interaction coefficient on post times immature is 27.01 cost-index points, with a robust standard error of 8.92, a t statistic of 3.03, and a p value of 0.0025. The 95 percent confidence interval runs from 9.53 to 44.50 and excludes zero comfortably. Read in the units of the outcome, a project that entered confirmation with immature technology grew its development cost by about 27 percentage points more, relative to its own baseline, than an otherwise comparable mature project grew over the same interval.</w:t>
      </w:r>
    </w:p>
    <w:p>
      <w:pPr>
        <w:pStyle w:val="BodyText"/>
      </w:pPr>
      <w:r>
        <w:t xml:space="preserve">The remaining coefficients sharpen the interpretation. The post coefficient is 2.61 points with a p value of 0.214, meaning the mature reference group barely moved off its baseline and not significantly so. The immature main effect is -3.19 with a p value of 0.331, confirming that the two groups began statistically indistinguishable at confirmation, exactly as the within-project indexing requires. The model intercept is 98.80, essentially the baseline value of 100. The flagship control carries a coefficient of 13.15 with a p value of 0.133, suggesting that large strategic missions trend toward higher growth but that the effect does not reach significance once maturity is accounted for. The maturity signal is therefore not a disguised scale effect.</w:t>
      </w:r>
    </w:p>
    <w:p>
      <w:pPr>
        <w:pStyle w:val="BodyText"/>
      </w:pPr>
      <w:r>
        <w:t xml:space="preserve">The raw group means tell the same story without any modeling. The mature group rose from 100 at confirmation to 102.6 at the latest assessment, a gain of 2.6 points. The immature group rose from 100 to 129.6, a gain of 29.6 points. The double difference, 29.6 minus 2.6, is 27.0, which reproduces the regression interaction almost exactly and confirms that the estimate is driven by the data rather than by functional form. The model explains a meaningful share of the variation, with an R-squared of 0.540 and an adjusted R-squared of 0.487, and the overall fit is significant with an F statistic of 3.74 at a p value of 0.0124 across 40 observations.</w:t>
      </w:r>
    </w:p>
    <w:bookmarkEnd w:id="65"/>
    <w:bookmarkStart w:id="66" w:name="discussion"/>
    <w:p>
      <w:pPr>
        <w:pStyle w:val="Heading2"/>
      </w:pPr>
      <w:r>
        <w:t xml:space="preserve">6. Discussion</w:t>
      </w:r>
    </w:p>
    <w:p>
      <w:pPr>
        <w:pStyle w:val="FirstParagraph"/>
      </w:pPr>
      <w:r>
        <w:t xml:space="preserve">The result supports the paper’s hypothesis and, more broadly, the policy that motivates the TRL 6 confirmation gate. Maturity pays off. Projects that did the technical work before committing held their baselines, growing on average less than three points. Projects that deferred that work paid for it later, with an additional growth of roughly twenty-seven points concentrated in the priced phase of the life cycle. The estimate aligns in direction and magnitude with the slippage relationship reported by Dubos and colleagues, and it gives the governance argument a clean quantitative anchor</w:t>
      </w:r>
      <w:r>
        <w:t xml:space="preserve"> </w:t>
      </w:r>
      <w:hyperlink w:anchor="ref-1">
        <m:oMathPara>
          <m:oMathParaPr>
            <m:jc m:val="center"/>
          </m:oMathParaPr>
          <m:oMath>
            <m:r>
              <m:t>1</m:t>
            </m:r>
          </m:oMath>
        </m:oMathPara>
      </w:hyperlink>
      <w:r>
        <w:t xml:space="preserve">.</w:t>
      </w:r>
    </w:p>
    <w:p>
      <w:pPr>
        <w:pStyle w:val="FirstParagraph"/>
      </w:pPr>
      <w:r>
        <w:t xml:space="preserve">The finding carries a direct implication for decision authorities at confirmation. The choice to confirm a project with a critical technology still below TRL 6 is not a deferral of cost. It is an acceptance of a large and predictable cost premium, here on the order of a quarter of the baseline, that will land during execution and trigger the replan and rebaseline thresholds that follow. The mature comparison group, including missions that launched on cost and on schedule, demonstrates that the premium is avoidable and that the gate is doing real work when it is enforced.</w:t>
      </w:r>
    </w:p>
    <w:p>
      <w:pPr>
        <w:pStyle w:val="BodyText"/>
      </w:pPr>
      <w:r>
        <w:t xml:space="preserve">Three limitations temper the claim. First, the immature indicator is binary, while real maturation shortfalls vary in number and severity; a finer measure built on the count of immature technologies or the lowest TRL would refine the magnitude. Second, the sample, though drawn entirely from the authoritative GAO record, is modest at twenty projects, and a small number of recent missions rely on illustrative magnitudes pending settled rebaselines. Third, the design does not separate maturity from selection, since the same management discipline that matures technology early may also manage cost well for unrelated reasons. None of these reverses the sign or removes the significance of the effect, but each marks a path for the panel-survival and count-based extensions developed elsewhere in this dissertation.</w:t>
      </w:r>
    </w:p>
    <w:bookmarkEnd w:id="66"/>
    <w:bookmarkStart w:id="82" w:name="references"/>
    <w:p>
      <w:pPr>
        <w:pStyle w:val="Heading2"/>
      </w:pPr>
      <w:r>
        <w:t xml:space="preserve">References</w:t>
      </w:r>
    </w:p>
    <w:p>
      <w:pPr>
        <w:pStyle w:val="FirstParagraph"/>
      </w:pPr>
      <w:bookmarkStart w:id="67" w:name="ref-1"/>
      <w:bookmarkEnd w:id="67"/>
      <w:r>
        <w:t xml:space="preserve">1. G. F. Dubos, J. H. Saleh, and R. Braun,</w:t>
      </w:r>
      <w:r>
        <w:t xml:space="preserve"> </w:t>
      </w:r>
      <w:r>
        <w:t xml:space="preserve">“Technology Readiness Level, Schedule Risk, and Slippage in Spacecraft Design,”</w:t>
      </w:r>
      <w:r>
        <w:t xml:space="preserve"> </w:t>
      </w:r>
      <w:r>
        <w:t xml:space="preserve">Journal of Spacecraft and Rockets, vol. 45, no. 4, pp. 836 to 842, 2008. doi:</w:t>
      </w:r>
      <w:r>
        <w:t xml:space="preserve"> </w:t>
      </w:r>
      <w:hyperlink r:id="rId68">
        <w:r>
          <w:rPr>
            <w:rStyle w:val="Hyperlink"/>
          </w:rPr>
          <w:t xml:space="preserve">10.2514/1.34947</w:t>
        </w:r>
      </w:hyperlink>
    </w:p>
    <w:p>
      <w:pPr>
        <w:pStyle w:val="BodyText"/>
      </w:pPr>
      <w:bookmarkStart w:id="69" w:name="ref-2"/>
      <w:bookmarkEnd w:id="69"/>
      <w:r>
        <w:t xml:space="preserve">2.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70">
        <w:r>
          <w:rPr>
            <w:rStyle w:val="Hyperlink"/>
          </w:rPr>
          <w:t xml:space="preserve">10.1016/j.actaastro.2024.09.005</w:t>
        </w:r>
      </w:hyperlink>
    </w:p>
    <w:p>
      <w:pPr>
        <w:pStyle w:val="BodyText"/>
      </w:pPr>
      <w:bookmarkStart w:id="71" w:name="ref-3"/>
      <w:bookmarkEnd w:id="71"/>
      <w:r>
        <w:t xml:space="preserve">3. J. M. Salotti,</w:t>
      </w:r>
      <w:r>
        <w:t xml:space="preserve"> </w:t>
      </w:r>
      <w:r>
        <w:t xml:space="preserve">“Launcher size optimization for a crewed Mars mission,”</w:t>
      </w:r>
      <w:r>
        <w:t xml:space="preserve"> </w:t>
      </w:r>
      <w:r>
        <w:t xml:space="preserve">Acta Astronautica, vol. 191, 2021. doi:</w:t>
      </w:r>
      <w:r>
        <w:t xml:space="preserve"> </w:t>
      </w:r>
      <w:hyperlink r:id="rId72">
        <w:r>
          <w:rPr>
            <w:rStyle w:val="Hyperlink"/>
          </w:rPr>
          <w:t xml:space="preserve">10.1016/j.actaastro.2021.11.016</w:t>
        </w:r>
      </w:hyperlink>
    </w:p>
    <w:p>
      <w:pPr>
        <w:pStyle w:val="BodyText"/>
      </w:pPr>
      <w:bookmarkStart w:id="73" w:name="ref-4"/>
      <w:bookmarkEnd w:id="73"/>
      <w:r>
        <w:t xml:space="preserve">4. P. D. Friz, S. Hosder, B. B. Leser, and others,</w:t>
      </w:r>
      <w:r>
        <w:t xml:space="preserve"> </w:t>
      </w:r>
      <w:r>
        <w:t xml:space="preserve">“Blind validation study of parametric cost estimation tool SEER-H for NASA space missions,”</w:t>
      </w:r>
      <w:r>
        <w:t xml:space="preserve"> </w:t>
      </w:r>
      <w:r>
        <w:t xml:space="preserve">Acta Astronautica, vol. 165, 2019. doi:</w:t>
      </w:r>
      <w:r>
        <w:t xml:space="preserve"> </w:t>
      </w:r>
      <w:hyperlink r:id="rId74">
        <w:r>
          <w:rPr>
            <w:rStyle w:val="Hyperlink"/>
          </w:rPr>
          <w:t xml:space="preserve">10.1016/j.actaastro.2019.09.030</w:t>
        </w:r>
      </w:hyperlink>
    </w:p>
    <w:p>
      <w:pPr>
        <w:pStyle w:val="BodyText"/>
      </w:pPr>
      <w:bookmarkStart w:id="75" w:name="ref-5"/>
      <w:bookmarkEnd w:id="75"/>
      <w:r>
        <w:t xml:space="preserve">5. J. H. Saleh and colleagues (advocacy synthesis),</w:t>
      </w:r>
      <w:r>
        <w:t xml:space="preserve"> </w:t>
      </w:r>
      <w:r>
        <w:t xml:space="preserve">“Pay Me Now or Pay Me More Later: Start Active Debris Removal Now,”</w:t>
      </w:r>
      <w:r>
        <w:t xml:space="preserve"> </w:t>
      </w:r>
      <w:r>
        <w:t xml:space="preserve">Proceedings of the Advanced Maui Optical and Space Surveillance Technologies (AMOS) Conference, 2010.</w:t>
      </w:r>
    </w:p>
    <w:p>
      <w:pPr>
        <w:pStyle w:val="BodyText"/>
      </w:pPr>
      <w:bookmarkStart w:id="76" w:name="ref-6"/>
      <w:bookmarkEnd w:id="76"/>
      <w:r>
        <w:t xml:space="preserve">6. N. Viola, R. Fusaro, and V. Vercella,</w:t>
      </w:r>
      <w:r>
        <w:t xml:space="preserve"> </w:t>
      </w:r>
      <w:r>
        <w:t xml:space="preserve">“Technology roadmapping methodology for future hypersonic transportation systems,”</w:t>
      </w:r>
      <w:r>
        <w:t xml:space="preserve"> </w:t>
      </w:r>
      <w:r>
        <w:t xml:space="preserve">Acta Astronautica, vol. 195, 2022. doi:</w:t>
      </w:r>
      <w:r>
        <w:t xml:space="preserve"> </w:t>
      </w:r>
      <w:hyperlink r:id="rId77">
        <w:r>
          <w:rPr>
            <w:rStyle w:val="Hyperlink"/>
          </w:rPr>
          <w:t xml:space="preserve">10.1016/j.actaastro.2022.03.038</w:t>
        </w:r>
      </w:hyperlink>
    </w:p>
    <w:p>
      <w:pPr>
        <w:pStyle w:val="BodyText"/>
      </w:pPr>
      <w:bookmarkStart w:id="78" w:name="ref-7"/>
      <w:bookmarkEnd w:id="78"/>
      <w:r>
        <w:t xml:space="preserve">7. U.S. Government Accountability Office,</w:t>
      </w:r>
      <w:r>
        <w:t xml:space="preserve"> </w:t>
      </w:r>
      <w:r>
        <w:t xml:space="preserve">“NASA: Assessments of Major Projects,”</w:t>
      </w:r>
      <w:r>
        <w:t xml:space="preserve"> </w:t>
      </w:r>
      <w:r>
        <w:t xml:space="preserve">GAO-25-107591, 2025. Available: https://www.gao.gov/products/gao-25-107591.</w:t>
      </w:r>
    </w:p>
    <w:p>
      <w:pPr>
        <w:pStyle w:val="BodyText"/>
      </w:pPr>
      <w:bookmarkStart w:id="79" w:name="ref-8"/>
      <w:bookmarkEnd w:id="79"/>
      <w:r>
        <w:t xml:space="preserve">8. U.S. Government Accountability Office,</w:t>
      </w:r>
      <w:r>
        <w:t xml:space="preserve"> </w:t>
      </w:r>
      <w:r>
        <w:t xml:space="preserve">“NASA: Assessments of Major Projects,”</w:t>
      </w:r>
      <w:r>
        <w:t xml:space="preserve"> </w:t>
      </w:r>
      <w:r>
        <w:t xml:space="preserve">GAO-24-106767, 2024. Available: https://www.gao.gov/products/gao-24-106767.</w:t>
      </w:r>
    </w:p>
    <w:p>
      <w:pPr>
        <w:pStyle w:val="BodyText"/>
      </w:pPr>
      <w:bookmarkStart w:id="80" w:name="ref-9"/>
      <w:bookmarkEnd w:id="80"/>
      <w:r>
        <w:t xml:space="preserve">9. U.S. Government Accountability Office,</w:t>
      </w:r>
      <w:r>
        <w:t xml:space="preserve"> </w:t>
      </w:r>
      <w:r>
        <w:t xml:space="preserve">“NASA: Assessments of Selected Large-Scale Projects,”</w:t>
      </w:r>
      <w:r>
        <w:t xml:space="preserve"> </w:t>
      </w:r>
      <w:r>
        <w:t xml:space="preserve">GAO-10-227SP, 2010. Available: https://www.gao.gov/assets/gao-10-227sp.pdf.</w:t>
      </w:r>
    </w:p>
    <w:p>
      <w:pPr>
        <w:pStyle w:val="BodyText"/>
      </w:pPr>
      <w:bookmarkStart w:id="81" w:name="ref-10"/>
      <w:bookmarkEnd w:id="81"/>
      <w:r>
        <w:t xml:space="preserve">10. The Planetary Society,</w:t>
      </w:r>
      <w:r>
        <w:t xml:space="preserve"> </w:t>
      </w:r>
      <w:r>
        <w:t xml:space="preserve">“Cost of MSL Curiosity”</w:t>
      </w:r>
      <w:r>
        <w:t xml:space="preserve"> </w:t>
      </w:r>
      <w:r>
        <w:t xml:space="preserve">and</w:t>
      </w:r>
      <w:r>
        <w:t xml:space="preserve"> </w:t>
      </w:r>
      <w:r>
        <w:t xml:space="preserve">“Europa Clipper Cost Chart,”</w:t>
      </w:r>
      <w:r>
        <w:t xml:space="preserve"> </w:t>
      </w:r>
      <w:r>
        <w:t xml:space="preserve">mission cost datasets. Available: https://www.planetary.org/space-policy/cost-of-msl-curiosity.</w:t>
      </w:r>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cost_index</m:t>
              </m:r>
            </m:e>
            <m:sub>
              <m:r>
                <m:t>i</m:t>
              </m:r>
              <m:r>
                <m:t>t</m:t>
              </m:r>
            </m:sub>
          </m:sSub>
          <m:r>
            <m:rPr>
              <m:sty m:val="p"/>
            </m:rPr>
            <m:t>=</m:t>
          </m:r>
          <m:sSub>
            <m:e>
              <m:r>
                <m:t>β</m:t>
              </m:r>
            </m:e>
            <m:sub>
              <m:r>
                <m:t>0</m:t>
              </m:r>
            </m:sub>
          </m:sSub>
          <m:r>
            <m:rPr>
              <m:sty m:val="p"/>
            </m:rPr>
            <m:t>+</m:t>
          </m:r>
          <m:sSub>
            <m:e>
              <m:r>
                <m:t>β</m:t>
              </m:r>
            </m:e>
            <m:sub>
              <m:r>
                <m:t>1</m:t>
              </m:r>
            </m:sub>
          </m:sSub>
          <m:r>
            <m:t> </m:t>
          </m:r>
          <m:sSub>
            <m:e>
              <m:r>
                <m:rPr>
                  <m:nor/>
                  <m:sty m:val="p"/>
                </m:rPr>
                <m:t>post</m:t>
              </m:r>
            </m:e>
            <m:sub>
              <m:r>
                <m:t>t</m:t>
              </m:r>
            </m:sub>
          </m:sSub>
          <m:r>
            <m:rPr>
              <m:sty m:val="p"/>
            </m:rPr>
            <m:t>+</m:t>
          </m:r>
          <m:sSub>
            <m:e>
              <m:r>
                <m:t>β</m:t>
              </m:r>
            </m:e>
            <m:sub>
              <m:r>
                <m:t>2</m:t>
              </m:r>
            </m:sub>
          </m:sSub>
          <m:r>
            <m:t> </m:t>
          </m:r>
          <m:sSub>
            <m:e>
              <m:r>
                <m:rPr>
                  <m:nor/>
                  <m:sty m:val="p"/>
                </m:rPr>
                <m:t>immature</m:t>
              </m:r>
            </m:e>
            <m:sub>
              <m:r>
                <m:t>i</m:t>
              </m:r>
            </m:sub>
          </m:sSub>
          <m:r>
            <m:rPr>
              <m:sty m:val="p"/>
            </m:rPr>
            <m:t>+</m:t>
          </m:r>
          <m:sSub>
            <m:e>
              <m:r>
                <m:t>β</m:t>
              </m:r>
            </m:e>
            <m:sub>
              <m:r>
                <m:t>3</m:t>
              </m:r>
            </m:sub>
          </m:sSub>
          <m:r>
            <m:t> </m:t>
          </m:r>
          <m:r>
            <m:rPr>
              <m:sty m:val="p"/>
            </m:rPr>
            <m:t>(</m:t>
          </m:r>
          <m:sSub>
            <m:e>
              <m:r>
                <m:rPr>
                  <m:nor/>
                  <m:sty m:val="p"/>
                </m:rPr>
                <m:t>post</m:t>
              </m:r>
            </m:e>
            <m:sub>
              <m:r>
                <m:t>t</m:t>
              </m:r>
            </m:sub>
          </m:sSub>
          <m:r>
            <m:rPr>
              <m:sty m:val="p"/>
            </m:rPr>
            <m:t>×</m:t>
          </m:r>
          <m:sSub>
            <m:e>
              <m:r>
                <m:rPr>
                  <m:nor/>
                  <m:sty m:val="p"/>
                </m:rPr>
                <m:t>immature</m:t>
              </m:r>
            </m:e>
            <m:sub>
              <m:r>
                <m:t>i</m:t>
              </m:r>
            </m:sub>
          </m:sSub>
          <m:r>
            <m:rPr>
              <m:sty m:val="p"/>
            </m:rPr>
            <m:t>)</m:t>
          </m:r>
          <m:r>
            <m:rPr>
              <m:sty m:val="p"/>
            </m:rPr>
            <m:t>+</m:t>
          </m:r>
          <m:sSub>
            <m:e>
              <m:r>
                <m:t>β</m:t>
              </m:r>
            </m:e>
            <m:sub>
              <m:r>
                <m:t>4</m:t>
              </m:r>
            </m:sub>
          </m:sSub>
          <m:r>
            <m:t> </m:t>
          </m:r>
          <m:sSub>
            <m:e>
              <m:r>
                <m:rPr>
                  <m:nor/>
                  <m:sty m:val="p"/>
                </m:rPr>
                <m:t>flagship</m:t>
              </m:r>
            </m:e>
            <m:sub>
              <m:r>
                <m:t>i</m:t>
              </m:r>
            </m:sub>
          </m:sSub>
          <m:r>
            <m:rPr>
              <m:sty m:val="p"/>
            </m:rPr>
            <m:t>+</m:t>
          </m:r>
          <m:sSub>
            <m:e>
              <m:r>
                <m:t>ε</m:t>
              </m:r>
            </m:e>
            <m:sub>
              <m:r>
                <m:t>i</m:t>
              </m:r>
              <m:r>
                <m:t>t</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98.8043</w:t>
            </w:r>
          </w:p>
        </w:tc>
        <w:tc>
          <w:tcPr>
            <w:tcW w:w="0" w:type="auto"/>
          </w:tcPr>
          <w:p>
            <w:pPr>
              <w:spacing w:line="240" w:lineRule="auto" w:before="0" w:after="0"/>
              <w:pStyle w:val="Compact"/>
            </w:pPr>
            <w:r>
              <w:rPr>
                <w:sz w:val="20"/>
                <w:szCs w:val="20"/>
              </w:rPr>
              <w:t xml:space="preserve">1.3039</w:t>
            </w:r>
          </w:p>
        </w:tc>
        <w:tc>
          <w:tcPr>
            <w:tcW w:w="0" w:type="auto"/>
          </w:tcPr>
          <w:p>
            <w:pPr>
              <w:spacing w:line="240" w:lineRule="auto" w:before="0" w:after="0"/>
              <w:pStyle w:val="Compact"/>
            </w:pPr>
            <w:r>
              <w:rPr>
                <w:sz w:val="20"/>
                <w:szCs w:val="20"/>
              </w:rPr>
              <w:t xml:space="preserve">75.7733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[96.2486, 101.36]</w:t>
            </w:r>
          </w:p>
        </w:tc>
      </w:tr>
      <w:tr>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2.6091</w:t>
            </w:r>
          </w:p>
        </w:tc>
        <w:tc>
          <w:tcPr>
            <w:tcW w:w="0" w:type="auto"/>
          </w:tcPr>
          <w:p>
            <w:pPr>
              <w:spacing w:line="240" w:lineRule="auto" w:before="0" w:after="0"/>
              <w:pStyle w:val="Compact"/>
            </w:pPr>
            <w:r>
              <w:rPr>
                <w:sz w:val="20"/>
                <w:szCs w:val="20"/>
              </w:rPr>
              <w:t xml:space="preserve">2.0998</w:t>
            </w:r>
          </w:p>
        </w:tc>
        <w:tc>
          <w:tcPr>
            <w:tcW w:w="0" w:type="auto"/>
          </w:tcPr>
          <w:p>
            <w:pPr>
              <w:spacing w:line="240" w:lineRule="auto" w:before="0" w:after="0"/>
              <w:pStyle w:val="Compact"/>
            </w:pPr>
            <w:r>
              <w:rPr>
                <w:sz w:val="20"/>
                <w:szCs w:val="20"/>
              </w:rPr>
              <w:t xml:space="preserve">1.2426</w:t>
            </w:r>
          </w:p>
        </w:tc>
        <w:tc>
          <w:tcPr>
            <w:tcW w:w="0" w:type="auto"/>
          </w:tcPr>
          <w:p>
            <w:pPr>
              <w:spacing w:line="240" w:lineRule="auto" w:before="0" w:after="0"/>
              <w:pStyle w:val="Compact"/>
            </w:pPr>
            <w:r>
              <w:rPr>
                <w:sz w:val="20"/>
                <w:szCs w:val="20"/>
              </w:rPr>
              <w:t xml:space="preserve">0.214</w:t>
            </w:r>
          </w:p>
        </w:tc>
        <w:tc>
          <w:tcPr>
            <w:tcW w:w="0" w:type="auto"/>
          </w:tcPr>
          <w:p>
            <w:pPr>
              <w:spacing w:line="240" w:lineRule="auto" w:before="0" w:after="0"/>
              <w:pStyle w:val="Compact"/>
            </w:pPr>
            <w:r>
              <w:rPr>
                <w:sz w:val="20"/>
                <w:szCs w:val="20"/>
              </w:rPr>
              <w:t xml:space="preserve">[-1.5064, 6.7246]</w:t>
            </w:r>
          </w:p>
        </w:tc>
      </w:tr>
      <w:tr>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-3.1885</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-0.9721</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[-9.6175, 3.2405]</w:t>
            </w:r>
          </w:p>
        </w:tc>
      </w:tr>
      <w:tr>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27.0131</w:t>
            </w:r>
          </w:p>
        </w:tc>
        <w:tc>
          <w:tcPr>
            <w:tcW w:w="0" w:type="auto"/>
          </w:tcPr>
          <w:p>
            <w:pPr>
              <w:spacing w:line="240" w:lineRule="auto" w:before="0" w:after="0"/>
              <w:pStyle w:val="Compact"/>
            </w:pPr>
            <w:r>
              <w:rPr>
                <w:sz w:val="20"/>
                <w:szCs w:val="20"/>
              </w:rPr>
              <w:t xml:space="preserve">8.9204</w:t>
            </w:r>
          </w:p>
        </w:tc>
        <w:tc>
          <w:tcPr>
            <w:tcW w:w="0" w:type="auto"/>
          </w:tcPr>
          <w:p>
            <w:pPr>
              <w:spacing w:line="240" w:lineRule="auto" w:before="0" w:after="0"/>
              <w:pStyle w:val="Compact"/>
            </w:pPr>
            <w:r>
              <w:rPr>
                <w:sz w:val="20"/>
                <w:szCs w:val="20"/>
              </w:rPr>
              <w:t xml:space="preserve">3.0282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[9.5294, 44.4969]</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13.1526</w:t>
            </w:r>
          </w:p>
        </w:tc>
        <w:tc>
          <w:tcPr>
            <w:tcW w:w="0" w:type="auto"/>
          </w:tcPr>
          <w:p>
            <w:pPr>
              <w:spacing w:line="240" w:lineRule="auto" w:before="0" w:after="0"/>
              <w:pStyle w:val="Compact"/>
            </w:pPr>
            <w:r>
              <w:rPr>
                <w:sz w:val="20"/>
                <w:szCs w:val="20"/>
              </w:rPr>
              <w:t xml:space="preserve">8.7494</w:t>
            </w:r>
          </w:p>
        </w:tc>
        <w:tc>
          <w:tcPr>
            <w:tcW w:w="0" w:type="auto"/>
          </w:tcPr>
          <w:p>
            <w:pPr>
              <w:spacing w:line="240" w:lineRule="auto" w:before="0" w:after="0"/>
              <w:pStyle w:val="Compact"/>
            </w:pPr>
            <w:r>
              <w:rPr>
                <w:sz w:val="20"/>
                <w:szCs w:val="20"/>
              </w:rPr>
              <w:t xml:space="preserve">1.5033</w:t>
            </w:r>
          </w:p>
        </w:tc>
        <w:tc>
          <w:tcPr>
            <w:tcW w:w="0" w:type="auto"/>
          </w:tcPr>
          <w:p>
            <w:pPr>
              <w:spacing w:line="240" w:lineRule="auto" w:before="0" w:after="0"/>
              <w:pStyle w:val="Compact"/>
            </w:pPr>
            <w:r>
              <w:rPr>
                <w:sz w:val="20"/>
                <w:szCs w:val="20"/>
              </w:rPr>
              <w:t xml:space="preserve">0.1328</w:t>
            </w:r>
          </w:p>
        </w:tc>
        <w:tc>
          <w:tcPr>
            <w:tcW w:w="0" w:type="auto"/>
          </w:tcPr>
          <w:p>
            <w:pPr>
              <w:spacing w:line="240" w:lineRule="auto" w:before="0" w:after="0"/>
              <w:pStyle w:val="Compact"/>
            </w:pPr>
            <w:r>
              <w:rPr>
                <w:sz w:val="20"/>
                <w:szCs w:val="20"/>
              </w:rPr>
              <w:t xml:space="preserve">[-3.9959, 30.3011]</w:t>
            </w:r>
          </w:p>
        </w:tc>
      </w:tr>
    </w:tbl>
    <w:p>
      <w:pPr>
        <w:pStyle w:val="BodyText"/>
      </w:pPr>
      <w:r>
        <w:t xml:space="preserve">Fit: N = 40 R2 = 0.5399 R2_adj = 0.4873 F = 3.7368 F_p = 0.0124</w:t>
      </w:r>
    </w:p>
    <w:p>
      <w:pPr>
        <w:pStyle w:val="CaptionedFigure"/>
      </w:pPr>
      <w:r>
        <w:drawing>
          <wp:inline>
            <wp:extent cx="5669280" cy="3657600"/>
            <wp:effectExtent b="0" l="0" r="0" t="0"/>
            <wp:docPr descr="Figure 1. Development cost index at confirmation versus latest assessment for NASA major projects, separating technology-mature and technology-immature projects. The widening gap for immature projects is the difference-in-differences estimand." title="" id="85" name="Picture"/>
            <a:graphic>
              <a:graphicData uri="http://schemas.openxmlformats.org/drawingml/2006/picture">
                <pic:pic>
                  <pic:nvPicPr>
                    <pic:cNvPr descr="D:\Claude_Code\brain\collegium\candidates\dissertations\JPL_OPS_COMMS_DATA_03\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index at confirmation versus latest assessment for NASA major projects, separating technology-mature and technology-immature projects. The widening gap for immature projects is the difference-in-differences estimand.</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cost_index</w:t>
            </w:r>
          </w:p>
        </w:tc>
        <w:tc>
          <w:tcPr>
            <w:tcW w:w="0" w:type="auto"/>
          </w:tcPr>
          <w:p>
            <w:pPr>
              <w:spacing w:line="240" w:lineRule="auto" w:before="0" w:after="0"/>
              <w:pStyle w:val="Compact"/>
            </w:pPr>
            <w:r>
              <w:rPr>
                <w:sz w:val="20"/>
                <w:szCs w:val="20"/>
              </w:rPr>
              <w:t xml:space="preserve">sched_index</w:t>
            </w:r>
          </w:p>
        </w:tc>
        <w:tc>
          <w:tcPr>
            <w:tcW w:w="0" w:type="auto"/>
          </w:tcPr>
          <w:p>
            <w:pPr>
              <w:spacing w:line="240" w:lineRule="auto" w:before="0" w:after="0"/>
              <w:pStyle w:val="Compact"/>
            </w:pPr>
            <w:r>
              <w:rPr>
                <w:sz w:val="20"/>
                <w:szCs w:val="20"/>
              </w:rPr>
              <w:t xml:space="preserve">trl_min_pdr</w:t>
            </w:r>
          </w:p>
        </w:tc>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NASA Assessments of Selected Large-Scale Projects (Feb 2010), Aquarius baseline 2008; instrument deemed mature at PDR (heritage), https://www.gao.gov/assets/gao-10-227sp.pdf</w:t>
            </w:r>
          </w:p>
        </w:tc>
      </w:tr>
      <w:tr>
        <w:tc>
          <w:tcPr>
            <w:tcW w:w="0" w:type="auto"/>
          </w:tcPr>
          <w:p>
            <w:pPr>
              <w:spacing w:line="240" w:lineRule="auto" w:before="0" w:after="0"/>
              <w:pStyle w:val="Compact"/>
            </w:pPr>
            <w:r>
              <w:rPr>
                <w:sz w:val="20"/>
                <w:szCs w:val="20"/>
              </w:rPr>
              <w:t xml:space="preserve">Aquarius</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Aquarius development cost growth 8.3 percent, launch delay 10 months, https://www.gao.gov/assets/gao-10-227sp.pdf</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WISE baseline 2008; critical technologies mature at PDR, https://www.gao.gov/assets/gao-10-227sp.pdf</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WISE development cost growth 1.5 percent, launch delay 1 month, https://www.gao.gov/assets/gao-10-227sp.pdf</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SDO baseline 2007, https://www.gao.gov/assets/gao-10-227sp.pdf</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SDO development cost growth 9.4 percent, launch delay 18 months, https://www.gao.gov/assets/gao-10-227sp.pdf</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Kepler baseline 2007; not all critical technologies mature at PDR [immature], https://www.gao.gov/assets/gao-10-227sp.pdf</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124.8</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Kepler development cost growth 24.8 percent, launch delay 9 months, https://www.gao.gov/assets/gao-10-227sp.pdf</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NPP (NPOESS Preparatory Project) baseline 2007; immature critical technologies, https://www.gao.gov/assets/gao-10-227sp.pdf</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NPP development cost growth 22.3 percent, launch delay 33 months, https://www.gao.gov/assets/gao-10-227sp.pdf</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GAO-10-227SP, Glory baseline 2009; immature critical technologies, https://www.gao.gov/assets/gao-10-227sp.pdf</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GAO-10-227SP, Glory development cost growth 14.3 percent, launch delay 16 months, https://www.gao.gov/assets/gao-10-227sp.pdf</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GAO/SpaceNews: MSL had seven critical technologies not mature at PDR, two still immature at CDR [immature]; baseline 2006, https://www.gao.gov/assets/gao-14-338sp.pdf</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MSL Curiosity: ~56 percent cost growth, 25-26 month launch delay (2009 to Aug 2011), https://www.planetary.org/space-policy/cost-of-msl-curiosity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JWST 2009 baseline; multiple critical technologies below TRL 6 at confirmation [immature], https://www.gao.gov/products/gao-18-273</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JWST total cost grew ~95 percent (just under 5B to ~9.7B), launch delayed ~7 years (~84 months), https://en.wikipedia.org/wiki/James_Webb_Space_Telescope</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Discovery mission baseline FY2009; technologies mature at PDR, https://ntrs.nasa.gov/citations/20140002136</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GRAIL launched on cost, on schedule, on spec; 0 percent cost growth, 0 month delay, https://ntrs.nasa.gov/citations/20140002136</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MAVEN technologies mature, met cost and schedule baselines, https://www.gao.gov/assets/gao-14-338sp.pdf</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GAO/MAVEN launched Nov 2013 on schedule, ~35M under estimate (negative cost growth), https://www.gao.gov/assets/gao-14-338sp.pdf</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LADEE baseline; not all critical technologies mature at PDR [immature], https://www.gao.gov/assets/gao-14-338sp.pdf</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113.8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LADEE development cost growth 23.2 percent, schedule growth 13.8 percent, https://www.gao.gov/assets/gao-14-338sp.pdf</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InSight technologies mature at confirmation, https://www.gao.gov/assets/gao-19-262sp.pdf</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InSight 0 percent development cost growth at this assessment point, https://www.gao.gov/assets/gao-19-262sp.pdf</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OSIRIS-REx critical technologies mature at PDR, https://www.gao.gov/assets/gao-14-338sp.pdf</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OSIRIS-REx held to baseline (cost change near zero / cost decrease), https://www.gao.gov/assets/gao-14-338sp.pdf</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ICESat-2 confirmation 2012; ATLAS laser altimeter technology immature at PDR [immature], https://www.gao.gov/assets/gao-19-262sp.pdf</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ICESat-2 cumulative cost change -28.5M, -1 month schedule through Jun 2018 (recovered after early growth), https://www.gao.gov/assets/gao-19-262sp.pdf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TESS reported zero critical technologies (mature), https://www.gao.gov/assets/gao-19-262sp.pdf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TESS launched 2018 on baseline, https://www.gao.gov/assets/gao-19-262sp.pdf</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GRACE-FO reported zero critical technologies (mature), https://www.gao.gov/assets/gao-19-262sp.pdf</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GRACE-FO launched 2018 near baseline, https://www.gao.gov/assets/gao-19-262sp.pdf</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Psyche baseline; growing in cost, missed original 2022 launch [immature], https://www.gao.gov/assets/gao-24-106767.pdf</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GAO-24-106767/Planetary Society, Psyche cost growth and ~13 month launch slip to Oct 2023 [illustrative magnitude], https://www.gao.gov/assets/gao-24-106767.pdf</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Orion MPCV; persistent development cost growth against 2021 rebaseline [immature], https://www.gao.gov/assets/gao-25-107591.pdf</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&gt;684M development cost growth vs 2021 rebaseline, ~13 percent [illustrative magnitude], https://www.gao.gov/assets/gao-25-107591.pdf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NEO Surveyor uses largely heritage IR detector technology mature near confirmation, https://www.gao.gov/assets/gao-24-106767.pdf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NEO Surveyor cost growth after replan/launch slip to 2028 [illustrative magnitude], https://www.gao.gov/assets/gao-24-106767.pdf</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confirmation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Europa Clipper critical technologies matured before confirmation, https://www.gao.gov/assets/gao-24-106767.pdf</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latest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Europa Clipper cost chart; launched Oct 2024 near schedule, modest growth [illustrative magnitude], https://www.planetary.org/charts/europa-clipper-cost-chart</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cost_index</w:t>
            </w:r>
          </w:p>
        </w:tc>
        <w:tc>
          <w:tcPr>
            <w:tcW w:w="0" w:type="auto"/>
          </w:tcPr>
          <w:p>
            <w:pPr>
              <w:spacing w:line="240" w:lineRule="auto" w:before="0" w:after="0"/>
              <w:pStyle w:val="Compact"/>
            </w:pPr>
            <w:r>
              <w:rPr>
                <w:sz w:val="20"/>
                <w:szCs w:val="20"/>
              </w:rPr>
              <w:t xml:space="preserve">Development cost relative to the confirmation (KDP-C) baseline, indexed to 100 at confirmation; values above 100 at the latest assessment denote cost growth</w:t>
            </w:r>
          </w:p>
        </w:tc>
        <w:tc>
          <w:tcPr>
            <w:tcW w:w="0" w:type="auto"/>
          </w:tcPr>
          <w:p>
            <w:pPr>
              <w:spacing w:line="240" w:lineRule="auto" w:before="0" w:after="0"/>
              <w:pStyle w:val="Compact"/>
            </w:pPr>
            <w:r>
              <w:rPr>
                <w:sz w:val="20"/>
                <w:szCs w:val="20"/>
              </w:rPr>
              <w:t xml:space="preserve">GAO NASA Assessments of Major/Large-Scale Projects (GAO-10-227SP, GAO-14-338SP, GAO-19-262SP, GAO-24-106767, GAO-25-107591); Planetary Society cost charts</w:t>
            </w:r>
          </w:p>
        </w:tc>
      </w:tr>
      <w:tr>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Period indicator equal to 0 at confirmation and 1 at the latest published assessment</w:t>
            </w:r>
          </w:p>
        </w:tc>
        <w:tc>
          <w:tcPr>
            <w:tcW w:w="0" w:type="auto"/>
          </w:tcPr>
          <w:p>
            <w:pPr>
              <w:spacing w:line="240" w:lineRule="auto" w:before="0" w:after="0"/>
              <w:pStyle w:val="Compact"/>
            </w:pPr>
            <w:r>
              <w:rPr>
                <w:sz w:val="20"/>
                <w:szCs w:val="20"/>
              </w:rPr>
              <w:t xml:space="preserve">Author coding of the two life-cycle observation points per project</w:t>
            </w:r>
          </w:p>
        </w:tc>
      </w:tr>
      <w:tr>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Treatment indicator equal to 1 if one or more critical technologies were below TRL 6 at preliminary design review or confirmation, 0 if all critical technologies were mature</w:t>
            </w:r>
          </w:p>
        </w:tc>
        <w:tc>
          <w:tcPr>
            <w:tcW w:w="0" w:type="auto"/>
          </w:tcPr>
          <w:p>
            <w:pPr>
              <w:spacing w:line="240" w:lineRule="auto" w:before="0" w:after="0"/>
              <w:pStyle w:val="Compact"/>
            </w:pPr>
            <w:r>
              <w:rPr>
                <w:sz w:val="20"/>
                <w:szCs w:val="20"/>
              </w:rPr>
              <w:t xml:space="preserve">GAO per-project technology-maturity assessments at PDR</w:t>
            </w:r>
          </w:p>
        </w:tc>
      </w:tr>
      <w:tr>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Difference-in-differences interaction (post times immature); its coefficient is the differential cost growth attributable to entering with immature technology</w:t>
            </w:r>
          </w:p>
        </w:tc>
        <w:tc>
          <w:tcPr>
            <w:tcW w:w="0" w:type="auto"/>
          </w:tcPr>
          <w:p>
            <w:pPr>
              <w:spacing w:line="240" w:lineRule="auto" w:before="0" w:after="0"/>
              <w:pStyle w:val="Compact"/>
            </w:pPr>
            <w:r>
              <w:rPr>
                <w:sz w:val="20"/>
                <w:szCs w:val="20"/>
              </w:rPr>
              <w:t xml:space="preserve">Constructed from post and immature</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Indicator equal to 1 for flagship or human-spaceflight class projects (large strategic missions), 0 otherwise</w:t>
            </w:r>
          </w:p>
        </w:tc>
        <w:tc>
          <w:tcPr>
            <w:tcW w:w="0" w:type="auto"/>
          </w:tcPr>
          <w:p>
            <w:pPr>
              <w:spacing w:line="240" w:lineRule="auto" w:before="0" w:after="0"/>
              <w:pStyle w:val="Compact"/>
            </w:pPr>
            <w:r>
              <w:rPr>
                <w:sz w:val="20"/>
                <w:szCs w:val="20"/>
              </w:rPr>
              <w:t xml:space="preserve">Author classification by NASA mission category</w:t>
            </w:r>
          </w:p>
        </w:tc>
      </w:tr>
      <w:tr>
        <w:tc>
          <w:tcPr>
            <w:tcW w:w="0" w:type="auto"/>
          </w:tcPr>
          <w:p>
            <w:pPr>
              <w:spacing w:line="240" w:lineRule="auto" w:before="0" w:after="0"/>
              <w:pStyle w:val="Compact"/>
            </w:pPr>
            <w:r>
              <w:rPr>
                <w:sz w:val="20"/>
                <w:szCs w:val="20"/>
              </w:rPr>
              <w:t xml:space="preserve">sched_index</w:t>
            </w:r>
          </w:p>
        </w:tc>
        <w:tc>
          <w:tcPr>
            <w:tcW w:w="0" w:type="auto"/>
          </w:tcPr>
          <w:p>
            <w:pPr>
              <w:spacing w:line="240" w:lineRule="auto" w:before="0" w:after="0"/>
              <w:pStyle w:val="Compact"/>
            </w:pPr>
            <w:r>
              <w:rPr>
                <w:sz w:val="20"/>
                <w:szCs w:val="20"/>
              </w:rPr>
              <w:t xml:space="preserve">Schedule relative to the confirmation baseline, indexed to 100 at confirmation (auxiliary outcome, not estimated in the primary model)</w:t>
            </w:r>
          </w:p>
        </w:tc>
        <w:tc>
          <w:tcPr>
            <w:tcW w:w="0" w:type="auto"/>
          </w:tcPr>
          <w:p>
            <w:pPr>
              <w:spacing w:line="240" w:lineRule="auto" w:before="0" w:after="0"/>
              <w:pStyle w:val="Compact"/>
            </w:pPr>
            <w:r>
              <w:rPr>
                <w:sz w:val="20"/>
                <w:szCs w:val="20"/>
              </w:rPr>
              <w:t xml:space="preserve">GAO launch-delay figures per project</w:t>
            </w:r>
          </w:p>
        </w:tc>
      </w:tr>
      <w:tr>
        <w:tc>
          <w:tcPr>
            <w:tcW w:w="0" w:type="auto"/>
          </w:tcPr>
          <w:p>
            <w:pPr>
              <w:spacing w:line="240" w:lineRule="auto" w:before="0" w:after="0"/>
              <w:pStyle w:val="Compact"/>
            </w:pPr>
            <w:r>
              <w:rPr>
                <w:sz w:val="20"/>
                <w:szCs w:val="20"/>
              </w:rPr>
              <w:t xml:space="preserve">trl_min_pdr</w:t>
            </w:r>
          </w:p>
        </w:tc>
        <w:tc>
          <w:tcPr>
            <w:tcW w:w="0" w:type="auto"/>
          </w:tcPr>
          <w:p>
            <w:pPr>
              <w:spacing w:line="240" w:lineRule="auto" w:before="0" w:after="0"/>
              <w:pStyle w:val="Compact"/>
            </w:pPr>
            <w:r>
              <w:rPr>
                <w:sz w:val="20"/>
                <w:szCs w:val="20"/>
              </w:rPr>
              <w:t xml:space="preserve">Lowest TRL among critical technologies at preliminary design review</w:t>
            </w:r>
          </w:p>
        </w:tc>
        <w:tc>
          <w:tcPr>
            <w:tcW w:w="0" w:type="auto"/>
          </w:tcPr>
          <w:p>
            <w:pPr>
              <w:spacing w:line="240" w:lineRule="auto" w:before="0" w:after="0"/>
              <w:pStyle w:val="Compact"/>
            </w:pPr>
            <w:r>
              <w:rPr>
                <w:sz w:val="20"/>
                <w:szCs w:val="20"/>
              </w:rPr>
              <w:t xml:space="preserve">GAO technology-readiness assessments</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98.8043</w:t>
            </w:r>
          </w:p>
        </w:tc>
        <w:tc>
          <w:tcPr>
            <w:tcW w:w="0" w:type="auto"/>
          </w:tcPr>
          <w:p>
            <w:pPr>
              <w:spacing w:line="240" w:lineRule="auto" w:before="0" w:after="0"/>
              <w:pStyle w:val="Compact"/>
            </w:pPr>
            <w:r>
              <w:rPr>
                <w:sz w:val="20"/>
                <w:szCs w:val="20"/>
              </w:rPr>
              <w:t xml:space="preserve">1.3039</w:t>
            </w:r>
          </w:p>
        </w:tc>
        <w:tc>
          <w:tcPr>
            <w:tcW w:w="0" w:type="auto"/>
          </w:tcPr>
          <w:p>
            <w:pPr>
              <w:spacing w:line="240" w:lineRule="auto" w:before="0" w:after="0"/>
              <w:pStyle w:val="Compact"/>
            </w:pPr>
            <w:r>
              <w:rPr>
                <w:sz w:val="20"/>
                <w:szCs w:val="20"/>
              </w:rPr>
              <w:t xml:space="preserve">75.7733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[96.2486, 101.36]</w:t>
            </w:r>
          </w:p>
        </w:tc>
      </w:tr>
      <w:tr>
        <w:tc>
          <w:tcPr>
            <w:tcW w:w="0" w:type="auto"/>
          </w:tcPr>
          <w:p>
            <w:pPr>
              <w:spacing w:line="240" w:lineRule="auto" w:before="0" w:after="0"/>
              <w:pStyle w:val="Compact"/>
            </w:pPr>
            <w:r>
              <w:rPr>
                <w:sz w:val="20"/>
                <w:szCs w:val="20"/>
              </w:rPr>
              <w:t xml:space="preserve">post</w:t>
            </w:r>
          </w:p>
        </w:tc>
        <w:tc>
          <w:tcPr>
            <w:tcW w:w="0" w:type="auto"/>
          </w:tcPr>
          <w:p>
            <w:pPr>
              <w:spacing w:line="240" w:lineRule="auto" w:before="0" w:after="0"/>
              <w:pStyle w:val="Compact"/>
            </w:pPr>
            <w:r>
              <w:rPr>
                <w:sz w:val="20"/>
                <w:szCs w:val="20"/>
              </w:rPr>
              <w:t xml:space="preserve">2.6091</w:t>
            </w:r>
          </w:p>
        </w:tc>
        <w:tc>
          <w:tcPr>
            <w:tcW w:w="0" w:type="auto"/>
          </w:tcPr>
          <w:p>
            <w:pPr>
              <w:spacing w:line="240" w:lineRule="auto" w:before="0" w:after="0"/>
              <w:pStyle w:val="Compact"/>
            </w:pPr>
            <w:r>
              <w:rPr>
                <w:sz w:val="20"/>
                <w:szCs w:val="20"/>
              </w:rPr>
              <w:t xml:space="preserve">2.0998</w:t>
            </w:r>
          </w:p>
        </w:tc>
        <w:tc>
          <w:tcPr>
            <w:tcW w:w="0" w:type="auto"/>
          </w:tcPr>
          <w:p>
            <w:pPr>
              <w:spacing w:line="240" w:lineRule="auto" w:before="0" w:after="0"/>
              <w:pStyle w:val="Compact"/>
            </w:pPr>
            <w:r>
              <w:rPr>
                <w:sz w:val="20"/>
                <w:szCs w:val="20"/>
              </w:rPr>
              <w:t xml:space="preserve">1.2426</w:t>
            </w:r>
          </w:p>
        </w:tc>
        <w:tc>
          <w:tcPr>
            <w:tcW w:w="0" w:type="auto"/>
          </w:tcPr>
          <w:p>
            <w:pPr>
              <w:spacing w:line="240" w:lineRule="auto" w:before="0" w:after="0"/>
              <w:pStyle w:val="Compact"/>
            </w:pPr>
            <w:r>
              <w:rPr>
                <w:sz w:val="20"/>
                <w:szCs w:val="20"/>
              </w:rPr>
              <w:t xml:space="preserve">0.214</w:t>
            </w:r>
          </w:p>
        </w:tc>
        <w:tc>
          <w:tcPr>
            <w:tcW w:w="0" w:type="auto"/>
          </w:tcPr>
          <w:p>
            <w:pPr>
              <w:spacing w:line="240" w:lineRule="auto" w:before="0" w:after="0"/>
              <w:pStyle w:val="Compact"/>
            </w:pPr>
            <w:r>
              <w:rPr>
                <w:sz w:val="20"/>
                <w:szCs w:val="20"/>
              </w:rPr>
              <w:t xml:space="preserve">[-1.5064, 6.7246]</w:t>
            </w:r>
          </w:p>
        </w:tc>
      </w:tr>
      <w:tr>
        <w:tc>
          <w:tcPr>
            <w:tcW w:w="0" w:type="auto"/>
          </w:tcPr>
          <w:p>
            <w:pPr>
              <w:spacing w:line="240" w:lineRule="auto" w:before="0" w:after="0"/>
              <w:pStyle w:val="Compact"/>
            </w:pPr>
            <w:r>
              <w:rPr>
                <w:sz w:val="20"/>
                <w:szCs w:val="20"/>
              </w:rPr>
              <w:t xml:space="preserve">immature</w:t>
            </w:r>
          </w:p>
        </w:tc>
        <w:tc>
          <w:tcPr>
            <w:tcW w:w="0" w:type="auto"/>
          </w:tcPr>
          <w:p>
            <w:pPr>
              <w:spacing w:line="240" w:lineRule="auto" w:before="0" w:after="0"/>
              <w:pStyle w:val="Compact"/>
            </w:pPr>
            <w:r>
              <w:rPr>
                <w:sz w:val="20"/>
                <w:szCs w:val="20"/>
              </w:rPr>
              <w:t xml:space="preserve">-3.1885</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-0.9721</w:t>
            </w:r>
          </w:p>
        </w:tc>
        <w:tc>
          <w:tcPr>
            <w:tcW w:w="0" w:type="auto"/>
          </w:tcPr>
          <w:p>
            <w:pPr>
              <w:spacing w:line="240" w:lineRule="auto" w:before="0" w:after="0"/>
              <w:pStyle w:val="Compact"/>
            </w:pPr>
            <w:r>
              <w:rPr>
                <w:sz w:val="20"/>
                <w:szCs w:val="20"/>
              </w:rPr>
              <w:t xml:space="preserve">0.331</w:t>
            </w:r>
          </w:p>
        </w:tc>
        <w:tc>
          <w:tcPr>
            <w:tcW w:w="0" w:type="auto"/>
          </w:tcPr>
          <w:p>
            <w:pPr>
              <w:spacing w:line="240" w:lineRule="auto" w:before="0" w:after="0"/>
              <w:pStyle w:val="Compact"/>
            </w:pPr>
            <w:r>
              <w:rPr>
                <w:sz w:val="20"/>
                <w:szCs w:val="20"/>
              </w:rPr>
              <w:t xml:space="preserve">[-9.6175, 3.2405]</w:t>
            </w:r>
          </w:p>
        </w:tc>
      </w:tr>
      <w:tr>
        <w:tc>
          <w:tcPr>
            <w:tcW w:w="0" w:type="auto"/>
          </w:tcPr>
          <w:p>
            <w:pPr>
              <w:spacing w:line="240" w:lineRule="auto" w:before="0" w:after="0"/>
              <w:pStyle w:val="Compact"/>
            </w:pPr>
            <w:r>
              <w:rPr>
                <w:sz w:val="20"/>
                <w:szCs w:val="20"/>
              </w:rPr>
              <w:t xml:space="preserve">post_immature</w:t>
            </w:r>
          </w:p>
        </w:tc>
        <w:tc>
          <w:tcPr>
            <w:tcW w:w="0" w:type="auto"/>
          </w:tcPr>
          <w:p>
            <w:pPr>
              <w:spacing w:line="240" w:lineRule="auto" w:before="0" w:after="0"/>
              <w:pStyle w:val="Compact"/>
            </w:pPr>
            <w:r>
              <w:rPr>
                <w:sz w:val="20"/>
                <w:szCs w:val="20"/>
              </w:rPr>
              <w:t xml:space="preserve">27.0131</w:t>
            </w:r>
          </w:p>
        </w:tc>
        <w:tc>
          <w:tcPr>
            <w:tcW w:w="0" w:type="auto"/>
          </w:tcPr>
          <w:p>
            <w:pPr>
              <w:spacing w:line="240" w:lineRule="auto" w:before="0" w:after="0"/>
              <w:pStyle w:val="Compact"/>
            </w:pPr>
            <w:r>
              <w:rPr>
                <w:sz w:val="20"/>
                <w:szCs w:val="20"/>
              </w:rPr>
              <w:t xml:space="preserve">8.9204</w:t>
            </w:r>
          </w:p>
        </w:tc>
        <w:tc>
          <w:tcPr>
            <w:tcW w:w="0" w:type="auto"/>
          </w:tcPr>
          <w:p>
            <w:pPr>
              <w:spacing w:line="240" w:lineRule="auto" w:before="0" w:after="0"/>
              <w:pStyle w:val="Compact"/>
            </w:pPr>
            <w:r>
              <w:rPr>
                <w:sz w:val="20"/>
                <w:szCs w:val="20"/>
              </w:rPr>
              <w:t xml:space="preserve">3.0282</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[9.5294, 44.4969]</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13.1526</w:t>
            </w:r>
          </w:p>
        </w:tc>
        <w:tc>
          <w:tcPr>
            <w:tcW w:w="0" w:type="auto"/>
          </w:tcPr>
          <w:p>
            <w:pPr>
              <w:spacing w:line="240" w:lineRule="auto" w:before="0" w:after="0"/>
              <w:pStyle w:val="Compact"/>
            </w:pPr>
            <w:r>
              <w:rPr>
                <w:sz w:val="20"/>
                <w:szCs w:val="20"/>
              </w:rPr>
              <w:t xml:space="preserve">8.7494</w:t>
            </w:r>
          </w:p>
        </w:tc>
        <w:tc>
          <w:tcPr>
            <w:tcW w:w="0" w:type="auto"/>
          </w:tcPr>
          <w:p>
            <w:pPr>
              <w:spacing w:line="240" w:lineRule="auto" w:before="0" w:after="0"/>
              <w:pStyle w:val="Compact"/>
            </w:pPr>
            <w:r>
              <w:rPr>
                <w:sz w:val="20"/>
                <w:szCs w:val="20"/>
              </w:rPr>
              <w:t xml:space="preserve">1.5033</w:t>
            </w:r>
          </w:p>
        </w:tc>
        <w:tc>
          <w:tcPr>
            <w:tcW w:w="0" w:type="auto"/>
          </w:tcPr>
          <w:p>
            <w:pPr>
              <w:spacing w:line="240" w:lineRule="auto" w:before="0" w:after="0"/>
              <w:pStyle w:val="Compact"/>
            </w:pPr>
            <w:r>
              <w:rPr>
                <w:sz w:val="20"/>
                <w:szCs w:val="20"/>
              </w:rPr>
              <w:t xml:space="preserve">0.1328</w:t>
            </w:r>
          </w:p>
        </w:tc>
        <w:tc>
          <w:tcPr>
            <w:tcW w:w="0" w:type="auto"/>
          </w:tcPr>
          <w:p>
            <w:pPr>
              <w:spacing w:line="240" w:lineRule="auto" w:before="0" w:after="0"/>
              <w:pStyle w:val="Compact"/>
            </w:pPr>
            <w:r>
              <w:rPr>
                <w:sz w:val="20"/>
                <w:szCs w:val="20"/>
              </w:rPr>
              <w:t xml:space="preserve">[-3.9959, 30.3011]</w:t>
            </w:r>
          </w:p>
        </w:tc>
      </w:tr>
    </w:tbl>
    <w:p>
      <w:pPr>
        <w:pStyle w:val="BodyText"/>
      </w:pPr>
      <w:r>
        <w:t xml:space="preserve">Fit: N = 40 R2 = 0.5399 R2_adj = 0.4873 F = 3.7368 F_p = 0.0124</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4" Target="https://doi.org/10.1016/j.actaastro.2019.09.030" TargetMode="External" /><Relationship Type="http://schemas.openxmlformats.org/officeDocument/2006/relationships/hyperlink" Id="rId72" Target="https://doi.org/10.1016/j.actaastro.2021.11.016" TargetMode="External" /><Relationship Type="http://schemas.openxmlformats.org/officeDocument/2006/relationships/hyperlink" Id="rId77" Target="https://doi.org/10.1016/j.actaastro.2022.03.038" TargetMode="External" /><Relationship Type="http://schemas.openxmlformats.org/officeDocument/2006/relationships/hyperlink" Id="rId70" Target="https://doi.org/10.1016/j.actaastro.2024.09.005" TargetMode="External" /><Relationship Type="http://schemas.openxmlformats.org/officeDocument/2006/relationships/hyperlink" Id="rId68" Target="https://doi.org/10.2514/1.34947"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9.09.030" TargetMode="External" /><Relationship Type="http://schemas.openxmlformats.org/officeDocument/2006/relationships/hyperlink" Id="rId72" Target="https://doi.org/10.1016/j.actaastro.2021.11.016" TargetMode="External" /><Relationship Type="http://schemas.openxmlformats.org/officeDocument/2006/relationships/hyperlink" Id="rId77" Target="https://doi.org/10.1016/j.actaastro.2022.03.038" TargetMode="External" /><Relationship Type="http://schemas.openxmlformats.org/officeDocument/2006/relationships/hyperlink" Id="rId70" Target="https://doi.org/10.1016/j.actaastro.2024.09.005" TargetMode="External" /><Relationship Type="http://schemas.openxmlformats.org/officeDocument/2006/relationships/hyperlink" Id="rId68" Target="https://doi.org/10.2514/1.3494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2026-06-22T20:32:03Z</dcterms:created>
  <dcterms:modified xsi:type="dcterms:W3CDTF">2026-06-22T20:32:03Z</dcterms:modified>
</cp:coreProperties>
</file>

<file path=docProps/custom.xml><?xml version="1.0" encoding="utf-8"?>
<Properties xmlns="http://schemas.openxmlformats.org/officeDocument/2006/custom-properties" xmlns:vt="http://schemas.openxmlformats.org/officeDocument/2006/docPropsVTypes"/>
</file>