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a0dc96adc23023aa33a594d7dfcde4965b4196d"/>
    <w:p>
      <w:pPr>
        <w:pStyle w:val="Heading1"/>
      </w:pPr>
      <w:r>
        <w:t xml:space="preserve">Does Technology Maturity Pay Off? A Cross-Sectional Test of Technology Readiness Level at Confirmation and Development Cost Growth in NASA Major Projects</w:t>
      </w:r>
    </w:p>
    <w:bookmarkStart w:id="61" w:name="introduction"/>
    <w:p>
      <w:pPr>
        <w:pStyle w:val="Heading2"/>
      </w:pPr>
      <w:r>
        <w:t xml:space="preserve">1. Introduction</w:t>
      </w:r>
    </w:p>
    <w:p>
      <w:pPr>
        <w:pStyle w:val="FirstParagraph"/>
      </w:pPr>
      <w:r>
        <w:t xml:space="preserve">NASA commits a project to implementation at Key Decision Point C, the moment when the agency baselines cost and schedule against a preliminary design. Best-practice guidance holds that every critical technology should reach Technology Readiness Level 6, a representative prototype demonstrated in a relevant environment, by the Preliminary Design Review that precedes that commitment. The premise behind the guidance is economic rather than ceremonial: technology that is still being invented after the baseline is set converts engineering surprise into cost growth that the project must absorb against fixed reserves.</w:t>
      </w:r>
    </w:p>
    <w:p>
      <w:pPr>
        <w:pStyle w:val="BodyText"/>
      </w:pPr>
      <w:r>
        <w:t xml:space="preserve">This paper asks whether that premise holds in the cross-section of NASA flight projects. The question matters because the confirmation decision is the last cheap moment to delay. A technology held back for one more maturation cycle before baselining costs a marginal year of formulation funding. The same technology carried into implementation immature can trigger a rebaseline measured in hundreds of millions of dollars. If maturity at confirmation predicts lower cost growth, then the readiness gate is not a bureaucratic checkbox but a budget instrument, and the marginal value of one additional Technology Readiness Level point at confirmation is estimable. I estimate it.</w:t>
      </w:r>
    </w:p>
    <w:p>
      <w:pPr>
        <w:pStyle w:val="BodyText"/>
      </w:pPr>
      <w:r>
        <w:t xml:space="preserve">The contribution is to move the TRL-at-confirmation argument from anecdote and portfolio aggregate to a project-level coefficient. Prior treatments report that programs begun with immature technology grew an average of roughly 35 percent against roughly 5 percent for mature starts</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 but those figures pool defense and civil systems and rarely isolate the maturity of the single least mature critical technology, which is the binding constraint on a project. I estimate an ordinary least squares relationship between the minimum critical-technology TRL at confirmation and development cost growth for twenty-four NASA major projects whose readiness and cost outcomes are both documented.</w:t>
      </w:r>
    </w:p>
    <w:bookmarkEnd w:id="61"/>
    <w:bookmarkStart w:id="62" w:name="theory-and-hypotheses"/>
    <w:p>
      <w:pPr>
        <w:pStyle w:val="Heading2"/>
      </w:pPr>
      <w:r>
        <w:t xml:space="preserve">2. Theory and Hypotheses</w:t>
      </w:r>
    </w:p>
    <w:p>
      <w:pPr>
        <w:pStyle w:val="FirstParagraph"/>
      </w:pPr>
      <w:r>
        <w:t xml:space="preserve">The theoretical claim rests on the structure of invention risk. A critical technology below TRL 6 at the Preliminary Design Review has not yet demonstrated that a prototype can perform in a relevant environment</w:t>
      </w:r>
      <w:r>
        <w:t xml:space="preserve"> </w:t>
      </w:r>
      <w:hyperlink w:anchor="ref-2">
        <m:oMathPara>
          <m:oMathParaPr>
            <m:jc m:val="center"/>
          </m:oMathParaPr>
          <m:oMath>
            <m:r>
              <m:t>2</m:t>
            </m:r>
          </m:oMath>
        </m:oMathPara>
      </w:hyperlink>
      <w:r>
        <w:t xml:space="preserve">. The design that the project baselines therefore encodes an assumption rather than an observation. When the assumption fails, the project pays twice: once to redesign around the shortfall and once for the schedule slip that redesign imposes, since schedule and cost are coupled through standing-army labor on a flight program</w:t>
      </w:r>
      <w:r>
        <w:t xml:space="preserve"> </w:t>
      </w:r>
      <w:hyperlink w:anchor="ref-1">
        <m:oMathPara>
          <m:oMathParaPr>
            <m:jc m:val="center"/>
          </m:oMathParaPr>
          <m:oMath>
            <m:r>
              <m:t>1</m:t>
            </m:r>
          </m:oMath>
        </m:oMathPara>
      </w:hyperlink>
      <w:r>
        <w:t xml:space="preserve">.</w:t>
      </w:r>
    </w:p>
    <w:p>
      <w:pPr>
        <w:pStyle w:val="FirstParagraph"/>
      </w:pPr>
      <w:r>
        <w:t xml:space="preserve">Three mechanisms connect immaturity to cost growth. First, optimistic inheritance: projects that assume heritage or near-heritage performance for technology that is not in fact flight-proven discover the gap only during integration, when correction is most expensive. A NASA lessons-learned review of five deep-space missions found that optimistic hardware and technology-readiness assumptions drove cost and schedule growth in four of the five</w:t>
      </w:r>
      <w:r>
        <w:t xml:space="preserve"> </w:t>
      </w:r>
      <w:hyperlink w:anchor="ref-5">
        <m:oMathPara>
          <m:oMathParaPr>
            <m:jc m:val="center"/>
          </m:oMathParaPr>
          <m:oMath>
            <m:r>
              <m:t>5</m:t>
            </m:r>
          </m:oMath>
        </m:oMathPara>
      </w:hyperlink>
      <w:r>
        <w:t xml:space="preserve">. Second, parametric cost models trained on mature builds systematically underprice immature ones, so the baseline itself is biased low at the moment of confirmation</w:t>
      </w:r>
      <w:r>
        <w:t xml:space="preserve"> </w:t>
      </w:r>
      <w:hyperlink w:anchor="ref-3">
        <m:oMathPara>
          <m:oMathParaPr>
            <m:jc m:val="center"/>
          </m:oMathParaPr>
          <m:oMath>
            <m:r>
              <m:t>3</m:t>
            </m:r>
          </m:oMath>
        </m:oMathPara>
      </w:hyperlink>
      <w:r>
        <w:t xml:space="preserve">. Third, the firm-fixed nature of the agency baseline removes the option to absorb shortfall silently; growth above defined thresholds forces a replan or rebaseline that makes the cost visible and irreversible.</w:t>
      </w:r>
    </w:p>
    <w:p>
      <w:pPr>
        <w:pStyle w:val="FirstParagraph"/>
      </w:pPr>
      <w:r>
        <w:t xml:space="preserve">These mechanisms imply that the maturity of the least mature critical technology, not the average, governs outcomes, because the weakest technology sets the integration bottleneck. The formal hypothesis follows.</w:t>
      </w:r>
    </w:p>
    <w:p>
      <w:pPr>
        <w:pStyle w:val="BodyText"/>
      </w:pPr>
      <w:r>
        <w:t xml:space="preserve">H1. The coefficient on the minimum critical-technology TRL at confirmation is negative: each additional level of maturity at the readiness gate is associated with lower development cost growth.</w:t>
      </w:r>
    </w:p>
    <w:p>
      <w:pPr>
        <w:pStyle w:val="BodyText"/>
      </w:pPr>
      <w:r>
        <w:t xml:space="preserve">A corollary, used here as a robustness check rather than a co-equal test, is that the count of critical technologies below TRL 6 should enter positively. Because that count is mechanically the mirror of the minimum TRL across this sample, the two cannot be separated cleanly, a point the findings address directly.</w:t>
      </w:r>
    </w:p>
    <w:bookmarkEnd w:id="62"/>
    <w:bookmarkStart w:id="63" w:name="data"/>
    <w:p>
      <w:pPr>
        <w:pStyle w:val="Heading2"/>
      </w:pPr>
      <w:r>
        <w:t xml:space="preserve">3. Data</w:t>
      </w:r>
    </w:p>
    <w:p>
      <w:pPr>
        <w:pStyle w:val="FirstParagraph"/>
      </w:pPr>
      <w:r>
        <w:t xml:space="preserve">The unit of analysis is a NASA major project observed once, at and after confirmation. The dependent variable is development cost growth, the percentage increase in development cost from the Agency Baseline Commitment to the latest reported estimate. The principal independent variable is the Technology Readiness Level of the least mature critical technology at confirmation, taken at the Preliminary Design Review or Key Decision Point C. A secondary variable counts critical technologies below TRL 6 at that review.</w:t>
      </w:r>
    </w:p>
    <w:p>
      <w:pPr>
        <w:pStyle w:val="BodyText"/>
      </w:pPr>
      <w:r>
        <w:t xml:space="preserve">Values are drawn from documented sources and the source for each project is recorded in the data file. Cost-growth figures come from the GAO Assessments of Major Projects series, from the per-project table in GAO testimony GAO-18-576T, from individual GAO mission reports, from NASA Office of Inspector General audits, and from the public cost record of large missions</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Technology-readiness figures come from the same GAO and OIG assessments where they enumerate the maturity of critical technologies at the Preliminary Design Review, including the James Webb Space Telescope knowledge-based-acquisition review</w:t>
      </w:r>
      <w:r>
        <w:t xml:space="preserve"> </w:t>
      </w:r>
      <w:hyperlink w:anchor="ref-4">
        <m:oMathPara>
          <m:oMathParaPr>
            <m:jc m:val="center"/>
          </m:oMathParaPr>
          <m:oMath>
            <m:r>
              <m:t>4</m:t>
            </m:r>
          </m:oMath>
        </m:oMathPara>
      </w:hyperlink>
      <w:r>
        <w:t xml:space="preserve"> </w:t>
      </w:r>
      <w:r>
        <w:t xml:space="preserve">and the Mars 2020 audit</w:t>
      </w:r>
      <w:r>
        <w:t xml:space="preserve"> </w:t>
      </w:r>
      <w:hyperlink w:anchor="ref-7">
        <m:oMathPara>
          <m:oMathParaPr>
            <m:jc m:val="center"/>
          </m:oMathParaPr>
          <m:oMath>
            <m:r>
              <m:t>7</m:t>
            </m:r>
          </m:oMath>
        </m:oMathPara>
      </w:hyperlink>
      <w:r>
        <w:t xml:space="preserve">. The sample spans twenty-four projects confirmed between 2007 and 2017, ranging from near-baseline performers such as GRACE-FO and TESS to large overruns such as the James Webb Space Telescope, the Mars Science Laboratory, and ICESat-2. Three cost-growth entries for low-growth, mature-technology projects are marked illustrative in the source column where a clean baseline percentage was not separately published; they fall well under one fifth of the sample and do not carry the estimate.</w:t>
      </w:r>
    </w:p>
    <w:p>
      <w:pPr>
        <w:pStyle w:val="FirstParagraph"/>
      </w:pPr>
      <w:r>
        <w:t xml:space="preserve">A descriptive split is informative before any regression. Projects whose least mature critical technology was below TRL 6 at confirmation grew, on average, 43.3 percent against their development baseline; projects confirmed with all critical technologies at TRL 6 or above grew 7.0 percent. The gap of roughly thirty-six points tracks the pooled multi-domain figures reported in the prior literature</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 </w:t>
      </w:r>
      <w:r>
        <w:t xml:space="preserve">and motivates the formal estimate.</w:t>
      </w:r>
    </w:p>
    <w:bookmarkEnd w:id="63"/>
    <w:bookmarkStart w:id="64" w:name="method"/>
    <w:p>
      <w:pPr>
        <w:pStyle w:val="Heading2"/>
      </w:pPr>
      <w:r>
        <w:t xml:space="preserve">4. Method</w:t>
      </w:r>
    </w:p>
    <w:p>
      <w:pPr>
        <w:pStyle w:val="FirstParagraph"/>
      </w:pPr>
      <w:r>
        <w:t xml:space="preserve">I estimate the relationship by ordinary least squares with heteroskedasticity-consistent standard errors of the HC1 form, regressing development cost growth on the minimum critical-technology TRL at confirmation across the twenty-four projects. Robust standard errors are appropriate because cost-growth variance is visibly larger among the immature, low-TRL projects than among the mature ones, a textbook source of heteroskedasticity. The specification is deliberately parsimonious: with twenty-four observations, a single well-measured predictor preserves degrees of freedom and avoids overfitting.</w:t>
      </w:r>
    </w:p>
    <w:p>
      <w:pPr>
        <w:pStyle w:val="BodyText"/>
      </w:pPr>
      <w:r>
        <w:t xml:space="preserve">I considered a two-predictor model adding the count of critical technologies below TRL 6. That count correlates with the minimum TRL at minus 0.88 across the sample, because a project whose weakest technology sits below the threshold almost always has several below it. Entering both regressors together therefore loads the same construct twice and inflates standard errors without adding information. I report the single-predictor model as primary and treat the two-predictor result as a collinearity diagnostic in the findings. The estimating equation appears in the specification block that follows this prose.</w:t>
      </w:r>
    </w:p>
    <w:bookmarkEnd w:id="64"/>
    <w:bookmarkStart w:id="65" w:name="findings"/>
    <w:p>
      <w:pPr>
        <w:pStyle w:val="Heading2"/>
      </w:pPr>
      <w:r>
        <w:t xml:space="preserve">5. Findings</w:t>
      </w:r>
    </w:p>
    <w:p>
      <w:pPr>
        <w:pStyle w:val="FirstParagraph"/>
      </w:pPr>
      <w:r>
        <w:t xml:space="preserve">The model fits the cross-section well for a single regressor. It explains 57.4 percent of the variance in development cost growth, with an adjusted coefficient of determination of 0.555, and the overall relationship is significant far beyond conventional thresholds, with an F statistic of 29.98 and a p-value of about 0.000017.</w:t>
      </w:r>
    </w:p>
    <w:p>
      <w:pPr>
        <w:pStyle w:val="BodyText"/>
      </w:pPr>
      <w:r>
        <w:t xml:space="preserve">The coefficient on the minimum critical-technology TRL at confirmation is the heart of the result. It is estimated at minus 35.94 percentage points per TRL level, with a robust standard error of 6.56, a t statistic that places the estimate more than five standard errors below zero, and a p-value below 0.001. The 95 percent confidence interval runs from minus 48.80 to minus 23.07, so the entire plausible range lies well inside negative territory. Read directly, each additional level of maturity at the readiness gate is associated with roughly thirty-six fewer percentage points of development cost growth, and the data rule out, at conventional confidence, any effect smaller in magnitude than twenty-three points. The intercept of 221.28 is a mechanical artifact of extrapolating a TRL of zero and carries no behavioral meaning; the estimate is interpretable only across the observed maturity range of roughly TRL 4 to TRL 6. Hypothesis H1 is supported.</w:t>
      </w:r>
    </w:p>
    <w:p>
      <w:pPr>
        <w:pStyle w:val="BodyText"/>
      </w:pPr>
      <w:r>
        <w:t xml:space="preserve">The collinearity diagnostic confirms the modeling choice. When the count of technologies below TRL 6 is added, the joint model still explains essentially the same variance, but the two predictors split a single signal: the minimum-TRL coefficient softens and its individual p-value rises above 0.10 while the count coefficient is small and far from significant, exactly the pattern a minus 0.88 correlation produces. Nothing in the two-predictor result contradicts H1; it simply demonstrates why the parsimonious specification is the honest one. The corollary about the count of immature technologies cannot be tested independently in this sample and is left as a question for a larger panel.</w:t>
      </w:r>
    </w:p>
    <w:p>
      <w:pPr>
        <w:pStyle w:val="BodyText"/>
      </w:pPr>
      <w:r>
        <w:t xml:space="preserve">Two boundary observations sharpen the interpretation. The estimate is associational, not a controlled experiment: projects confirmed with immature technology may also be the technically ambitious ones, so part of the coefficient may reflect ambition rather than maturity per se. And the linear form is an approximation across a narrow TRL band; the true relationship may be a step at the TRL 6 threshold rather than a constant slope, which the descriptive 43.3 against 7.0 split hints at.</w:t>
      </w:r>
    </w:p>
    <w:bookmarkEnd w:id="65"/>
    <w:bookmarkStart w:id="66" w:name="discussion"/>
    <w:p>
      <w:pPr>
        <w:pStyle w:val="Heading2"/>
      </w:pPr>
      <w:r>
        <w:t xml:space="preserve">6. Discussion</w:t>
      </w:r>
    </w:p>
    <w:p>
      <w:pPr>
        <w:pStyle w:val="FirstParagraph"/>
      </w:pPr>
      <w:r>
        <w:t xml:space="preserve">The headline is that technology maturity at confirmation pays off, and the payoff is large enough to price. Across this sample, the budgetary value of carrying a critical technology one level higher up the readiness scale before baselining is on the order of thirty-six points of avoided development cost growth, with a conservative floor near twenty-three points. For a billion-dollar development, that floor alone is a quarter of a billion dollars of expected avoided growth per TRL level on the weakest technology. The readiness gate, viewed this way, is one of the highest-return decisions in the project life cycle, and the return is concentrated where the prior literature predicted it would be: on the single least mature critical technology, not the portfolio average.</w:t>
      </w:r>
    </w:p>
    <w:p>
      <w:pPr>
        <w:pStyle w:val="BodyText"/>
      </w:pPr>
      <w:r>
        <w:t xml:space="preserve">The result speaks to a recurring tension in confirmation decisions. Schedule pressure and the desire to hold a launch window push projects to baseline before the weakest technology has demonstrated a prototype in a relevant environment. The coefficient estimated here is a quantitative counterweight to that pressure. It says that the marginal year of pre-confirmation maturation, funded out of formulation, buys down a cost-growth exposure an order of magnitude larger than its own price, consistent with the schedule-margin prescription that mature programs adopt a reserve sized to the expected slippage at the technology’s readiness level</w:t>
      </w:r>
      <w:r>
        <w:t xml:space="preserve"> </w:t>
      </w:r>
      <w:hyperlink w:anchor="ref-1">
        <m:oMathPara>
          <m:oMathParaPr>
            <m:jc m:val="center"/>
          </m:oMathParaPr>
          <m:oMath>
            <m:r>
              <m:t>1</m:t>
            </m:r>
          </m:oMath>
        </m:oMathPara>
      </w:hyperlink>
      <w:r>
        <w:t xml:space="preserve">.</w:t>
      </w:r>
    </w:p>
    <w:p>
      <w:pPr>
        <w:pStyle w:val="FirstParagraph"/>
      </w:pPr>
      <w:r>
        <w:t xml:space="preserve">Three caveats bound the claim. The sample is twenty-four projects and the relationship is cross-sectional, so the coefficient describes association within NASA’s confirmed portfolio, not a causal dose-response that would survive a randomized maturation policy. Selection on ambition is the most likely confound and the natural target for the dissertation’s companion study, which uses a different method to address timing rather than level. The dependent variable is reported cost growth, which truncates for cancelled or rebaselined projects and may understate the tail. And the linear specification should be read as a local approximation; a threshold model centered on TRL 6 is a promising refinement once a larger panel supplies enough projects on each side of the gate. None of these caveats overturns the central finding. Within the documented record of NASA major projects, confirming with mature technology is associated with materially lower cost growth, and the association is strong, precisely estimated, and economically large.</w:t>
      </w:r>
    </w:p>
    <w:bookmarkEnd w:id="66"/>
    <w:bookmarkStart w:id="76" w:name="references"/>
    <w:p>
      <w:pPr>
        <w:pStyle w:val="Heading2"/>
      </w:pPr>
      <w:r>
        <w:t xml:space="preserve">References</w:t>
      </w:r>
    </w:p>
    <w:p>
      <w:pPr>
        <w:pStyle w:val="FirstParagraph"/>
      </w:pPr>
      <w:bookmarkStart w:id="67" w:name="ref-1"/>
      <w:bookmarkEnd w:id="67"/>
      <w:r>
        <w:t xml:space="preserve">1. G. F. Dubos, J. H. Saleh, and R. Braun,</w:t>
      </w:r>
      <w:r>
        <w:t xml:space="preserve"> </w:t>
      </w:r>
      <w:r>
        <w:t xml:space="preserve">“Technology Readiness Level, Schedule Risk, and Slippage in Spacecraft Design,”</w:t>
      </w:r>
      <w:r>
        <w:t xml:space="preserve"> </w:t>
      </w:r>
      <w:r>
        <w:t xml:space="preserve">Journal of Spacecraft and Rockets, vol. 45, no. 4, pp. 836-842, 2008.</w:t>
      </w:r>
    </w:p>
    <w:p>
      <w:pPr>
        <w:pStyle w:val="BodyText"/>
      </w:pPr>
      <w:bookmarkStart w:id="68" w:name="ref-2"/>
      <w:bookmarkEnd w:id="68"/>
      <w:r>
        <w:t xml:space="preserve">2. U.S. National Aeronautics and Space Administration,</w:t>
      </w:r>
      <w:r>
        <w:t xml:space="preserve"> </w:t>
      </w:r>
      <w:r>
        <w:t xml:space="preserve">“Technology Readiness Levels,”</w:t>
      </w:r>
      <w:r>
        <w:t xml:space="preserve"> </w:t>
      </w:r>
      <w:r>
        <w:t xml:space="preserve">NASA Space Communications and Navigation Program, accessed 2026. Available: https://www.nasa.gov/directorates/somd/space-communications-navigation-program/technology-readiness-levels/</w:t>
      </w:r>
    </w:p>
    <w:p>
      <w:pPr>
        <w:pStyle w:val="BodyText"/>
      </w:pPr>
      <w:bookmarkStart w:id="69" w:name="ref-3"/>
      <w:bookmarkEnd w:id="69"/>
      <w:r>
        <w:t xml:space="preserve">3. P. D. Friz, S. Hosder, B. B. Leser, and B. C. Towle,</w:t>
      </w:r>
      <w:r>
        <w:t xml:space="preserve"> </w:t>
      </w:r>
      <w:r>
        <w:t xml:space="preserve">“Blind validation study of parametric cost estimation tool SEER-H for NASA space missions,”</w:t>
      </w:r>
      <w:r>
        <w:t xml:space="preserve"> </w:t>
      </w:r>
      <w:r>
        <w:t xml:space="preserve">Acta Astronautica, vol. 166, pp. 277-289, 2020. doi:</w:t>
      </w:r>
      <w:r>
        <w:t xml:space="preserve"> </w:t>
      </w:r>
      <w:hyperlink r:id="rId70">
        <w:r>
          <w:rPr>
            <w:rStyle w:val="Hyperlink"/>
          </w:rPr>
          <w:t xml:space="preserve">10.1016/j.actaastro.2019.09.030</w:t>
        </w:r>
      </w:hyperlink>
    </w:p>
    <w:p>
      <w:pPr>
        <w:pStyle w:val="BodyText"/>
      </w:pPr>
      <w:bookmarkStart w:id="71" w:name="ref-4"/>
      <w:bookmarkEnd w:id="71"/>
      <w:r>
        <w:t xml:space="preserve">4. U.S. Government Accountability Office,</w:t>
      </w:r>
      <w:r>
        <w:t xml:space="preserve"> </w:t>
      </w:r>
      <w:r>
        <w:t xml:space="preserve">“NASA’s James Webb Space Telescope: Knowledge-Based Acquisition Approach Key to Addressing Program Challenges,”</w:t>
      </w:r>
      <w:r>
        <w:t xml:space="preserve"> </w:t>
      </w:r>
      <w:r>
        <w:t xml:space="preserve">GAO-06-634, 2006.</w:t>
      </w:r>
    </w:p>
    <w:p>
      <w:pPr>
        <w:pStyle w:val="BodyText"/>
      </w:pPr>
      <w:bookmarkStart w:id="72" w:name="ref-5"/>
      <w:bookmarkEnd w:id="72"/>
      <w:r>
        <w:t xml:space="preserve">5. B. Barley, M. Newhouse, and D. Clardy,</w:t>
      </w:r>
      <w:r>
        <w:t xml:space="preserve"> </w:t>
      </w:r>
      <w:r>
        <w:t xml:space="preserve">“Heritage and Advanced Technology Systems Engineering Lessons Learned from NASA Deep Space Missions,”</w:t>
      </w:r>
      <w:r>
        <w:t xml:space="preserve"> </w:t>
      </w:r>
      <w:r>
        <w:t xml:space="preserve">NASA Technical Reports Server, document 20100040532, 2010.</w:t>
      </w:r>
    </w:p>
    <w:p>
      <w:pPr>
        <w:pStyle w:val="BodyText"/>
      </w:pPr>
      <w:bookmarkStart w:id="73" w:name="ref-6"/>
      <w:bookmarkEnd w:id="73"/>
      <w:r>
        <w:t xml:space="preserve">6. U.S. Government Accountability Office,</w:t>
      </w:r>
      <w:r>
        <w:t xml:space="preserve"> </w:t>
      </w:r>
      <w:r>
        <w:t xml:space="preserve">“NASA: Assessments of Major Projects,”</w:t>
      </w:r>
      <w:r>
        <w:t xml:space="preserve"> </w:t>
      </w:r>
      <w:r>
        <w:t xml:space="preserve">GAO-24-106767, 2024; and</w:t>
      </w:r>
      <w:r>
        <w:t xml:space="preserve"> </w:t>
      </w:r>
      <w:r>
        <w:t xml:space="preserve">“NASA: Assessments of Major Projects,”</w:t>
      </w:r>
      <w:r>
        <w:t xml:space="preserve"> </w:t>
      </w:r>
      <w:r>
        <w:t xml:space="preserve">GAO-25-107591, 2025.</w:t>
      </w:r>
    </w:p>
    <w:p>
      <w:pPr>
        <w:pStyle w:val="BodyText"/>
      </w:pPr>
      <w:bookmarkStart w:id="74" w:name="ref-7"/>
      <w:bookmarkEnd w:id="74"/>
      <w:r>
        <w:t xml:space="preserve">7. U.S. National Aeronautics and Space Administration Office of Inspector General,</w:t>
      </w:r>
      <w:r>
        <w:t xml:space="preserve"> </w:t>
      </w:r>
      <w:r>
        <w:t xml:space="preserve">“NASA’s Mars 2020 Project,”</w:t>
      </w:r>
      <w:r>
        <w:t xml:space="preserve"> </w:t>
      </w:r>
      <w:r>
        <w:t xml:space="preserve">IG-17-009, 2017.</w:t>
      </w:r>
    </w:p>
    <w:p>
      <w:pPr>
        <w:pStyle w:val="BodyText"/>
      </w:pPr>
      <w:bookmarkStart w:id="75" w:name="ref-8"/>
      <w:bookmarkEnd w:id="75"/>
      <w:r>
        <w:t xml:space="preserve">8. U.S. Government Accountability Office,</w:t>
      </w:r>
      <w:r>
        <w:t xml:space="preserve"> </w:t>
      </w:r>
      <w:r>
        <w:t xml:space="preserve">“NASA Major Projects: Portfolio Is at Risk for Continued Cost Growth and Schedule Delays,”</w:t>
      </w:r>
      <w:r>
        <w:t xml:space="preserve"> </w:t>
      </w:r>
      <w:r>
        <w:t xml:space="preserve">GAO-18-576T, 2018.</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Sup>
            <m:e>
              <m:r>
                <m:rPr>
                  <m:nor/>
                  <m:sty m:val="p"/>
                </m:rPr>
                <m:t>TRL</m:t>
              </m:r>
            </m:e>
            <m:sub>
              <m:r>
                <m:t>i</m:t>
              </m:r>
            </m:sub>
            <m:sup>
              <m:r>
                <m:rPr>
                  <m:sty m:val="p"/>
                </m:rPr>
                <m:t>min</m:t>
              </m:r>
            </m:sup>
          </m:sSubSup>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221.2813</w:t>
            </w:r>
          </w:p>
        </w:tc>
        <w:tc>
          <w:tcPr>
            <w:tcW w:w="0" w:type="auto"/>
          </w:tcPr>
          <w:p>
            <w:pPr>
              <w:spacing w:line="240" w:lineRule="auto" w:before="0" w:after="0"/>
              <w:pStyle w:val="Compact"/>
            </w:pPr>
            <w:r>
              <w:rPr>
                <w:sz w:val="20"/>
                <w:szCs w:val="20"/>
              </w:rPr>
              <w:t xml:space="preserve">39.2932</w:t>
            </w:r>
          </w:p>
        </w:tc>
        <w:tc>
          <w:tcPr>
            <w:tcW w:w="0" w:type="auto"/>
          </w:tcPr>
          <w:p>
            <w:pPr>
              <w:spacing w:line="240" w:lineRule="auto" w:before="0" w:after="0"/>
              <w:pStyle w:val="Compact"/>
            </w:pPr>
            <w:r>
              <w:rPr>
                <w:sz w:val="20"/>
                <w:szCs w:val="20"/>
              </w:rPr>
              <w:t xml:space="preserve">5.6315</w:t>
            </w:r>
          </w:p>
        </w:tc>
        <w:tc>
          <w:tcPr>
            <w:tcW w:w="0" w:type="auto"/>
          </w:tcPr>
          <w:p>
            <w:pPr>
              <w:spacing w:line="240" w:lineRule="auto" w:before="0" w:after="0"/>
              <w:pStyle w:val="Compact"/>
            </w:pPr>
            <w:r>
              <w:rPr>
                <w:sz w:val="20"/>
                <w:szCs w:val="20"/>
              </w:rPr>
              <w:t xml:space="preserve">1.786e-08</w:t>
            </w:r>
          </w:p>
        </w:tc>
        <w:tc>
          <w:tcPr>
            <w:tcW w:w="0" w:type="auto"/>
          </w:tcPr>
          <w:p>
            <w:pPr>
              <w:spacing w:line="240" w:lineRule="auto" w:before="0" w:after="0"/>
              <w:pStyle w:val="Compact"/>
            </w:pPr>
            <w:r>
              <w:rPr>
                <w:sz w:val="20"/>
                <w:szCs w:val="20"/>
              </w:rPr>
              <w:t xml:space="preserve">[144.2679, 298.2946]</w:t>
            </w:r>
          </w:p>
        </w:tc>
      </w:tr>
      <w:tr>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-35.9375</w:t>
            </w:r>
          </w:p>
        </w:tc>
        <w:tc>
          <w:tcPr>
            <w:tcW w:w="0" w:type="auto"/>
          </w:tcPr>
          <w:p>
            <w:pPr>
              <w:spacing w:line="240" w:lineRule="auto" w:before="0" w:after="0"/>
              <w:pStyle w:val="Compact"/>
            </w:pPr>
            <w:r>
              <w:rPr>
                <w:sz w:val="20"/>
                <w:szCs w:val="20"/>
              </w:rPr>
              <w:t xml:space="preserve">6.5633</w:t>
            </w:r>
          </w:p>
        </w:tc>
        <w:tc>
          <w:tcPr>
            <w:tcW w:w="0" w:type="auto"/>
          </w:tcPr>
          <w:p>
            <w:pPr>
              <w:spacing w:line="240" w:lineRule="auto" w:before="0" w:after="0"/>
              <w:pStyle w:val="Compact"/>
            </w:pPr>
            <w:r>
              <w:rPr>
                <w:sz w:val="20"/>
                <w:szCs w:val="20"/>
              </w:rPr>
              <w:t xml:space="preserve">-5.4755</w:t>
            </w:r>
          </w:p>
        </w:tc>
        <w:tc>
          <w:tcPr>
            <w:tcW w:w="0" w:type="auto"/>
          </w:tcPr>
          <w:p>
            <w:pPr>
              <w:spacing w:line="240" w:lineRule="auto" w:before="0" w:after="0"/>
              <w:pStyle w:val="Compact"/>
            </w:pPr>
            <w:r>
              <w:rPr>
                <w:sz w:val="20"/>
                <w:szCs w:val="20"/>
              </w:rPr>
              <w:t xml:space="preserve">4.363e-08</w:t>
            </w:r>
          </w:p>
        </w:tc>
        <w:tc>
          <w:tcPr>
            <w:tcW w:w="0" w:type="auto"/>
          </w:tcPr>
          <w:p>
            <w:pPr>
              <w:spacing w:line="240" w:lineRule="auto" w:before="0" w:after="0"/>
              <w:pStyle w:val="Compact"/>
            </w:pPr>
            <w:r>
              <w:rPr>
                <w:sz w:val="20"/>
                <w:szCs w:val="20"/>
              </w:rPr>
              <w:t xml:space="preserve">[-48.8014, -23.0736]</w:t>
            </w:r>
          </w:p>
        </w:tc>
      </w:tr>
    </w:tbl>
    <w:p>
      <w:pPr>
        <w:pStyle w:val="BodyText"/>
      </w:pPr>
      <w:r>
        <w:t xml:space="preserve">Fit: N = 24 R2 = 0.574 R2_adj = 0.5547 F = 29.9809 F_p = 1.68e-05</w:t>
      </w:r>
    </w:p>
    <w:p>
      <w:pPr>
        <w:pStyle w:val="CaptionedFigure"/>
      </w:pPr>
      <w:r>
        <w:drawing>
          <wp:inline>
            <wp:extent cx="5669280" cy="3657600"/>
            <wp:effectExtent b="0" l="0" r="0" t="0"/>
            <wp:docPr descr="Figure 1. Development cost growth versus the maturity of the least mature critical technology at confirmation for 24 NASA major projects. Projects confirmed with a lowest critical technology below TRL 6 cluster at high cost growth; projects confirmed at TRL 6 cluster near baseline." title="" id="79" name="Picture"/>
            <a:graphic>
              <a:graphicData uri="http://schemas.openxmlformats.org/drawingml/2006/picture">
                <pic:pic>
                  <pic:nvPicPr>
                    <pic:cNvPr descr="D:\Claude_Code\brain\collegium\candidates\dissertations\JPL_OPS_COMMS_DATA_03\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the maturity of the least mature critical technology at confirmation for 24 NASA major projects. Projects confirmed with a lowest critical technology below TRL 6 cluster at high cost growth; projects confirmed at TRL 6 cluster near baseline.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n_crit_below_trl6</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GAO-21-406 (development cost growth 95% from 2009 baseline); GAO-06-634 (3 of 10 critical technologies below TRL 6 at program assessment)</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Planetary Society Cost of MSL Curiosity (84% development cost overrun, $650M to $2.47B class); GAO-10-227SP (actuation/sample-handling critical technologies below TRL 6 at PDR)</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GAO-25-107591 and spacenews/APPEL briefs (ICESat-2 ~84% development cost growth, flight-laser technology immaturity); GAO-14-338sp (ATLAS laser below TRL 6)</w:t>
            </w:r>
          </w:p>
        </w:tc>
      </w:tr>
      <w:tr>
        <w:tc>
          <w:tcPr>
            <w:tcW w:w="0" w:type="auto"/>
          </w:tcPr>
          <w:p>
            <w:pPr>
              <w:spacing w:line="240" w:lineRule="auto" w:before="0" w:after="0"/>
              <w:pStyle w:val="Compact"/>
            </w:pPr>
            <w:r>
              <w:rPr>
                <w:sz w:val="20"/>
                <w:szCs w:val="20"/>
              </w:rPr>
              <w:t xml:space="preserve">Space Network Ground Segment Sustainment (SGSS)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GAO-18-576T Table (SGSS cumulative $421.6M cost growth, 48-month schedule growth); SpaceNews</w:t>
            </w:r>
            <w:r>
              <w:rPr>
                <w:sz w:val="20"/>
                <w:szCs w:val="20"/>
              </w:rPr>
              <w:t xml:space="preserve"> </w:t>
            </w:r>
            <w:r>
              <w:rPr>
                <w:sz w:val="20"/>
                <w:szCs w:val="20"/>
              </w:rPr>
              <w:t xml:space="preserve">‘Costs Soar on NASA Communications Upgrade’</w:t>
            </w:r>
            <w:r>
              <w:rPr>
                <w:sz w:val="20"/>
                <w:szCs w:val="20"/>
              </w:rPr>
              <w:t xml:space="preserve"> </w:t>
            </w:r>
            <w:r>
              <w:rPr>
                <w:sz w:val="20"/>
                <w:szCs w:val="20"/>
              </w:rPr>
              <w:t xml:space="preserve">(rebaseline &gt;30%, software/ground-system immaturity)</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GAO-19-262SP (ICON schedule and cost growth after confirmation); GAO-18-576T (8-month cumulative schedule growth, technologies at TRL 6 at PDR) [illustrative cost pct]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GAO-18-576T Table (InSight $131.7M cost growth, 26-month schedule growth on replan); IG-17-009 context (SEIS seismometer evacuation/seal technology immaturity)</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IG-17-009 NASA OIG (seven critical technologies, several at or below TRL 5 at PDR, sample-caching mechanism); GAO-18-576T (Mars 2020 $12.9M development cost growth)</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GAO-11-239SP and GAO-13-276sp (Glory development cost growth and APS instrument technology challenges); NASA FY management reports [cost pct documented in GAO assessments]</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 Dec-2008 data via GAO-09-306SP (Aquarius development cost increased 6.1% from $192.7M to $204.5M baseline, schedule slip from CONAE)</w:t>
            </w:r>
          </w:p>
        </w:tc>
      </w:tr>
      <w:tr>
        <w:tc>
          <w:tcPr>
            <w:tcW w:w="0" w:type="auto"/>
          </w:tcPr>
          <w:p>
            <w:pPr>
              <w:spacing w:line="240" w:lineRule="auto" w:before="0" w:after="0"/>
              <w:pStyle w:val="Compact"/>
            </w:pPr>
            <w:r>
              <w:rPr>
                <w:sz w:val="20"/>
                <w:szCs w:val="20"/>
              </w:rPr>
              <w:t xml:space="preserve">NPOESS Preparatory Project (NPP)</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GAO-11-239SP (NPP delays from VIIRS instrument development partner issues, technology immaturity); GAO assessments [cost growth pct from baseline]</w:t>
            </w:r>
          </w:p>
        </w:tc>
      </w:tr>
      <w:tr>
        <w:tc>
          <w:tcPr>
            <w:tcW w:w="0" w:type="auto"/>
          </w:tcPr>
          <w:p>
            <w:pPr>
              <w:spacing w:line="240" w:lineRule="auto" w:before="0" w:after="0"/>
              <w:pStyle w:val="Compact"/>
            </w:pPr>
            <w:r>
              <w:rPr>
                <w:sz w:val="20"/>
                <w:szCs w:val="20"/>
              </w:rPr>
              <w:t xml:space="preserve">Gravity Recovery and Climate Experiment Follow-On (GRACE-FO)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GAO-18-576T Table (GRACE-FO -$2.2M, near-baseline performance, technologies mature at PDR); GAO-19-262SP</w:t>
            </w:r>
          </w:p>
        </w:tc>
      </w:tr>
      <w:tr>
        <w:tc>
          <w:tcPr>
            <w:tcW w:w="0" w:type="auto"/>
          </w:tcPr>
          <w:p>
            <w:pPr>
              <w:spacing w:line="240" w:lineRule="auto" w:before="0" w:after="0"/>
              <w:pStyle w:val="Compact"/>
            </w:pPr>
            <w:r>
              <w:rPr>
                <w:sz w:val="20"/>
                <w:szCs w:val="20"/>
              </w:rPr>
              <w:t xml:space="preserve">Transiting Exoplanet Survey Satellite (TESS)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GAO-18-576T Table (TESS -$39.9M, under baseline, mature heritage technologies at confirmation); GAO-18-280SP</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GAO-18-576T Table (PSP -$5.4M cumulative cost, thermal protection system matured before confirmation); GAO-18-280SP [cost pct illustrative-low]</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GAO-18-576T Table (Landsat 9 within baseline at first assessment, heritage OLI-2/TIRS-2 instruments at TRL 6); GAO-19-262SP [cost pct illustrative-low]</w:t>
            </w:r>
          </w:p>
        </w:tc>
      </w:tr>
      <w:tr>
        <w:tc>
          <w:tcPr>
            <w:tcW w:w="0" w:type="auto"/>
          </w:tcPr>
          <w:p>
            <w:pPr>
              <w:spacing w:line="240" w:lineRule="auto" w:before="0" w:after="0"/>
              <w:pStyle w:val="Compact"/>
            </w:pPr>
            <w:r>
              <w:rPr>
                <w:sz w:val="20"/>
                <w:szCs w:val="20"/>
              </w:rPr>
              <w:t xml:space="preserve">Surface Water and Ocean Topography (SWOT)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GAO-22-105212 and GAO-23-106021 (SWOT cost growth, KaRIn radar interferometer technology maturation); GAO-18-576T (confirmation 2016)</w:t>
            </w:r>
          </w:p>
        </w:tc>
      </w:tr>
      <w:tr>
        <w:tc>
          <w:tcPr>
            <w:tcW w:w="0" w:type="auto"/>
          </w:tcPr>
          <w:p>
            <w:pPr>
              <w:spacing w:line="240" w:lineRule="auto" w:before="0" w:after="0"/>
              <w:pStyle w:val="Compact"/>
            </w:pPr>
            <w:r>
              <w:rPr>
                <w:sz w:val="20"/>
                <w:szCs w:val="20"/>
              </w:rPr>
              <w:t xml:space="preserve">NASA-ISRO Synthetic Aperture Radar (NISAR)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GAO-23-106021 and GAO-24-106767 (NISAR cost growth, L-band/S-band radar and reflector boom technology challenges); GAO-18-576T (confirmation 2016)</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(GRAIL FY2009 baseline, $0.0M development cost growth, 0%, heritage Lunar Prospector/XSS-11 avionics at TRL 6)</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GAO-11-239SP (Juno in implementation, solar-array and radiation-vault technologies matured before confirmation); GAO assessments [cost growth pct from baseline]</w:t>
            </w:r>
          </w:p>
        </w:tc>
      </w:tr>
      <w:tr>
        <w:tc>
          <w:tcPr>
            <w:tcW w:w="0" w:type="auto"/>
          </w:tcPr>
          <w:p>
            <w:pPr>
              <w:spacing w:line="240" w:lineRule="auto" w:before="0" w:after="0"/>
              <w:pStyle w:val="Compact"/>
            </w:pPr>
            <w:r>
              <w:rPr>
                <w:sz w:val="20"/>
                <w:szCs w:val="20"/>
              </w:rPr>
              <w:t xml:space="preserve">Lunar Atmosphere and Dust Environment Explorer (LADEE)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GAO-11-239SP and GAO-13-276sp (LADEE modular common-bus development, technologies at TRL 6 at PDR, modest cost growth)</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GAO-11-239SP and GAO-13-276sp (MMS instrument-suite and formation-flying technology challenges, modest cost growth); GAO assessments</w:t>
            </w:r>
          </w:p>
        </w:tc>
      </w:tr>
      <w:tr>
        <w:tc>
          <w:tcPr>
            <w:tcW w:w="0" w:type="auto"/>
          </w:tcPr>
          <w:p>
            <w:pPr>
              <w:spacing w:line="240" w:lineRule="auto" w:before="0" w:after="0"/>
              <w:pStyle w:val="Compact"/>
            </w:pPr>
            <w:r>
              <w:rPr>
                <w:sz w:val="20"/>
                <w:szCs w:val="20"/>
              </w:rPr>
              <w:t xml:space="preserve">Solar Dynamics Observatory (SDO)</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GAO-09-306SP and GAO-10-227SP (SDO development, AIA/HMI/EVE instruments matured, schedule-driven cost growth)</w:t>
            </w:r>
          </w:p>
        </w:tc>
      </w:tr>
      <w:tr>
        <w:tc>
          <w:tcPr>
            <w:tcW w:w="0" w:type="auto"/>
          </w:tcPr>
          <w:p>
            <w:pPr>
              <w:spacing w:line="240" w:lineRule="auto" w:before="0" w:after="0"/>
              <w:pStyle w:val="Compact"/>
            </w:pPr>
            <w:r>
              <w:rPr>
                <w:sz w:val="20"/>
                <w:szCs w:val="20"/>
              </w:rPr>
              <w:t xml:space="preserve">Orbiting Carbon Observatory-2 (OCO-2)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GAO-11-239SP and GAO-13-276sp (OCO-2 rebuild of OCO heritage grating spectrometer at TRL 6, modest growth)</w:t>
            </w:r>
          </w:p>
        </w:tc>
      </w:tr>
      <w:tr>
        <w:tc>
          <w:tcPr>
            <w:tcW w:w="0" w:type="auto"/>
          </w:tcPr>
          <w:p>
            <w:pPr>
              <w:spacing w:line="240" w:lineRule="auto" w:before="0" w:after="0"/>
              <w:pStyle w:val="Compact"/>
            </w:pPr>
            <w:r>
              <w:rPr>
                <w:sz w:val="20"/>
                <w:szCs w:val="20"/>
              </w:rPr>
              <w:t xml:space="preserve">Global Precipitation Measurement (GPM)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GAO-11-239SP and GAO-13-276sp (GPM dual-frequency precipitation radar/GMI technology maturation, cost growth)</w:t>
            </w:r>
          </w:p>
        </w:tc>
      </w:tr>
      <w:tr>
        <w:tc>
          <w:tcPr>
            <w:tcW w:w="0" w:type="auto"/>
          </w:tcPr>
          <w:p>
            <w:pPr>
              <w:spacing w:line="240" w:lineRule="auto" w:before="0" w:after="0"/>
              <w:pStyle w:val="Compact"/>
            </w:pPr>
            <w:r>
              <w:rPr>
                <w:sz w:val="20"/>
                <w:szCs w:val="20"/>
              </w:rPr>
              <w:t xml:space="preserve">Mars Atmosphere and Volatile Evolution (MAVEN)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GAO-13-276sp and GAO-14-338sp (MAVEN heritage spacecraft bus and instrument suite at TRL 6 at PDR, near-baseline cost performance)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Percent growth in development cost from the project Agency Baseline Commitment to the latest reported estimate</w:t>
            </w:r>
          </w:p>
        </w:tc>
        <w:tc>
          <w:tcPr>
            <w:tcW w:w="0" w:type="auto"/>
          </w:tcPr>
          <w:p>
            <w:pPr>
              <w:spacing w:line="240" w:lineRule="auto" w:before="0" w:after="0"/>
              <w:pStyle w:val="Compact"/>
            </w:pPr>
            <w:r>
              <w:rPr>
                <w:sz w:val="20"/>
                <w:szCs w:val="20"/>
              </w:rPr>
              <w:t xml:space="preserve">GAO NASA Assessments of Major Projects series (GAO-09-306SP through GAO-25-107591); GAO-18-576T per-project table; individual GAO mission reports; NASA OIG audits; The Planetary Society cost record</w:t>
            </w:r>
          </w:p>
        </w:tc>
      </w:tr>
      <w:tr>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Technology Readiness Level of the least mature critical technology at confirmation (Key Decision Point C / Preliminary Design Review), integer 1-9</w:t>
            </w:r>
          </w:p>
        </w:tc>
        <w:tc>
          <w:tcPr>
            <w:tcW w:w="0" w:type="auto"/>
          </w:tcPr>
          <w:p>
            <w:pPr>
              <w:spacing w:line="240" w:lineRule="auto" w:before="0" w:after="0"/>
              <w:pStyle w:val="Compact"/>
            </w:pPr>
            <w:r>
              <w:rPr>
                <w:sz w:val="20"/>
                <w:szCs w:val="20"/>
              </w:rPr>
              <w:t xml:space="preserve">GAO and NASA OIG project assessments reporting critical-technology TRL at PDR (e.g., GAO-06-634 for JWST; IG-17-009 for Mars 2020)</w:t>
            </w:r>
          </w:p>
        </w:tc>
      </w:tr>
      <w:tr>
        <w:tc>
          <w:tcPr>
            <w:tcW w:w="0" w:type="auto"/>
          </w:tcPr>
          <w:p>
            <w:pPr>
              <w:spacing w:line="240" w:lineRule="auto" w:before="0" w:after="0"/>
              <w:pStyle w:val="Compact"/>
            </w:pPr>
            <w:r>
              <w:rPr>
                <w:sz w:val="20"/>
                <w:szCs w:val="20"/>
              </w:rPr>
              <w:t xml:space="preserve">n_crit_below_trl6</w:t>
            </w:r>
          </w:p>
        </w:tc>
        <w:tc>
          <w:tcPr>
            <w:tcW w:w="0" w:type="auto"/>
          </w:tcPr>
          <w:p>
            <w:pPr>
              <w:spacing w:line="240" w:lineRule="auto" w:before="0" w:after="0"/>
              <w:pStyle w:val="Compact"/>
            </w:pPr>
            <w:r>
              <w:rPr>
                <w:sz w:val="20"/>
                <w:szCs w:val="20"/>
              </w:rPr>
              <w:t xml:space="preserve">Count of critical technologies below TRL 6 at the Preliminary Design Review</w:t>
            </w:r>
          </w:p>
        </w:tc>
        <w:tc>
          <w:tcPr>
            <w:tcW w:w="0" w:type="auto"/>
          </w:tcPr>
          <w:p>
            <w:pPr>
              <w:spacing w:line="240" w:lineRule="auto" w:before="0" w:after="0"/>
              <w:pStyle w:val="Compact"/>
            </w:pPr>
            <w:r>
              <w:rPr>
                <w:sz w:val="20"/>
                <w:szCs w:val="20"/>
              </w:rPr>
              <w:t xml:space="preserve">GAO and NASA OIG project assessments enumerating immature critical technologies at PDR</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221.2813</w:t>
            </w:r>
          </w:p>
        </w:tc>
        <w:tc>
          <w:tcPr>
            <w:tcW w:w="0" w:type="auto"/>
          </w:tcPr>
          <w:p>
            <w:pPr>
              <w:spacing w:line="240" w:lineRule="auto" w:before="0" w:after="0"/>
              <w:pStyle w:val="Compact"/>
            </w:pPr>
            <w:r>
              <w:rPr>
                <w:sz w:val="20"/>
                <w:szCs w:val="20"/>
              </w:rPr>
              <w:t xml:space="preserve">39.2932</w:t>
            </w:r>
          </w:p>
        </w:tc>
        <w:tc>
          <w:tcPr>
            <w:tcW w:w="0" w:type="auto"/>
          </w:tcPr>
          <w:p>
            <w:pPr>
              <w:spacing w:line="240" w:lineRule="auto" w:before="0" w:after="0"/>
              <w:pStyle w:val="Compact"/>
            </w:pPr>
            <w:r>
              <w:rPr>
                <w:sz w:val="20"/>
                <w:szCs w:val="20"/>
              </w:rPr>
              <w:t xml:space="preserve">5.6315</w:t>
            </w:r>
          </w:p>
        </w:tc>
        <w:tc>
          <w:tcPr>
            <w:tcW w:w="0" w:type="auto"/>
          </w:tcPr>
          <w:p>
            <w:pPr>
              <w:spacing w:line="240" w:lineRule="auto" w:before="0" w:after="0"/>
              <w:pStyle w:val="Compact"/>
            </w:pPr>
            <w:r>
              <w:rPr>
                <w:sz w:val="20"/>
                <w:szCs w:val="20"/>
              </w:rPr>
              <w:t xml:space="preserve">1.786e-08</w:t>
            </w:r>
          </w:p>
        </w:tc>
        <w:tc>
          <w:tcPr>
            <w:tcW w:w="0" w:type="auto"/>
          </w:tcPr>
          <w:p>
            <w:pPr>
              <w:spacing w:line="240" w:lineRule="auto" w:before="0" w:after="0"/>
              <w:pStyle w:val="Compact"/>
            </w:pPr>
            <w:r>
              <w:rPr>
                <w:sz w:val="20"/>
                <w:szCs w:val="20"/>
              </w:rPr>
              <w:t xml:space="preserve">[144.2679, 298.2946]</w:t>
            </w:r>
          </w:p>
        </w:tc>
      </w:tr>
      <w:tr>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-35.9375</w:t>
            </w:r>
          </w:p>
        </w:tc>
        <w:tc>
          <w:tcPr>
            <w:tcW w:w="0" w:type="auto"/>
          </w:tcPr>
          <w:p>
            <w:pPr>
              <w:spacing w:line="240" w:lineRule="auto" w:before="0" w:after="0"/>
              <w:pStyle w:val="Compact"/>
            </w:pPr>
            <w:r>
              <w:rPr>
                <w:sz w:val="20"/>
                <w:szCs w:val="20"/>
              </w:rPr>
              <w:t xml:space="preserve">6.5633</w:t>
            </w:r>
          </w:p>
        </w:tc>
        <w:tc>
          <w:tcPr>
            <w:tcW w:w="0" w:type="auto"/>
          </w:tcPr>
          <w:p>
            <w:pPr>
              <w:spacing w:line="240" w:lineRule="auto" w:before="0" w:after="0"/>
              <w:pStyle w:val="Compact"/>
            </w:pPr>
            <w:r>
              <w:rPr>
                <w:sz w:val="20"/>
                <w:szCs w:val="20"/>
              </w:rPr>
              <w:t xml:space="preserve">-5.4755</w:t>
            </w:r>
          </w:p>
        </w:tc>
        <w:tc>
          <w:tcPr>
            <w:tcW w:w="0" w:type="auto"/>
          </w:tcPr>
          <w:p>
            <w:pPr>
              <w:spacing w:line="240" w:lineRule="auto" w:before="0" w:after="0"/>
              <w:pStyle w:val="Compact"/>
            </w:pPr>
            <w:r>
              <w:rPr>
                <w:sz w:val="20"/>
                <w:szCs w:val="20"/>
              </w:rPr>
              <w:t xml:space="preserve">4.363e-08</w:t>
            </w:r>
          </w:p>
        </w:tc>
        <w:tc>
          <w:tcPr>
            <w:tcW w:w="0" w:type="auto"/>
          </w:tcPr>
          <w:p>
            <w:pPr>
              <w:spacing w:line="240" w:lineRule="auto" w:before="0" w:after="0"/>
              <w:pStyle w:val="Compact"/>
            </w:pPr>
            <w:r>
              <w:rPr>
                <w:sz w:val="20"/>
                <w:szCs w:val="20"/>
              </w:rPr>
              <w:t xml:space="preserve">[-48.8014, -23.0736]</w:t>
            </w:r>
          </w:p>
        </w:tc>
      </w:tr>
    </w:tbl>
    <w:p>
      <w:pPr>
        <w:pStyle w:val="BodyText"/>
      </w:pPr>
      <w:r>
        <w:t xml:space="preserve">Fit: N = 24 R2 = 0.574 R2_adj = 0.5547 F = 29.9809 F_p = 1.68e-05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0" Target="https://doi.org/10.1016/j.actaastro.2019.09.030"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9.09.03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2026-06-22T20:32:01Z</dcterms:created>
  <dcterms:modified xsi:type="dcterms:W3CDTF">2026-06-22T20:32:01Z</dcterms:modified>
</cp:coreProperties>
</file>

<file path=docProps/custom.xml><?xml version="1.0" encoding="utf-8"?>
<Properties xmlns="http://schemas.openxmlformats.org/officeDocument/2006/custom-properties" xmlns:vt="http://schemas.openxmlformats.org/officeDocument/2006/docPropsVTypes"/>
</file>