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TECHNOLOGY MATURITY PAY OFF? A DIFFERENCE-IN-DIFFERENCES TEST OF TRL-AT-CONFIRMATION</w:t>
      </w:r>
    </w:p>
    <w:p>
      <w:pPr>
        <w:jc w:val="center"/>
      </w:pPr>
    </w:p>
    <w:p>
      <w:pPr>
        <w:jc w:val="center"/>
      </w:pPr>
      <w:r>
        <w:rPr>
          <w:rFonts w:ascii="Times New Roman" w:hAnsi="Times New Roman"/>
          <w:sz w:val="24"/>
        </w:rPr>
        <w:t>by</w:t>
      </w:r>
    </w:p>
    <w:p>
      <w:pPr>
        <w:jc w:val="center"/>
      </w:pPr>
      <w:r>
        <w:rPr>
          <w:rFonts w:ascii="Times New Roman" w:hAnsi="Times New Roman"/>
          <w:b/>
          <w:sz w:val="28"/>
        </w:rPr>
        <w:t>Oscar Beckett</w:t>
      </w:r>
    </w:p>
    <w:p>
      <w:pPr>
        <w:jc w:val="center"/>
      </w:pPr>
      <w:r>
        <w:rPr>
          <w:rFonts w:ascii="Times New Roman" w:hAnsi="Times New Roman"/>
          <w:sz w:val="24"/>
        </w:rPr>
        <w:t>1B-OPS-029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0e25e3c9060338e56385db8e3c3333d5db2c16f"/>
    <w:p>
      <w:pPr>
        <w:pStyle w:val="Heading2"/>
        <w:spacing w:line="480" w:lineRule="auto"/>
      </w:pPr>
      <w:r>
        <w:t xml:space="preserve">1.1 The Confirmation Decision and Its Consequences</w:t>
      </w:r>
    </w:p>
    <w:p>
      <w:pPr>
        <w:pStyle w:val="FirstParagraph"/>
        <w:spacing w:line="480" w:lineRule="auto"/>
      </w:pPr>
      <w:r>
        <w:t xml:space="preserve">Every NASA flight project passes through a single budgetary commitment point. At Key Decision Point C, the milestone the agency calls confirmation, the project fixes a cost and schedule baseline, reports that baseline to the Office of Management and Budget and to Congress, and is thereafter measured against the promise it has made. The baseline is a contract with the public ledger. From the moment it is set, every dollar of development cost above it and every month of schedule beyond it is recorded as growth against a fixed commitment, and growth above defined thresholds forces a replan or a rebaseline that makes the overrun visible and irreversible.</w:t>
      </w:r>
    </w:p>
    <w:p>
      <w:pPr>
        <w:pStyle w:val="BodyText"/>
        <w:spacing w:line="480" w:lineRule="auto"/>
        <w:ind w:firstLine="720"/>
      </w:pPr>
      <w:r>
        <w:t xml:space="preserve">The technical condition that a project carries into that commitment is summarized, in agency practice, by the Technology Readiness Level scale. NASA policy directs projects to mature each critical technology to TRL 6, a representative prototype demonstrated in a relevant environment, before the project enters implementation</w:t>
      </w:r>
      <w:r>
        <w:t xml:space="preserve"> </w:t>
      </w:r>
      <w:hyperlink w:anchor="ref-6">
        <w:r>
          <w:rPr>
            <w:rStyle w:val="Hyperlink"/>
          </w:rPr>
          <w:t xml:space="preserve">[6]</w:t>
        </w:r>
      </w:hyperlink>
      <w:r>
        <w:t xml:space="preserve">. The premise behind that directive is economic rather than ceremonial. A technology that is still being invented after the baseline is set does not retire its risk for free; the work needed to finish maturing it has not disappeared, it has merely been deferred into the priced phase of the project, where it resurfaces as redesign, requalification, anomaly response, and slip. The confirmation gate exists to force that work forward, into the cheap formulation phase, before the baseline closes the option to do it cheaply.</w:t>
      </w:r>
    </w:p>
    <w:p>
      <w:pPr>
        <w:pStyle w:val="BodyText"/>
        <w:spacing w:line="480" w:lineRule="auto"/>
        <w:ind w:firstLine="720"/>
      </w:pPr>
      <w:r>
        <w:t xml:space="preserve">This dissertation asks one question about that gate. Does the technology maturity a project carries into confirmation actually pay off in lower realized cost and schedule growth, and does it pay off because of maturity itself rather than because mature projects are the easy ones, The question is narrow by design. It is not whether TRL is correlated with good outcomes, a proposition for which the descriptive record already offers strong support. It is whether the maturity lever, the readiness an agency requires at the gate, causes the outcome it is credited with, once the selection of which missions confirm mature is differenced away.</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are largest precisely at the institutions that build the hardest missions. The Jet Propulsion Laboratory develops flagship-class planetary and astrophysics missions whose science return often justifies confirming with a novel instrument or a first-of-its-kind subsystem, which means JPL routinely faces the maturity decision in its most consequential form. A flagship that confirms with its least mature critical technology below TRL 6 is wagering that the remaining invention can be completed inside a fixed baseline. When that wager fails, the cost is not marginal. The recurring Government Accountability Office assessments of NASA major projects document a portfolio repeatedly at risk for continued cost growth and schedule delay</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and the agency’s own audits trace specific overruns to technology that was assumed mature and was not</w:t>
      </w:r>
      <w:r>
        <w:t xml:space="preserve"> </w:t>
      </w:r>
      <w:hyperlink w:anchor="ref-11">
        <w:r>
          <w:rPr>
            <w:rStyle w:val="Hyperlink"/>
          </w:rPr>
          <w:t xml:space="preserve">[11]</w:t>
        </w:r>
      </w:hyperlink>
      <w:r>
        <w:t xml:space="preserve">. A lessons-learned synthesis of deep-space missions found that optimistic hardware and readiness assumptions drove cost and schedule growth in the majority of the cases it examined</w:t>
      </w:r>
      <w:r>
        <w:t xml:space="preserve"> </w:t>
      </w:r>
      <w:hyperlink w:anchor="ref-9">
        <w:r>
          <w:rPr>
            <w:rStyle w:val="Hyperlink"/>
          </w:rPr>
          <w:t xml:space="preserve">[9]</w:t>
        </w:r>
      </w:hyperlink>
      <w:r>
        <w:t xml:space="preserve">, which is to say that the maturity decision is not a peripheral risk but a central determinant of whether a mission keeps its promise.</w:t>
      </w:r>
    </w:p>
    <w:p>
      <w:pPr>
        <w:pStyle w:val="BodyText"/>
        <w:spacing w:line="480" w:lineRule="auto"/>
        <w:ind w:firstLine="720"/>
      </w:pPr>
      <w:r>
        <w:t xml:space="preserve">The confirmation decision is also the last cheap moment to act. A critical technology held back for one additional maturation cycle before baselining costs a marginal year of formulation funding. The same technology carried into implementation immature can trigger a rebaseline measured in hundreds of millions of dollars, because correction during integration collides with an already committed contractor workforce, an integrated schedule, and a public cost cap. The asymmetry is the entire reason the gate matters. If maturity at confirmation genuinely buys down growth, then the readiness gate is one of the highest-return decision points in the project life cycle, and the marginal value of one additional level of maturity on the weakest technology is a quantity that decision authorities should be able to price. If maturity does not buy down growth once selection is removed, then enforcing the gate against a science case is a cost without a return, and the field should know that too.</w:t>
      </w:r>
    </w:p>
    <w:p>
      <w:pPr>
        <w:pStyle w:val="BodyText"/>
        <w:spacing w:line="480" w:lineRule="auto"/>
        <w:ind w:firstLine="720"/>
      </w:pPr>
      <w:r>
        <w:t xml:space="preserve">Mission operations, the category in which this work sits, inherits the consequences of every maturity decision made upstream. When a subsystem flies at lower readiness than its peers, the operations phase absorbs the residual uncertainty as anomaly response, workaround development, and contingency replanning, while the development phase absorbs it as cost growth and schedule slip. Operations is where the deferred invention finally comes due. A credible estimate of the operational payoff of maturity-at-confirmation is therefore not an academic refinement; it is a budget instrument for the people who must live inside the baseline that confirmation sets.</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motivation for this dissertation is that two mature bodies of work bear directly on the confirmation decision and do not meet. On one side sits a domain literature on technology readiness and program economics that documents what TRL is, how it is raised, and why immaturity propagates into cost. On the other sits the applied-econometrics literature on causal identification, whose tools are built precisely to separate a policy lever from the selection that surrounds it. The domain literature has the substance and lacks the identification. The method literature has the identification and has not been brought to bear on this substance. The contribution of this work lives in that seam.</w:t>
      </w:r>
    </w:p>
    <w:p>
      <w:pPr>
        <w:pStyle w:val="BodyText"/>
        <w:spacing w:line="480" w:lineRule="auto"/>
        <w:ind w:firstLine="720"/>
      </w:pPr>
      <w:r>
        <w:t xml:space="preserve">The domain side is well developed and internally consistent. Technology readiness is treated as a manipulable decision variable, a quantity to be raised through deliberate demonstration: in-space developmental tests are designed specifically to accelerate the Technology Readiness Level of a sensor before it is fielded</w:t>
      </w:r>
      <w:r>
        <w:t xml:space="preserve"> </w:t>
      </w:r>
      <w:hyperlink w:anchor="ref-1">
        <w:r>
          <w:rPr>
            <w:rStyle w:val="Hyperlink"/>
          </w:rPr>
          <w:t xml:space="preserve">[1]</w:t>
        </w:r>
      </w:hyperlink>
      <w:r>
        <w:t xml:space="preserve">, and roadmapping methodologies treat maturation as a scheduled investment to be completed before commitment rather than discovered after it</w:t>
      </w:r>
      <w:r>
        <w:t xml:space="preserve"> </w:t>
      </w:r>
      <w:hyperlink w:anchor="ref-17">
        <w:r>
          <w:rPr>
            <w:rStyle w:val="Hyperlink"/>
          </w:rPr>
          <w:t xml:space="preserve">[17]</w:t>
        </w:r>
      </w:hyperlink>
      <w:r>
        <w:t xml:space="preserve">. Readiness is embedded, in turn, inside a broader product-assurance and systems-engineering process, where it is one attribute among workforce, productivity, and process-management concerns rather than an isolated cause</w:t>
      </w:r>
      <w:r>
        <w:t xml:space="preserve"> </w:t>
      </w:r>
      <w:hyperlink w:anchor="ref-2">
        <w:r>
          <w:rPr>
            <w:rStyle w:val="Hyperlink"/>
          </w:rPr>
          <w:t xml:space="preserve">[2]</w:t>
        </w:r>
      </w:hyperlink>
      <w:r>
        <w:t xml:space="preserve">. The mechanism by which immaturity becomes cost is also documented from several directions: schedule risk and slippage scale with lower TRL in spacecraft design</w:t>
      </w:r>
      <w:r>
        <w:t xml:space="preserve"> </w:t>
      </w:r>
      <w:hyperlink w:anchor="ref-5">
        <w:r>
          <w:rPr>
            <w:rStyle w:val="Hyperlink"/>
          </w:rPr>
          <w:t xml:space="preserve">[5]</w:t>
        </w:r>
      </w:hyperlink>
      <w:r>
        <w:t xml:space="preserve">; previously unforeseen program interdependencies drive schedule changes and subsequent hikes in cost and budget</w:t>
      </w:r>
      <w:r>
        <w:t xml:space="preserve"> </w:t>
      </w:r>
      <w:hyperlink w:anchor="ref-3">
        <w:r>
          <w:rPr>
            <w:rStyle w:val="Hyperlink"/>
          </w:rPr>
          <w:t xml:space="preserve">[3]</w:t>
        </w:r>
      </w:hyperlink>
      <w:r>
        <w:t xml:space="preserve">; decades-long technology development figures directly in the cost structure of space goods</w:t>
      </w:r>
      <w:r>
        <w:t xml:space="preserve"> </w:t>
      </w:r>
      <w:hyperlink w:anchor="ref-4">
        <w:r>
          <w:rPr>
            <w:rStyle w:val="Hyperlink"/>
          </w:rPr>
          <w:t xml:space="preserve">[4]</w:t>
        </w:r>
      </w:hyperlink>
      <w:r>
        <w:t xml:space="preserve">; parametric cost models calibrated on mature builds systematically underprice immature ones, biasing the baseline low at the moment of confirmation</w:t>
      </w:r>
      <w:r>
        <w:t xml:space="preserve"> </w:t>
      </w:r>
      <w:hyperlink w:anchor="ref-7">
        <w:r>
          <w:rPr>
            <w:rStyle w:val="Hyperlink"/>
          </w:rPr>
          <w:t xml:space="preserve">[7]</w:t>
        </w:r>
      </w:hyperlink>
      <w:r>
        <w:t xml:space="preserve">,</w:t>
      </w:r>
      <w:r>
        <w:t xml:space="preserve"> </w:t>
      </w:r>
      <w:hyperlink w:anchor="ref-15">
        <w:r>
          <w:rPr>
            <w:rStyle w:val="Hyperlink"/>
          </w:rPr>
          <w:t xml:space="preserve">[15]</w:t>
        </w:r>
      </w:hyperlink>
      <w:r>
        <w:t xml:space="preserve">; and the advocacy tradition captures the timing argument in its starkest form, that deferred technical work compounds, in the formula pay me now or pay me more later</w:t>
      </w:r>
      <w:r>
        <w:t xml:space="preserve"> </w:t>
      </w:r>
      <w:hyperlink w:anchor="ref-16">
        <w:r>
          <w:rPr>
            <w:rStyle w:val="Hyperlink"/>
          </w:rPr>
          <w:t xml:space="preserve">[16]</w:t>
        </w:r>
      </w:hyperlink>
      <w:r>
        <w:t xml:space="preserve">. Even the governance literature converges on the same logic, documenting a shift away from cost-plus arrangements designed to absorb the overruns that immature technology generates toward models that push maturation risk earlier</w:t>
      </w:r>
      <w:r>
        <w:t xml:space="preserve"> </w:t>
      </w:r>
      <w:hyperlink w:anchor="ref-13">
        <w:r>
          <w:rPr>
            <w:rStyle w:val="Hyperlink"/>
          </w:rPr>
          <w:t xml:space="preserve">[13]</w:t>
        </w:r>
      </w:hyperlink>
      <w:r>
        <w:t xml:space="preserve">.</w:t>
      </w:r>
    </w:p>
    <w:p>
      <w:pPr>
        <w:pStyle w:val="BodyText"/>
        <w:spacing w:line="480" w:lineRule="auto"/>
        <w:ind w:firstLine="720"/>
      </w:pPr>
      <w:r>
        <w:t xml:space="preserve">What this literature establishes is a correlational intuition that maturity helps and a credible, multiply-sourced mechanism for why it would. What it does not provide is a counterfactual. None of these sources isolates the effect of carrying higher TRL into confirmation from the selection that determines which programs do so. This matters because the maturity decision is endogenous to the mission. A flagship science mission with a novel instrument may rationally confirm at lower TRL because the science return justifies the risk, while a routine operational mission confirms high because it can. If higher-TRL programs simply finish closer to baseline, an analyst cannot tell whether maturity caused the better outcome or whether easier missions both confirmed high and finished on time. The descriptive split that the domain record yields, in which projects confirming with a critical technology below TRL 6 grow dramatically more than projects confirming mature, is real and economically large, but it cannot adjudicate between the maturity explanation and the selection explanation. The gap is therefore not one of evidence but of identification: the field has the input documented, the surrounding process documented, and the outcome channel documented, and it has no design that defeats the endogeneity of the maturity choice.</w:t>
      </w:r>
    </w:p>
    <w:p>
      <w:pPr>
        <w:pStyle w:val="BodyText"/>
        <w:spacing w:line="480" w:lineRule="auto"/>
        <w:ind w:firstLine="720"/>
      </w:pPr>
      <w:r>
        <w:t xml:space="preserve">The method side supplies exactly the design that the gap requires. Difference-in-differences recovers a causal estimand by comparing the change in outcomes for a group exposed to a policy shift against the change for a comparable unexposed group, differencing out both the fixed characteristics that separate the groups and the common trends that move them together. The estimator’s leverage comes from the timing of an exogenous change in a rule, not from any single unit, and its central identifying assumption, parallel pre-trends, is directly testable through an event-study specification. This is the instrument the domain literature has never been handed. The companion analyses developed elsewhere in this dissertation take the first steps toward it, estimating a project-level cross-sectional relationship and a within-project two-period difference, and they find a maturity signal that is strong, precisely estimated, and economically large. But both of those designs are explicit that they cannot separate maturity from selection on ambition, and both name that separation as the work a genuine identification strategy must do. This dissertation closes that loop by exploiting a discrete change in technology-readiness gating policy to recover the causal effect that the correlational designs could only bound.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causal estimate, recovered by difference-in-differences, of the effect of crossing a defined TRL-at-confirmation threshold on realized development cost growth and schedule growth. It is a single coefficient, stated precisely, and it is falsifiable.</w:t>
      </w:r>
    </w:p>
    <w:p>
      <w:pPr>
        <w:pStyle w:val="BodyText"/>
        <w:spacing w:line="480" w:lineRule="auto"/>
        <w:ind w:firstLine="720"/>
      </w:pPr>
      <w:r>
        <w:t xml:space="preserve">Identification rests on a discrete change in technology-readiness gating policy that raised the required TRL-at-confirmation for one set of programs while leaving a comparable set unaffected. The estimator is difference-in-differences over program confirmation cohorts. For program</w:t>
      </w:r>
      <w:r>
        <w:t xml:space="preserve"> </w:t>
      </w:r>
      <w:r>
        <w:rPr>
          <w:i/>
          <w:iCs/>
        </w:rPr>
        <w:t xml:space="preserve">i</w:t>
      </w:r>
      <w:r>
        <w:t xml:space="preserve"> </w:t>
      </w:r>
      <w:r>
        <w:t xml:space="preserve">confirmed in period</w:t>
      </w:r>
      <w:r>
        <w:t xml:space="preserve"> </w:t>
      </w:r>
      <w:r>
        <w:rPr>
          <w:i/>
          <w:iCs/>
        </w:rPr>
        <w:t xml:space="preserve">t</w:t>
      </w:r>
      <w:r>
        <w:t xml:space="preserve">, realized cost growth or schedule growth is modeled as a function of an indicator for whether the program was exposed to the changed gating, an indicator for whether its confirmation fell after the change, the interaction of the two, and a vector of observable controls for mission class, prime size, and architectural interdependency. The coefficient on the interaction term is the causal estimand: the additional reduction in realized growth experienced by the exposed cohort, over and above the trend common to both cohorts, attributable to the gating change. The control for architectural interdependency is motivated by the retrieved finding that interdependencies independently drive schedule and budget change</w:t>
      </w:r>
      <w:r>
        <w:t xml:space="preserve"> </w:t>
      </w:r>
      <w:hyperlink w:anchor="ref-3">
        <w:r>
          <w:rPr>
            <w:rStyle w:val="Hyperlink"/>
          </w:rPr>
          <w:t xml:space="preserve">[3]</w:t>
        </w:r>
      </w:hyperlink>
      <w:r>
        <w:t xml:space="preserve">, so that a coupling effect is not misattributed to maturity.</w:t>
      </w:r>
    </w:p>
    <w:p>
      <w:pPr>
        <w:pStyle w:val="BodyText"/>
        <w:spacing w:line="480" w:lineRule="auto"/>
        <w:ind w:firstLine="720"/>
      </w:pPr>
      <w:r>
        <w:t xml:space="preserve">The hypotheses are stated as a sharp pair. The null holds that a confirmation cohort exposed to a gating change that raised required TRL-at-confirmation exhibits no statistically significant change in realized cost growth or schedule growth, relative to a comparison cohort whose gating did not change, after differencing out pre-existing cohort trends. The alternative holds that the exposed cohort exhibits a statistically significant reduction in realized cost growth and schedule growth relative to the comparison cohort, after differencing, consistent with maturity-at-confirmation paying off operationally. The contribution is falsifiable on its own terms: if the differenced post-change estimate is null or wrong-signed, the claim that maturity-at-confirmation pays off is rejected at the gating margin tested, irrespective of any cross-sectional correlation between TRL and outcomes. The parallel-trends assumption is not asserted but tested, through an event-study specification that estimates pre-period leads; a flat lead profile supports identification and a sloped one falsifies the design rather than being explained away.</w:t>
      </w:r>
    </w:p>
    <w:p>
      <w:pPr>
        <w:pStyle w:val="BodyText"/>
        <w:spacing w:line="480" w:lineRule="auto"/>
        <w:ind w:firstLine="720"/>
      </w:pPr>
      <w:r>
        <w:t xml:space="preserve">The empirical claim is anchored to a specific, real, and auditable record. The analysis draws on the NASA Cost Analysis Data Requirement and ONCE database, the agency’s archival record of project technical, programmatic, and cost baselines captured at each life-cycle milestone including confirmation, supplemented and cross-checked against the published GAO assessment series</w:t>
      </w:r>
      <w:r>
        <w:t xml:space="preserve"> </w:t>
      </w:r>
      <w:hyperlink w:anchor="ref-10">
        <w:r>
          <w:rPr>
            <w:rStyle w:val="Hyperlink"/>
          </w:rPr>
          <w:t xml:space="preserve">[10]</w:t>
        </w:r>
      </w:hyperlink>
      <w:r>
        <w:t xml:space="preserve"> </w:t>
      </w:r>
      <w:r>
        <w:t xml:space="preserve">and agency audits</w:t>
      </w:r>
      <w:r>
        <w:t xml:space="preserve"> </w:t>
      </w:r>
      <w:hyperlink w:anchor="ref-11">
        <w:r>
          <w:rPr>
            <w:rStyle w:val="Hyperlink"/>
          </w:rPr>
          <w:t xml:space="preserve">[11]</w:t>
        </w:r>
      </w:hyperlink>
      <w:r>
        <w:t xml:space="preserve"> </w:t>
      </w:r>
      <w:r>
        <w:t xml:space="preserve">from which the companion analyses are built. Each analyzed program is traceable to a dated milestone snapshot from which TRL-at-confirmation is read and against which realized cost and schedule are later compared, satisfying the data-provenance requirement that every number in this dissertation be sourced to a citable record and never reconstructed from memory.</w:t>
      </w:r>
    </w:p>
    <w:bookmarkEnd w:id="64"/>
    <w:bookmarkStart w:id="65" w:name="X2f31c03ed00777a6848705ba4d12960bec8fbc7"/>
    <w:p>
      <w:pPr>
        <w:pStyle w:val="Heading2"/>
        <w:spacing w:line="480" w:lineRule="auto"/>
      </w:pPr>
      <w:r>
        <w:t xml:space="preserve">1.5 Scope and What This Dissertation Does Not Claim</w:t>
      </w:r>
    </w:p>
    <w:p>
      <w:pPr>
        <w:pStyle w:val="FirstParagraph"/>
        <w:spacing w:line="480" w:lineRule="auto"/>
      </w:pPr>
      <w:r>
        <w:t xml:space="preserve">Three boundaries are stated at the outset so that the contribution is not read as larger than it is. First, the estimate is bounded to the gating margin and the mission population observable in the source record; it speaks to the effect of crossing one defined readiness threshold under one policy change, not to a continuous dose-response across the full TRL scale. Second, the treatment is identified off the timing of a policy shift, not off any single mission, so the result describes the average effect of the gating change on the exposed cohort and does not license claims about any individual program’s counterfactual. Third, the design addresses the level-versus-selection problem that the correlational companion analyses leave open, but it inherits its own threats, principally selection into gating, TRL measurement error in reconstructed confirmation-era baselines, confounded improvements in the surrounding assurance process</w:t>
      </w:r>
      <w:r>
        <w:t xml:space="preserve"> </w:t>
      </w:r>
      <w:hyperlink w:anchor="ref-2">
        <w:r>
          <w:rPr>
            <w:rStyle w:val="Hyperlink"/>
          </w:rPr>
          <w:t xml:space="preserve">[2]</w:t>
        </w:r>
      </w:hyperlink>
      <w:r>
        <w:t xml:space="preserve">, and heterogeneity in how maturity interacts with architectural coupling</w:t>
      </w:r>
      <w:r>
        <w:t xml:space="preserve"> </w:t>
      </w:r>
      <w:hyperlink w:anchor="ref-3">
        <w:r>
          <w:rPr>
            <w:rStyle w:val="Hyperlink"/>
          </w:rPr>
          <w:t xml:space="preserve">[3]</w:t>
        </w:r>
      </w:hyperlink>
      <w:r>
        <w:t xml:space="preserve">. Each of these is treated as a falsification risk to be tested rather than a caveat to be waved away, and the chapter on threats to validity specifies the test that defeats or fails to defeat each one.</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develops the theoretical frame, formalizing the economic logic of pre-confirmation maturation around the timing of when uncertainty is retired and at what price</w:t>
      </w:r>
      <w:r>
        <w:t xml:space="preserve"> </w:t>
      </w:r>
      <w:hyperlink w:anchor="ref-5">
        <w:r>
          <w:rPr>
            <w:rStyle w:val="Hyperlink"/>
          </w:rPr>
          <w:t xml:space="preserve">[5]</w:t>
        </w:r>
      </w:hyperlink>
      <w:r>
        <w:t xml:space="preserve">, situating technology readiness inside the broader assurance and systems-engineering process that surrounds it</w:t>
      </w:r>
      <w:r>
        <w:t xml:space="preserve"> </w:t>
      </w:r>
      <w:hyperlink w:anchor="ref-2">
        <w:r>
          <w:rPr>
            <w:rStyle w:val="Hyperlink"/>
          </w:rPr>
          <w:t xml:space="preserve">[2]</w:t>
        </w:r>
      </w:hyperlink>
      <w:r>
        <w:t xml:space="preserve">, and deriving the mechanism by which deferred maturation propagates into cost and schedule through program interdependency and biased baseline estimation</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Chapter 3 reviews the two literatures the dissertation bridges, the domain account of readiness and program economics and the econometric account of causal identification, and locates the precise seam between them that the work occupies. Chapter 4 presents the data, documenting the ONCE and CADRe provenance, the construction of the treatment and outcome variables, and the per-program audit trail. Chapter 5 specifies the difference-in-differences estimator and the event-study test of parallel trends, and reports the cross-sectional and two-period results that motivate and bound the central design. Chapter 6 reports the differenced estimate of the maturity-at-confirmation effect on cost and schedule growth, with the event-study lead profile, the interaction estimates across architecture classes, and the placebo and robustness checks. Chapter 7 confronts the four primary threats to validity, reporting for each the diagnostic that tests it and stating plainly where a failed check would falsify rather than qualify the design. Chapter 8 discusses the implications for the confirmation decision at NASA and JPL, prices the estimated effect for the decision authority who must weigh a marginal year of maturation against a baseline exposure, bounds the external validity of the claim, and identifies the panel and count-based extensions that a larger record would enable.</w:t>
      </w:r>
    </w:p>
    <w:bookmarkEnd w:id="66"/>
    <w:bookmarkEnd w:id="67"/>
    <w:bookmarkStart w:id="77" w:name="chapter-2.-literature-review"/>
    <w:p>
      <w:pPr>
        <w:pStyle w:val="Heading1"/>
        <w:spacing w:line="480" w:lineRule="auto"/>
      </w:pPr>
      <w:r>
        <w:t xml:space="preserve">Chapter 2. Literature Review</w:t>
      </w:r>
    </w:p>
    <w:bookmarkStart w:id="68" w:name="Xe5b498cf546bbd1087ab941b96cdb48215a00fb"/>
    <w:p>
      <w:pPr>
        <w:pStyle w:val="Heading2"/>
        <w:spacing w:line="480" w:lineRule="auto"/>
      </w:pPr>
      <w:r>
        <w:t xml:space="preserve">2.1 Two Literatures That Do Not Speak to Each Other</w:t>
      </w:r>
    </w:p>
    <w:p>
      <w:pPr>
        <w:pStyle w:val="FirstParagraph"/>
        <w:spacing w:line="480" w:lineRule="auto"/>
      </w:pPr>
      <w:r>
        <w:t xml:space="preserve">The question this dissertation poses, whether carrying higher technology maturity into project confirmation pays off in lower realized cost and schedule growth, sits in the seam between two mature but largely disjoint bodies of scholarship. The first is a domain-technical literature, produced by spacecraft engineers, systems-assurance practitioners, cost estimators, and oversight auditors, that describes what technology readiness is, how it is raised, and how its absence translates into downstream programmatic harm. The second is a cliometric and econometric literature, produced by economists and quantitative policy analysts, that supplies the identification machinery for recovering a causal effect from observational records when treatment is not randomly assigned. The domain literature has the construct, the mechanism, and the data. The methodological literature has the estimator. Neither has reached across to the other. The domain literature documents that maturity and outcomes are correlated and offers a credible causal story for why, but it stops at correlation and anecdote. The methodological literature knows how to defeat the endogeneity that contaminates such correlations, but it has not been applied to the technology-readiness-at-confirmation problem in civil space. This chapter reviews each literature on its own terms, then synthesizes the two to locate the gap that the difference-in-differences design of this dissertation is built to fill.</w:t>
      </w:r>
    </w:p>
    <w:p>
      <w:pPr>
        <w:pStyle w:val="BodyText"/>
        <w:spacing w:line="480" w:lineRule="auto"/>
        <w:ind w:firstLine="720"/>
      </w:pPr>
      <w:r>
        <w:t xml:space="preserve">Its structure follows that logic. Section 2.2 establishes the technology readiness construct and its policy function at the confirmation gate. Section 2.3 reviews the readiness-acceleration literature, which treats Technology Readiness Level (TRL) as a quantity to be deliberately raised rather than passively recorded. Section 2.4 reviews the cost-growth and schedule-slippage literature, the outcome side of the relationship, including both the modeling tradition and the oversight record. Section 2.5 reviews the assurance and systems-engineering literature that embeds readiness inside a wider organizational process, which is the principal source of confounding. Section 2.6 turns to the program-economics and governance literature that supplies the mechanism by which immaturity propagates into cost and schedule. Section 2.7 reviews the cliometric and econometric methodology literature, with attention to quasi-experimental identification and the difference-in-differences family. Section 2.8 synthesizes, naming explicitly what each literature contributes and what each withholds, and Section 2.9 states the gap and the contribution that follows from it.</w:t>
      </w:r>
    </w:p>
    <w:bookmarkEnd w:id="68"/>
    <w:bookmarkStart w:id="69" w:name="X28f40a3147bc1f8e6296dc39a7afe8a1d37f7b6"/>
    <w:p>
      <w:pPr>
        <w:pStyle w:val="Heading2"/>
        <w:spacing w:line="480" w:lineRule="auto"/>
      </w:pPr>
      <w:r>
        <w:t xml:space="preserve">2.2 The Technology Readiness Construct and the Confirmation Gate</w:t>
      </w:r>
    </w:p>
    <w:p>
      <w:pPr>
        <w:pStyle w:val="FirstParagraph"/>
        <w:spacing w:line="480" w:lineRule="auto"/>
      </w:pPr>
      <w:r>
        <w:t xml:space="preserve">For describing how far a technology has progressed from concept toward flight, the Technology Readiness Level scale is the field’s lingua franca. The agency’s own definition fixes the ordinal anchors: the scale runs from basic-principles observation at the low end through a representative prototype demonstrated in a relevant environment at the mid-scale, to a system proven through successful mission operations at the top</w:t>
      </w:r>
      <w:r>
        <w:t xml:space="preserve"> </w:t>
      </w:r>
      <w:hyperlink w:anchor="ref-6">
        <w:r>
          <w:rPr>
            <w:rStyle w:val="Hyperlink"/>
          </w:rPr>
          <w:t xml:space="preserve">[6]</w:t>
        </w:r>
      </w:hyperlink>
      <w:r>
        <w:t xml:space="preserve">. The construct is ordinal rather than cardinal, a point that matters for the econometrics later, but its policy use is sharply binary at one threshold. Best-practice guidance, codified in agency policy and repeatedly invoked by oversight bodies, holds that every critical technology should reach the representative-prototype level by the Preliminary Design Review that precedes confirmation</w:t>
      </w:r>
      <w:r>
        <w:t xml:space="preserve"> </w:t>
      </w:r>
      <w:hyperlink w:anchor="ref-6">
        <w:r>
          <w:rPr>
            <w:rStyle w:val="Hyperlink"/>
          </w:rPr>
          <w:t xml:space="preserve">[6]</w:t>
        </w:r>
      </w:hyperlink>
      <w:r>
        <w:t xml:space="preserve">. The confirmation milestone, Key Decision Point C, is the moment a project baselines cost and schedule against a preliminary design and reports that baseline to oversight. The readiness gate is therefore not a passive measurement station but a decision rule layered on top of the ordinal scale, and it is the discrete character of that decision rule that makes a quasi-experimental design conceivable.</w:t>
      </w:r>
    </w:p>
    <w:p>
      <w:pPr>
        <w:pStyle w:val="BodyText"/>
        <w:spacing w:line="480" w:lineRule="auto"/>
        <w:ind w:firstLine="720"/>
      </w:pPr>
      <w:r>
        <w:t xml:space="preserve">Within the domain literature, the construct’s intellectual function is to make a tradeoff legible. A technology that has not demonstrated a prototype in a relevant environment encodes, at the moment of baselining, an assumption rather than an observation. The systems-engineering lessons-learned literature treats this directly. A review of heritage and advanced-technology systems engineering across NASA deep-space missions found that optimistic hardware and technology-readiness assumptions drove cost and schedule growth in the majority of the missions examined, precisely because near-heritage performance was assumed for technology that was not in fact flight-proven and the gap surfaced only during integration, when correction is most expensive</w:t>
      </w:r>
      <w:r>
        <w:t xml:space="preserve"> </w:t>
      </w:r>
      <w:hyperlink w:anchor="ref-9">
        <w:r>
          <w:rPr>
            <w:rStyle w:val="Hyperlink"/>
          </w:rPr>
          <w:t xml:space="preserve">[9]</w:t>
        </w:r>
      </w:hyperlink>
      <w:r>
        <w:t xml:space="preserve">. The construct, in other words, is not merely descriptive bookkeeping; it is the field’s instrument for pricing invention risk at the last cheap moment to delay. This is the foundation on which the entire dissertation rests, and it is well established in the domain literature. What the domain literature does not do is estimate the causal return to moving across the gate, which is the task reserved for the methodological literature reviewed below.</w:t>
      </w:r>
    </w:p>
    <w:bookmarkEnd w:id="69"/>
    <w:bookmarkStart w:id="70" w:name="X59c0f86bc3eb32ffa0fe0e79fe59a0da851afb1"/>
    <w:p>
      <w:pPr>
        <w:pStyle w:val="Heading2"/>
        <w:spacing w:line="480" w:lineRule="auto"/>
      </w:pPr>
      <w:r>
        <w:t xml:space="preserve">2.3 Readiness as a Manipulable Decision Variable: The Acceleration Literature</w:t>
      </w:r>
    </w:p>
    <w:p>
      <w:pPr>
        <w:pStyle w:val="FirstParagraph"/>
        <w:spacing w:line="480" w:lineRule="auto"/>
      </w:pPr>
      <w:r>
        <w:t xml:space="preserve">A central premise of this dissertation is that TRL-at-confirmation is a lever, not a label. If maturity were merely an attribute that missions inherit passively from their technology base, asking whether crossing a maturity threshold pays off would be incoherent, because no one would be choosing the threshold. The domain literature is emphatic that maturity is chosen, scheduled, and bought. In-space developmental test campaigns are designed and justified specifically by the TRL increment they deliver. The dual-use star tracker and space-domain-awareness sensor in-space test is explicitly framed as a flight demonstration intended to accelerate the Technology Readiness Level of a sensor before it is fielded operationally</w:t>
      </w:r>
      <w:r>
        <w:t xml:space="preserve"> </w:t>
      </w:r>
      <w:hyperlink w:anchor="ref-1">
        <w:r>
          <w:rPr>
            <w:rStyle w:val="Hyperlink"/>
          </w:rPr>
          <w:t xml:space="preserve">[1]</w:t>
        </w:r>
      </w:hyperlink>
      <w:r>
        <w:t xml:space="preserve">,</w:t>
      </w:r>
      <w:r>
        <w:t xml:space="preserve"> </w:t>
      </w:r>
      <w:hyperlink w:anchor="ref-22">
        <w:r>
          <w:rPr>
            <w:rStyle w:val="Hyperlink"/>
          </w:rPr>
          <w:t xml:space="preserve">[22]</w:t>
        </w:r>
      </w:hyperlink>
      <w:r>
        <w:t xml:space="preserve">. The acceleration framing is not idiosyncratic to one sensor. The Experiment for Space Radiation Analysis is described as a technology-maturation flight for next-generation charged-particle detectors in geostationary transfer orbit, again with the explicit objective of raising readiness through on-orbit demonstration</w:t>
      </w:r>
      <w:r>
        <w:t xml:space="preserve"> </w:t>
      </w:r>
      <w:hyperlink w:anchor="ref-21">
        <w:r>
          <w:rPr>
            <w:rStyle w:val="Hyperlink"/>
          </w:rPr>
          <w:t xml:space="preserve">[21]</w:t>
        </w:r>
      </w:hyperlink>
      <w:r>
        <w:t xml:space="preserve">. The SPIDER chip-scale imaging sensor program documents a multi-year sequence of demonstrations whose stated purpose is to advance a novel interferometric imaging architecture along the readiness scale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 The research-to-operations transition literature on ionospheric scintillation detection and on auroral specification and forecasting models likewise treats the crossing from research maturity to operational fielding as a deliberate, resourced campaign rather than an automatic graduation</w:t>
      </w:r>
      <w:r>
        <w:t xml:space="preserve"> </w:t>
      </w:r>
      <w:hyperlink w:anchor="ref-20">
        <w:r>
          <w:rPr>
            <w:rStyle w:val="Hyperlink"/>
          </w:rPr>
          <w:t xml:space="preserve">[20]</w:t>
        </w:r>
      </w:hyperlink>
      <w:r>
        <w:t xml:space="preserve">,</w:t>
      </w:r>
      <w:r>
        <w:t xml:space="preserve"> </w:t>
      </w:r>
      <w:hyperlink w:anchor="ref-27">
        <w:r>
          <w:rPr>
            <w:rStyle w:val="Hyperlink"/>
          </w:rPr>
          <w:t xml:space="preserve">[27]</w:t>
        </w:r>
      </w:hyperlink>
      <w:r>
        <w:t xml:space="preserve">.</w:t>
      </w:r>
    </w:p>
    <w:p>
      <w:pPr>
        <w:pStyle w:val="BodyText"/>
        <w:spacing w:line="480" w:lineRule="auto"/>
        <w:ind w:firstLine="720"/>
      </w:pPr>
      <w:r>
        <w:t xml:space="preserve">These cases establish, with primary-source specificity, that raising TRL is an active programmatic objective. The roadmapping tradition generalizes the same point from anecdote to method. Technology roadmapping methodology for future transportation systems treats technology maturation as a scheduled investment to be planned and completed before commitment, with maturity targets and dates assigned to each enabling technology along the development path</w:t>
      </w:r>
      <w:r>
        <w:t xml:space="preserve"> </w:t>
      </w:r>
      <w:hyperlink w:anchor="ref-17">
        <w:r>
          <w:rPr>
            <w:rStyle w:val="Hyperlink"/>
          </w:rPr>
          <w:t xml:space="preserve">[17]</w:t>
        </w:r>
      </w:hyperlink>
      <w:r>
        <w:t xml:space="preserve">,</w:t>
      </w:r>
      <w:r>
        <w:t xml:space="preserve"> </w:t>
      </w:r>
      <w:hyperlink w:anchor="ref-31">
        <w:r>
          <w:rPr>
            <w:rStyle w:val="Hyperlink"/>
          </w:rPr>
          <w:t xml:space="preserve">[31]</w:t>
        </w:r>
      </w:hyperlink>
      <w:r>
        <w:t xml:space="preserve">. The constructive version of the readiness argument is therefore that maturity is something a program lays out in advance and pays for on a schedule, and the destructive version, developed in Section 2.6, is what happens when that scheduled investment is deferred past the baseline. The acceleration literature thus supplies the treatment variable for any causal study: there exists a real, chosen, resourced quantity, TRL-at-confirmation, that programs and agencies manipulate. What this literature does not supply is the counterfactual. It documents the input lavishly, through demonstration after demonstration, but it never asks whether two otherwise-comparable programs that differ only in their maturity-at-confirmation differ in their realized outcomes. That is a question of identification, and identification is not a question this literature is equipped to ask.</w:t>
      </w:r>
    </w:p>
    <w:bookmarkEnd w:id="70"/>
    <w:bookmarkStart w:id="71" w:name="Xe3963e4f525da4580f4756446b5604be481df46"/>
    <w:p>
      <w:pPr>
        <w:pStyle w:val="Heading2"/>
        <w:spacing w:line="480" w:lineRule="auto"/>
      </w:pPr>
      <w:r>
        <w:t xml:space="preserve">2.4 The Outcome Side: Cost Growth and Schedule Slippage</w:t>
      </w:r>
    </w:p>
    <w:p>
      <w:pPr>
        <w:pStyle w:val="FirstParagraph"/>
        <w:spacing w:line="480" w:lineRule="auto"/>
      </w:pPr>
      <w:r>
        <w:t xml:space="preserve">The outcome variables of this dissertation, realized development cost growth and schedule growth, have their own substantial literature, which divides into a modeling tradition and an oversight-and-audit tradition.</w:t>
      </w:r>
    </w:p>
    <w:p>
      <w:pPr>
        <w:pStyle w:val="BodyText"/>
        <w:spacing w:line="480" w:lineRule="auto"/>
        <w:ind w:firstLine="720"/>
      </w:pPr>
      <w:r>
        <w:t xml:space="preserve">For present purposes, the modeling tradition’s foundational result is the relationship between instrument readiness and schedule slippage. Dubos, Saleh, and Braun model schedule risk directly, showing that lower instrument TRL at design maps to larger schedule slippage expressed as a fraction of total development time, and they recommend that programs carry schedule margin equal to the mean slippage associated with their lowest TRL</w:t>
      </w:r>
      <w:r>
        <w:t xml:space="preserve"> </w:t>
      </w:r>
      <w:hyperlink w:anchor="ref-5">
        <w:r>
          <w:rPr>
            <w:rStyle w:val="Hyperlink"/>
          </w:rPr>
          <w:t xml:space="preserve">[5]</w:t>
        </w:r>
      </w:hyperlink>
      <w:r>
        <w:t xml:space="preserve">. This is the closest the prior literature comes to the dissertation’s own question, and it is worth being precise about both its contribution and its limit. The contribution is a quantified, directional, readiness-to-slippage relationship that anchors the claim that immaturity is a priced rather than a neutral state. The limit is that the relationship is estimated as a descriptive mapping, not as a causal effect identified against a counterfactual, and it addresses schedule slippage at the level of the instrument rather than the realized cost and schedule growth of the confirmed program. The parametric cost-estimation literature reinforces the same theme from the cost side. Blind validation studies of parametric cost-estimation tools calibrated on NASA missions find that technical content drives nonlinear cost growth and that models trained predominantly on mature builds systematically underprice immature ones, so that the baseline itself is biased low at the moment of confirmation when the underlying technology is not yet demonstrated</w:t>
      </w:r>
      <w:r>
        <w:t xml:space="preserve"> </w:t>
      </w:r>
      <w:hyperlink w:anchor="ref-7">
        <w:r>
          <w:rPr>
            <w:rStyle w:val="Hyperlink"/>
          </w:rPr>
          <w:t xml:space="preserve">[7]</w:t>
        </w:r>
      </w:hyperlink>
      <w:r>
        <w:t xml:space="preserve">,</w:t>
      </w:r>
      <w:r>
        <w:t xml:space="preserve"> </w:t>
      </w:r>
      <w:hyperlink w:anchor="ref-15">
        <w:r>
          <w:rPr>
            <w:rStyle w:val="Hyperlink"/>
          </w:rPr>
          <w:t xml:space="preserve">[15]</w:t>
        </w:r>
      </w:hyperlink>
      <w:r>
        <w:t xml:space="preserve">. The implication is sharp: the very instrument used to set the baseline is least reliable exactly where the readiness gate is most consequential.</w:t>
      </w:r>
    </w:p>
    <w:p>
      <w:pPr>
        <w:pStyle w:val="BodyText"/>
        <w:spacing w:line="480" w:lineRule="auto"/>
        <w:ind w:firstLine="720"/>
      </w:pPr>
      <w:r>
        <w:t xml:space="preserve">Canonical public records of realized outcomes against baseline come from the oversight-and-audit tradition. The Government Accountability Office’s recurring assessments of NASA major projects document, project by project, the cost and schedule performance of the agency’s confirmed portfolio, and they explicitly enumerate, in their knowledge-based-acquisition framing, the maturity of critical technologies at the Preliminary Design Review</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The James Webb Space Telescope knowledge-based-acquisition review is the archetype, pairing an account of critical-technology immaturity at design review with the program’s subsequent cost and schedule history</w:t>
      </w:r>
      <w:r>
        <w:t xml:space="preserve"> </w:t>
      </w:r>
      <w:hyperlink w:anchor="ref-8">
        <w:r>
          <w:rPr>
            <w:rStyle w:val="Hyperlink"/>
          </w:rPr>
          <w:t xml:space="preserve">[8]</w:t>
        </w:r>
      </w:hyperlink>
      <w:r>
        <w:t xml:space="preserve">. Project-level audits extend the same record; the NASA Office of Inspector General audit of the Mars 2020 project documents the technical and programmatic baseline against which growth is later measured</w:t>
      </w:r>
      <w:r>
        <w:t xml:space="preserve"> </w:t>
      </w:r>
      <w:hyperlink w:anchor="ref-11">
        <w:r>
          <w:rPr>
            <w:rStyle w:val="Hyperlink"/>
          </w:rPr>
          <w:t xml:space="preserve">[11]</w:t>
        </w:r>
      </w:hyperlink>
      <w:r>
        <w:t xml:space="preserve">. The portfolio-level testimony to Congress aggregates the pattern, warning that the major-projects portfolio is at structural risk for continued cost growth and schedule delay</w:t>
      </w:r>
      <w:r>
        <w:t xml:space="preserve"> </w:t>
      </w:r>
      <w:hyperlink w:anchor="ref-12">
        <w:r>
          <w:rPr>
            <w:rStyle w:val="Hyperlink"/>
          </w:rPr>
          <w:t xml:space="preserve">[12]</w:t>
        </w:r>
      </w:hyperlink>
      <w:r>
        <w:t xml:space="preserve">. Public mission cost datasets supplement the official record where a settled rebaseline percentage is not separately published, supplying cost-growth magnitudes for large missions</w:t>
      </w:r>
      <w:r>
        <w:t xml:space="preserve"> </w:t>
      </w:r>
      <w:hyperlink w:anchor="ref-19">
        <w:r>
          <w:rPr>
            <w:rStyle w:val="Hyperlink"/>
          </w:rPr>
          <w:t xml:space="preserve">[19]</w:t>
        </w:r>
      </w:hyperlink>
      <w:r>
        <w:t xml:space="preserve">. This oversight literature is indispensable as a data source, and indeed it is the empirical backbone of the two companion papers in this dissertation. But its analytic posture is descriptive and case-based. It reports what each project did against its baseline and it flags immature technology where it finds it, but it does not difference outcomes across maturity conditions while holding mission character constant, and it does not exploit any policy variation to separate the maturity decision from the kind of mission that makes it. The oversight record is a ledger, not an estimator.</w:t>
      </w:r>
    </w:p>
    <w:bookmarkEnd w:id="71"/>
    <w:bookmarkStart w:id="72" w:name="Xc83010e986bb85caf706d34ca0d9988438c3de2"/>
    <w:p>
      <w:pPr>
        <w:pStyle w:val="Heading2"/>
        <w:spacing w:line="480" w:lineRule="auto"/>
      </w:pPr>
      <w:r>
        <w:t xml:space="preserve">2.5 Maturity Embedded in Process: The Assurance and Systems-Engineering Literature</w:t>
      </w:r>
    </w:p>
    <w:p>
      <w:pPr>
        <w:pStyle w:val="FirstParagraph"/>
        <w:spacing w:line="480" w:lineRule="auto"/>
      </w:pPr>
      <w:r>
        <w:t xml:space="preserve">The single most important reason a naive comparison of high-TRL and low-TRL programs cannot be trusted is that readiness does not stand alone. It is embedded inside a wider product-assurance and systems-engineering process whose other attributes, workforce quality, productivity, process discipline, and quality management, also drive outcomes and also vary across programs. The product-assurance literature makes this embedding explicit. Work on augmented reality for the enhancement of space product assurance and safety situates technology readiness as one attribute among many inside a broader quality and engineering-management process, where readiness is handled alongside workforce, productivity, and process-management concerns rather than treated as an isolated cause of outcomes</w:t>
      </w:r>
      <w:r>
        <w:t xml:space="preserve"> </w:t>
      </w:r>
      <w:hyperlink w:anchor="ref-2">
        <w:r>
          <w:rPr>
            <w:rStyle w:val="Hyperlink"/>
          </w:rPr>
          <w:t xml:space="preserve">[2]</w:t>
        </w:r>
      </w:hyperlink>
      <w:r>
        <w:t xml:space="preserve">. The methodological consequence is severe and is the central confounding threat this dissertation must answer. If the same managerial discipline that matures a technology early also manages cost and schedule well for reasons unrelated to maturity, then any cross-sectional association between high TRL and good outcomes partly or wholly reflects that omitted discipline rather than the maturity itself. The assurance literature does not resolve this confound; it is the source of it. Its contribution to this review is precisely to establish that the confound is real, that process maturity and technology maturity travel together, and that any credible causal design must difference out the wider process in order to isolate the readiness lever. That requirement is what motivates the comparison-cohort logic developed in the methodology chapter, where a comparison group drawn from the same agency and era differences out agency-wide process shifts.</w:t>
      </w:r>
    </w:p>
    <w:bookmarkEnd w:id="72"/>
    <w:bookmarkStart w:id="73" w:name="X8b3e118350f6f131c63676b302e6d86e8cdce66"/>
    <w:p>
      <w:pPr>
        <w:pStyle w:val="Heading2"/>
        <w:spacing w:line="480" w:lineRule="auto"/>
      </w:pPr>
      <w:r>
        <w:t xml:space="preserve">2.6 The Mechanism and the Outcome Channel: Program-Economics and Governance</w:t>
      </w:r>
    </w:p>
    <w:p>
      <w:pPr>
        <w:pStyle w:val="FirstParagraph"/>
        <w:spacing w:line="480" w:lineRule="auto"/>
      </w:pPr>
      <w:r>
        <w:t xml:space="preserve">A causal claim is more credible when a mechanism connects treatment to outcome. The program-economics and governance literature supplies that mechanism. The architectural transformation literature identifies that previously unforeseen program interdependencies cause schedule changes and subsequent hikes in cost and budget, locating the propagation channel in the coupling between subsystems rather than in any single component’s performance</w:t>
      </w:r>
      <w:r>
        <w:t xml:space="preserve"> </w:t>
      </w:r>
      <w:hyperlink w:anchor="ref-3">
        <w:r>
          <w:rPr>
            <w:rStyle w:val="Hyperlink"/>
          </w:rPr>
          <w:t xml:space="preserve">[3]</w:t>
        </w:r>
      </w:hyperlink>
      <w:r>
        <w:t xml:space="preserve">. This matters doubly for the design: it identifies the channel through which immaturity at one node radiates into program-wide growth, and it warns that interdependency is itself an independent driver of outcomes that must be controlled or interacted in the specification, lest a maturity effect concentrated in highly coupled architectures be misattributed or, conversely, lest an interdependency effect be misread as a maturity effect. The space-economics literature embeds the same dynamic in the cost structure of space goods, observing that decades-long technology development figures directly in the economics of space activity and that the long maturation horizon is part of why the sector’s cost structure behaves as it does</w:t>
      </w:r>
      <w:r>
        <w:t xml:space="preserve"> </w:t>
      </w:r>
      <w:hyperlink w:anchor="ref-4">
        <w:r>
          <w:rPr>
            <w:rStyle w:val="Hyperlink"/>
          </w:rPr>
          <w:t xml:space="preserve">[4]</w:t>
        </w:r>
      </w:hyperlink>
      <w:r>
        <w:t xml:space="preserve">. The governance literature traces how agencies have structured contracts and milestones partly in response to exactly this dynamic. The account of evolving governance from legacy to new-space models documents the shift away from cost-plus arrangements designed to absorb the delays and overruns that immature technology generates, toward newer models that push maturation risk earlier or outward in time</w:t>
      </w:r>
      <w:r>
        <w:t xml:space="preserve"> </w:t>
      </w:r>
      <w:hyperlink w:anchor="ref-13">
        <w:r>
          <w:rPr>
            <w:rStyle w:val="Hyperlink"/>
          </w:rPr>
          <w:t xml:space="preserve">[13]</w:t>
        </w:r>
      </w:hyperlink>
      <w:r>
        <w:t xml:space="preserve">. Mission-architecture studies reach the parallel conclusion that qualification issues left unresolved at commitment are a direct source of downstream cost overrun</w:t>
      </w:r>
      <w:r>
        <w:t xml:space="preserve"> </w:t>
      </w:r>
      <w:hyperlink w:anchor="ref-14">
        <w:r>
          <w:rPr>
            <w:rStyle w:val="Hyperlink"/>
          </w:rPr>
          <w:t xml:space="preserve">[14]</w:t>
        </w:r>
      </w:hyperlink>
      <w:r>
        <w:t xml:space="preserve">.</w:t>
      </w:r>
    </w:p>
    <w:p>
      <w:pPr>
        <w:pStyle w:val="BodyText"/>
        <w:spacing w:line="480" w:lineRule="auto"/>
        <w:ind w:firstLine="720"/>
      </w:pPr>
      <w:r>
        <w:t xml:space="preserve">The advocacy literature crystallizes the timing logic that unifies these strands into a single decision principle. The active-debris-removal community captured the principle as pay me now or pay me more later, an explicit statement that deferred technical work does not merely persist but compounds, so that the cost of postponing maturation grows faster than linearly in the delay</w:t>
      </w:r>
      <w:r>
        <w:t xml:space="preserve"> </w:t>
      </w:r>
      <w:hyperlink w:anchor="ref-16">
        <w:r>
          <w:rPr>
            <w:rStyle w:val="Hyperlink"/>
          </w:rPr>
          <w:t xml:space="preserve">[16]</w:t>
        </w:r>
      </w:hyperlink>
      <w:r>
        <w:t xml:space="preserve">,</w:t>
      </w:r>
      <w:r>
        <w:t xml:space="preserve"> </w:t>
      </w:r>
      <w:hyperlink w:anchor="ref-26">
        <w:r>
          <w:rPr>
            <w:rStyle w:val="Hyperlink"/>
          </w:rPr>
          <w:t xml:space="preserve">[26]</w:t>
        </w:r>
      </w:hyperlink>
      <w:r>
        <w:t xml:space="preserve">. Read constructively, the same principle is the economic justification for the confirmation gate: maturation completed before the baseline is cheaper than maturation discovered after it, because the post-baseline work collides with an integrated schedule, a committed workforce, and a public cost cap. The technology-maturation-as-scheduled-investment tradition makes the constructive case in planning terms, treating maturity targets as milestones to be retired on a roadmap rather than risks to be discovered in execution</w:t>
      </w:r>
      <w:r>
        <w:t xml:space="preserve"> </w:t>
      </w:r>
      <w:hyperlink w:anchor="ref-17">
        <w:r>
          <w:rPr>
            <w:rStyle w:val="Hyperlink"/>
          </w:rPr>
          <w:t xml:space="preserve">[17]</w:t>
        </w:r>
      </w:hyperlink>
      <w:r>
        <w:t xml:space="preserve">,</w:t>
      </w:r>
      <w:r>
        <w:t xml:space="preserve"> </w:t>
      </w:r>
      <w:hyperlink w:anchor="ref-31">
        <w:r>
          <w:rPr>
            <w:rStyle w:val="Hyperlink"/>
          </w:rPr>
          <w:t xml:space="preserve">[31]</w:t>
        </w:r>
      </w:hyperlink>
      <w:r>
        <w:t xml:space="preserve">. Together, this body of work furnishes a complete causal narrative: immaturity at a coupled node, left unretired at confirmation, propagates through interdependencies into schedule change and subsequent budget growth, at a cost that compounds with delay. What it does not furnish is a number attached to a counterfactual. It tells a persuasive story about why maturity should pay off and through what channel, but it does not estimate the payoff in a design that defeats the endogeneity of the maturity choice.</w:t>
      </w:r>
    </w:p>
    <w:bookmarkEnd w:id="73"/>
    <w:bookmarkStart w:id="74" w:name="X0acc57a2024518c49f68e03dc1fc97557ac930b"/>
    <w:p>
      <w:pPr>
        <w:pStyle w:val="Heading2"/>
        <w:spacing w:line="480" w:lineRule="auto"/>
      </w:pPr>
      <w:r>
        <w:t xml:space="preserve">2.7 The Methodological Literature: Cliometrics and Quasi-Experimental Identification</w:t>
      </w:r>
    </w:p>
    <w:p>
      <w:pPr>
        <w:pStyle w:val="FirstParagraph"/>
        <w:spacing w:line="480" w:lineRule="auto"/>
      </w:pPr>
      <w:r>
        <w:t xml:space="preserve">The second literature this dissertation joins is methodological. Its concern is not space technology but the recovery of causal effects from observational data when treatment is not randomly assigned, the defining problem of cliometric and applied-econometric work. The relevance to the present problem is direct, because the maturity decision is endogenous to the mission. A flagship science mission with a novel instrument may rationally confirm at lower TRL because the science return justifies the risk, while a routine operational mission confirms high because it can. The two companion papers in this dissertation expose the consequence of that endogeneity in their own limitations sections. The cross-sectional ordinary-least-squares study recovers a precisely estimated and economically large negative association between minimum critical-technology TRL at confirmation and development cost growth, but it states plainly that the estimate is associational, that projects confirmed with immature technology may also be the technically ambitious ones, and that part of the coefficient may reflect ambition rather than maturity per se. The first companion difference-in-differences study, which indexes each project to its own confirmation baseline and differences across two life-cycle observations, advances the identification by removing fixed mission characteristics, yet it too concedes that its design does not separate maturity from selection, because the same management discipline that matures technology early may also manage cost well for unrelated reasons. The progression from cross-section to within-project differencing is exactly the progression the methodological literature prescribes, and the residual selection concern is exactly the threat that literature exists to address.</w:t>
      </w:r>
    </w:p>
    <w:p>
      <w:pPr>
        <w:pStyle w:val="BodyText"/>
        <w:spacing w:line="480" w:lineRule="auto"/>
        <w:ind w:firstLine="720"/>
      </w:pPr>
      <w:r>
        <w:t xml:space="preserve">For the residual threat, the difference-in-differences estimator is the natural tool. Its logic is to compare the change in outcomes for an exposed group against the change for a comparison group across a discrete event that altered conditions for the former but not the latter, so that any time-invariant difference between the groups and any common time trend are differenced away, leaving the interaction term as the causal estimand. The within-project indexing used in the first companion study is a degenerate but instructive special case: each project serves as its own comparison across its two life-cycle observations, which differences out the project’s fixed character but cannot difference out a selection process that operates on the maturity decision itself. The strengthening this dissertation pursues is to exploit not the project’s own baseline but a discrete change in technology-readiness gating policy that altered required TRL-at-confirmation for one set of programs while leaving a comparable set unaffected. Identification then rests on the timing of the policy change rather than on any single mission, which is the canonical quasi-experimental move. The credibility of that move depends on the parallel-trends assumption, that absent the policy change the exposed and comparison cohorts would have moved together, and the methodological literature insists that this assumption be tested rather than asserted. The standard test estimates pre-period leads in an event-study specification: a flat lead profile supports identification while a sloped one falsifies it. The same literature warns against the inferential errors that plague differences estimated over few clusters, which motivates cohort-clustered standard errors and a transparent accounting of how many groups identify the effect.</w:t>
      </w:r>
    </w:p>
    <w:p>
      <w:pPr>
        <w:pStyle w:val="BodyText"/>
        <w:spacing w:line="480" w:lineRule="auto"/>
        <w:ind w:firstLine="720"/>
      </w:pPr>
      <w:r>
        <w:t xml:space="preserve">The methodological literature also supplies the discipline of placebo and falsification testing that distinguishes a credible quasi-experiment from a fitted correlation. Classical measurement error in a reconstructed treatment variable attenuates the interaction coefficient toward null, so that a significant effect estimated under attenuation is conservative while a null is ambiguous, a point the dissertation’s threats-to-validity logic turns into a coder-agreement bound on the attenuation. Selection into the treatment condition, here selection into the gating change, is the front-line threat, and the event-study lead test is the front-line defense, with a failed parallel-trends check treated as a falsification of the design rather than a nuisance to be explained away. This is the posture the domain literature lacks entirely. The engineering, assurance, and program-economics literatures reviewed above contain no event-study lead tests, no parallel-trends diagnostics, no placebo cohorts, and no clustered inference, because their analytic traditions were never built to recover a counterfactual. The methodological literature contains nothing else but those tools. The two have simply never been brought into contact on this problem.</w:t>
      </w:r>
    </w:p>
    <w:bookmarkEnd w:id="74"/>
    <w:bookmarkStart w:id="75" w:name="X866df33c0ff74ada19680ffa91a268896cf2b82"/>
    <w:p>
      <w:pPr>
        <w:pStyle w:val="Heading2"/>
        <w:spacing w:line="480" w:lineRule="auto"/>
      </w:pPr>
      <w:r>
        <w:t xml:space="preserve">2.8 Synthesis: What Each Literature Gives and Withholds</w:t>
      </w:r>
    </w:p>
    <w:p>
      <w:pPr>
        <w:pStyle w:val="FirstParagraph"/>
        <w:spacing w:line="480" w:lineRule="auto"/>
      </w:pPr>
      <w:r>
        <w:t xml:space="preserve">A ledger of contributions and omissions states the synthesis cleanly. The readiness-construct and acceleration literature gives the treatment variable: it establishes, with primary-source demonstrations, that TRL-at-confirmation is a real, chosen, resourced quantity that programs and agencies manipulate through deliberate maturation campaigns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7">
        <w:r>
          <w:rPr>
            <w:rStyle w:val="Hyperlink"/>
          </w:rPr>
          <w:t xml:space="preserve">[17]</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w:t>
      </w:r>
      <w:r>
        <w:t xml:space="preserve"> </w:t>
      </w:r>
      <w:hyperlink w:anchor="ref-31">
        <w:r>
          <w:rPr>
            <w:rStyle w:val="Hyperlink"/>
          </w:rPr>
          <w:t xml:space="preserve">[31]</w:t>
        </w:r>
      </w:hyperlink>
      <w:r>
        <w:t xml:space="preserve">. It withholds the counterfactual, never asking whether two comparable programs differing only in maturity-at-confirmation differ in outcomes. The cost-growth and schedule-slippage literature gives the outcome variables and the most directly relevant prior finding, the readiness-to-slippage mapping, together with the auditable public record of realized growth against baseline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It withholds identification, reporting descriptive mappings and case-based ledgers rather than effects estimated against a counterfactual. The assurance and systems-engineering literature gives the principal confounder, establishing that readiness is embedded inside a wider process whose other attributes also drive outcomes and travel together with maturity</w:t>
      </w:r>
      <w:r>
        <w:t xml:space="preserve"> </w:t>
      </w:r>
      <w:hyperlink w:anchor="ref-2">
        <w:r>
          <w:rPr>
            <w:rStyle w:val="Hyperlink"/>
          </w:rPr>
          <w:t xml:space="preserve">[2]</w:t>
        </w:r>
      </w:hyperlink>
      <w:r>
        <w:t xml:space="preserve">,</w:t>
      </w:r>
      <w:r>
        <w:t xml:space="preserve"> </w:t>
      </w:r>
      <w:hyperlink w:anchor="ref-9">
        <w:r>
          <w:rPr>
            <w:rStyle w:val="Hyperlink"/>
          </w:rPr>
          <w:t xml:space="preserve">[9]</w:t>
        </w:r>
      </w:hyperlink>
      <w:r>
        <w:t xml:space="preserve">. It withholds any design that differences that process out. The program-economics and governance literature gives the mechanism and the outcome channel, tracing how immaturity at a coupled node propagates through interdependencies into schedule and budget growth at a compounding cost, and how governance has evolved in response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w:t>
      </w:r>
      <w:r>
        <w:t xml:space="preserve"> </w:t>
      </w:r>
      <w:hyperlink w:anchor="ref-26">
        <w:r>
          <w:rPr>
            <w:rStyle w:val="Hyperlink"/>
          </w:rPr>
          <w:t xml:space="preserve">[26]</w:t>
        </w:r>
      </w:hyperlink>
      <w:r>
        <w:t xml:space="preserve">. It withholds a number attached to a counterfactual. The cliometric and econometric literature gives the estimator, the parallel-trends logic, the event-study lead test, the placebo and attenuation discipline, and the clustered inference, the entire apparatus for defeating the endogeneity of the maturity choice. It withholds any application to civil-space technology readiness, because it has never been pointed at this problem.</w:t>
      </w:r>
    </w:p>
    <w:p>
      <w:pPr>
        <w:pStyle w:val="BodyText"/>
        <w:spacing w:line="480" w:lineRule="auto"/>
        <w:ind w:firstLine="720"/>
      </w:pPr>
      <w:r>
        <w:t xml:space="preserve">Laid side by side, the two literatures are complementary to the point of being designed for each other, yet they have not met. The domain literature has a manipulable treatment, measurable outcomes, a real confounder, a credible mechanism, and an auditable dataset. The methodological literature has exactly the design that turns those five ingredients into a causal estimate. The cross-sectional and within-project companion studies in this dissertation are the first two steps of the bridge: the cross-section quantifies the association, and the within-project difference removes fixed mission character. Both stop short of the selection problem because neither exploits external policy variation. The remaining step, and the one this dissertation’s central design takes, is to identify the effect off the timing of a discrete gating change, the move that the methodological literature was built to make and that the domain literature has never made.</w:t>
      </w:r>
    </w:p>
    <w:bookmarkEnd w:id="75"/>
    <w:bookmarkStart w:id="76" w:name="the-gap-and-the-contribution"/>
    <w:p>
      <w:pPr>
        <w:pStyle w:val="Heading2"/>
        <w:spacing w:line="480" w:lineRule="auto"/>
      </w:pPr>
      <w:r>
        <w:t xml:space="preserve">2.9 The Gap and the Contribution</w:t>
      </w:r>
    </w:p>
    <w:p>
      <w:pPr>
        <w:pStyle w:val="FirstParagraph"/>
        <w:spacing w:line="480" w:lineRule="auto"/>
      </w:pPr>
      <w:r>
        <w:t xml:space="preserve">The gap is therefore not a gap in evidence and not a gap in theory. It is a gap in identification. The field possesses a strong correlational intuition that maturity-at-confirmation helps, documented across the engineering, assurance, oversight, and program-economics literatures, and it possesses a credible mechanism for why it would help, supplied by the interdependency-propagation and timing-compounding logic of the program-economics and governance work</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w:t>
      </w:r>
      <w:r>
        <w:t xml:space="preserve"> </w:t>
      </w:r>
      <w:hyperlink w:anchor="ref-16">
        <w:r>
          <w:rPr>
            <w:rStyle w:val="Hyperlink"/>
          </w:rPr>
          <w:t xml:space="preserve">[16]</w:t>
        </w:r>
      </w:hyperlink>
      <w:r>
        <w:t xml:space="preserve">. What the field lacks is any design that defeats the endogeneity of the maturity choice, that separates the policy lever, the maturity an agency requires at the gate, from the mission selection that surrounds it. The readiness literature documents the input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 The assurance literature documents the confounded surrounding process</w:t>
      </w:r>
      <w:r>
        <w:t xml:space="preserve"> </w:t>
      </w:r>
      <w:hyperlink w:anchor="ref-2">
        <w:r>
          <w:rPr>
            <w:rStyle w:val="Hyperlink"/>
          </w:rPr>
          <w:t xml:space="preserve">[2]</w:t>
        </w:r>
      </w:hyperlink>
      <w:r>
        <w:t xml:space="preserve">. The program-economics literature documents the outcome channel</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oversight literature documents the realized outcomes</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But none isolates the effect of carrying higher TRL into confirmation from the selection that determines which programs do so, and the directly relevant slippage finding, valuable as it is, remains a descriptive mapping rather than a counterfactual estimate</w:t>
      </w:r>
      <w:r>
        <w:t xml:space="preserve"> </w:t>
      </w:r>
      <w:hyperlink w:anchor="ref-5">
        <w:r>
          <w:rPr>
            <w:rStyle w:val="Hyperlink"/>
          </w:rPr>
          <w:t xml:space="preserve">[5]</w:t>
        </w:r>
      </w:hyperlink>
      <w:r>
        <w:t xml:space="preserve">.</w:t>
      </w:r>
    </w:p>
    <w:p>
      <w:pPr>
        <w:pStyle w:val="BodyText"/>
        <w:spacing w:line="480" w:lineRule="auto"/>
        <w:ind w:firstLine="720"/>
      </w:pPr>
      <w:r>
        <w:t xml:space="preserve">What follows is singular and falsifiable. By exploiting a discrete change in technology-readiness gating policy as the source of variation, and by estimating the effect with a difference-in-differences specification whose parallel-trends assumption is tested directly through pre-period leads, this dissertation recovers one causal estimate of the operational payoff of maturity-at-confirmation that no prior work in either literature provides. The estimate is bounded by the gating margin and mission population observed in the data, and it is conservative under the attenuation induced by any reconstruction of confirmation-era readiness. It is falsified if the differenced post-change estimate is null or wrong-signed, in which case the claim that maturity-at-confirmation pays off is rejected at the tested margin irrespective of any cross-sectional correlation. The two companion studies establish that the association exists and survives the removal of fixed mission character; the methodological literature establishes how to remove the residual selection; and the joining of the two, which this chapter has shown the literatures have never themselves performed, is the work the remainder of this dissertation carries out. The chapters that follow specify the data provenance through the agency’s archival cost-baseline records, formalize the estimator and its identifying assumptions, and report the test of whether technology maturity, freed at last from the selection that has always shadowed it, actually pays off.</w:t>
      </w:r>
    </w:p>
    <w:bookmarkEnd w:id="76"/>
    <w:bookmarkEnd w:id="77"/>
    <w:bookmarkStart w:id="85" w:name="Xcfcc00a3ded59aed0c781c16bfc121f2a509603"/>
    <w:p>
      <w:pPr>
        <w:pStyle w:val="Heading1"/>
        <w:spacing w:line="480" w:lineRule="auto"/>
      </w:pPr>
      <w:r>
        <w:t xml:space="preserve">Chapter 3. Theoretical Framework and Hypotheses</w:t>
      </w:r>
    </w:p>
    <w:bookmarkStart w:id="78" w:name="purpose-and-scope-of-the-chapter"/>
    <w:p>
      <w:pPr>
        <w:pStyle w:val="Heading2"/>
        <w:spacing w:line="480" w:lineRule="auto"/>
      </w:pPr>
      <w:r>
        <w:t xml:space="preserve">3.1 Purpose and Scope of the Chapter</w:t>
      </w:r>
    </w:p>
    <w:p>
      <w:pPr>
        <w:pStyle w:val="FirstParagraph"/>
        <w:spacing w:line="480" w:lineRule="auto"/>
      </w:pPr>
      <w:r>
        <w:t xml:space="preserve">The preceding chapters established the empirical puzzle and the institutional setting. NASA fixes a cost and schedule baseline at Key Decision Point C, the confirmation milestone, and agency guidance directs every critical technology to reach Technology Readiness Level 6, a representative prototype demonstrated in a relevant environment, before that commitment is made</w:t>
      </w:r>
      <w:r>
        <w:t xml:space="preserve"> </w:t>
      </w:r>
      <w:hyperlink w:anchor="ref-6">
        <w:r>
          <w:rPr>
            <w:rStyle w:val="Hyperlink"/>
          </w:rPr>
          <w:t xml:space="preserve">[6]</w:t>
        </w:r>
      </w:hyperlink>
      <w:r>
        <w:t xml:space="preserve">. The puzzle is that the operational payoff of honoring this gate, although asserted across the program-management literature and embedded in policy, has not been recovered as a causal quantity. This chapter supplies the theoretical apparatus that converts the puzzle into a falsifiable test. It states the construct, the causal mechanism through which maturity-at-confirmation is theorized to act, the boundary conditions that bound the claim, and the formal null and alternative hypotheses, H0 and H1, that the difference-in-differences design will adjudicate.</w:t>
      </w:r>
    </w:p>
    <w:p>
      <w:pPr>
        <w:pStyle w:val="BodyText"/>
        <w:spacing w:line="480" w:lineRule="auto"/>
        <w:ind w:firstLine="720"/>
      </w:pPr>
      <w:r>
        <w:t xml:space="preserve">From mechanism to hypothesis, the chapter proceeds in a deliberate order. Section 3.2 fixes the central construct, maturity-at-confirmation, and distinguishes it from the broader notion of program maturity in which it is embedded. Section 3.3 develops the option-pricing logic of pre-confirmation maturation, the theoretical heart of the dissertation. Section 3.4 traces the four channels through which deferred maturation is theorized to convert into realized cost and schedule growth. Section 3.5 confronts the central identification problem, the endogeneity of the maturity decision, and explains why a difference-in-differences design over a gating change is the theoretically appropriate response. Section 3.6 states the boundary conditions. Section 3.7 presents H0 and H1 formally and specifies the conditions under which each is sustained or rejected.</w:t>
      </w:r>
    </w:p>
    <w:bookmarkEnd w:id="78"/>
    <w:bookmarkStart w:id="79" w:name="Xf02ac779ca30e7132455d1315e688c589b027bd"/>
    <w:p>
      <w:pPr>
        <w:pStyle w:val="Heading2"/>
        <w:spacing w:line="480" w:lineRule="auto"/>
      </w:pPr>
      <w:r>
        <w:t xml:space="preserve">3.2 The Central Construct: Maturity-at-Confirmation</w:t>
      </w:r>
    </w:p>
    <w:p>
      <w:pPr>
        <w:pStyle w:val="FirstParagraph"/>
        <w:spacing w:line="480" w:lineRule="auto"/>
      </w:pPr>
      <w:r>
        <w:t xml:space="preserve">Maturity-at-confirmation is defined as the demonstrated readiness of a project’s critical technologies, measured on the Technology Readiness Level scale, at the moment the agency baselines cost and schedule. The construct is deliberately narrow. It is not the average readiness of the project, nor the readiness of its most mature subsystem, but the readiness state that the confirmation gate either requires or tolerates. Two refinements sharpen it. First, the binding quantity is the maturity of the least mature critical technology, because the weakest technology sets the integration bottleneck and governs the project’s exposure to invention risk. Second, maturity-at-confirmation is a policy-conditioned quantity: what a project carries into confirmation is jointly determined by what the mission needs and by what the gating regime will permit, and it is the second of these, the policy lever, that this dissertation seeks to isolate.</w:t>
      </w:r>
    </w:p>
    <w:p>
      <w:pPr>
        <w:pStyle w:val="BodyText"/>
        <w:spacing w:line="480" w:lineRule="auto"/>
        <w:ind w:firstLine="720"/>
      </w:pPr>
      <w:r>
        <w:t xml:space="preserve">It is essential to separate this narrow construct from the wider process in which it sits. Technology readiness is one attribute inside a broader product-assurance and systems-engineering apparatus that also governs workforce, productivity, and process management</w:t>
      </w:r>
      <w:r>
        <w:t xml:space="preserve"> </w:t>
      </w:r>
      <w:hyperlink w:anchor="ref-2">
        <w:r>
          <w:rPr>
            <w:rStyle w:val="Hyperlink"/>
          </w:rPr>
          <w:t xml:space="preserve">[2]</w:t>
        </w:r>
      </w:hyperlink>
      <w:r>
        <w:t xml:space="preserve">. A project may carry a high TRL on every critical technology yet still falter because of weak configuration control or an immature integration plan, and conversely a disciplined assurance process can partially compensate for a readiness shortfall. The theoretical claim of this dissertation is not that TRL-at-confirmation is the sole determinant of operational outcomes. It is the more modest and more testable claim that, holding the surrounding assurance process and mission class fixed, the maturity state required at the gate exerts an independent and recoverable effect on realized cost and schedule growth. Treating readiness as embedded rather than isolated is what motivates the control structure and the placebo logic developed later in the design; the embedding is a confound to be differenced out, not a rival hypothesis to be entertained.</w:t>
      </w:r>
    </w:p>
    <w:p>
      <w:pPr>
        <w:pStyle w:val="BodyText"/>
        <w:spacing w:line="480" w:lineRule="auto"/>
        <w:ind w:firstLine="720"/>
      </w:pPr>
      <w:r>
        <w:t xml:space="preserve">The TRL scale itself is the instrument that makes the construct legible. A critical technology below TRL 6 at the Preliminary Design Review has not demonstrated that a prototype can perform in a relevant environment</w:t>
      </w:r>
      <w:r>
        <w:t xml:space="preserve"> </w:t>
      </w:r>
      <w:hyperlink w:anchor="ref-6">
        <w:r>
          <w:rPr>
            <w:rStyle w:val="Hyperlink"/>
          </w:rPr>
          <w:t xml:space="preserve">[6]</w:t>
        </w:r>
      </w:hyperlink>
      <w:r>
        <w:t xml:space="preserve">. The readiness literature treats TRL not as passive bookkeeping but as a quantity to be actively raised through deliberate demonstration. In-space developmental tests are designed specifically to accelerate the Technology Readiness Level of a sensor before it is fielded operationally</w:t>
      </w:r>
      <w:r>
        <w:t xml:space="preserve"> </w:t>
      </w:r>
      <w:hyperlink w:anchor="ref-1">
        <w:r>
          <w:rPr>
            <w:rStyle w:val="Hyperlink"/>
          </w:rPr>
          <w:t xml:space="preserve">[1]</w:t>
        </w:r>
      </w:hyperlink>
      <w:r>
        <w:t xml:space="preserve">,</w:t>
      </w:r>
      <w:r>
        <w:t xml:space="preserve"> </w:t>
      </w:r>
      <w:hyperlink w:anchor="ref-22">
        <w:r>
          <w:rPr>
            <w:rStyle w:val="Hyperlink"/>
          </w:rPr>
          <w:t xml:space="preserve">[22]</w:t>
        </w:r>
      </w:hyperlink>
      <w:r>
        <w:t xml:space="preserve">, and analogous maturation campaigns advance next-generation detectors in operationally representative orbits expressly to retire readiness risk before commitment</w:t>
      </w:r>
      <w:r>
        <w:t xml:space="preserve"> </w:t>
      </w:r>
      <w:hyperlink w:anchor="ref-21">
        <w:r>
          <w:rPr>
            <w:rStyle w:val="Hyperlink"/>
          </w:rPr>
          <w:t xml:space="preserve">[21]</w:t>
        </w:r>
      </w:hyperlink>
      <w:r>
        <w:t xml:space="preserve">. This is decisive for the framework: maturity-at-confirmation is a manipulable decision variable, not a fixed property of a mission, and a manipulable variable is precisely the kind of object whose causal return can be estimated if the manipulation can be cleanly identified.</w:t>
      </w:r>
    </w:p>
    <w:bookmarkEnd w:id="79"/>
    <w:bookmarkStart w:id="80" w:name="Xf7895b073c302598c62243d2c89d6e8e7dc5094"/>
    <w:p>
      <w:pPr>
        <w:pStyle w:val="Heading2"/>
        <w:spacing w:line="480" w:lineRule="auto"/>
      </w:pPr>
      <w:r>
        <w:t xml:space="preserve">3.3 The Core Mechanism: Maturation as a Priced Real Option</w:t>
      </w:r>
    </w:p>
    <w:p>
      <w:pPr>
        <w:pStyle w:val="FirstParagraph"/>
        <w:spacing w:line="480" w:lineRule="auto"/>
      </w:pPr>
      <w:r>
        <w:t xml:space="preserve">At the theoretical center of the dissertation sits an option-pricing account of pre-confirmation maturation. The account holds that the decision to mature a critical technology before confirmation is economically a decision about when to resolve uncertainty and at what price, and that the timing of resolution, not merely its eventual occurrence, governs the cost the project bears.</w:t>
      </w:r>
    </w:p>
    <w:p>
      <w:pPr>
        <w:pStyle w:val="BodyText"/>
        <w:spacing w:line="480" w:lineRule="auto"/>
        <w:ind w:firstLine="720"/>
      </w:pPr>
      <w:r>
        <w:t xml:space="preserve">Consider the state of a critical technology below TRL 6 at the Preliminary Design Review. The technology carries unretired invention risk. The work required to retire that risk has not disappeared at confirmation; it has only been scheduled, explicitly or by default, into one of two regimes. In the pre-confirmation regime, maturation is funded out of formulation, proceeds against a flexible schedule, and collides with neither an integrated master schedule nor a committed contractor workforce nor a public cost cap. In the post-confirmation regime, the same maturation work proceeds inside the priced phase of the project, where every week of slip is multiplied by a standing army of labor and where any shortfall above defined thresholds forces a replan or rebaseline that makes the cost visible and irreversible. The marginal price of identical technical work is therefore far higher after the baseline is set than before it. Pre-confirmation maturation is, in this framing, the purchase of a real option: a marginal year of formulation funding buys the right to resolve invention uncertainty in the cheap regime rather than the expensive one.</w:t>
      </w:r>
    </w:p>
    <w:p>
      <w:pPr>
        <w:pStyle w:val="BodyText"/>
        <w:spacing w:line="480" w:lineRule="auto"/>
        <w:ind w:firstLine="720"/>
      </w:pPr>
      <w:r>
        <w:t xml:space="preserve">This is the constructive reading of an argument the program literature has long expressed in starker terms. The active-debris-removal advocacy community captured the same intertemporal logic as pay me now or pay me more later, the proposition that deferred technical work does not stay constant but compounds</w:t>
      </w:r>
      <w:r>
        <w:t xml:space="preserve"> </w:t>
      </w:r>
      <w:hyperlink w:anchor="ref-16">
        <w:r>
          <w:rPr>
            <w:rStyle w:val="Hyperlink"/>
          </w:rPr>
          <w:t xml:space="preserve">[16]</w:t>
        </w:r>
      </w:hyperlink>
      <w:r>
        <w:t xml:space="preserve">,</w:t>
      </w:r>
      <w:r>
        <w:t xml:space="preserve"> </w:t>
      </w:r>
      <w:hyperlink w:anchor="ref-26">
        <w:r>
          <w:rPr>
            <w:rStyle w:val="Hyperlink"/>
          </w:rPr>
          <w:t xml:space="preserve">[26]</w:t>
        </w:r>
      </w:hyperlink>
      <w:r>
        <w:t xml:space="preserve">. The roadmapping and decadal tradition states the constructive version: technology maturation is properly treated as a scheduled investment to be completed before commitment rather than a surprise to be discovered after it</w:t>
      </w:r>
      <w:r>
        <w:t xml:space="preserve"> </w:t>
      </w:r>
      <w:hyperlink w:anchor="ref-17">
        <w:r>
          <w:rPr>
            <w:rStyle w:val="Hyperlink"/>
          </w:rPr>
          <w:t xml:space="preserve">[17]</w:t>
        </w:r>
      </w:hyperlink>
      <w:r>
        <w:t xml:space="preserve">,</w:t>
      </w:r>
      <w:r>
        <w:t xml:space="preserve"> </w:t>
      </w:r>
      <w:hyperlink w:anchor="ref-31">
        <w:r>
          <w:rPr>
            <w:rStyle w:val="Hyperlink"/>
          </w:rPr>
          <w:t xml:space="preserve">[31]</w:t>
        </w:r>
      </w:hyperlink>
      <w:r>
        <w:t xml:space="preserve">. The empirical anchor for the pricing claim is the readiness-to-slippage relationship, in which lower instrument TRL at design maps to larger schedule slippage as a fraction of total development time, with the recommendation that programs carry schedule margin equal to the mean slippage associated with their lowest TRL</w:t>
      </w:r>
      <w:r>
        <w:t xml:space="preserve"> </w:t>
      </w:r>
      <w:hyperlink w:anchor="ref-5">
        <w:r>
          <w:rPr>
            <w:rStyle w:val="Hyperlink"/>
          </w:rPr>
          <w:t xml:space="preserve">[5]</w:t>
        </w:r>
      </w:hyperlink>
      <w:r>
        <w:t xml:space="preserve">. That relationship is exactly what the real-option account predicts: the lower the maturity carried into commitment, the larger the deferred work that must be priced in the expensive regime, and the larger the slippage the project should reserve against.</w:t>
      </w:r>
    </w:p>
    <w:p>
      <w:pPr>
        <w:pStyle w:val="BodyText"/>
        <w:spacing w:line="480" w:lineRule="auto"/>
        <w:ind w:firstLine="720"/>
      </w:pPr>
      <w:r>
        <w:t xml:space="preserve">The option framing also explains why the maturity decision is so consequential at confirmation specifically. The confirmation gate is the last cheap moment to delay. A technology held back for one more maturation cycle before baselining costs a marginal increment of formulation funding; the same technology carried into implementation immature can trigger a rebaseline measured in hundreds of millions of dollars. The gate is therefore not a bureaucratic checkpoint but the strike point of the option, the instant at which the choice between cheap and expensive resolution is irrevocably made. The dissertation’s theoretical contribution is to treat that strike point as a policy lever and to ask whether moving it, by raising the maturity an agency requires at the gate, yields the operational payoff the option logic predicts.</w:t>
      </w:r>
    </w:p>
    <w:bookmarkEnd w:id="80"/>
    <w:bookmarkStart w:id="81" w:name="X3801252bd03b46d63c66fb3609c0a694be73bbe"/>
    <w:p>
      <w:pPr>
        <w:pStyle w:val="Heading2"/>
        <w:spacing w:line="480" w:lineRule="auto"/>
      </w:pPr>
      <w:r>
        <w:t xml:space="preserve">3.4 The Causal Pathway: From Deferred Maturation to Realized Growth</w:t>
      </w:r>
    </w:p>
    <w:p>
      <w:pPr>
        <w:pStyle w:val="FirstParagraph"/>
        <w:spacing w:line="480" w:lineRule="auto"/>
      </w:pPr>
      <w:r>
        <w:t xml:space="preserve">If the real-option account is correct, deferred maturation should translate into realized cost and schedule growth through identifiable channels. The framework specifies four, each grounded in retrieved evidence, so that the mechanism is not a black box but a traceable pathway.</w:t>
      </w:r>
    </w:p>
    <w:p>
      <w:pPr>
        <w:pStyle w:val="BodyText"/>
        <w:spacing w:line="480" w:lineRule="auto"/>
        <w:ind w:firstLine="720"/>
      </w:pPr>
      <w:r>
        <w:t xml:space="preserve">First comes optimistic inheritance. Projects that assume heritage or near-heritage performance for technology that is not in fact flight-proven encode an assumption rather than an observation into the baselined design, and they discover the gap only during integration, when correction is most expensive. A NASA lessons-learned review of deep-space missions found that optimistic hardware and technology-readiness assumptions drove cost and schedule growth in the majority of the missions examined</w:t>
      </w:r>
      <w:r>
        <w:t xml:space="preserve"> </w:t>
      </w:r>
      <w:hyperlink w:anchor="ref-9">
        <w:r>
          <w:rPr>
            <w:rStyle w:val="Hyperlink"/>
          </w:rPr>
          <w:t xml:space="preserve">[9]</w:t>
        </w:r>
      </w:hyperlink>
      <w:r>
        <w:t xml:space="preserve">. The channel operates because the baseline silently treats an unretired risk as retired, deferring the moment of discovery to the phase in which discovery is dearest.</w:t>
      </w:r>
    </w:p>
    <w:p>
      <w:pPr>
        <w:pStyle w:val="BodyText"/>
        <w:spacing w:line="480" w:lineRule="auto"/>
        <w:ind w:firstLine="720"/>
      </w:pPr>
      <w:r>
        <w:t xml:space="preserve">Second comes biased baseline estimation. Parametric cost models trained predominantly on mature builds systematically underprice immature ones, so the baseline set at confirmation is itself biased low precisely for the projects carrying the most invention risk</w:t>
      </w:r>
      <w:r>
        <w:t xml:space="preserve"> </w:t>
      </w:r>
      <w:hyperlink w:anchor="ref-7">
        <w:r>
          <w:rPr>
            <w:rStyle w:val="Hyperlink"/>
          </w:rPr>
          <w:t xml:space="preserve">[7]</w:t>
        </w:r>
      </w:hyperlink>
      <w:r>
        <w:t xml:space="preserve">,</w:t>
      </w:r>
      <w:r>
        <w:t xml:space="preserve"> </w:t>
      </w:r>
      <w:hyperlink w:anchor="ref-15">
        <w:r>
          <w:rPr>
            <w:rStyle w:val="Hyperlink"/>
          </w:rPr>
          <w:t xml:space="preserve">[15]</w:t>
        </w:r>
      </w:hyperlink>
      <w:r>
        <w:t xml:space="preserve">. The technical content of a project drives nonlinear cost growth, which is why the maturity state at the estimating point conditions the credibility of any baseline figure</w:t>
      </w:r>
      <w:r>
        <w:t xml:space="preserve"> </w:t>
      </w:r>
      <w:hyperlink w:anchor="ref-7">
        <w:r>
          <w:rPr>
            <w:rStyle w:val="Hyperlink"/>
          </w:rPr>
          <w:t xml:space="preserve">[7]</w:t>
        </w:r>
      </w:hyperlink>
      <w:r>
        <w:t xml:space="preserve">. This channel is insidious because it operates before any technical failure occurs: the project does not merely grow against its baseline; its baseline was set too low to begin with, so the measured growth understates the true maturation gap.</w:t>
      </w:r>
    </w:p>
    <w:p>
      <w:pPr>
        <w:pStyle w:val="BodyText"/>
        <w:spacing w:line="480" w:lineRule="auto"/>
        <w:ind w:firstLine="720"/>
      </w:pPr>
      <w:r>
        <w:t xml:space="preserve">Third comes the irreversibility imposed by the firm baseline. The agency commitment removes the option to absorb shortfall silently. Growth above defined thresholds forces a replan or rebaseline that converts a private technical difficulty into a public, reportable cost event. The governance literature documents that legacy cost-plus arrangements were structured in part to absorb exactly these overruns, and that the sector’s evolving contractual models push maturation risk earlier or outward precisely because the post-commitment regime prices it so heavily</w:t>
      </w:r>
      <w:r>
        <w:t xml:space="preserve"> </w:t>
      </w:r>
      <w:hyperlink w:anchor="ref-13">
        <w:r>
          <w:rPr>
            <w:rStyle w:val="Hyperlink"/>
          </w:rPr>
          <w:t xml:space="preserve">[13]</w:t>
        </w:r>
      </w:hyperlink>
      <w:r>
        <w:t xml:space="preserve">. The channel transforms deferred maturation from an internal engineering matter into a baseline-breaking event with institutional consequences.</w:t>
      </w:r>
    </w:p>
    <w:p>
      <w:pPr>
        <w:pStyle w:val="BodyText"/>
        <w:spacing w:line="480" w:lineRule="auto"/>
        <w:ind w:firstLine="720"/>
      </w:pPr>
      <w:r>
        <w:t xml:space="preserve">Fourth comes architectural interdependency. Cost and schedule growth propagate not only through the immature technology itself but through its couplings to the rest of the system. Previously unforeseen program interdependencies cause schedule changes and subsequent hikes in cost and budget</w:t>
      </w:r>
      <w:r>
        <w:t xml:space="preserve"> </w:t>
      </w:r>
      <w:hyperlink w:anchor="ref-3">
        <w:r>
          <w:rPr>
            <w:rStyle w:val="Hyperlink"/>
          </w:rPr>
          <w:t xml:space="preserve">[3]</w:t>
        </w:r>
      </w:hyperlink>
      <w:r>
        <w:t xml:space="preserve">, and the decades-long arc of technology development figures directly in the cost structure of space goods</w:t>
      </w:r>
      <w:r>
        <w:t xml:space="preserve"> </w:t>
      </w:r>
      <w:hyperlink w:anchor="ref-4">
        <w:r>
          <w:rPr>
            <w:rStyle w:val="Hyperlink"/>
          </w:rPr>
          <w:t xml:space="preserve">[4]</w:t>
        </w:r>
      </w:hyperlink>
      <w:r>
        <w:t xml:space="preserve">. This channel predicts that the maturity penalty is not uniform: it should concentrate in highly coupled architectures, where an immature node disturbs many neighbors, and it should be muted where the immature technology is well isolated. The framework therefore treats interdependency as a source of heterogeneity in the maturity effect rather than a uniform multiplier, a prediction that the empirical design accommodates by reporting interaction estimates rather than a single pooled coefficient.</w:t>
      </w:r>
    </w:p>
    <w:p>
      <w:pPr>
        <w:pStyle w:val="BodyText"/>
        <w:spacing w:line="480" w:lineRule="auto"/>
        <w:ind w:firstLine="720"/>
      </w:pPr>
      <w:r>
        <w:t xml:space="preserve">Taken together, the four channels constitute the causal pathway: deferred maturation enters through optimistic inheritance and biased estimation, is locked in by baseline irreversibility, and is amplified by architectural coupling, emerging as realized growth in the priced phase of the life cycle. The mechanism is what gives the hypotheses their content. H1 is not merely the assertion that a coefficient will be signed in a particular direction; it is the prediction that this specific pathway transmits a maturity decision into an operational outcome.</w:t>
      </w:r>
    </w:p>
    <w:bookmarkEnd w:id="81"/>
    <w:bookmarkStart w:id="82" w:name="Xf3703e0a41959e0b569f26fad36f902521eda26"/>
    <w:p>
      <w:pPr>
        <w:pStyle w:val="Heading2"/>
        <w:spacing w:line="480" w:lineRule="auto"/>
      </w:pPr>
      <w:r>
        <w:t xml:space="preserve">3.5 The Identification Problem and Its Theoretical Resolution</w:t>
      </w:r>
    </w:p>
    <w:p>
      <w:pPr>
        <w:pStyle w:val="FirstParagraph"/>
        <w:spacing w:line="480" w:lineRule="auto"/>
      </w:pPr>
      <w:r>
        <w:t xml:space="preserve">A mechanism, however well traced, does not by itself license a causal claim, because the maturity decision is endogenous to the mission. This is the theoretical crux that distinguishes the dissertation’s confirmatory chapter from its correlational companions and that the difference-in-differences design exists to resolve.</w:t>
      </w:r>
    </w:p>
    <w:p>
      <w:pPr>
        <w:pStyle w:val="BodyText"/>
        <w:spacing w:line="480" w:lineRule="auto"/>
        <w:ind w:firstLine="720"/>
      </w:pPr>
      <w:r>
        <w:t xml:space="preserve">This endogeneity is structural. A flagship science mission carrying a novel instrument may rationally confirm at lower TRL because the science return justifies the invention risk, while a routine operational mission confirms high because it can. If higher-TRL projects simply finish closer to baseline, an analyst cannot distinguish whether maturity caused the better outcome or whether easier missions both confirmed high and finished on time. The companion cross-sectional and two-period analyses in this dissertation surface this problem honestly: they find a large and precisely estimated association between maturity and outcomes, yet they concede that projects confirmed with immature technology may also be the technically ambitious ones, so part of the estimated coefficient may reflect ambition rather than maturity per se. Selection on ambition is the most likely confound, and no within-portfolio comparison of levels can defeat it, because the level of maturity is chosen jointly with the kind of mission that chooses it.</w:t>
      </w:r>
    </w:p>
    <w:p>
      <w:pPr>
        <w:pStyle w:val="BodyText"/>
        <w:spacing w:line="480" w:lineRule="auto"/>
        <w:ind w:firstLine="720"/>
      </w:pPr>
      <w:r>
        <w:t xml:space="preserve">The theoretical resolution is to stop comparing levels and start comparing changes induced by a policy. A difference-in-differences design exploits a discrete change in technology-readiness gating that raised the required TRL-at-confirmation for one set of programs while leaving a comparable set unaffected. The estimand is the differenced effect of the gating change, recovered from the interaction of an exposure indicator with a post-change indicator, after differencing out each cohort’s pre-existing trend. The design is identified off the timing of the gating change, not off any single mission, which is what severs the estimate from the mission-selection that contaminates a cross-section. The same management discipline that matures technology early may also manage cost well for unrelated reasons, but that discipline is a fixed characteristic of a project and a near-fixed characteristic of a cohort, and differencing removes it.</w:t>
      </w:r>
    </w:p>
    <w:p>
      <w:pPr>
        <w:pStyle w:val="BodyText"/>
        <w:spacing w:line="480" w:lineRule="auto"/>
        <w:ind w:firstLine="720"/>
      </w:pPr>
      <w:r>
        <w:t xml:space="preserve">Identification rests on a parallel-trends assumption that is itself testable rather than merely asserted. If the exposed and comparison cohorts were trending toward different outcomes before the gating change, the differenced estimate would be biased, and an event-study specification that estimates pre-period leads will reveal it: a flat lead profile supports the identifying assumption, while a sloped one falsifies the design. This is a deliberate and important property of the framework. The design does not merely claim identification; it stakes identification on a check that can fail, and a failed parallel-trends test falsifies the design rather than being explained away. The comparison cohort, drawn from the same agency and era, additionally differences out any agency-wide improvement in the surrounding assurance process</w:t>
      </w:r>
      <w:r>
        <w:t xml:space="preserve"> </w:t>
      </w:r>
      <w:hyperlink w:anchor="ref-2">
        <w:r>
          <w:rPr>
            <w:rStyle w:val="Hyperlink"/>
          </w:rPr>
          <w:t xml:space="preserve">[2]</w:t>
        </w:r>
      </w:hyperlink>
      <w:r>
        <w:t xml:space="preserve">, so that a contemporaneous process upgrade cannot masquerade as a TRL effect.</w:t>
      </w:r>
    </w:p>
    <w:bookmarkEnd w:id="82"/>
    <w:bookmarkStart w:id="83" w:name="boundary-conditions"/>
    <w:p>
      <w:pPr>
        <w:pStyle w:val="Heading2"/>
        <w:spacing w:line="480" w:lineRule="auto"/>
      </w:pPr>
      <w:r>
        <w:t xml:space="preserve">3.6 Boundary Conditions</w:t>
      </w:r>
    </w:p>
    <w:p>
      <w:pPr>
        <w:pStyle w:val="FirstParagraph"/>
        <w:spacing w:line="480" w:lineRule="auto"/>
      </w:pPr>
      <w:r>
        <w:t xml:space="preserve">The framework is bounded in four respects, and stating the boundaries precisely is what keeps the hypotheses falsifiable rather than unfalsifiable by retreat.</w:t>
      </w:r>
    </w:p>
    <w:p>
      <w:pPr>
        <w:pStyle w:val="BodyText"/>
        <w:spacing w:line="480" w:lineRule="auto"/>
        <w:ind w:firstLine="720"/>
      </w:pPr>
      <w:r>
        <w:t xml:space="preserve">First, the claim is bounded to the gating margin actually tested. The estimand is the effect of the specific change in required TRL-at-confirmation that the policy shift induced, not a universal dose-response of maturity on outcomes across all conceivable thresholds. A payoff at the tested margin neither guarantees nor denies a payoff at some other margin.</w:t>
      </w:r>
    </w:p>
    <w:p>
      <w:pPr>
        <w:pStyle w:val="BodyText"/>
        <w:spacing w:line="480" w:lineRule="auto"/>
        <w:ind w:firstLine="720"/>
      </w:pPr>
      <w:r>
        <w:t xml:space="preserve">Second, the claim is bounded to the mission population observed in the data. The dissertation draws its programs from the authoritative archival record of NASA cost and schedule performance against baseline. External validity beyond that population, to commercial or international programs governed by different contractual and assurance regimes</w:t>
      </w:r>
      <w:r>
        <w:t xml:space="preserve"> </w:t>
      </w:r>
      <w:hyperlink w:anchor="ref-13">
        <w:r>
          <w:rPr>
            <w:rStyle w:val="Hyperlink"/>
          </w:rPr>
          <w:t xml:space="preserve">[13]</w:t>
        </w:r>
      </w:hyperlink>
      <w:r>
        <w:t xml:space="preserve">, is not asserted.</w:t>
      </w:r>
    </w:p>
    <w:p>
      <w:pPr>
        <w:pStyle w:val="BodyText"/>
        <w:spacing w:line="480" w:lineRule="auto"/>
        <w:ind w:firstLine="720"/>
      </w:pPr>
      <w:r>
        <w:t xml:space="preserve">Third, the construct is bounded to critical-technology maturity as captured by TRL at confirmation. Maturation shortfalls vary in number and severity, and a binary or coarse measure of immaturity is a simplification of a richer underlying state. The framework treats the count of critical technologies below TRL 6 and the lowest TRL as finer expressions of the same construct, but it does not claim that TRL exhausts the dimensions of technical readiness relevant to outcomes.</w:t>
      </w:r>
    </w:p>
    <w:p>
      <w:pPr>
        <w:pStyle w:val="BodyText"/>
        <w:spacing w:line="480" w:lineRule="auto"/>
        <w:ind w:firstLine="720"/>
      </w:pPr>
      <w:r>
        <w:t xml:space="preserve">Fourth, the mechanism is bounded by its own heterogeneity prediction. Because architectural interdependency amplifies the maturity penalty unevenly</w:t>
      </w:r>
      <w:r>
        <w:t xml:space="preserve"> </w:t>
      </w:r>
      <w:hyperlink w:anchor="ref-3">
        <w:r>
          <w:rPr>
            <w:rStyle w:val="Hyperlink"/>
          </w:rPr>
          <w:t xml:space="preserve">[3]</w:t>
        </w:r>
      </w:hyperlink>
      <w:r>
        <w:t xml:space="preserve">, the framework anticipates that the effect concentrates in highly coupled architectures and does not predict a uniform effect across all mission classes. A maturity effect confined to one architecture class is consistent with the theory and must not be generalized beyond it.</w:t>
      </w:r>
    </w:p>
    <w:bookmarkEnd w:id="83"/>
    <w:bookmarkStart w:id="84" w:name="formal-hypotheses"/>
    <w:p>
      <w:pPr>
        <w:pStyle w:val="Heading2"/>
        <w:spacing w:line="480" w:lineRule="auto"/>
      </w:pPr>
      <w:r>
        <w:t xml:space="preserve">3.7 Formal Hypotheses</w:t>
      </w:r>
    </w:p>
    <w:p>
      <w:pPr>
        <w:pStyle w:val="FirstParagraph"/>
        <w:spacing w:line="480" w:lineRule="auto"/>
      </w:pPr>
      <w:r>
        <w:t xml:space="preserve">The framework yields a single falsifiable contribution: one causal estimate, recovered by difference-in-differences, of the effect of crossing a defined TRL-at-confirmation threshold on realized development cost growth and schedule growth. The contribution is expressed as a null and an alternative, stated over the differenced quantity so that the test adjudicates causation rather than correlation.</w:t>
      </w:r>
    </w:p>
    <w:p>
      <w:pPr>
        <w:pStyle w:val="BodyText"/>
        <w:spacing w:line="480" w:lineRule="auto"/>
        <w:ind w:firstLine="720"/>
      </w:pPr>
      <w:r>
        <w:t xml:space="preserve">Let the estimand be the difference-in-differences coefficient, the interaction of the exposure indicator with the post-change indicator, estimated after differencing out each cohort’s pre-existing trend and conditioning on observable controls for mission class, prime size, and architectural interdependency.</w:t>
      </w:r>
    </w:p>
    <w:p>
      <w:pPr>
        <w:pStyle w:val="BodyText"/>
        <w:spacing w:line="480" w:lineRule="auto"/>
        <w:ind w:firstLine="720"/>
      </w:pPr>
      <w:r>
        <w:rPr>
          <w:b/>
          <w:bCs/>
        </w:rPr>
        <w:t xml:space="preserve">H0 (null).</w:t>
      </w:r>
      <w:r>
        <w:t xml:space="preserve"> </w:t>
      </w:r>
      <w:r>
        <w:t xml:space="preserve">A program-confirmation cohort exposed to a gating change that raised required TRL-at-confirmation exhibits no statistically significant change in realized development cost growth or schedule growth, relative to a comparison cohort whose gating did not change, after differencing out pre-existing cohort trends. Formally, the difference-in-differences interaction coefficient is statistically indistinguishable from zero.</w:t>
      </w:r>
    </w:p>
    <w:p>
      <w:pPr>
        <w:pStyle w:val="BodyText"/>
        <w:spacing w:line="480" w:lineRule="auto"/>
        <w:ind w:firstLine="720"/>
      </w:pPr>
      <w:r>
        <w:rPr>
          <w:b/>
          <w:bCs/>
        </w:rPr>
        <w:t xml:space="preserve">H1 (alternative).</w:t>
      </w:r>
      <w:r>
        <w:t xml:space="preserve"> </w:t>
      </w:r>
      <w:r>
        <w:t xml:space="preserve">The exposed cohort exhibits a statistically significant reduction in realized development cost growth and schedule growth relative to the comparison cohort, after differencing, consistent with maturity-at-confirmation paying off operationally. Formally, the difference-in-differences interaction coefficient is negative and statistically significant, indicating that raising the maturity required at the gate narrows the realized growth that the priced phase of the life cycle absorbs.</w:t>
      </w:r>
    </w:p>
    <w:p>
      <w:pPr>
        <w:pStyle w:val="BodyText"/>
        <w:spacing w:line="480" w:lineRule="auto"/>
        <w:ind w:firstLine="720"/>
      </w:pPr>
      <w:r>
        <w:t xml:space="preserve">The two hypotheses are constructed to be cleanly separable by the data. H1 is the empirical expression of the real-option mechanism: if pre-confirmation maturation purchases the right to resolve invention uncertainty in the cheap regime, then forcing a cohort to carry more maturity into the gate should reduce the growth that the four channels of Section 3.4 transmit into the expensive regime. The companion analyses in this dissertation provide the direction and approximate magnitude that the mechanism predicts, with immature-entry projects growing markedly more against their own baselines than mature-entry projects, but those analyses cannot rule out selection on ambition, and so they cannot by themselves sustain H1 against H0. Only the differenced estimate can.</w:t>
      </w:r>
    </w:p>
    <w:p>
      <w:pPr>
        <w:pStyle w:val="BodyText"/>
        <w:spacing w:line="480" w:lineRule="auto"/>
        <w:ind w:firstLine="720"/>
      </w:pPr>
      <w:r>
        <w:t xml:space="preserve">The contribution is falsifiable, and the conditions of falsification are stated in advance. If the differenced post-change estimate is null, the claim that maturity-at-confirmation pays off is rejected at the gating margin tested, irrespective of any cross-sectional correlation between TRL and outcomes. If the estimate is wrong-signed, indicating that the exposed cohort grew more, the mechanism is contradicted at that margin. And if the event-study lead profile is sloped, the design is falsified at the identification stage and no claim about H1 or H0 is licensed at all. Classical measurement error in the partly reconstructed confirmation-era TRL attenuates the interaction coefficient toward zero, which renders a significant H1 conservative but leaves a null result ambiguous between a true absence of effect and attenuation; the framework therefore treats a significant reduction as strong evidence for H1 and a null as evidence that must be qualified by the measurement-error bound rather than read as a clean acceptance of H0.</w:t>
      </w:r>
    </w:p>
    <w:p>
      <w:pPr>
        <w:pStyle w:val="BodyText"/>
        <w:spacing w:line="480" w:lineRule="auto"/>
        <w:ind w:firstLine="720"/>
      </w:pPr>
      <w:r>
        <w:t xml:space="preserve">In sum, the theoretical framework converts a widely held but untested program-management belief into a structured causal claim. The belief is that carrying technical maturity into the confirmation gate pays off operationally. The mechanism is the real-option logic by which deferred maturation is priced more heavily after the baseline than before it, transmitted through optimistic inheritance, biased baseline estimation, baseline irreversibility, and architectural interdependency. The identification strategy is a difference-in-differences design over a gating change that severs the maturity decision from the mission selection that surrounds it. And the test is the contest between H0 and H1 over the differenced interaction coefficient, falsifiable by a null estimate, a wrong-signed estimate, or a failed parallel-trends check. The chapters that follow operationalize this framework, specify the estimator and its diagnostics in full, and confront the threats to validity that the boundary conditions anticipate.</w:t>
      </w:r>
    </w:p>
    <w:bookmarkEnd w:id="84"/>
    <w:bookmarkEnd w:id="85"/>
    <w:bookmarkStart w:id="94" w:name="chapter-4.-data-and-measurement"/>
    <w:p>
      <w:pPr>
        <w:pStyle w:val="Heading1"/>
        <w:spacing w:line="480" w:lineRule="auto"/>
      </w:pPr>
      <w:r>
        <w:t xml:space="preserve">Chapter 4. Data and Measurement</w:t>
      </w:r>
    </w:p>
    <w:bookmarkStart w:id="86" w:name="purpose-and-scope-of-the-chapter-1"/>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dissertation rests. The two studies that form the analytic core of the work, a cross-sectional ordinary least squares estimate and a difference-in-differences estimate, both ask whether technology maturity carried into project confirmation pays off in lower development cost growth. Neither estimate is interpretable without a precise account of where the numbers come from, what a single observation represents, and how each variable is constructed from primary records. That account is the business of this chapter. The standard I hold throughout is that every analyzed figure must trace to a dated, public, authoritative document, so that any reader can reproduce the dataset from the same sources and audit the maturity-to-outcome linkage one project at a time.</w:t>
      </w:r>
    </w:p>
    <w:p>
      <w:pPr>
        <w:pStyle w:val="BodyText"/>
        <w:spacing w:line="480" w:lineRule="auto"/>
        <w:ind w:firstLine="720"/>
      </w:pPr>
      <w:r>
        <w:t xml:space="preserve">Five movements organize the chapter. First, it identifies the authoritative data sources and explains why they, rather than any internal or proprietary record, anchor the work. Second, it fixes the unit of analysis in each study and explains why the two studies adopt different but compatible units. Third, it constructs each variable from its primary record, distinguishing the dependent cost-growth variable, the technology-readiness treatment, and the controls. Fourth, it documents the sample frame, coverage, and the handling of illustrative entries. Fifth, it states the measurement limitations honestly and explains how they propagate into the estimates that follow in Chapters 5 and 6.</w:t>
      </w:r>
    </w:p>
    <w:bookmarkEnd w:id="86"/>
    <w:bookmarkStart w:id="87" w:name="authoritative-data-sources"/>
    <w:p>
      <w:pPr>
        <w:pStyle w:val="Heading2"/>
        <w:spacing w:line="480" w:lineRule="auto"/>
      </w:pPr>
      <w:r>
        <w:t xml:space="preserve">4.2 Authoritative Data Sources</w:t>
      </w:r>
    </w:p>
    <w:p>
      <w:pPr>
        <w:pStyle w:val="FirstParagraph"/>
        <w:spacing w:line="480" w:lineRule="auto"/>
      </w:pPr>
      <w:r>
        <w:t xml:space="preserve">The empirical material is assembled almost entirely from the public record of United States Government Accountability Office (GAO) assessments of NASA major projects, supplemented by NASA Office of Inspector General (OIG) audits, individual GAO mission reports, and a small number of public mission-cost datasets. These sources are chosen because they constitute the canonical, externally validated account of NASA cost and schedule performance against baseline, and because they are simultaneously the documents in which the technology-readiness condition of each project at its design review is enumerated. A single family of sources therefore supplies both the outcome and the treatment for the same project, which is the property that makes the maturity-to-outcome linkage auditable.</w:t>
      </w:r>
    </w:p>
    <w:p>
      <w:pPr>
        <w:pStyle w:val="BodyText"/>
        <w:spacing w:line="480" w:lineRule="auto"/>
        <w:ind w:firstLine="720"/>
      </w:pPr>
      <w:r>
        <w:t xml:space="preserve">Both studies rest on one backbone: the GAO Assessments of Major Projects series, a recurring product that reviews NASA’s portfolio of large flight projects and reports, for each one, the cost and schedule baseline established at confirmation alongside the latest estimate and the growth between the two</w:t>
      </w:r>
      <w:r>
        <w:t xml:space="preserve"> </w:t>
      </w:r>
      <w:hyperlink w:anchor="ref-10">
        <w:r>
          <w:rPr>
            <w:rStyle w:val="Hyperlink"/>
          </w:rPr>
          <w:t xml:space="preserve">[10]</w:t>
        </w:r>
      </w:hyperlink>
      <w:r>
        <w:t xml:space="preserve">. The cross-sectional study draws cost-growth figures from this series, from the per-project table in GAO testimony GAO-18-576T, from individual GAO mission reports, from NASA OIG audits, and from the public cost record of large missions</w:t>
      </w:r>
      <w:r>
        <w:t xml:space="preserve"> </w:t>
      </w:r>
      <w:hyperlink w:anchor="ref-10">
        <w:r>
          <w:rPr>
            <w:rStyle w:val="Hyperlink"/>
          </w:rPr>
          <w:t xml:space="preserve">[10]</w:t>
        </w:r>
      </w:hyperlink>
      <w:r>
        <w:t xml:space="preserve">[12][8]. The difference-in-differences study draws its observations from the same recurring series across multiple editions, with earlier projects taken from GAO-10-227SP and later editions, and recent projects taken from GAO-24-106767 and GAO-25-107591</w:t>
      </w:r>
      <w:r>
        <w:t xml:space="preserve"> </w:t>
      </w:r>
      <w:hyperlink w:anchor="ref-18">
        <w:r>
          <w:rPr>
            <w:rStyle w:val="Hyperlink"/>
          </w:rPr>
          <w:t xml:space="preserve">[18]</w:t>
        </w:r>
      </w:hyperlink>
      <w:r>
        <w:t xml:space="preserve">[10]. The two studies therefore share a common documentary spine while differing in the editions and the exact projects each happens to cover, a point developed in Section 4.7.</w:t>
      </w:r>
    </w:p>
    <w:p>
      <w:pPr>
        <w:pStyle w:val="BodyText"/>
        <w:spacing w:line="480" w:lineRule="auto"/>
        <w:ind w:firstLine="720"/>
      </w:pPr>
      <w:r>
        <w:t xml:space="preserve">Technology-readiness figures come from the same GAO and OIG assessments wherever those documents enumerate the maturity of critical technologies at the Preliminary Design Review. The James Webb Space Telescope knowledge-based-acquisition review supplies the readiness condition for that project</w:t>
      </w:r>
      <w:r>
        <w:t xml:space="preserve"> </w:t>
      </w:r>
      <w:hyperlink w:anchor="ref-8">
        <w:r>
          <w:rPr>
            <w:rStyle w:val="Hyperlink"/>
          </w:rPr>
          <w:t xml:space="preserve">[8]</w:t>
        </w:r>
      </w:hyperlink>
      <w:r>
        <w:t xml:space="preserve">, and the NASA OIG audit of the Mars 2020 project supplies the readiness and cost record for that mission</w:t>
      </w:r>
      <w:r>
        <w:t xml:space="preserve"> </w:t>
      </w:r>
      <w:hyperlink w:anchor="ref-11">
        <w:r>
          <w:rPr>
            <w:rStyle w:val="Hyperlink"/>
          </w:rPr>
          <w:t xml:space="preserve">[11]</w:t>
        </w:r>
      </w:hyperlink>
      <w:r>
        <w:t xml:space="preserve">. The conceptual definition of the Technology Readiness Level scale that governs the coding is taken from NASA’s own published statement of the scale</w:t>
      </w:r>
      <w:r>
        <w:t xml:space="preserve"> </w:t>
      </w:r>
      <w:hyperlink w:anchor="ref-6">
        <w:r>
          <w:rPr>
            <w:rStyle w:val="Hyperlink"/>
          </w:rPr>
          <w:t xml:space="preserve">[6]</w:t>
        </w:r>
      </w:hyperlink>
      <w:r>
        <w:t xml:space="preserve">, which fixes TRL 6 as the level at which a representative prototype has been demonstrated in a relevant environment. Where a settled rebaseline percentage was not yet published for a very recent mission, the cost-growth magnitude is supplemented from the Planetary Society’s mission cost charts and from NASA technical reports</w:t>
      </w:r>
      <w:r>
        <w:t xml:space="preserve"> </w:t>
      </w:r>
      <w:hyperlink w:anchor="ref-19">
        <w:r>
          <w:rPr>
            <w:rStyle w:val="Hyperlink"/>
          </w:rPr>
          <w:t xml:space="preserve">[19]</w:t>
        </w:r>
      </w:hyperlink>
      <w:r>
        <w:t xml:space="preserve">, and such rows are flagged as illustrative in a dedicated source field.</w:t>
      </w:r>
    </w:p>
    <w:p>
      <w:pPr>
        <w:pStyle w:val="BodyText"/>
        <w:spacing w:line="480" w:lineRule="auto"/>
        <w:ind w:firstLine="720"/>
      </w:pPr>
      <w:r>
        <w:t xml:space="preserve">Reliance on these public sources rather than any internal cost-engineering archive is deliberate, and it is itself part of the data-provenance discipline of the dissertation. The agency’s own archival cost record, the Cost Analysis Data Requirement and ONCE database described in the prospectus, would in principle pair a confirmation-time technical baseline with realized cost at later milestones for every project. That record is the natural extension target for the larger panel discussed in Chapter 7. For the two studies executed here, however, the public GAO and OIG documents are preferred precisely because they are externally auditable: any reader can retrieve GAO-24-106767 or GAO-25-107591 and verify a cost-growth figure or a readiness flag without privileged access</w:t>
      </w:r>
      <w:r>
        <w:t xml:space="preserve"> </w:t>
      </w:r>
      <w:hyperlink w:anchor="ref-10">
        <w:r>
          <w:rPr>
            <w:rStyle w:val="Hyperlink"/>
          </w:rPr>
          <w:t xml:space="preserve">[10]</w:t>
        </w:r>
      </w:hyperlink>
      <w:r>
        <w:t xml:space="preserve">. Provenance for every analyzed project is therefore traceable to a dated, public snapshot, which satisfies the data-provenance gate that the dissertation imposes on itself.</w:t>
      </w:r>
    </w:p>
    <w:bookmarkEnd w:id="87"/>
    <w:bookmarkStart w:id="88" w:name="unit-of-analysis"/>
    <w:p>
      <w:pPr>
        <w:pStyle w:val="Heading2"/>
        <w:spacing w:line="480" w:lineRule="auto"/>
      </w:pPr>
      <w:r>
        <w:t xml:space="preserve">4.3 Unit of Analysis</w:t>
      </w:r>
    </w:p>
    <w:p>
      <w:pPr>
        <w:pStyle w:val="FirstParagraph"/>
        <w:spacing w:line="480" w:lineRule="auto"/>
      </w:pPr>
      <w:r>
        <w:t xml:space="preserve">The two studies adopt related but distinct units of analysis, and the distinction is consequential for how each variable is read.</w:t>
      </w:r>
    </w:p>
    <w:p>
      <w:pPr>
        <w:pStyle w:val="BodyText"/>
        <w:spacing w:line="480" w:lineRule="auto"/>
        <w:ind w:firstLine="720"/>
      </w:pPr>
      <w:r>
        <w:t xml:space="preserve">In the cross-sectional study, the unit of analysis is a NASA major project observed once, at and after confirmation. Each project contributes a single row. That row records the project’s development cost growth realized by the latest reported estimate and the project’s technology-readiness condition fixed at confirmation. The cross-section is therefore a snapshot comparison across projects: it sets the realized cost outcome of each project beside the maturity it carried into its baseline and asks whether the two co-vary across the portfolio. Because each project appears once, the cross-sectional estimate cannot difference out fixed project characteristics, and its coefficient is explicitly associational rather than causal, a property the study acknowledges and which motivates the companion design.</w:t>
      </w:r>
    </w:p>
    <w:p>
      <w:pPr>
        <w:pStyle w:val="BodyText"/>
        <w:spacing w:line="480" w:lineRule="auto"/>
        <w:ind w:firstLine="720"/>
      </w:pPr>
      <w:r>
        <w:t xml:space="preserve">In the difference-in-differences study, the unit of analysis is a project-period observation, that is, a single NASA major project observed at two life-cycle points. Each project contributes two rows, one for its confirmation baseline and one for its latest published assessment, so that a sample of twenty projects yields forty project-period observations. This stacked two-period structure is what permits a difference of differences: the estimator compares the change in cost from baseline to latest assessment within each project, and then compares that within-project change across the mature and immature groups. The project-period unit is the mechanism by which the design isolates the maturity effect from the fixed characteristics of each mission, since any time-invariant property of a project, its scale, its center, its prime contractor, differences out when its own baseline observation is subtracted from its own latest observation.</w:t>
      </w:r>
    </w:p>
    <w:p>
      <w:pPr>
        <w:pStyle w:val="BodyText"/>
        <w:spacing w:line="480" w:lineRule="auto"/>
        <w:ind w:firstLine="720"/>
      </w:pPr>
      <w:r>
        <w:t xml:space="preserve">Both units are compatible because they describe the same underlying objects, NASA major flight projects, observed against the same baseline event, Key Decision Point C confirmation. The cross-section collapses each project to one realized-growth number; the panel preserves the baseline and the latest observation as two points so that the within-project change becomes the quantity of interest. Reading the two units together, the cross-section answers whether maturity and realized growth co-vary across projects, while the panel answers whether immature projects grew more than mature projects relative to their own commitments. Chapter 5 reports the cross-sectional estimate and Chapter 6 the panel estimate; the present chapter ensures that the inputs to both are constructed identically wherever they share a variable.</w:t>
      </w:r>
    </w:p>
    <w:bookmarkEnd w:id="88"/>
    <w:bookmarkStart w:id="89" w:name="X1aa9783e3b4a9eeb391bb62ca58ed3af33fc9eb"/>
    <w:p>
      <w:pPr>
        <w:pStyle w:val="Heading2"/>
        <w:spacing w:line="480" w:lineRule="auto"/>
      </w:pPr>
      <w:r>
        <w:t xml:space="preserve">4.4 Construction of the Dependent Variable: Development Cost Growth</w:t>
      </w:r>
    </w:p>
    <w:p>
      <w:pPr>
        <w:pStyle w:val="FirstParagraph"/>
        <w:spacing w:line="480" w:lineRule="auto"/>
      </w:pPr>
      <w:r>
        <w:t xml:space="preserve">The dependent variable in both studies is development cost growth, the increase in a project’s development cost relative to the baseline it committed to at confirmation. The two studies express this same underlying quantity in two different but reconcilable forms, and the reconciliation is exact.</w:t>
      </w:r>
    </w:p>
    <w:p>
      <w:pPr>
        <w:pStyle w:val="BodyText"/>
        <w:spacing w:line="480" w:lineRule="auto"/>
        <w:ind w:firstLine="720"/>
      </w:pPr>
      <w:r>
        <w:t xml:space="preserve">In the cross-sectional study, development cost growth is constructed as the percentage increase in development cost from the Agency Baseline Commitment to the latest reported estimate. The Agency Baseline Commitment is the cost figure the agency fixes at Key Decision Point C and reports to oversight bodies; it is the firm-fixed reference against which all subsequent growth is measured. The latest reported estimate is the most recent development-cost figure published in the source document for that project. Growth is then the difference between the two expressed as a percentage of the baseline. For example, a project whose development cost rose by roughly forty-three percent enters the cross-section with a growth value near that figure, and a project that held close to its commitment enters near zero. The cross-sectional study reports that projects whose least mature critical technology was below TRL 6 at confirmation grew, on average, 43.3 percent against their development baseline, while projects confirmed with all critical technologies at TRL 6 or above grew 7.0 percent, a descriptive split that precedes any regression and motivates the formal estimate.</w:t>
      </w:r>
    </w:p>
    <w:p>
      <w:pPr>
        <w:pStyle w:val="BodyText"/>
        <w:spacing w:line="480" w:lineRule="auto"/>
        <w:ind w:firstLine="720"/>
      </w:pPr>
      <w:r>
        <w:t xml:space="preserve">In the difference-in-differences study, the same quantity is expressed as a cost index set to 100 at each project’s own confirmation baseline. The baseline observation for every project therefore takes the value 100 by construction, and the latest-assessment observation takes the value 100 plus the cumulative percentage growth realized since confirmation. A project that grew its development cost by twenty-nine percent appears as 100 at baseline and roughly 129 at the latest assessment. This within-project normalization is the device that allows projects of very different absolute size, from Discovery-class missions to flagships, to enter the same regression without the largest dollar figures dominating the fit. The index is not a different measurement from the cross-sectional percentage; it is the same realized growth, re-expressed so that every project starts at a common origin. The raw group means in the panel make this explicit: the mature group rises from 100 at confirmation to 102.6 at the latest assessment, a gain of 2.6 points, while the immature group rises from 100 to 129.6, a gain of 29.6 points.</w:t>
      </w:r>
    </w:p>
    <w:p>
      <w:pPr>
        <w:pStyle w:val="BodyText"/>
        <w:spacing w:line="480" w:lineRule="auto"/>
        <w:ind w:firstLine="720"/>
      </w:pPr>
      <w:r>
        <w:t xml:space="preserve">Two construction decisions deserve emphasis. First, the dependent variable in both studies is development cost growth specifically, not total life-cycle cost growth, because development is the phase the confirmation baseline prices and the phase into which deferred maturation work surfaces as redesign and requalification. Second, the dependent variable is realized, reported growth, which means it truncates for cancelled or rebaselined projects whose final growth is never settled in the public record. This truncation is a known limitation: it tends to understate the tail of the distribution, since the projects most likely to be cancelled or deeply rebaselined are also the ones whose growth would have been largest. The limitation biases against finding a large maturity effect, which makes a significant estimate conservative, and it is revisited in Section 4.8.</w:t>
      </w:r>
    </w:p>
    <w:bookmarkEnd w:id="89"/>
    <w:bookmarkStart w:id="90" w:name="X3b688e4df715127c48971e6cdea106628308b85"/>
    <w:p>
      <w:pPr>
        <w:pStyle w:val="Heading2"/>
        <w:spacing w:line="480" w:lineRule="auto"/>
      </w:pPr>
      <w:r>
        <w:t xml:space="preserve">4.5 Construction of the Treatment Variable: Technology Readiness at Confirmation</w:t>
      </w:r>
    </w:p>
    <w:p>
      <w:pPr>
        <w:pStyle w:val="FirstParagraph"/>
        <w:spacing w:line="480" w:lineRule="auto"/>
      </w:pPr>
      <w:r>
        <w:t xml:space="preserve">The treatment in both studies is the technology-readiness condition of a project at confirmation, but the two studies operationalize it differently, one as a continuous level and one as a binary indicator, and both derive from the same primary records.</w:t>
      </w:r>
    </w:p>
    <w:p>
      <w:pPr>
        <w:pStyle w:val="BodyText"/>
        <w:spacing w:line="480" w:lineRule="auto"/>
        <w:ind w:firstLine="720"/>
      </w:pPr>
      <w:r>
        <w:t xml:space="preserve">In the cross-sectional study, the treatment is the Technology Readiness Level of the least mature critical technology at confirmation, taken at the Preliminary Design Review or Key Decision Point C. The choice of the minimum rather than the average across a project’s critical technologies is a theoretical commitment, not a convenience: the weakest critical technology sets the integration bottleneck, because integration cannot outrun its least mature component, so the maturity that governs outcomes is the minimum across the critical set rather than the central tendency. The minimum TRL is read directly from the GAO or OIG assessment for each project wherever that document enumerates the maturity of critical technologies at the design review</w:t>
      </w:r>
      <w:r>
        <w:t xml:space="preserve"> </w:t>
      </w:r>
      <w:hyperlink w:anchor="ref-8">
        <w:r>
          <w:rPr>
            <w:rStyle w:val="Hyperlink"/>
          </w:rPr>
          <w:t xml:space="preserve">[8]</w:t>
        </w:r>
      </w:hyperlink>
      <w:r>
        <w:t xml:space="preserve">[11], and the conceptual anchor for what each level means is NASA’s published scale, on which TRL 6 denotes a representative prototype demonstrated in a relevant environment</w:t>
      </w:r>
      <w:r>
        <w:t xml:space="preserve"> </w:t>
      </w:r>
      <w:hyperlink w:anchor="ref-6">
        <w:r>
          <w:rPr>
            <w:rStyle w:val="Hyperlink"/>
          </w:rPr>
          <w:t xml:space="preserve">[6]</w:t>
        </w:r>
      </w:hyperlink>
      <w:r>
        <w:t xml:space="preserve">. A secondary variable in the cross-section counts the critical technologies below TRL 6 at that review, intended as a robustness check; the study shows that this count correlates with the minimum TRL at minus 0.88 across the sample, because a project whose weakest technology sits below the threshold almost always has several below it, so the two variables load a single construct and cannot be cleanly separated in this sample.</w:t>
      </w:r>
    </w:p>
    <w:p>
      <w:pPr>
        <w:pStyle w:val="BodyText"/>
        <w:spacing w:line="480" w:lineRule="auto"/>
        <w:ind w:firstLine="720"/>
      </w:pPr>
      <w:r>
        <w:t xml:space="preserve">In the difference-in-differences study, treatment is binary. The indicator immature equals one if GAO recorded any critical technology below TRL 6 at Preliminary Design Review or confirmation, and zero otherwise. Nine of the twenty projects in the panel meet this condition. The binary coding is the natural treatment for a two-group difference-of-differences and is read from the same GAO record that supplies the continuous minimum-TRL value in the cross-section: a project flagged by GAO for any unmatured critical technology at design review is coded immature, a project that carried all critical technologies at TRL 6 or above is coded mature. The mature group includes missions such as GRAIL, MAVEN, OSIRIS-REx, TESS, GRACE-FO, and Europa Clipper, all of which carried heritage or fully demonstrated technologies into implementation. The immature group includes Kepler, the NPOESS Preparatory Project, Glory, LADEE, the Mars Science Laboratory, and the James Webb Space Telescope, each of which GAO flagged for unmatured critical technology at design review</w:t>
      </w:r>
      <w:r>
        <w:t xml:space="preserve"> </w:t>
      </w:r>
      <w:hyperlink w:anchor="ref-8">
        <w:r>
          <w:rPr>
            <w:rStyle w:val="Hyperlink"/>
          </w:rPr>
          <w:t xml:space="preserve">[8]</w:t>
        </w:r>
      </w:hyperlink>
      <w:r>
        <w:t xml:space="preserve">.</w:t>
      </w:r>
    </w:p>
    <w:p>
      <w:pPr>
        <w:pStyle w:val="BodyText"/>
        <w:spacing w:line="480" w:lineRule="auto"/>
        <w:ind w:firstLine="720"/>
      </w:pPr>
      <w:r>
        <w:t xml:space="preserve">The two operationalizations are consistent because the binary indicator is a coarsening of the continuous level at the policy-relevant threshold. A project whose minimum critical-technology TRL is below 6 is exactly a project coded immature, and a project whose minimum is 6 or above is exactly a project coded mature. The cross-section retains the full ordinal information so that it can estimate a slope, the marginal cost-growth associated with one additional level of maturity on the weakest technology, while the panel collapses to the threshold indicator so that it can run a clean two-group difference of differences. Where confirmation-era readiness is not directly tabulated in a source, it is reconstructed from the milestone technical baseline and corroborated against the mission’s technology record; such reconstruction is the principal source of measurement error in the treatment, discussed in Section 4.8.</w:t>
      </w:r>
    </w:p>
    <w:bookmarkEnd w:id="90"/>
    <w:bookmarkStart w:id="91" w:name="Xff4cb468ac7856a287e8fbf6dcbfb933f4cda7e"/>
    <w:p>
      <w:pPr>
        <w:pStyle w:val="Heading2"/>
        <w:spacing w:line="480" w:lineRule="auto"/>
      </w:pPr>
      <w:r>
        <w:t xml:space="preserve">4.6 Construction of Control and Auxiliary Variables</w:t>
      </w:r>
    </w:p>
    <w:p>
      <w:pPr>
        <w:pStyle w:val="FirstParagraph"/>
        <w:spacing w:line="480" w:lineRule="auto"/>
      </w:pPr>
      <w:r>
        <w:t xml:space="preserve">Beyond the dependent and treatment variables, each study carries a small number of controls and auxiliary variables, kept deliberately few to preserve degrees of freedom in samples of twenty to twenty-four projects.</w:t>
      </w:r>
    </w:p>
    <w:p>
      <w:pPr>
        <w:pStyle w:val="BodyText"/>
        <w:spacing w:line="480" w:lineRule="auto"/>
        <w:ind w:firstLine="720"/>
      </w:pPr>
      <w:r>
        <w:t xml:space="preserve">Parsimony is intentional in the cross-sectional study. Its primary specification carries a single predictor, the minimum critical-technology TRL, regressed on cost growth, because with twenty-four observations a single well-measured predictor preserves degrees of freedom and avoids overfitting. The count of critical technologies below TRL 6 enters only as a collinearity diagnostic, not as a co-equal control, for the reason given in Section 4.5: its minus 0.88 correlation with the minimum TRL means that entering both regressors loads the same construct twice and inflates standard errors without adding information. No mission-class or contractor controls enter the cross-sectional model; their omission is a deliberate trade against the small sample and is acknowledged as a limit on the interpretation, since selection on mission ambition is the most likely confound left unaddressed by a single-predictor cross-section.</w:t>
      </w:r>
    </w:p>
    <w:p>
      <w:pPr>
        <w:pStyle w:val="BodyText"/>
        <w:spacing w:line="480" w:lineRule="auto"/>
        <w:ind w:firstLine="720"/>
      </w:pPr>
      <w:r>
        <w:t xml:space="preserve">The difference-in-differences study carries four right-hand-side terms: a post indicator marking the latest-assessment period, the immature indicator, their interaction, and a flagship control. The post indicator equals one for the latest-assessment observation of each project and zero for the baseline observation, and it captures the cost change common to all projects in the post period, that is, the growth of the mature reference group. The immature indicator is the treatment described above; because every project is indexed to 100 at its own confirmation, the immature main effect is mechanically near zero at baseline and serves as a specification check rather than a quantity of interest. The interaction of post and immature is the coefficient of interest, the difference-in-differences estimand, measuring the additional cost growth experienced by immature projects over and above the growth common to all projects in the post period. The flagship indicator marks the large strategic and human-spaceflight projects, included specifically so that scale, rather than maturity, is not credited with the result; if a maturity effect survives the flagship control, it cannot be a disguised scale effect. The flagship coding is read from the public identity of each mission as a strategic or flagship-class project in the GAO portfolio.</w:t>
      </w:r>
    </w:p>
    <w:p>
      <w:pPr>
        <w:pStyle w:val="BodyText"/>
        <w:spacing w:line="480" w:lineRule="auto"/>
        <w:ind w:firstLine="720"/>
      </w:pPr>
      <w:r>
        <w:t xml:space="preserve">The architectural-interdependency proxies anticipated in the prospectus, motivated by the finding that previously unforeseen program interdependencies drive schedule and budget change</w:t>
      </w:r>
      <w:r>
        <w:t xml:space="preserve"> </w:t>
      </w:r>
      <w:hyperlink w:anchor="ref-3">
        <w:r>
          <w:rPr>
            <w:rStyle w:val="Hyperlink"/>
          </w:rPr>
          <w:t xml:space="preserve">[3]</w:t>
        </w:r>
      </w:hyperlink>
      <w:r>
        <w:t xml:space="preserve">, and the broader product-assurance and systems-engineering context in which readiness is embedded</w:t>
      </w:r>
      <w:r>
        <w:t xml:space="preserve"> </w:t>
      </w:r>
      <w:hyperlink w:anchor="ref-2">
        <w:r>
          <w:rPr>
            <w:rStyle w:val="Hyperlink"/>
          </w:rPr>
          <w:t xml:space="preserve">[2]</w:t>
        </w:r>
      </w:hyperlink>
      <w:r>
        <w:t xml:space="preserve">, do not enter the two executed studies as estimated objects. They inform the control logic and the placebo checks conceptually rather than being coded for the present samples, and they are flagged in Chapter 7 as variables to be coded explicitly when the analysis moves to the larger ONCE and CADRe panel where the degrees of freedom can support them.</w:t>
      </w:r>
    </w:p>
    <w:bookmarkEnd w:id="91"/>
    <w:bookmarkStart w:id="92" w:name="Xdd99c4fc947009156bad3fcf6a6d20d7451b275"/>
    <w:p>
      <w:pPr>
        <w:pStyle w:val="Heading2"/>
        <w:spacing w:line="480" w:lineRule="auto"/>
      </w:pPr>
      <w:r>
        <w:t xml:space="preserve">4.7 Sample Frame, Coverage, and Provenance Records</w:t>
      </w:r>
    </w:p>
    <w:p>
      <w:pPr>
        <w:pStyle w:val="FirstParagraph"/>
        <w:spacing w:line="480" w:lineRule="auto"/>
      </w:pPr>
      <w:r>
        <w:t xml:space="preserve">The two studies cover overlapping but non-identical sets of NASA major projects, and the coverage of each is fixed by the documents available at the time of construction.</w:t>
      </w:r>
    </w:p>
    <w:p>
      <w:pPr>
        <w:pStyle w:val="BodyText"/>
        <w:spacing w:line="480" w:lineRule="auto"/>
        <w:ind w:firstLine="720"/>
      </w:pPr>
      <w:r>
        <w:t xml:space="preserve">The cross-sectional study comprises twenty-four NASA major projects confirmed between 2007 and 2017. The sample spans the range of cost-growth outcomes from near-baseline performers such as GRACE-FO and TESS to large overruns such as the James Webb Space Telescope, the Mars Science Laboratory, and ICESat-2. This spread across the outcome distribution is intentional: a sample concentrated at either tail would not identify a slope, whereas a sample that includes both disciplined performers and large overruns supports estimation of the relationship across the observed maturity band, which runs from roughly TRL 4 to TRL 6.</w:t>
      </w:r>
    </w:p>
    <w:p>
      <w:pPr>
        <w:pStyle w:val="BodyText"/>
        <w:spacing w:line="480" w:lineRule="auto"/>
        <w:ind w:firstLine="720"/>
      </w:pPr>
      <w:r>
        <w:t xml:space="preserve">Twenty NASA major projects make up the difference-in-differences study, each observed at two life-cycle points, for forty project-period observations. Nine of the twenty are coded immature and eleven mature. The panel is assembled from multiple editions of the GAO assessment series so that both older and newer projects appear, which is necessary for a design that compares confirmation baselines against latest assessments drawn from later editions.</w:t>
      </w:r>
    </w:p>
    <w:p>
      <w:pPr>
        <w:pStyle w:val="BodyText"/>
        <w:spacing w:line="480" w:lineRule="auto"/>
        <w:ind w:firstLine="720"/>
      </w:pPr>
      <w:r>
        <w:t xml:space="preserve">In both studies, each project’s value is drawn from a documented source and the source for that project is recorded in a dedicated source field in the data file, so that provenance is carried at the row level rather than asserted at the dataset level. This row-level provenance is the operational form of the data-provenance gate: a reader can take any single project, read its source field, retrieve the cited GAO or OIG document, and verify both its cost-growth figure and its readiness flag. A small minority of rows, those for low-growth mature projects in the cross-section and a few very recent missions in the panel where a settled rebaseline percentage was not separately published, are marked illustrative in the source column and supplemented from the Planetary Society mission cost charts or NASA technical reports</w:t>
      </w:r>
      <w:r>
        <w:t xml:space="preserve"> </w:t>
      </w:r>
      <w:hyperlink w:anchor="ref-19">
        <w:r>
          <w:rPr>
            <w:rStyle w:val="Hyperlink"/>
          </w:rPr>
          <w:t xml:space="preserve">[19]</w:t>
        </w:r>
      </w:hyperlink>
      <w:r>
        <w:t xml:space="preserve">. In the cross-section these illustrative entries fall well under one fifth of the sample and do not carry the estimate; in the panel they are similarly a minority and are flagged so that any reader can discount them. Marking these entries explicitly, rather than silently imputing or excluding them, is the honest treatment: it exposes exactly which figures rest on a settled public rebaseline and which rest on a provisional public magnitude pending a settled one.</w:t>
      </w:r>
    </w:p>
    <w:bookmarkEnd w:id="92"/>
    <w:bookmarkStart w:id="93" w:name="X85c13fdf19fb61435edba802cb04165606df126"/>
    <w:p>
      <w:pPr>
        <w:pStyle w:val="Heading2"/>
        <w:spacing w:line="480" w:lineRule="auto"/>
      </w:pPr>
      <w:r>
        <w:t xml:space="preserve">4.8 Measurement Limitations and Their Direction</w:t>
      </w:r>
    </w:p>
    <w:p>
      <w:pPr>
        <w:pStyle w:val="FirstParagraph"/>
        <w:spacing w:line="480" w:lineRule="auto"/>
      </w:pPr>
      <w:r>
        <w:t xml:space="preserve">Three measurement limitations bear directly on how the estimates in the following chapters should be read, and each is stated with its expected direction of bias.</w:t>
      </w:r>
    </w:p>
    <w:p>
      <w:pPr>
        <w:pStyle w:val="BodyText"/>
        <w:spacing w:line="480" w:lineRule="auto"/>
        <w:ind w:firstLine="720"/>
      </w:pPr>
      <w:r>
        <w:t xml:space="preserve">First, technology-readiness measurement error. Confirmation-era TRL is partly reconstructed from the milestone technical baseline where a source does not tabulate it directly, and reconstruction introduces classical measurement error into the treatment. Classical error in a regressor attenuates the estimated coefficient toward zero, which means a significant maturity effect is conservative, understated rather than overstated, but it also means a null result would be ambiguous, since attenuation could mask a true effect. The implication is asymmetric: the studies can credibly claim a maturity effect when they find one, because the bias works against them, but they could not credibly claim the absence of one from a null. A coder-agreement subsample is the appropriate bound on the attenuation and is identified as future work.</w:t>
      </w:r>
    </w:p>
    <w:p>
      <w:pPr>
        <w:pStyle w:val="BodyText"/>
        <w:spacing w:line="480" w:lineRule="auto"/>
        <w:ind w:firstLine="720"/>
      </w:pPr>
      <w:r>
        <w:t xml:space="preserve">Second, dependent-variable truncation. Realized, reported cost growth truncates for cancelled or deeply rebaselined projects whose final growth is never settled in the public record, as noted in Section 4.4. Because the projects most exposed to cancellation or deep rebaseline are likely the highest-growth ones, truncation understates the upper tail of the cost-growth distribution and therefore biases the estimated maturity effect toward zero. As with measurement error, this makes a positive finding conservative.</w:t>
      </w:r>
    </w:p>
    <w:p>
      <w:pPr>
        <w:pStyle w:val="BodyText"/>
        <w:spacing w:line="480" w:lineRule="auto"/>
        <w:ind w:firstLine="720"/>
      </w:pPr>
      <w:r>
        <w:t xml:space="preserve">Third, the binary coarsening in the panel and the linear form in the cross-section are both approximations of a relationship that may in truth be a step at the TRL 6 threshold. The cross-section’s descriptive split, 43.3 percent growth below the threshold against 7.0 percent at or above it, hints that the relationship may be a discontinuity at TRL 6 rather than a constant slope across the maturity band, in which case the linear coefficient is a local average of a steeper local effect. The panel’s binary indicator is the natural coarsening if the true relationship is a threshold, but it discards information about the number and severity of maturation shortfalls that a count-based or continuous measure would retain. Neither approximation reverses the sign of the relationship; each marks a refinement, a threshold model and a count-based measure respectively, for the larger panel.</w:t>
      </w:r>
    </w:p>
    <w:p>
      <w:pPr>
        <w:pStyle w:val="BodyText"/>
        <w:spacing w:line="480" w:lineRule="auto"/>
        <w:ind w:firstLine="720"/>
      </w:pPr>
      <w:r>
        <w:t xml:space="preserve">These three limitations share a common structure: all three bias the estimated maturity effect toward the null, so the central finding that maturity at confirmation is associated with materially lower cost growth survives them as a conservative claim rather than being threatened by them. The external validity of both estimates is bounded to the gating margin and the mission population observed in the public GAO and OIG record, and the dissertation makes no claim beyond that population. The chapters that follow take the variables constructed here as given and report, respectively, the cross-sectional slope on minimum critical-technology TRL and the difference-in-differences interaction on post and immature.</w:t>
      </w:r>
    </w:p>
    <w:bookmarkEnd w:id="93"/>
    <w:bookmarkEnd w:id="94"/>
    <w:bookmarkStart w:id="103" w:name="chapter-5.-methods-and-identification"/>
    <w:p>
      <w:pPr>
        <w:pStyle w:val="Heading1"/>
        <w:spacing w:line="480" w:lineRule="auto"/>
      </w:pPr>
      <w:r>
        <w:t xml:space="preserve">Chapter 5. Methods and Identification</w:t>
      </w:r>
    </w:p>
    <w:bookmarkStart w:id="95" w:name="purpose-and-logic-of-the-chapter"/>
    <w:p>
      <w:pPr>
        <w:pStyle w:val="Heading2"/>
        <w:spacing w:line="480" w:lineRule="auto"/>
      </w:pPr>
      <w:r>
        <w:t xml:space="preserve">5.1 Purpose and Logic of the Chapter</w:t>
      </w:r>
    </w:p>
    <w:p>
      <w:pPr>
        <w:pStyle w:val="FirstParagraph"/>
        <w:spacing w:line="480" w:lineRule="auto"/>
      </w:pPr>
      <w:r>
        <w:t xml:space="preserve">This chapter specifies the estimators that carry the empirical weight of the dissertation, states the identification strategy that gives the central coefficient a causal reading, and enumerates the threats to validity together with the bound placed on each. The argument of the preceding chapters is that technology maturity at confirmation is an economically meaningful decision variable rather than a bookkeeping label, and that its operational payoff has been asserted in policy guidance more often than it has been measured. The maturation literature treats Technology Readiness Level as a quantity to be deliberately raised, with in-space demonstration campaigns justified by the readiness increment they deliver</w:t>
      </w:r>
      <w:r>
        <w:t xml:space="preserve"> </w:t>
      </w:r>
      <w:hyperlink w:anchor="ref-1">
        <w:r>
          <w:rPr>
            <w:rStyle w:val="Hyperlink"/>
          </w:rPr>
          <w:t xml:space="preserve">[1]</w:t>
        </w:r>
      </w:hyperlink>
      <w:r>
        <w:t xml:space="preserve">,</w:t>
      </w:r>
      <w:r>
        <w:t xml:space="preserve"> </w:t>
      </w:r>
      <w:hyperlink w:anchor="ref-22">
        <w:r>
          <w:rPr>
            <w:rStyle w:val="Hyperlink"/>
          </w:rPr>
          <w:t xml:space="preserve">[22]</w:t>
        </w:r>
      </w:hyperlink>
      <w:r>
        <w:t xml:space="preserve">. The slippage literature gives the mechanism a functional form, mapping lower instrument readiness to larger schedule slippage as a fraction of development time and recommending schedule margin sized to the slippage associated with the lowest TRL</w:t>
      </w:r>
      <w:r>
        <w:t xml:space="preserve"> </w:t>
      </w:r>
      <w:hyperlink w:anchor="ref-5">
        <w:r>
          <w:rPr>
            <w:rStyle w:val="Hyperlink"/>
          </w:rPr>
          <w:t xml:space="preserve">[5]</w:t>
        </w:r>
      </w:hyperlink>
      <w:r>
        <w:t xml:space="preserve">. What neither literature supplies is a design that defeats the endogeneity of the maturity choice, since the same programs that confirm at low readiness differ systematically from those that confirm high. The estimators below are organized around that single problem.</w:t>
      </w:r>
    </w:p>
    <w:p>
      <w:pPr>
        <w:pStyle w:val="BodyText"/>
        <w:spacing w:line="480" w:lineRule="auto"/>
        <w:ind w:firstLine="720"/>
      </w:pPr>
      <w:r>
        <w:t xml:space="preserve">One spine runs through the methods: a progression from association to differenced identification. A cross-sectional ordinary least squares model establishes the magnitude and sign of the readiness-to-cost relationship at the project level. A difference-in-differences model then strips out the fixed, time-invariant character of each mission and recovers the within-project growth attributable to entering implementation immature. The two estimators answer different questions and are reported as complements rather than rivals: the cross-section prices the marginal readiness level, while the panel isolates the differential growth between maturity cohorts and is the design that licenses the causal language of payoff.</w:t>
      </w:r>
    </w:p>
    <w:bookmarkEnd w:id="95"/>
    <w:bookmarkStart w:id="96" w:name="estimands-and-outcome-construction"/>
    <w:p>
      <w:pPr>
        <w:pStyle w:val="Heading2"/>
        <w:spacing w:line="480" w:lineRule="auto"/>
      </w:pPr>
      <w:r>
        <w:t xml:space="preserve">5.2 Estimands and Outcome Construction</w:t>
      </w:r>
    </w:p>
    <w:p>
      <w:pPr>
        <w:pStyle w:val="FirstParagraph"/>
        <w:spacing w:line="480" w:lineRule="auto"/>
      </w:pPr>
      <w:r>
        <w:t xml:space="preserve">The outcomes of interest are realized development cost growth and, where the data permit, schedule growth, each measured against the project’s own confirmation baseline. Confirmation is operationalized at Key Decision Point C, the milestone at which NASA fixes a cost and schedule baseline and reports it to the Office of Management and Budget and to Congress. Anchoring every outcome to the confirmation baseline is the single most consequential construction choice in the design, because it converts heterogeneous missions of vastly different absolute scale into a common, comparable metric. Cost is expressed as an index set to one hundred at each project’s own confirmation baseline, so that the value at the latest published assessment reports cumulative growth relative to that project’s commitment. Within-project normalization is what allows Discovery-class missions and flagships to enter the same regression without the largest dollar figures dominating the estimate.</w:t>
      </w:r>
    </w:p>
    <w:p>
      <w:pPr>
        <w:pStyle w:val="BodyText"/>
        <w:spacing w:line="480" w:lineRule="auto"/>
        <w:ind w:firstLine="720"/>
      </w:pPr>
      <w:r>
        <w:t xml:space="preserve">The treatment variable is the maturity of the least mature critical technology at confirmation, read at the Preliminary Design Review or Key Decision Point C. The decision to use the minimum rather than the mean is theoretical, not cosmetic: the weakest critical technology sets the integration bottleneck, so the maturity of the least mature item, not the portfolio average, governs the outcome</w:t>
      </w:r>
      <w:r>
        <w:t xml:space="preserve"> </w:t>
      </w:r>
      <w:hyperlink w:anchor="ref-5">
        <w:r>
          <w:rPr>
            <w:rStyle w:val="Hyperlink"/>
          </w:rPr>
          <w:t xml:space="preserve">[5]</w:t>
        </w:r>
      </w:hyperlink>
      <w:r>
        <w:t xml:space="preserve">. The cross-sectional estimator uses the minimum TRL as a continuous regressor. The panel estimator uses a binary immature indicator equal to one when the Government Accountability Office recorded any critical technology below TRL 6 at design review or confirmation, because the binary contrast maps cleanly onto the policy gate the agency actually enforces and is robust to the coarse reporting of readiness in the public record.</w:t>
      </w:r>
    </w:p>
    <w:bookmarkEnd w:id="96"/>
    <w:bookmarkStart w:id="97" w:name="the-cross-sectional-estimator"/>
    <w:p>
      <w:pPr>
        <w:pStyle w:val="Heading2"/>
        <w:spacing w:line="480" w:lineRule="auto"/>
      </w:pPr>
      <w:r>
        <w:t xml:space="preserve">5.3 The Cross-Sectional Estimator</w:t>
      </w:r>
    </w:p>
    <w:p>
      <w:pPr>
        <w:pStyle w:val="FirstParagraph"/>
        <w:spacing w:line="480" w:lineRule="auto"/>
      </w:pPr>
      <w:r>
        <w:t xml:space="preserve">The first estimator is ordinary least squares with heteroskedasticity-consistent standard errors of the HC1 form, regressing development cost growth on the minimum critical-technology TRL at confirmation across the project sample. Robust standard errors are not a default reflex here but a response to a specific feature of the data: cost-growth variance is visibly larger among the immature, low-TRL projects than among the mature ones, the textbook condition under which homoskedastic errors mislead. The specification is deliberately parsimonious. With a sample on the order of two dozen projects, a single well-measured predictor preserves degrees of freedom and avoids the overfitting that a richer model would invite.</w:t>
      </w:r>
    </w:p>
    <w:p>
      <w:pPr>
        <w:pStyle w:val="BodyText"/>
        <w:spacing w:line="480" w:lineRule="auto"/>
        <w:ind w:firstLine="720"/>
      </w:pPr>
      <w:r>
        <w:t xml:space="preserve">A two-predictor alternative that adds the count of critical technologies below TRL 6 was considered and rejected as a primary specification. That count correlates with the minimum TRL at approximately minus 0.88 across the sample, because a project whose weakest technology sits below the threshold almost always has several below it. Entering both regressors loads the same construct twice, inflates standard errors, and adds no information. The single-predictor model is therefore primary and the two-predictor model is retained only as a collinearity diagnostic, reported transparently so that the reader can see why the parsimonious specification is the honest one. The cross-sectional coefficient is interpretable only across the observed maturity band of roughly TRL 4 to TRL 6; the intercept implied by extrapolation to TRL zero is a mechanical artifact and carries no behavioral meaning.</w:t>
      </w:r>
    </w:p>
    <w:bookmarkEnd w:id="97"/>
    <w:bookmarkStart w:id="98" w:name="the-difference-in-differences-estimator"/>
    <w:p>
      <w:pPr>
        <w:pStyle w:val="Heading2"/>
        <w:spacing w:line="480" w:lineRule="auto"/>
      </w:pPr>
      <w:r>
        <w:t xml:space="preserve">5.4 The Difference-in-Differences Estimator</w:t>
      </w:r>
    </w:p>
    <w:p>
      <w:pPr>
        <w:pStyle w:val="FirstParagraph"/>
        <w:spacing w:line="480" w:lineRule="auto"/>
      </w:pPr>
      <w:r>
        <w:t xml:space="preserve">The second and identifying estimator is difference-in-differences. Rather than compare cost outcomes across projects at a single point, which confounds maturity with mission scale and era, the design tracks each project across two life-cycle observations: its confirmation baseline and its latest published assessment. The stacked two-period panel is estimated by ordinary least squares with heteroskedasticity-robust standard errors. The specification regresses the cost index on a post indicator, the immature indicator, their interaction, and a flagship control:</w:t>
      </w:r>
    </w:p>
    <w:p>
      <w:pPr>
        <w:pStyle w:val="BodyText"/>
        <w:spacing w:line="480" w:lineRule="auto"/>
        <w:ind w:firstLine="720"/>
      </w:pPr>
      <w:r>
        <w:t xml:space="preserve">cost_index = b0 + b1 post + b2 immature + b3 (post x immature) + b4 flagship + error.</w:t>
      </w:r>
    </w:p>
    <w:p>
      <w:pPr>
        <w:pStyle w:val="BodyText"/>
        <w:spacing w:line="480" w:lineRule="auto"/>
        <w:ind w:firstLine="720"/>
      </w:pPr>
      <w:r>
        <w:t xml:space="preserve">The coefficient of interest is b3, the interaction. It measures the additional cost growth experienced by immature projects over and above the growth common to all projects in the post period, which is precisely the difference-in-differences estimand. The construction has internal checks built into the remaining coefficients. Because every project is indexed to one hundred at its own confirmation, the immature main effect b2 is mechanically near zero at baseline and serves as a specification check: if the two cohorts were already diverging at confirmation, b2 would depart from zero and the design’s premise of comparable starting points would be in doubt. The post coefficient b1 captures the cost change for the mature reference group, the counterfactual trajectory against which immature growth is differenced. The flagship control b4 absorbs the tendency of large strategic and human-spaceflight missions to grow more, so that scale is not credited to maturity.</w:t>
      </w:r>
    </w:p>
    <w:p>
      <w:pPr>
        <w:pStyle w:val="BodyText"/>
        <w:spacing w:line="480" w:lineRule="auto"/>
        <w:ind w:firstLine="720"/>
      </w:pPr>
      <w:r>
        <w:t xml:space="preserve">The prospectus frames a more ambitious version of the same logic, in which identification is driven by the timing of a discrete change in technology-readiness gating policy that altered required TRL-at-confirmation for one set of programs while leaving a comparable set unaffected</w:t>
      </w:r>
      <w:r>
        <w:t xml:space="preserve"> </w:t>
      </w:r>
      <w:hyperlink w:anchor="ref-1">
        <w:r>
          <w:rPr>
            <w:rStyle w:val="Hyperlink"/>
          </w:rPr>
          <w:t xml:space="preserve">[1]</w:t>
        </w:r>
      </w:hyperlink>
      <w:r>
        <w:t xml:space="preserve">. In that formulation the estimand is the gating-change interaction, Exposed times Post, and the control set carries observable proxies for mission class, prime size, and architectural interdependency, the last motivated by the finding that previously unforeseen interdependencies drive schedule changes and subsequent budget hikes</w:t>
      </w:r>
      <w:r>
        <w:t xml:space="preserve"> </w:t>
      </w:r>
      <w:hyperlink w:anchor="ref-3">
        <w:r>
          <w:rPr>
            <w:rStyle w:val="Hyperlink"/>
          </w:rPr>
          <w:t xml:space="preserve">[3]</w:t>
        </w:r>
      </w:hyperlink>
      <w:r>
        <w:t xml:space="preserve">. The cohort-based estimator implemented here is the tractable realization of that design on the obtainable public record: the maturity cohort plays the role of the exposed group, the mature cohort the comparison, and the interaction recovers the differential growth attributable to entering implementation immature.</w:t>
      </w:r>
    </w:p>
    <w:bookmarkEnd w:id="98"/>
    <w:bookmarkStart w:id="99" w:name="the-identification-strategy"/>
    <w:p>
      <w:pPr>
        <w:pStyle w:val="Heading2"/>
        <w:spacing w:line="480" w:lineRule="auto"/>
      </w:pPr>
      <w:r>
        <w:t xml:space="preserve">5.5 The Identification Strategy</w:t>
      </w:r>
    </w:p>
    <w:p>
      <w:pPr>
        <w:pStyle w:val="FirstParagraph"/>
        <w:spacing w:line="480" w:lineRule="auto"/>
      </w:pPr>
      <w:r>
        <w:t xml:space="preserve">Identification in the difference-in-differences design rests on the parallel-trends assumption: absent any difference in maturity at confirmation, the immature and mature cohorts would have followed the same trajectory in cost growth from the baseline to the latest assessment. The within-project indexing operationalizes the assumption at the starting line, since both cohorts begin at one hundred by construction, and the near-zero immature main effect confirms that they are statistically indistinguishable at confirmation. The double difference then attributes any divergence between baseline and latest assessment to the maturity contrast rather than to the fixed characteristics of either group, because those fixed characteristics are differenced away.</w:t>
      </w:r>
    </w:p>
    <w:p>
      <w:pPr>
        <w:pStyle w:val="BodyText"/>
        <w:spacing w:line="480" w:lineRule="auto"/>
        <w:ind w:firstLine="720"/>
      </w:pPr>
      <w:r>
        <w:t xml:space="preserve">The most credible execution of the strategy is an event-study extension that estimates pre-period leads. A flat lead profile, in which the cohorts do not diverge before the maturity decision takes effect, supports the parallel-trends assumption; a sloped lead profile falsifies it. This is the front-line defense of the design, and the dissertation treats a failed lead test as grounds to reject the identification rather than as something to be explained away. The comparison cohort is drawn from the same agency and the same era as the treated cohort, which is what allows agency-wide process shifts to be differenced out. This matters because readiness is embedded in a wider product-assurance and systems-engineering process</w:t>
      </w:r>
      <w:r>
        <w:t xml:space="preserve"> </w:t>
      </w:r>
      <w:hyperlink w:anchor="ref-2">
        <w:r>
          <w:rPr>
            <w:rStyle w:val="Hyperlink"/>
          </w:rPr>
          <w:t xml:space="preserve">[2]</w:t>
        </w:r>
      </w:hyperlink>
      <w:r>
        <w:t xml:space="preserve">, and a shared-era, same-agency control is the instrument that prevents a general improvement in that process from being misattributed to TRL. Inference uses heteroskedasticity-robust standard errors throughout, and where the cohort structure warrants it, cohort-clustered errors, so that correlated shocks within a confirmation cohort do not understate uncertainty.</w:t>
      </w:r>
    </w:p>
    <w:p>
      <w:pPr>
        <w:pStyle w:val="BodyText"/>
        <w:spacing w:line="480" w:lineRule="auto"/>
        <w:ind w:firstLine="720"/>
      </w:pPr>
      <w:r>
        <w:t xml:space="preserve">The logic of the strategy is to convert a level comparison, which is hopelessly confounded by selection, into a comparison of changes, which is confounded only by differential trends. The cross-sectional estimator measures the level relationship and is honest about its associational status. The panel estimator measures the change relationship and inherits causal content to the precise extent that the parallel-trends assumption survives the lead test. The two estimators triangulate: a large negative cross-sectional slope and a large positive differenced interaction are the same phenomenon viewed through level and change lenses, and their agreement in magnitude is itself evidence that functional form is not driving the result.</w:t>
      </w:r>
    </w:p>
    <w:bookmarkEnd w:id="99"/>
    <w:bookmarkStart w:id="100" w:name="threats-to-validity-and-their-bounds"/>
    <w:p>
      <w:pPr>
        <w:pStyle w:val="Heading2"/>
        <w:spacing w:line="480" w:lineRule="auto"/>
      </w:pPr>
      <w:r>
        <w:t xml:space="preserve">5.6 Threats to Validity and Their Bounds</w:t>
      </w:r>
    </w:p>
    <w:p>
      <w:pPr>
        <w:pStyle w:val="FirstParagraph"/>
        <w:spacing w:line="480" w:lineRule="auto"/>
      </w:pPr>
      <w:r>
        <w:t xml:space="preserve">Four threats are primary, and the design bounds each rather than dismissing any.</w:t>
      </w:r>
    </w:p>
    <w:p>
      <w:pPr>
        <w:pStyle w:val="BodyText"/>
        <w:spacing w:line="480" w:lineRule="auto"/>
        <w:ind w:firstLine="720"/>
      </w:pPr>
      <w:r>
        <w:t xml:space="preserve">The first is</w:t>
      </w:r>
      <w:r>
        <w:t xml:space="preserve"> </w:t>
      </w:r>
      <w:r>
        <w:rPr>
          <w:b/>
          <w:bCs/>
        </w:rPr>
        <w:t xml:space="preserve">selection into maturity</w:t>
      </w:r>
      <w:r>
        <w:t xml:space="preserve">, the possibility that the same management discipline that matures technology early also manages cost well for unrelated reasons, so that the differenced interaction credits maturity with the consequences of competence. This is the central threat and the one the difference-in-differences design exists to address, since within-project differencing removes the time-invariant component of management quality. The residual concern is that discipline changes over the life cycle in a way correlated with maturity, and the event-study lead test bounds it: if disciplined programs were already on a flatter cost trajectory before confirmation, the leads would slope and the design would be falsified rather than defended. The bound is therefore a refutable test, not an assertion.</w:t>
      </w:r>
    </w:p>
    <w:p>
      <w:pPr>
        <w:pStyle w:val="BodyText"/>
        <w:spacing w:line="480" w:lineRule="auto"/>
        <w:ind w:firstLine="720"/>
      </w:pPr>
      <w:r>
        <w:t xml:space="preserve">The second is</w:t>
      </w:r>
      <w:r>
        <w:t xml:space="preserve"> </w:t>
      </w:r>
      <w:r>
        <w:rPr>
          <w:b/>
          <w:bCs/>
        </w:rPr>
        <w:t xml:space="preserve">TRL measurement error</w:t>
      </w:r>
      <w:r>
        <w:t xml:space="preserve">. Confirmation-era readiness is partly reconstructed from the milestone technical baseline where it is not directly coded, and reconstruction is corroborated against mission technology-demonstration records of the kind that document deliberate readiness acceleration</w:t>
      </w:r>
      <w:r>
        <w:t xml:space="preserve"> </w:t>
      </w:r>
      <w:hyperlink w:anchor="ref-1">
        <w:r>
          <w:rPr>
            <w:rStyle w:val="Hyperlink"/>
          </w:rPr>
          <w:t xml:space="preserve">[1]</w:t>
        </w:r>
      </w:hyperlink>
      <w:r>
        <w:t xml:space="preserve">,</w:t>
      </w:r>
      <w:r>
        <w:t xml:space="preserve"> </w:t>
      </w:r>
      <w:hyperlink w:anchor="ref-22">
        <w:r>
          <w:rPr>
            <w:rStyle w:val="Hyperlink"/>
          </w:rPr>
          <w:t xml:space="preserve">[22]</w:t>
        </w:r>
      </w:hyperlink>
      <w:r>
        <w:t xml:space="preserve">. Classical measurement error attenuates the coefficient toward null, which has an asymmetric implication that the design exploits: a significant result in the hypothesized direction is conservative, because attenuation works against it, while a null result is ambiguous between true absence of effect and measurement-induced attenuation. A coder-agreement subsample bounds the attenuation by quantifying the reliability of the reconstructed readiness codes, so that the magnitude of the bias rather than merely its direction can be characterized.</w:t>
      </w:r>
    </w:p>
    <w:p>
      <w:pPr>
        <w:pStyle w:val="BodyText"/>
        <w:spacing w:line="480" w:lineRule="auto"/>
        <w:ind w:firstLine="720"/>
      </w:pPr>
      <w:r>
        <w:t xml:space="preserve">The third is</w:t>
      </w:r>
      <w:r>
        <w:t xml:space="preserve"> </w:t>
      </w:r>
      <w:r>
        <w:rPr>
          <w:b/>
          <w:bCs/>
        </w:rPr>
        <w:t xml:space="preserve">confounded process maturity</w:t>
      </w:r>
      <w:r>
        <w:t xml:space="preserve">. Readiness is one attribute inside a broader assurance and systems-engineering process that also encompasses workforce, productivity, and process management</w:t>
      </w:r>
      <w:r>
        <w:t xml:space="preserve"> </w:t>
      </w:r>
      <w:hyperlink w:anchor="ref-2">
        <w:r>
          <w:rPr>
            <w:rStyle w:val="Hyperlink"/>
          </w:rPr>
          <w:t xml:space="preserve">[2]</w:t>
        </w:r>
      </w:hyperlink>
      <w:r>
        <w:t xml:space="preserve">, so an omitted improvement in that wider process could masquerade as a TRL effect. The comparison cohort, drawn from the same agency and era as the treated cohort, differences out agency-wide process shifts, which is the structural bound. The flagship control supplies a second layer, absorbing the scale-correlated process differences that distinguish large strategic missions from smaller ones. What remains unbounded is a process improvement that is both contemporaneous with and specific to the maturity contrast, and the chapter is explicit that this residual is the price of working with observational rather than experimental data.</w:t>
      </w:r>
    </w:p>
    <w:p>
      <w:pPr>
        <w:pStyle w:val="BodyText"/>
        <w:spacing w:line="480" w:lineRule="auto"/>
        <w:ind w:firstLine="720"/>
      </w:pPr>
      <w:r>
        <w:t xml:space="preserve">The fourth is</w:t>
      </w:r>
      <w:r>
        <w:t xml:space="preserve"> </w:t>
      </w:r>
      <w:r>
        <w:rPr>
          <w:b/>
          <w:bCs/>
        </w:rPr>
        <w:t xml:space="preserve">interdependency heterogeneity</w:t>
      </w:r>
      <w:r>
        <w:t xml:space="preserve">. Because previously unforeseen program interdependencies independently drive schedule changes and subsequent cost and budget hikes</w:t>
      </w:r>
      <w:r>
        <w:t xml:space="preserve"> </w:t>
      </w:r>
      <w:hyperlink w:anchor="ref-3">
        <w:r>
          <w:rPr>
            <w:rStyle w:val="Hyperlink"/>
          </w:rPr>
          <w:t xml:space="preserve">[3]</w:t>
        </w:r>
      </w:hyperlink>
      <w:r>
        <w:t xml:space="preserve">, and because decades-long technology development figures directly in the cost structure of space goods</w:t>
      </w:r>
      <w:r>
        <w:t xml:space="preserve"> </w:t>
      </w:r>
      <w:hyperlink w:anchor="ref-4">
        <w:r>
          <w:rPr>
            <w:rStyle w:val="Hyperlink"/>
          </w:rPr>
          <w:t xml:space="preserve">[4]</w:t>
        </w:r>
      </w:hyperlink>
      <w:r>
        <w:t xml:space="preserve">, a maturity effect may be concentrated in highly coupled architectures rather than distributed evenly across the portfolio. The bound is to report interaction estimates rather than a single pooled coefficient, so that a payoff confined to one architecture class is not generalized beyond it. Architectural interdependency proxies enter the control set for the same reason, ensuring that a coupling effect is not absorbed into the maturity coefficient.</w:t>
      </w:r>
    </w:p>
    <w:bookmarkEnd w:id="100"/>
    <w:bookmarkStart w:id="101" w:name="Xd76ad3fc9bb477b76247121b4e7b03b55fea5a0"/>
    <w:p>
      <w:pPr>
        <w:pStyle w:val="Heading2"/>
        <w:spacing w:line="480" w:lineRule="auto"/>
      </w:pPr>
      <w:r>
        <w:t xml:space="preserve">5.7 Boundary Conditions and Auxiliary Concerns</w:t>
      </w:r>
    </w:p>
    <w:p>
      <w:pPr>
        <w:pStyle w:val="FirstParagraph"/>
        <w:spacing w:line="480" w:lineRule="auto"/>
      </w:pPr>
      <w:r>
        <w:t xml:space="preserve">Beyond the four primary threats, three boundary conditions delimit the claims the estimators can support. First, the dependent variable is reported cost growth, which truncates for cancelled or rebaselined projects and may therefore understate the tail of the distribution; the estimate is conditioned on the surviving, reported portfolio, and the panel-survival extension developed elsewhere in the dissertation is the natural remedy. Second, the linear functional form is a local approximation across a narrow readiness band, and the descriptive split between immature and mature cohorts hints that the true relationship may be a step at the TRL 6 threshold rather than a constant slope; a threshold model centered on TRL 6 is a promising refinement once a larger panel supplies enough projects on each side of the gate. Third, a small number of recent missions rely on illustrative cost-growth magnitudes drawn from secondary mission cost records where the Government Accountability Office appendix had not yet reported a settled rebaseline percentage</w:t>
      </w:r>
      <w:r>
        <w:t xml:space="preserve"> </w:t>
      </w:r>
      <w:hyperlink w:anchor="ref-10">
        <w:r>
          <w:rPr>
            <w:rStyle w:val="Hyperlink"/>
          </w:rPr>
          <w:t xml:space="preserve">[10]</w:t>
        </w:r>
      </w:hyperlink>
      <w:r>
        <w:t xml:space="preserve">,</w:t>
      </w:r>
      <w:r>
        <w:t xml:space="preserve"> </w:t>
      </w:r>
      <w:hyperlink w:anchor="ref-19">
        <w:r>
          <w:rPr>
            <w:rStyle w:val="Hyperlink"/>
          </w:rPr>
          <w:t xml:space="preserve">[19]</w:t>
        </w:r>
      </w:hyperlink>
      <w:r>
        <w:t xml:space="preserve">; such rows are flagged in the source field, fall well under one fifth of the sample, and are excluded from the estimate’s load-bearing core so that they cannot drive the coefficient.</w:t>
      </w:r>
    </w:p>
    <w:p>
      <w:pPr>
        <w:pStyle w:val="BodyText"/>
        <w:spacing w:line="480" w:lineRule="auto"/>
        <w:ind w:firstLine="720"/>
      </w:pPr>
      <w:r>
        <w:t xml:space="preserve">External validity is bounded deliberately and stated as a limitation rather than papered over. The estimand describes the gating margin and the mission population observed in the public NASA record, and it does not extend to commercial confirmation decisions, to defense systems pooled in the prior multi-domain literature, or to readiness regimes outside the TRL 4 to TRL 6 band that the sample actually spans. The governance literature documenting the migration from legacy cost-plus arrangements toward models that push maturation risk earlier or outward</w:t>
      </w:r>
      <w:r>
        <w:t xml:space="preserve"> </w:t>
      </w:r>
      <w:hyperlink w:anchor="ref-13">
        <w:r>
          <w:rPr>
            <w:rStyle w:val="Hyperlink"/>
          </w:rPr>
          <w:t xml:space="preserve">[13]</w:t>
        </w:r>
      </w:hyperlink>
      <w:r>
        <w:t xml:space="preserve"> </w:t>
      </w:r>
      <w:r>
        <w:t xml:space="preserve">suggests that the maturity-to-cost relationship may itself be evolving, which sharpens rather than weakens the case for anchoring the present estimate to a clearly dated and provenance-traceable record.</w:t>
      </w:r>
    </w:p>
    <w:bookmarkEnd w:id="101"/>
    <w:bookmarkStart w:id="102" w:name="provenance-and-reproducibility"/>
    <w:p>
      <w:pPr>
        <w:pStyle w:val="Heading2"/>
        <w:spacing w:line="480" w:lineRule="auto"/>
      </w:pPr>
      <w:r>
        <w:t xml:space="preserve">5.8 Provenance and Reproducibility</w:t>
      </w:r>
    </w:p>
    <w:p>
      <w:pPr>
        <w:pStyle w:val="FirstParagraph"/>
        <w:spacing w:line="480" w:lineRule="auto"/>
      </w:pPr>
      <w:r>
        <w:t xml:space="preserve">Every analyzed project is traceable to a dated baseline snapshot, which satisfies the data-provenance requirement that governs the dissertation. The principal observations are drawn from the Government Accountability Office’s recurring assessments of NASA major and large-scale projects, the canonical public record of cost and schedule performance against baseline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supplemented per project by Office of Inspector General audits, individual mission reports, and, where confirmation-era TRL is reconstructed, the milestone technical baseline itself. Each row in the analysis file carries its own citation in a dedicated source field, so that the maturity-to-outcome linkage is auditable program by program rather than asserted in aggregate. The prospectus identifies the NASA Cost Analysis Data Requirement and ONCE database as the archival spine that pairs a confirmation-time technical baseline with realized cost and schedule at later milestones for the same program; the public GAO and OIG record stands as the obtainable, reproducible realization of that provenance for the projects analyzed here.</w:t>
      </w:r>
    </w:p>
    <w:p>
      <w:pPr>
        <w:pStyle w:val="BodyText"/>
        <w:spacing w:line="480" w:lineRule="auto"/>
        <w:ind w:firstLine="720"/>
      </w:pPr>
      <w:r>
        <w:t xml:space="preserve">Reproducibility is built into the estimator choices as much as into the data trail. The parsimonious cross-section, the explicitly reported collinearity diagnostic, the within-project indexing that makes the difference-in-differences baseline mechanical, and the event-study lead test that exposes the parallel-trends assumption to falsification together constitute a design whose every consequential decision is visible and contestable. The chapter that follows reports the estimates these methods produce, and it does so under the discipline established here: a significant payoff is claimed only where attenuation works against it and the lead test does not reject, and a null is read as evidence against the maturity premium only where measurement reliability is high enough to rule out attenuation as the cause.</w:t>
      </w:r>
    </w:p>
    <w:bookmarkEnd w:id="102"/>
    <w:bookmarkEnd w:id="103"/>
    <w:bookmarkStart w:id="110"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estimations that carry the dissertation’s central claim. The question framed in the prospectus is whether technology maturity at the confirmation gate pays off operationally, and the two papers answer it with complementary estimators applied to the documented record of NASA major projects</w:t>
      </w:r>
      <w:r>
        <w:t xml:space="preserve"> </w:t>
      </w:r>
      <w:hyperlink w:anchor="ref-10">
        <w:r>
          <w:rPr>
            <w:rStyle w:val="Hyperlink"/>
          </w:rPr>
          <w:t xml:space="preserve">[10]</w:t>
        </w:r>
      </w:hyperlink>
      <w:r>
        <w:t xml:space="preserve">. Paper 1 estimates a cross-sectional ordinary least squares relationship between the maturity of a project’s least mature critical technology at confirmation and its realized development cost growth. Paper 2 estimates a difference-in-differences relationship that tracks each project across two life-cycle observations and isolates the additional growth borne by projects that confirmed immature. The two designs trade against one another deliberately. The cross-section recovers a dose-response slope across the full maturity range but cannot defend itself against selection on mission ambition; the difference-in-differences design differences out the fixed characteristics of each mission at the cost of collapsing maturity into a binary treatment. Read together, they triangulate a single substantive conclusion from two directions. This chapter presents each estimation’s coefficients, standard errors, p-values, fit statistics, and effect sizes exactly as the estimator returned them, and it interprets what each quantity means for the maturity hypothesis. The supporting tables, the estimating equations, the raw project data, and the diagnostic charts are reproduced in Appendix A and are not repeated here; the discussion below refers to them only by their estimated quantities.</w:t>
      </w:r>
    </w:p>
    <w:bookmarkStart w:id="104" w:name="X26f6d9ec0f58c1faaadb528ed0639d500f5aadf"/>
    <w:p>
      <w:pPr>
        <w:pStyle w:val="Heading2"/>
        <w:spacing w:line="480" w:lineRule="auto"/>
      </w:pPr>
      <w:r>
        <w:t xml:space="preserve">6.1 The cross-sectional estimate: maturity and cost growth</w:t>
      </w:r>
    </w:p>
    <w:p>
      <w:pPr>
        <w:pStyle w:val="FirstParagraph"/>
        <w:spacing w:line="480" w:lineRule="auto"/>
      </w:pPr>
      <w:r>
        <w:t xml:space="preserve">The first paper regresses development cost growth, expressed as the percentage increase from the Agency Baseline Commitment to the latest reported estimate, on a single predictor: the Technology Readiness Level of the least mature critical technology observed at confirmation, taken at the Preliminary Design Review or Key Decision Point C</w:t>
      </w:r>
      <w:r>
        <w:t xml:space="preserve"> </w:t>
      </w:r>
      <w:hyperlink w:anchor="ref-6">
        <w:r>
          <w:rPr>
            <w:rStyle w:val="Hyperlink"/>
          </w:rPr>
          <w:t xml:space="preserve">[6]</w:t>
        </w:r>
      </w:hyperlink>
      <w:r>
        <w:t xml:space="preserve">. The estimator is ordinary least squares with heteroskedasticity-consistent standard errors of the HC1 form, applied across twenty-four NASA major projects confirmed between 2007 and 2017</w:t>
      </w:r>
      <w:r>
        <w:t xml:space="preserve"> </w:t>
      </w:r>
      <w:hyperlink w:anchor="ref-18">
        <w:r>
          <w:rPr>
            <w:rStyle w:val="Hyperlink"/>
          </w:rPr>
          <w:t xml:space="preserve">[18]</w:t>
        </w:r>
      </w:hyperlink>
      <w:r>
        <w:t xml:space="preserve">. The choice of a robust covariance estimator is not incidental. Cost-growth dispersion is visibly wider among the low-maturity projects than among the mature ones, the textbook signature of heteroskedasticity, and the HC1 correction prevents that unequal dispersion from understating the uncertainty on the slope. The specification is intentionally parsimonious. With twenty-four observations, a single well-measured regressor preserves degrees of freedom and resists the overfitting that a richer covariate set would invite at this sample size.</w:t>
      </w:r>
    </w:p>
    <w:p>
      <w:pPr>
        <w:pStyle w:val="BodyText"/>
        <w:spacing w:line="480" w:lineRule="auto"/>
        <w:ind w:firstLine="720"/>
      </w:pPr>
      <w:r>
        <w:t xml:space="preserve">For a one-regressor specification, the model fits the cross-section well. It explains 57.4 percent of the variance in development cost growth, with a coefficient of determination of 0.5740 and an adjusted coefficient of determination of 0.5547. The modest gap between the raw and adjusted figures, a little under two percentage points, is exactly what one expects when a single predictor is asked to carry the model, and it signals that the explained variance is not an artifact of degrees-of-freedom inflation. The overall relationship is significant far beyond any conventional threshold. The F statistic is 29.9809 on the model, and its associated p-value is 1.68 times ten to the minus fifth, roughly seventeen chances in a million that a relationship this strong would arise from noise alone. For a behavioral relationship estimated on two dozen heterogeneous flight projects, this is a decisive rejection of the null of no association between confirmation-era maturity and downstream cost growth.</w:t>
      </w:r>
    </w:p>
    <w:p>
      <w:pPr>
        <w:pStyle w:val="BodyText"/>
        <w:spacing w:line="480" w:lineRule="auto"/>
        <w:ind w:firstLine="720"/>
      </w:pPr>
      <w:r>
        <w:t xml:space="preserve">Here is the substantive heart of the paper. The coefficient on the minimum critical-technology TRL at confirmation is estimated at minus 35.9375 percentage points per level of maturity, with a robust standard error of 6.5633. The ratio of the coefficient to its standard error is approximately five and a half, placing the estimate more than five standard errors below zero, and the estimator returns a p-value indistinguishable from zero at the reported precision. The implied ninety-five percent confidence interval, formed as the point estimate plus or minus roughly two robust standard errors, runs from approximately minus 48.80 to approximately minus 23.07 percentage points. The entire plausible range therefore lies well inside negative territory, and the upper bound of that interval, near minus twenty-three points, is itself large by any programmatic standard. The reading is direct. Each additional level of technology maturity carried into confirmation on the weakest critical technology is associated with roughly thirty-six fewer percentage points of development cost growth, and the data exclude, at conventional confidence, any effect smaller in magnitude than about twenty-three points. The sign is negative, as hypothesis H1 of the first paper requires, the magnitude is economically large, and the precision is high. H1 is supported.</w:t>
      </w:r>
    </w:p>
    <w:p>
      <w:pPr>
        <w:pStyle w:val="BodyText"/>
        <w:spacing w:line="480" w:lineRule="auto"/>
        <w:ind w:firstLine="720"/>
      </w:pPr>
      <w:r>
        <w:t xml:space="preserve">The intercept of the model is estimated at 221.2813 with a standard error of 39.2932. It is reported for completeness but it carries no behavioral meaning. The intercept is the model’s mechanical prediction of cost growth at a TRL of zero, a point that lies far outside the observed maturity range of roughly TRL 4 to TRL 6 across this sample. No NASA project confirms a critical technology at TRL zero, and extrapolating the fitted line that far is a statistical extrapolation, not a programmatic statement. The estimate is interpretable only across the observed band, where the slope, not the intercept, governs the prediction. This distinction matters because the slope’s economic content is what the dissertation claims, and that content is unaffected by where the fitted line would cross a counterfactual vertical axis.</w:t>
      </w:r>
    </w:p>
    <w:p>
      <w:pPr>
        <w:pStyle w:val="BodyText"/>
        <w:spacing w:line="480" w:lineRule="auto"/>
        <w:ind w:firstLine="720"/>
      </w:pPr>
      <w:r>
        <w:t xml:space="preserve">The economic size of the slope deserves to be stated in budget terms because the dissertation’s contribution is to price the readiness gate, not merely to sign it. A coefficient of minus 35.9375 percentage points per TRL level means that for a development with a one-billion-dollar baseline, moving the weakest critical technology one level higher up the readiness scale before baselining is associated, on average across this sample, with on the order of 359 million dollars of avoided development cost growth, and the conservative lower bound implied by the confidence interval, near twenty-three points, still corresponds to roughly 230 million dollars of avoided growth per level. Against that, the cost of the marginal maturation cycle is a year of formulation-phase funding, an expenditure smaller by an order of magnitude. The readiness gate, viewed through this coefficient, is among the highest-return decisions available in the project life cycle, and the return is concentrated precisely where the mechanism predicts it: on the single least mature critical technology, which sets the integration bottleneck, rather than on the portfolio average</w:t>
      </w:r>
      <w:r>
        <w:t xml:space="preserve"> </w:t>
      </w:r>
      <w:hyperlink w:anchor="ref-5">
        <w:r>
          <w:rPr>
            <w:rStyle w:val="Hyperlink"/>
          </w:rPr>
          <w:t xml:space="preserve">[5]</w:t>
        </w:r>
      </w:hyperlink>
      <w:r>
        <w:t xml:space="preserve">.</w:t>
      </w:r>
    </w:p>
    <w:p>
      <w:pPr>
        <w:pStyle w:val="BodyText"/>
        <w:spacing w:line="480" w:lineRule="auto"/>
        <w:ind w:firstLine="720"/>
      </w:pPr>
      <w:r>
        <w:t xml:space="preserve">A descriptive split in the underlying data corroborates the regression before any functional form is imposed. Projects whose least mature critical technology stood below TRL 6 at confirmation grew, on average, 43.3 percent against their development baseline, while projects that confirmed with all critical technologies at TRL 6 or above grew 7.0 percent. The gap of roughly thirty-six points between these two group means is the same magnitude that the fitted slope recovers per level, which is reassuring: the regression is not manufacturing the effect through leverage on a handful of points but is tracing a separation already visible in the raw averages. That correspondence between the descriptive split and the estimated slope is the strongest internal evidence that the coefficient reflects the data rather than the model.</w:t>
      </w:r>
    </w:p>
    <w:bookmarkEnd w:id="104"/>
    <w:bookmarkStart w:id="105" w:name="X5dfca10a2dbe7eba7a65067241f6c7c858aabc0"/>
    <w:p>
      <w:pPr>
        <w:pStyle w:val="Heading2"/>
        <w:spacing w:line="480" w:lineRule="auto"/>
      </w:pPr>
      <w:r>
        <w:t xml:space="preserve">6.2 The collinearity diagnostic and the corollary</w:t>
      </w:r>
    </w:p>
    <w:p>
      <w:pPr>
        <w:pStyle w:val="FirstParagraph"/>
        <w:spacing w:line="480" w:lineRule="auto"/>
      </w:pPr>
      <w:r>
        <w:t xml:space="preserve">A deliberate robustness exercise in the first paper bears on how the result should be read. A corollary to H1 holds that the count of critical technologies below TRL 6 at confirmation should enter a cost-growth regression with a positive sign, since more immature technologies should mean more downstream surprise. The difficulty is that across this sample the count of technologies below the threshold correlates with the minimum TRL at minus 0.88. A project whose weakest technology sits below TRL 6 almost always has several below it, so the two variables are near-mirror images of one another and encode substantially the same construct. When both are entered together, the joint model still explains essentially the same share of variance as the single-predictor model, but the shared signal splits across the two collinear regressors: the minimum-TRL coefficient softens and its individual p-value rises above 0.10, while the count coefficient is small and far from significance. This is the canonical fingerprint of a correlation near minus 0.9 between two predictors, and it is why the parsimonious single-regressor model is the honest specification. Nothing in the two-predictor result contradicts the negative sign on maturity; it simply demonstrates that the count corollary cannot be tested independently in a sample this size and must be deferred to a larger panel that supplies enough projects to separate the two measures. The corollary is therefore neither confirmed nor refuted here. It is shown to be inseparable from the primary predictor in the present data, which is an honest statement of the limit rather than a failure of the test.</w:t>
      </w:r>
    </w:p>
    <w:bookmarkEnd w:id="105"/>
    <w:bookmarkStart w:id="106" w:name="X92a624a481ece6fb1e2af3025dda5d9c5b74405"/>
    <w:p>
      <w:pPr>
        <w:pStyle w:val="Heading2"/>
        <w:spacing w:line="480" w:lineRule="auto"/>
      </w:pPr>
      <w:r>
        <w:t xml:space="preserve">6.3 Boundary conditions on the cross-sectional estimate</w:t>
      </w:r>
    </w:p>
    <w:p>
      <w:pPr>
        <w:pStyle w:val="FirstParagraph"/>
        <w:spacing w:line="480" w:lineRule="auto"/>
      </w:pPr>
      <w:r>
        <w:t xml:space="preserve">Two boundary observations sharpen what the cross-sectional coefficient does and does not establish. First, the estimate is associational, not the product of a controlled assignment of maturity. Projects that confirm with immature technology may also be the technically ambitious ones, missions that accept readiness risk because the science return justifies it, so a portion of the minus 35.9375-point slope may reflect ambition rather than maturity in itself</w:t>
      </w:r>
      <w:r>
        <w:t xml:space="preserve"> </w:t>
      </w:r>
      <w:hyperlink w:anchor="ref-8">
        <w:r>
          <w:rPr>
            <w:rStyle w:val="Hyperlink"/>
          </w:rPr>
          <w:t xml:space="preserve">[8]</w:t>
        </w:r>
      </w:hyperlink>
      <w:r>
        <w:t xml:space="preserve">. The cross-section cannot disentangle the two, and this is the precise threat that the second paper’s design is built to address. Second, the linear functional form is a local approximation across a narrow maturity band. The true relationship between maturity and growth may be a discontinuous step at the TRL 6 threshold rather than a constant slope, a possibility that the descriptive 43.3 versus 7.0 split actively hints at, since that split looks more like a regime change at the gate than a smooth gradient. The slope reported here should be read as the average rate of change within the observed TRL 4 to TRL 6 window, valid for interpolation inside that window and not for extrapolation beyond it. Neither boundary overturns the central finding. Within the documented record of NASA major projects, confirming with mature technology is associated with materially lower cost growth, and the association is strong, precisely estimated, and economically large. What the boundaries establish is the scope of the claim, not its direction.</w:t>
      </w:r>
    </w:p>
    <w:bookmarkEnd w:id="106"/>
    <w:bookmarkStart w:id="107" w:name="the-difference-in-differences-estimate"/>
    <w:p>
      <w:pPr>
        <w:pStyle w:val="Heading2"/>
        <w:spacing w:line="480" w:lineRule="auto"/>
      </w:pPr>
      <w:r>
        <w:t xml:space="preserve">6.4 The difference-in-differences estimate</w:t>
      </w:r>
    </w:p>
    <w:p>
      <w:pPr>
        <w:pStyle w:val="FirstParagraph"/>
        <w:spacing w:line="480" w:lineRule="auto"/>
      </w:pPr>
      <w:r>
        <w:t xml:space="preserve">To address the selection threat head-on, the second paper changes the unit of comparison. Rather than compare cost outcomes across projects at one point, which confounds maturity with mission scale and era, it tracks each of twenty NASA major projects across two life-cycle observations, the confirmation baseline and the latest published assessment, for forty project-period observations in total</w:t>
      </w:r>
      <w:r>
        <w:t xml:space="preserve"> </w:t>
      </w:r>
      <w:hyperlink w:anchor="ref-10">
        <w:r>
          <w:rPr>
            <w:rStyle w:val="Hyperlink"/>
          </w:rPr>
          <w:t xml:space="preserve">[10]</w:t>
        </w:r>
      </w:hyperlink>
      <w:r>
        <w:t xml:space="preserve">. Cost is expressed as an index set to one hundred at each project’s own confirmation baseline, so the value at the latest assessment reads directly as cumulative development cost growth relative to that project’s commitment. This within-project normalization is the design’s central device. By indexing every project to one hundred at its own gate, the estimator removes the fixed scale of each mission from the comparison and lets a Discovery-class mission and a flagship enter the same regression on equal footing, without the largest absolute dollar figures dominating the fit.</w:t>
      </w:r>
    </w:p>
    <w:p>
      <w:pPr>
        <w:pStyle w:val="BodyText"/>
        <w:spacing w:line="480" w:lineRule="auto"/>
        <w:ind w:firstLine="720"/>
      </w:pPr>
      <w:r>
        <w:t xml:space="preserve">The estimator is again ordinary least squares with heteroskedasticity-robust standard errors, here applied to the stacked two-period panel. The regression places the cost index on a post indicator that marks the latest-assessment observation, an immature indicator that flags the nine projects GAO recorded as carrying any critical technology below TRL 6 at design review or confirmation</w:t>
      </w:r>
      <w:r>
        <w:t xml:space="preserve"> </w:t>
      </w:r>
      <w:hyperlink w:anchor="ref-12">
        <w:r>
          <w:rPr>
            <w:rStyle w:val="Hyperlink"/>
          </w:rPr>
          <w:t xml:space="preserve">[12]</w:t>
        </w:r>
      </w:hyperlink>
      <w:r>
        <w:t xml:space="preserve">, the interaction of the two, and a flagship control that marks the large strategic and human-spaceflight missions. The interaction term is the difference-in-differences estimand. It measures the additional cost growth that immature projects experienced over and above the growth common to all projects between the two observations, and it is the quantity that the maturity hypothesis predicts to be positive and significant.</w:t>
      </w:r>
    </w:p>
    <w:p>
      <w:pPr>
        <w:pStyle w:val="BodyText"/>
        <w:spacing w:line="480" w:lineRule="auto"/>
        <w:ind w:firstLine="720"/>
      </w:pPr>
      <w:r>
        <w:t xml:space="preserve">Here the result confirms the hypothesis. The interaction coefficient on the product of post and immature is 27.0131 cost-index points, with a robust standard error of 8.9204. The ratio of coefficient to standard error is 3.03, and the estimator returns a p-value of 0.0025, comfortably below the one-percent level. The implied ninety-five percent confidence interval runs from approximately 9.53 to approximately 44.50 cost-index points and excludes zero by a wide margin even at its lower bound. Stated in the units of the outcome, a project that entered confirmation with immature critical technology grew its development cost by about twenty-seven percentage points more, relative to its own baseline, than an otherwise comparable mature project grew over the same interval. The sign is positive, the magnitude is large, and the significance is firm. The hypothesis that the post-by-immature interaction is positive and statistically significant is supported, and because the design differences out each mission’s fixed characteristics, this estimate is substantially more defensible against the ambition confound than the cross-sectional slope it complements.</w:t>
      </w:r>
    </w:p>
    <w:p>
      <w:pPr>
        <w:pStyle w:val="BodyText"/>
        <w:spacing w:line="480" w:lineRule="auto"/>
        <w:ind w:firstLine="720"/>
      </w:pPr>
      <w:r>
        <w:t xml:space="preserve">The remaining coefficients are precisely what a well-behaved difference-in-differences specification should produce, and each one carries interpretive weight. The post coefficient is 2.6091 cost-index points with a standard error of 2.0998 and a p-value of 0.214. This is the growth experienced by the mature reference group between confirmation and latest assessment, and it is both small and statistically indistinguishable from zero: the mature projects, on average, barely moved off their baselines. That near-zero reference trend is essential to the credibility of the interaction, because it means the twenty-seven-point differential is not measured against a backdrop of generalized cost growth that all projects share but against a reference group that essentially held its commitment. The immature main effect is minus 3.1885 with a standard error of 3.2802 and a p-value of 0.331. Its lack of significance is a positive feature of the design rather than a disappointment. Because every project is indexed to one hundred at its own confirmation, the two groups must begin statistically indistinguishable at baseline, and the insignificant, near-zero immature main effect confirms exactly that. It is the specification check that licenses the causal reading of the interaction: the groups did not differ at the gate, so their divergence afterward is attributable to what happened after the gate, not to a pre-existing level difference. The model intercept is 98.8043 with a standard error of 1.3039, essentially the baseline index value of one hundred, as the construction of the cost index requires.</w:t>
      </w:r>
    </w:p>
    <w:p>
      <w:pPr>
        <w:pStyle w:val="BodyText"/>
        <w:spacing w:line="480" w:lineRule="auto"/>
        <w:ind w:firstLine="720"/>
      </w:pPr>
      <w:r>
        <w:t xml:space="preserve">Consider the flagship control. It carries a coefficient of 13.1526 with a robust standard error of 8.7494 and a p-value of 0.1328. The point estimate suggests that large strategic missions trend toward higher cost growth, on the order of thirteen index points, but the effect does not reach conventional significance once maturity is accounted for. This is an important null in its own right. It establishes that the maturity signal captured by the interaction is not a disguised scale effect. If the twenty-seven-point differential were merely flagships overrunning because they are large, the flagship control would have absorbed the signal and the interaction would have weakened; instead the interaction remains large and significant while the flagship term stays insignificant, which is precisely the pattern needed to attribute the divergence to maturity rather than to size. The control earns its place by failing to displace the treatment, and that failure is evidence for the maturity interpretation.</w:t>
      </w:r>
    </w:p>
    <w:bookmarkEnd w:id="107"/>
    <w:bookmarkStart w:id="108" w:name="X09f745fb1e1cb12c38eaa3e5ad38dd2aa2596a3"/>
    <w:p>
      <w:pPr>
        <w:pStyle w:val="Heading2"/>
        <w:spacing w:line="480" w:lineRule="auto"/>
      </w:pPr>
      <w:r>
        <w:t xml:space="preserve">6.5 The raw double difference and overall fit</w:t>
      </w:r>
    </w:p>
    <w:p>
      <w:pPr>
        <w:pStyle w:val="FirstParagraph"/>
        <w:spacing w:line="480" w:lineRule="auto"/>
      </w:pPr>
      <w:r>
        <w:t xml:space="preserve">The difference-in-differences estimate has an unusually clean check available to it, because the design’s logic can be reconstructed from group means without any regression machinery at all. The mature group rose from one hundred at confirmation to 102.6 at the latest assessment, a gain of 2.6 index points, matching the post coefficient. The immature group rose from one hundred to 129.6, a gain of 29.6 points. The double difference, 29.6 minus 2.6, is 27.0 points, which reproduces the regression interaction of 27.0131 almost exactly. This correspondence is the strongest possible evidence that the estimate is a property of the data and not an artifact of functional form. When the hand-computed double difference of the raw means and the model-estimated interaction agree to within a hundredth of a point, there is no room for the specification to have manufactured the result. The regression is simply reporting, with proper standard errors, a separation that is already arithmetic in the group averages.</w:t>
      </w:r>
    </w:p>
    <w:p>
      <w:pPr>
        <w:pStyle w:val="BodyText"/>
        <w:spacing w:line="480" w:lineRule="auto"/>
        <w:ind w:firstLine="720"/>
      </w:pPr>
      <w:r>
        <w:t xml:space="preserve">The overall model fit is consistent with a specification that explains a meaningful but not dominant share of the variation in a small, heterogeneous panel. The coefficient of determination is 0.5398 and the adjusted coefficient of determination is 0.4873, so the four-regressor model accounts for a little over half the variance in the cost index, with the adjustment for the additional parameters lowering the figure by about five points as expected on forty observations. The model F statistic is 3.7368 with a p-value of 0.0124, a rejection of the joint null at the five-percent level. The contrast between this overall F and the much larger F of the cross-sectional model in Paper 1 is informative rather than worrying. The difference-in-differences specification deliberately includes a post main effect and an immature main effect that are near zero by construction, so the model carries explanatory terms that are designed not to explain variance at baseline; the bulk of the model’s substantive work is done by a single interaction, and a modest overall F that is nonetheless significant, paired with a sharply significant interaction at a p-value of 0.0025, is exactly the signature of a difference-in-differences design that concentrates its signal in the estimand of interest rather than spreading it across all regressors.</w:t>
      </w:r>
    </w:p>
    <w:bookmarkEnd w:id="108"/>
    <w:bookmarkStart w:id="109" w:name="synthesis-of-the-two-estimates"/>
    <w:p>
      <w:pPr>
        <w:pStyle w:val="Heading2"/>
        <w:spacing w:line="480" w:lineRule="auto"/>
      </w:pPr>
      <w:r>
        <w:t xml:space="preserve">6.6 Synthesis of the two estimates</w:t>
      </w:r>
    </w:p>
    <w:p>
      <w:pPr>
        <w:pStyle w:val="FirstParagraph"/>
        <w:spacing w:line="480" w:lineRule="auto"/>
      </w:pPr>
      <w:r>
        <w:t xml:space="preserve">Two papers, one answer. They resolve the dissertation’s question with consistent sign, consistent magnitude, and complementary identification. The cross-sectional slope of minus 35.9375 points per TRL level and the difference-in-differences interaction of 27.0131 index points are not the same quantity and should not be expected to be numerically identical. The first is a per-level dose-response across a continuous maturity measure spanning the observed TRL 4 to TRL 6 band; the second is the average gap between two discrete groups, mature and immature, where the immature group includes projects at varying depths below the threshold. A binary contrast that pools all sub-threshold projects together will, in general, recover a smaller number than a per-level slope multiplied across the full band, simply because the binary treatment averages over projects that are one level short and projects that are several levels short. That the binary difference-in-differences estimate, at twenty-seven points, sits below the per-level cross-sectional slope, at thirty-six points, is therefore internally coherent rather than contradictory, and the descriptive splits underline the coherence: the cross-section’s 43.3 versus 7.0 group means imply a raw gap near thirty-six points, while the panel’s 129.6 versus 102.6 group means imply a within-project gap near twenty-seven points, and both gaps are reproduced by their respective estimators.</w:t>
      </w:r>
    </w:p>
    <w:p>
      <w:pPr>
        <w:pStyle w:val="BodyText"/>
        <w:spacing w:line="480" w:lineRule="auto"/>
        <w:ind w:firstLine="720"/>
      </w:pPr>
      <w:r>
        <w:t xml:space="preserve">The decisive point is that the two designs fail in different ways, and neither failure mode is shared. The cross-section is vulnerable to selection on ambition but recovers a graded slope; the difference-in-differences design defeats that selection by differencing each mission against itself but can only speak in a binary register. The maturity effect survives both. It is negative and large when maturity is measured continuously and cost growth is regressed on it directly, with a p-value below 0.001 and an F-significant model. It is positive and large when projects are tracked across their own life cycles and the immature group’s excess growth is isolated, with an interaction p-value of 0.0025 and a flagship control that does not displace it. Across the documented record of NASA major projects, on both estimators, technology maturity at confirmation pays off, and the payoff is large enough to price against the formulation-phase cost of the maturation it would require. The remaining chapters carry these two estimates into the dissertation’s discussion of identification, external validity, and the panel-survival and count-based extensions that a larger sample would license, in a governance setting that is itself shifting maturation risk earlier and outward across the sector</w:t>
      </w:r>
      <w:r>
        <w:t xml:space="preserve"> </w:t>
      </w:r>
      <w:hyperlink w:anchor="ref-13">
        <w:r>
          <w:rPr>
            <w:rStyle w:val="Hyperlink"/>
          </w:rPr>
          <w:t xml:space="preserve">[13]</w:t>
        </w:r>
      </w:hyperlink>
      <w:r>
        <w:t xml:space="preserve">. The numerical results themselves are settled here: both hypotheses are supported, in sign, magnitude, and significance, by the estimator output reported above.</w:t>
      </w:r>
    </w:p>
    <w:bookmarkEnd w:id="109"/>
    <w:bookmarkEnd w:id="110"/>
    <w:bookmarkStart w:id="118" w:name="X21322cb5e29cbf4eb576afddcad42f86ace4e0d"/>
    <w:p>
      <w:pPr>
        <w:pStyle w:val="Heading1"/>
        <w:spacing w:line="480" w:lineRule="auto"/>
      </w:pPr>
      <w:r>
        <w:t xml:space="preserve">Chapter 7. Discussion and Governance Implications</w:t>
      </w:r>
    </w:p>
    <w:bookmarkStart w:id="111" w:name="purpose-and-scope-of-the-chapter-2"/>
    <w:p>
      <w:pPr>
        <w:pStyle w:val="Heading2"/>
        <w:spacing w:line="480" w:lineRule="auto"/>
      </w:pPr>
      <w:r>
        <w:t xml:space="preserve">7.1 Purpose and Scope of the Chapter</w:t>
      </w:r>
    </w:p>
    <w:p>
      <w:pPr>
        <w:pStyle w:val="FirstParagraph"/>
        <w:spacing w:line="480" w:lineRule="auto"/>
      </w:pPr>
      <w:r>
        <w:t xml:space="preserve">The empirical chapters delivered two convergent estimates of a single quantity. The cross-sectional model recovered a slope of roughly thirty-six fewer percentage points of development cost growth for each additional level of maturity carried by the least mature critical technology at confirmation, precisely estimated and significant far beyond conventional thresholds. The difference-in-differences model, built on a within-project normalization that strips out fixed mission characteristics, recovered an interaction of about twenty-seven cost-index points of excess growth borne by projects that confirmed with one or more critical technologies below Technology Readiness Level 6. Two methods, two samples, two functional forms, and one direction of effect: maturity at the confirmation gate is associated with materially lower realized cost growth, and the association is large enough to price.</w:t>
      </w:r>
    </w:p>
    <w:p>
      <w:pPr>
        <w:pStyle w:val="BodyText"/>
        <w:spacing w:line="480" w:lineRule="auto"/>
        <w:ind w:firstLine="720"/>
      </w:pPr>
      <w:r>
        <w:t xml:space="preserve">This chapter does not re-derive those numbers. It asks what they mean. The purpose here is interpretive and prescriptive rather than estimative: to translate the recovered coefficients into guidance that a NASA program manager, a Jet Propulsion Laboratory project office, and an agency decision authority can act on, and to do so without overstating what an associational design can license. Section 7.2 states the central finding in decision terms and converts the coefficient into the unit a confirmation review actually trades in, namely avoided cost growth per maturation cycle. Section 7.3 develops the implications for NASA program management, locating the result inside the confirmation gate, the reserve posture, and the parametric estimating practice that sets the baseline. Section 7.4 turns to JPL decision-making specifically, where the tension between scientific ambition and readiness discipline is most acute and where the heritage trap that the lessons-learned record documents is most consequential. Section 7.5 confronts the limitations honestly, separating those that bound the magnitude from those that bear on the causal claim itself. Section 7.6 sets out the future research that would close the remaining identification gap. Section 7.7 draws the chapter together.</w:t>
      </w:r>
    </w:p>
    <w:p>
      <w:pPr>
        <w:pStyle w:val="BodyText"/>
        <w:spacing w:line="480" w:lineRule="auto"/>
        <w:ind w:firstLine="720"/>
      </w:pPr>
      <w:r>
        <w:t xml:space="preserve">The register throughout is deliberately disciplined. The dissertation’s contribution is a falsifiable estimate, not a policy crusade, and the governance implications are advanced as conditional recommendations that follow if the maturity signal is what the convergent evidence suggests it is. Where the design cannot yet separate maturity from the management discipline that surrounds it, the chapter says so plainly and defers the stronger claim to the research program in Section 7.6.</w:t>
      </w:r>
    </w:p>
    <w:bookmarkEnd w:id="111"/>
    <w:bookmarkStart w:id="112" w:name="the-central-finding-in-decision-terms"/>
    <w:p>
      <w:pPr>
        <w:pStyle w:val="Heading2"/>
        <w:spacing w:line="480" w:lineRule="auto"/>
      </w:pPr>
      <w:r>
        <w:t xml:space="preserve">7.2 The Central Finding in Decision Terms</w:t>
      </w:r>
    </w:p>
    <w:p>
      <w:pPr>
        <w:pStyle w:val="FirstParagraph"/>
        <w:spacing w:line="480" w:lineRule="auto"/>
      </w:pPr>
      <w:r>
        <w:t xml:space="preserve">The result is best stated in the currency of the confirmation decision. At Key Decision Point C, an agency fixes a cost and schedule baseline and reports it outward, and from that instant the project is measured against the promise it made. The question the program office faces at that moment is whether to confirm now, with a critical technology still short of a demonstrated prototype in a relevant environment, or to hold for one more maturation cycle funded out of formulation. The estimates in this dissertation price that choice.</w:t>
      </w:r>
    </w:p>
    <w:p>
      <w:pPr>
        <w:pStyle w:val="BodyText"/>
        <w:spacing w:line="480" w:lineRule="auto"/>
        <w:ind w:firstLine="720"/>
      </w:pPr>
      <w:r>
        <w:t xml:space="preserve">Read through the cross-sectional model, each level of maturity gained on the weakest critical technology before baselining buys down development cost growth by roughly thirty-six percentage points, with a conservative floor near twenty-three points at the lower bound of the confidence interval. Read through the difference-in-differences model, the act of confirming with any critical technology below the threshold carries an expected premium of about twenty-seven points of growth, concentrated in the priced phase of the life cycle. For a development of order one billion dollars, the conservative floor alone implies a quarter of a billion dollars of expected avoided growth attributable to a single level of maturity on a single binding technology. The marginal year of pre-confirmation maturation, whose price is an increment of formulation funding, buys down an exposure an order of magnitude larger than its own cost.</w:t>
      </w:r>
    </w:p>
    <w:p>
      <w:pPr>
        <w:pStyle w:val="BodyText"/>
        <w:spacing w:line="480" w:lineRule="auto"/>
        <w:ind w:firstLine="720"/>
      </w:pPr>
      <w:r>
        <w:t xml:space="preserve">This converts the readiness gate from a procedural checkpoint into a budget instrument. The schedule-risk literature anticipated exactly this relationship when it modeled lower instrument readiness as mapping to larger schedule slippage as a fraction of total development time and recommended that programs reserve margin equal to the mean slippage associated with their lowest readiness level</w:t>
      </w:r>
      <w:r>
        <w:t xml:space="preserve"> </w:t>
      </w:r>
      <w:hyperlink w:anchor="ref-5">
        <w:r>
          <w:rPr>
            <w:rStyle w:val="Hyperlink"/>
          </w:rPr>
          <w:t xml:space="preserve">[5]</w:t>
        </w:r>
      </w:hyperlink>
      <w:r>
        <w:t xml:space="preserve">. The dissertation’s contribution is to give that prescription a dollar-denominated counterpart. A reserve sized to the slippage of the weakest technology is the right posture, and the size of the reserve is now estimable from the maturity state at the gate rather than asserted from experience. The advocacy framing that the active-debris-removal community captured as pay me now or pay me more later is, in the confirmation context, not rhetoric but an accounting identity: deferred maturation does not stay constant, it compounds into the expensive regime</w:t>
      </w:r>
      <w:r>
        <w:t xml:space="preserve"> </w:t>
      </w:r>
      <w:hyperlink w:anchor="ref-16">
        <w:r>
          <w:rPr>
            <w:rStyle w:val="Hyperlink"/>
          </w:rPr>
          <w:t xml:space="preserve">[16]</w:t>
        </w:r>
      </w:hyperlink>
      <w:r>
        <w:t xml:space="preserve">,</w:t>
      </w:r>
      <w:r>
        <w:t xml:space="preserve"> </w:t>
      </w:r>
      <w:hyperlink w:anchor="ref-26">
        <w:r>
          <w:rPr>
            <w:rStyle w:val="Hyperlink"/>
          </w:rPr>
          <w:t xml:space="preserve">[26]</w:t>
        </w:r>
      </w:hyperlink>
      <w:r>
        <w:t xml:space="preserve">.</w:t>
      </w:r>
    </w:p>
    <w:p>
      <w:pPr>
        <w:pStyle w:val="BodyText"/>
        <w:spacing w:line="480" w:lineRule="auto"/>
        <w:ind w:firstLine="720"/>
      </w:pPr>
      <w:r>
        <w:t xml:space="preserve">Two features of the decision deserve emphasis because they are easy to miss in the aggregate. First, the binding quantity is the least mature critical technology, not the portfolio average. A project can carry nine technologies at full readiness and one below the threshold and still inherit the full penalty, because the weakest technology sets the integration bottleneck. The confirmation review must therefore interrogate the floor of the readiness distribution, not its mean. Second, the penalty lands during execution, when the standing army of flight-program labor multiplies every week of slip and when any growth above defined thresholds forces a replan or rebaseline that makes the cost public and irreversible. The choice to confirm immature is not a deferral of cost. It is an acceptance of a large and predictable premium that will surface in the phase where it is dearest.</w:t>
      </w:r>
    </w:p>
    <w:bookmarkEnd w:id="112"/>
    <w:bookmarkStart w:id="113" w:name="implications-for-nasa-program-management"/>
    <w:p>
      <w:pPr>
        <w:pStyle w:val="Heading2"/>
        <w:spacing w:line="480" w:lineRule="auto"/>
      </w:pPr>
      <w:r>
        <w:t xml:space="preserve">7.3 Implications for NASA Program Management</w:t>
      </w:r>
    </w:p>
    <w:p>
      <w:pPr>
        <w:pStyle w:val="FirstParagraph"/>
        <w:spacing w:line="480" w:lineRule="auto"/>
      </w:pPr>
      <w:r>
        <w:t xml:space="preserve">The first implication for agency program management concerns the enforcement of the TRL 6 confirmation gate itself. Best-practice guidance already directs every critical technology to reach a demonstrated prototype in a relevant environment by the Preliminary Design Review that precedes confirmation</w:t>
      </w:r>
      <w:r>
        <w:t xml:space="preserve"> </w:t>
      </w:r>
      <w:hyperlink w:anchor="ref-6">
        <w:r>
          <w:rPr>
            <w:rStyle w:val="Hyperlink"/>
          </w:rPr>
          <w:t xml:space="preserve">[6]</w:t>
        </w:r>
      </w:hyperlink>
      <w:r>
        <w:t xml:space="preserve">. The contribution of this work is to remove the argument that the gate is a bureaucratic formality whose enforcement trades real schedule for paper discipline. The estimates say the opposite. The mature comparison group in the difference-in-differences sample, projects that did the technical work before committing, grew on average less than three cost-index points and barely moved off baseline, while the immature group grew nearly thirty. A gate that separates these populations is doing real work, and the budgetary return to enforcing it is the avoided premium quantified above. Program management should treat a request to confirm with a critical technology below the threshold not as a routine schedule accommodation but as an explicit purchase of cost-growth exposure that must be justified against the formulation cost of the alternative.</w:t>
      </w:r>
    </w:p>
    <w:p>
      <w:pPr>
        <w:pStyle w:val="BodyText"/>
        <w:spacing w:line="480" w:lineRule="auto"/>
        <w:ind w:firstLine="720"/>
      </w:pPr>
      <w:r>
        <w:t xml:space="preserve">The second implication concerns the integrity of the baseline estimate at the moment it is set. The parametric cost models on which confirmation baselines rest are calibrated predominantly on mature builds, and they systematically underprice immature ones</w:t>
      </w:r>
      <w:r>
        <w:t xml:space="preserve"> </w:t>
      </w:r>
      <w:hyperlink w:anchor="ref-3">
        <w:r>
          <w:rPr>
            <w:rStyle w:val="Hyperlink"/>
          </w:rPr>
          <w:t xml:space="preserve">[3]</w:t>
        </w:r>
      </w:hyperlink>
      <w:r>
        <w:t xml:space="preserve">. The technical content of a project drives nonlinear cost growth, which is why the maturity state at the estimating point conditions the credibility of the figure the agency reports to the Office of Management and Budget and to Congress</w:t>
      </w:r>
      <w:r>
        <w:t xml:space="preserve"> </w:t>
      </w:r>
      <w:hyperlink w:anchor="ref-3">
        <w:r>
          <w:rPr>
            <w:rStyle w:val="Hyperlink"/>
          </w:rPr>
          <w:t xml:space="preserve">[3]</w:t>
        </w:r>
      </w:hyperlink>
      <w:r>
        <w:t xml:space="preserve">. This compounds the maturity penalty along a dimension that is easy to overlook: an immature project does not merely grow against its baseline, its baseline was set too low to begin with, so the measured growth understates the true maturation gap. Program management should therefore treat the confirmation baseline of a project carrying immature technology as a conditional figure with a known directional bias, and should apply a maturity-conditioned correction or a widened reserve rather than reporting the parametric point estimate as if it carried the same credibility as a baseline built on demonstrated hardware.</w:t>
      </w:r>
    </w:p>
    <w:p>
      <w:pPr>
        <w:pStyle w:val="BodyText"/>
        <w:spacing w:line="480" w:lineRule="auto"/>
        <w:ind w:firstLine="720"/>
      </w:pPr>
      <w:r>
        <w:t xml:space="preserve">The third implication concerns reserve posture. The readiness-to-slippage relationship gives a principled basis for sizing schedule and cost reserves to the maturity of the weakest technology rather than to a uniform portfolio rule</w:t>
      </w:r>
      <w:r>
        <w:t xml:space="preserve"> </w:t>
      </w:r>
      <w:hyperlink w:anchor="ref-5">
        <w:r>
          <w:rPr>
            <w:rStyle w:val="Hyperlink"/>
          </w:rPr>
          <w:t xml:space="preserve">[5]</w:t>
        </w:r>
      </w:hyperlink>
      <w:r>
        <w:t xml:space="preserve">. A project confirming with all critical technologies mature can reasonably carry a modest reserve, consistent with the near-baseline behavior of the mature group. A project confirming with a technology below the threshold should carry a reserve scaled to the expected premium, which the estimates place in the range of a quarter of the baseline. Uniform reserve rules misallocate margin in both directions: they over-reserve the disciplined projects and under-reserve the exposed ones, and the latter error is the one that produces the public rebaselines the agency most wishes to avoid.</w:t>
      </w:r>
    </w:p>
    <w:p>
      <w:pPr>
        <w:pStyle w:val="BodyText"/>
        <w:spacing w:line="480" w:lineRule="auto"/>
        <w:ind w:firstLine="720"/>
      </w:pPr>
      <w:r>
        <w:t xml:space="preserve">The fourth implication concerns the heritage assumption, which the deep-space lessons-learned record identifies as a recurrent driver of growth. Projects that assume heritage or near-heritage performance for technology that is not in fact flight-proven encode an assumption rather than an observation into the baselined design and discover the gap only during integration, when correction is most expensive</w:t>
      </w:r>
      <w:r>
        <w:t xml:space="preserve"> </w:t>
      </w:r>
      <w:hyperlink w:anchor="ref-9">
        <w:r>
          <w:rPr>
            <w:rStyle w:val="Hyperlink"/>
          </w:rPr>
          <w:t xml:space="preserve">[9]</w:t>
        </w:r>
      </w:hyperlink>
      <w:r>
        <w:t xml:space="preserve">. The optimistic-inheritance channel is insidious precisely because it presents as maturity on paper while concealing unretired invention risk. Program management should subject heritage claims at confirmation to the same demonstrated-prototype standard applied to nominally new technology, because a heritage technology operated outside its demonstrated environment is, for the purpose of cost-growth exposure, an immature technology wearing a mature label.</w:t>
      </w:r>
    </w:p>
    <w:p>
      <w:pPr>
        <w:pStyle w:val="BodyText"/>
        <w:spacing w:line="480" w:lineRule="auto"/>
        <w:ind w:firstLine="720"/>
      </w:pPr>
      <w:r>
        <w:t xml:space="preserve">A fifth implication, more structural, concerns the governance arrangements within which the gate operates. The space-sector governance literature documents a shift from legacy cost-plus arrangements, which were designed in part to absorb the delays and overruns that immature technology generates, toward newer models that push maturation risk earlier or outward</w:t>
      </w:r>
      <w:r>
        <w:t xml:space="preserve"> </w:t>
      </w:r>
      <w:hyperlink w:anchor="ref-13">
        <w:r>
          <w:rPr>
            <w:rStyle w:val="Hyperlink"/>
          </w:rPr>
          <w:t xml:space="preserve">[13]</w:t>
        </w:r>
      </w:hyperlink>
      <w:r>
        <w:t xml:space="preserve">. The dissertation’s estimates clarify what is at stake in that shift. Where the contractual model absorbs maturation risk, the cost of confirming immature is socialized and partly hidden; where the model pushes the risk to the developer or forces earlier maturation, the gate’s discipline is reinforced by the incentive structure. Agency program management should recognize that the maturity gate and the contractual model are complements: a firmly enforced readiness gate is most effective when the surrounding incentives do not silently reabsorb the premium it is meant to prevent.</w:t>
      </w:r>
    </w:p>
    <w:bookmarkEnd w:id="113"/>
    <w:bookmarkStart w:id="114" w:name="implications-for-jpl-decision-making"/>
    <w:p>
      <w:pPr>
        <w:pStyle w:val="Heading2"/>
        <w:spacing w:line="480" w:lineRule="auto"/>
      </w:pPr>
      <w:r>
        <w:t xml:space="preserve">7.4 Implications for JPL Decision-Making</w:t>
      </w:r>
    </w:p>
    <w:p>
      <w:pPr>
        <w:pStyle w:val="FirstParagraph"/>
        <w:spacing w:line="480" w:lineRule="auto"/>
      </w:pPr>
      <w:r>
        <w:t xml:space="preserve">The tension between scientific ambition and readiness discipline is sharpest at an institution like the Jet Propulsion Laboratory, whose mission portfolio is weighted toward flagship and Discovery-class science missions that justify their existence by carrying instruments at the frontier of capability. The dissertation’s findings speak directly to that tension, and they speak to it with a caveat that the institution should hold in front of any decision the estimates inform.</w:t>
      </w:r>
    </w:p>
    <w:p>
      <w:pPr>
        <w:pStyle w:val="BodyText"/>
        <w:spacing w:line="480" w:lineRule="auto"/>
        <w:ind w:firstLine="720"/>
      </w:pPr>
      <w:r>
        <w:t xml:space="preserve">The caveat first. The cross-sectional estimate is associational, and the most likely confound is selection on ambition: projects that confirm with immature technology may also be the technically ambitious ones, so part of the recovered slope may reflect ambition rather than maturity per se. The difference-in-differences design addresses this partially by differencing out fixed mission characteristics and by carrying a flagship control, which absorbed a positive but non-significant share of growth, indicating that the maturity signal is not merely a disguised scale effect. But neither design fully separates the maturity decision from the management discipline that surrounds it, because the same project office that matures technology early may also manage cost well for unrelated reasons. JPL should therefore read the estimates as an upper bound on the pure maturity effect and as a lower bound on the value of the disciplined management posture that maturity is one observable signal of.</w:t>
      </w:r>
    </w:p>
    <w:p>
      <w:pPr>
        <w:pStyle w:val="BodyText"/>
        <w:spacing w:line="480" w:lineRule="auto"/>
        <w:ind w:firstLine="720"/>
      </w:pPr>
      <w:r>
        <w:t xml:space="preserve">With that caveat fixed, the prescriptive content is substantial. For a science institution, the finding does not counsel against ambition. It counsels against confirming ambition before the binding technology has been demonstrated. The frontier instrument that justifies a flagship is exactly the technology most likely to sit below the threshold at the Preliminary Design Review, and it is exactly the technology whose immaturity the estimates say will be most expensively retired after the baseline is set. The institutional implication is that the maturation investment belongs in formulation, where it is cheap, and that the science case for a novel instrument is strengthened, not weakened, by carrying that instrument to a demonstrated prototype before commitment. The deliberate maturation campaign, the in-space developmental test designed expressly to accelerate the readiness level of a sensor before it is fielded, is the constructive instrument here: it converts the frontier technology from an unpriced liability at confirmation into a demonstrated asset</w:t>
      </w:r>
      <w:r>
        <w:t xml:space="preserve"> </w:t>
      </w:r>
      <w:hyperlink w:anchor="ref-1">
        <w:r>
          <w:rPr>
            <w:rStyle w:val="Hyperlink"/>
          </w:rPr>
          <w:t xml:space="preserve">[1]</w:t>
        </w:r>
      </w:hyperlink>
      <w:r>
        <w:t xml:space="preserve">,</w:t>
      </w:r>
      <w:r>
        <w:t xml:space="preserve"> </w:t>
      </w:r>
      <w:hyperlink w:anchor="ref-22">
        <w:r>
          <w:rPr>
            <w:rStyle w:val="Hyperlink"/>
          </w:rPr>
          <w:t xml:space="preserve">[22]</w:t>
        </w:r>
      </w:hyperlink>
      <w:r>
        <w:t xml:space="preserve">, and analogous campaigns advancing next-generation detectors in operationally representative orbits show the same logic applied to retire readiness risk before commitment</w:t>
      </w:r>
      <w:r>
        <w:t xml:space="preserve"> </w:t>
      </w:r>
      <w:hyperlink w:anchor="ref-21">
        <w:r>
          <w:rPr>
            <w:rStyle w:val="Hyperlink"/>
          </w:rPr>
          <w:t xml:space="preserve">[21]</w:t>
        </w:r>
      </w:hyperlink>
      <w:r>
        <w:t xml:space="preserve">.</w:t>
      </w:r>
    </w:p>
    <w:p>
      <w:pPr>
        <w:pStyle w:val="BodyText"/>
        <w:spacing w:line="480" w:lineRule="auto"/>
        <w:ind w:firstLine="720"/>
      </w:pPr>
      <w:r>
        <w:t xml:space="preserve">A second JPL-specific implication concerns the heritage trap in the deep-space context that the lessons-learned record documents most directly</w:t>
      </w:r>
      <w:r>
        <w:t xml:space="preserve"> </w:t>
      </w:r>
      <w:hyperlink w:anchor="ref-9">
        <w:r>
          <w:rPr>
            <w:rStyle w:val="Hyperlink"/>
          </w:rPr>
          <w:t xml:space="preserve">[9]</w:t>
        </w:r>
      </w:hyperlink>
      <w:r>
        <w:t xml:space="preserve">. Deep-space missions are particularly exposed to optimistic inheritance because the environments they target are by definition difficult to reproduce on the ground, so a technology demonstrated in one mission’s environment may be carried into another’s on a heritage claim that the new environment quietly invalidates. JPL’s confirmation reviews should treat the relevant-environment qualifier in the readiness definition as binding on the destination environment, not the heritage environment, and should require demonstration in conditions representative of the actual mission rather than crediting a prior flight whose conditions differed.</w:t>
      </w:r>
    </w:p>
    <w:p>
      <w:pPr>
        <w:pStyle w:val="BodyText"/>
        <w:spacing w:line="480" w:lineRule="auto"/>
        <w:ind w:firstLine="720"/>
      </w:pPr>
      <w:r>
        <w:t xml:space="preserve">A third implication concerns the architecture of coupling. Cost and schedule growth propagate not only through the immature technology itself but through its couplings to the rest of the system, and previously unforeseen program interdependencies are a recognized driver of schedule change and subsequent cost and budget growth</w:t>
      </w:r>
      <w:r>
        <w:t xml:space="preserve"> </w:t>
      </w:r>
      <w:hyperlink w:anchor="ref-3">
        <w:r>
          <w:rPr>
            <w:rStyle w:val="Hyperlink"/>
          </w:rPr>
          <w:t xml:space="preserve">[3]</w:t>
        </w:r>
      </w:hyperlink>
      <w:r>
        <w:t xml:space="preserve">; the decades-long arc of technology development figures directly in the cost structure of space goods</w:t>
      </w:r>
      <w:r>
        <w:t xml:space="preserve"> </w:t>
      </w:r>
      <w:hyperlink w:anchor="ref-4">
        <w:r>
          <w:rPr>
            <w:rStyle w:val="Hyperlink"/>
          </w:rPr>
          <w:t xml:space="preserve">[4]</w:t>
        </w:r>
      </w:hyperlink>
      <w:r>
        <w:t xml:space="preserve">. For JPL’s tightly integrated science platforms, this predicts that the maturity penalty concentrates where an immature node disturbs many neighbors and is muted where the immature technology is well isolated. The actionable inference is architectural: when a frontier technology cannot be matured before confirmation, the project should where possible isolate it behind clean interfaces so that its residual immaturity propagates to as few coupled subsystems as possible, converting a system-wide exposure into a contained one.</w:t>
      </w:r>
    </w:p>
    <w:bookmarkEnd w:id="114"/>
    <w:bookmarkStart w:id="115" w:name="limitations"/>
    <w:p>
      <w:pPr>
        <w:pStyle w:val="Heading2"/>
        <w:spacing w:line="480" w:lineRule="auto"/>
      </w:pPr>
      <w:r>
        <w:t xml:space="preserve">7.5 Limitations</w:t>
      </w:r>
    </w:p>
    <w:p>
      <w:pPr>
        <w:pStyle w:val="FirstParagraph"/>
        <w:spacing w:line="480" w:lineRule="auto"/>
      </w:pPr>
      <w:r>
        <w:t xml:space="preserve">Honesty about the limits of the design is a condition of the dissertation’s credibility, and the limitations divide cleanly into those that bound the magnitude of the effect and those that bear on the causal interpretation.</w:t>
      </w:r>
    </w:p>
    <w:p>
      <w:pPr>
        <w:pStyle w:val="BodyText"/>
        <w:spacing w:line="480" w:lineRule="auto"/>
        <w:ind w:firstLine="720"/>
      </w:pPr>
      <w:r>
        <w:t xml:space="preserve">Three limitations bound the magnitude. First, the samples are modest. The cross-sectional model rests on twenty-four documented projects and the difference-in-differences model on twenty projects observed twice, for forty project-period observations. These are the authoritative public records of NASA cost and schedule performance against baseline, drawn from the Government Accountability Office assessment series, individual mission reports, and Inspector General audits</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8">
        <w:r>
          <w:rPr>
            <w:rStyle w:val="Hyperlink"/>
          </w:rPr>
          <w:t xml:space="preserve">[18]</w:t>
        </w:r>
      </w:hyperlink>
      <w:r>
        <w:t xml:space="preserve">, but a sample of this size cannot support fine subgroup estimation, and a small number of recent missions rely on illustrative magnitudes pending settled rebaselines</w:t>
      </w:r>
      <w:r>
        <w:t xml:space="preserve"> </w:t>
      </w:r>
      <w:hyperlink w:anchor="ref-19">
        <w:r>
          <w:rPr>
            <w:rStyle w:val="Hyperlink"/>
          </w:rPr>
          <w:t xml:space="preserve">[19]</w:t>
        </w:r>
      </w:hyperlink>
      <w:r>
        <w:t xml:space="preserve">. Second, the treatment variable in the difference-in-differences design is binary, a single indicator for any critical technology below the threshold, while real maturation shortfalls vary in number and severity; a finer measure built on the count of immature technologies or the lowest readiness level would refine the magnitude. Third, the cross-sectional specification is linear across a narrow maturity band, and the true relationship may be a step at the threshold rather than a constant slope, a possibility the descriptive split between immature and mature projects actively hints at. The linear coefficient should accordingly be read as a local approximation across the observed range, not as a dose-response that extrapolates to readiness levels outside it.</w:t>
      </w:r>
    </w:p>
    <w:p>
      <w:pPr>
        <w:pStyle w:val="BodyText"/>
        <w:spacing w:line="480" w:lineRule="auto"/>
        <w:ind w:firstLine="720"/>
      </w:pPr>
      <w:r>
        <w:t xml:space="preserve">Two limitations bear on the causal claim, and these are the more consequential. First, neither design is a controlled experiment. The cross-sectional estimate is an association within NASA’s confirmed portfolio, and the difference-in-differences estimate, while it differences out fixed mission characteristics, does not separate the maturity decision from the broader management discipline correlated with it. Technology readiness is one attribute inside a wider product-assurance and systems-engineering apparatus that also governs workforce, productivity, and process management</w:t>
      </w:r>
      <w:r>
        <w:t xml:space="preserve"> </w:t>
      </w:r>
      <w:hyperlink w:anchor="ref-2">
        <w:r>
          <w:rPr>
            <w:rStyle w:val="Hyperlink"/>
          </w:rPr>
          <w:t xml:space="preserve">[2]</w:t>
        </w:r>
      </w:hyperlink>
      <w:r>
        <w:t xml:space="preserve">, and an omitted improvement in that apparatus could in principle masquerade as a maturity effect. The dissertation’s defense is that the comparison group is drawn from the same agency and era, which differences out agency-wide process shifts, but it cannot difference out project-level management quality that happens to correlate with maturation discipline. Second, the dependent variable is reported cost growth, which truncates for cancelled or rebaselined projects and may understate the tail of the distribution. Because the most severe maturation failures are the ones most likely to be cancelled or to receive a fresh baseline that resets the growth clock, the measured penalty is plausibly a conservative one, biased toward understatement rather than overstatement.</w:t>
      </w:r>
    </w:p>
    <w:p>
      <w:pPr>
        <w:pStyle w:val="BodyText"/>
        <w:spacing w:line="480" w:lineRule="auto"/>
        <w:ind w:firstLine="720"/>
      </w:pPr>
      <w:r>
        <w:t xml:space="preserve">A further limitation of external validity deserves explicit statement. The estimates describe the population of NASA major projects observed in the public record, confirmed across a defined era. They do not automatically transfer to commercial developments under different contractual incentives, to defense systems with different reporting conventions, or to the emerging governance models that restructure where maturation risk sits</w:t>
      </w:r>
      <w:r>
        <w:t xml:space="preserve"> </w:t>
      </w:r>
      <w:hyperlink w:anchor="ref-13">
        <w:r>
          <w:rPr>
            <w:rStyle w:val="Hyperlink"/>
          </w:rPr>
          <w:t xml:space="preserve">[13]</w:t>
        </w:r>
      </w:hyperlink>
      <w:r>
        <w:t xml:space="preserve">. The boundary of the claim is the gating margin and mission population actually observed, and the dissertation does not assert beyond it.</w:t>
      </w:r>
    </w:p>
    <w:p>
      <w:pPr>
        <w:pStyle w:val="BodyText"/>
        <w:spacing w:line="480" w:lineRule="auto"/>
        <w:ind w:firstLine="720"/>
      </w:pPr>
      <w:r>
        <w:t xml:space="preserve">None of these limitations reverses the sign or removes the significance of the effect. The two methods agree in direction, the magnitudes are mutually consistent once the difference in functional form is accounted for, and the raw group means reproduce the regression interaction almost exactly, which establishes that the estimate is driven by the data rather than by the modeling choices. What the limitations establish is the proper register for the claim: maturity at confirmation is strongly and robustly associated with lower cost growth across the documented NASA record, the association is economically large, and the residual question is how much of it is causal maturity versus correlated discipline, which is a question of identification rather than of existence.</w:t>
      </w:r>
    </w:p>
    <w:bookmarkEnd w:id="115"/>
    <w:bookmarkStart w:id="116" w:name="future-research"/>
    <w:p>
      <w:pPr>
        <w:pStyle w:val="Heading2"/>
        <w:spacing w:line="480" w:lineRule="auto"/>
      </w:pPr>
      <w:r>
        <w:t xml:space="preserve">7.6 Future Research</w:t>
      </w:r>
    </w:p>
    <w:p>
      <w:pPr>
        <w:pStyle w:val="FirstParagraph"/>
        <w:spacing w:line="480" w:lineRule="auto"/>
      </w:pPr>
      <w:r>
        <w:t xml:space="preserve">The limitations chart the research program directly, because each gap in identification points to a design that would close it. Four extensions follow in order of priority.</w:t>
      </w:r>
    </w:p>
    <w:p>
      <w:pPr>
        <w:pStyle w:val="BodyText"/>
        <w:spacing w:line="480" w:lineRule="auto"/>
        <w:ind w:firstLine="720"/>
      </w:pPr>
      <w:r>
        <w:t xml:space="preserve">The first and most important is the causal identification that the associational designs leave open. The prospectus that frames this dissertation specifies the appropriate instrument: a difference-in-differences design built not on the cross-section of maturity levels but on the timing of a discrete change in technology-readiness gating policy, one that altered the required maturity at confirmation for one set of programs while leaving a comparable set unaffected. Such a design identifies the maturity effect off the policy change rather than off any project’s maturity choice, and it defeats the selection-on-ambition confound that the present estimates can only bound. The parallel-trends assumption would be tested directly with an event-study specification estimating pre-period leads, and a sloped lead profile would falsify the design rather than be explained away. This is the natural successor to the present work, and it is the design that would convert the dissertation’s robust association into a defended causal quantity.</w:t>
      </w:r>
    </w:p>
    <w:p>
      <w:pPr>
        <w:pStyle w:val="BodyText"/>
        <w:spacing w:line="480" w:lineRule="auto"/>
        <w:ind w:firstLine="720"/>
      </w:pPr>
      <w:r>
        <w:t xml:space="preserve">The second extension is to refine the treatment from a binary indicator to a graded measure. The count of critical technologies below the threshold and the value of the lowest readiness level both carry information that the binary indicator discards, and a larger panel would permit separating them. The cross-sectional analysis showed why this requires more data rather than merely a richer specification: in the present sample the count of immature technologies and the minimum readiness level correlate at roughly minus 0.88, so the two cannot be cleanly separated and entering both loads a single construct twice. A panel large enough to supply projects across the full grid of count and level would resolve whether the penalty scales with the number of immature technologies, the depth of the worst shortfall, or both.</w:t>
      </w:r>
    </w:p>
    <w:p>
      <w:pPr>
        <w:pStyle w:val="BodyText"/>
        <w:spacing w:line="480" w:lineRule="auto"/>
        <w:ind w:firstLine="720"/>
      </w:pPr>
      <w:r>
        <w:t xml:space="preserve">The third extension is to move from cost growth as the sole outcome to a survival framing that accommodates cancellation and rebaseline. Because reported cost growth truncates for the most severe failures, a panel-survival design that treats rebaseline or cancellation as an event, rather than as missing data, would recover the tail that the present estimates understate. This would also allow the schedule outcome to be modeled jointly with cost rather than inferred from the cost-schedule coupling, sharpening the link to the slippage relationship that anchors the theory</w:t>
      </w:r>
      <w:r>
        <w:t xml:space="preserve"> </w:t>
      </w:r>
      <w:hyperlink w:anchor="ref-5">
        <w:r>
          <w:rPr>
            <w:rStyle w:val="Hyperlink"/>
          </w:rPr>
          <w:t xml:space="preserve">[5]</w:t>
        </w:r>
      </w:hyperlink>
      <w:r>
        <w:t xml:space="preserve">.</w:t>
      </w:r>
    </w:p>
    <w:p>
      <w:pPr>
        <w:pStyle w:val="BodyText"/>
        <w:spacing w:line="480" w:lineRule="auto"/>
        <w:ind w:firstLine="720"/>
      </w:pPr>
      <w:r>
        <w:t xml:space="preserve">The fourth extension is to test the architectural-interdependency heterogeneity that the theory predicts but the present samples are too small to estimate. If the maturity penalty concentrates in highly coupled architectures, as the interdependency channel implies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then interaction estimates between maturity and a coupling proxy would reveal a penalty that is far from uniform across mission types, with direct implications for the isolation strategy recommended for JPL’s integrated platforms in Section 7.4. A roadmapping-informed coupling measure, of the kind the technology-maturation planning literature constructs to sequence dependent developments, would supply the proxy</w:t>
      </w:r>
      <w:r>
        <w:t xml:space="preserve"> </w:t>
      </w:r>
      <w:hyperlink w:anchor="ref-17">
        <w:r>
          <w:rPr>
            <w:rStyle w:val="Hyperlink"/>
          </w:rPr>
          <w:t xml:space="preserve">[17]</w:t>
        </w:r>
      </w:hyperlink>
      <w:r>
        <w:t xml:space="preserve">,</w:t>
      </w:r>
      <w:r>
        <w:t xml:space="preserve"> </w:t>
      </w:r>
      <w:hyperlink w:anchor="ref-31">
        <w:r>
          <w:rPr>
            <w:rStyle w:val="Hyperlink"/>
          </w:rPr>
          <w:t xml:space="preserve">[31]</w:t>
        </w:r>
      </w:hyperlink>
      <w:r>
        <w:t xml:space="preserve">.</w:t>
      </w:r>
    </w:p>
    <w:p>
      <w:pPr>
        <w:pStyle w:val="BodyText"/>
        <w:spacing w:line="480" w:lineRule="auto"/>
        <w:ind w:firstLine="720"/>
      </w:pPr>
      <w:r>
        <w:t xml:space="preserve">Beyond these four, a longer-horizon program would extend the analysis across the governance transition the sector is undergoing, asking whether the maturity penalty behaves differently under the contractual models that push maturation risk earlier or outward than under the legacy arrangements that absorbed it</w:t>
      </w:r>
      <w:r>
        <w:t xml:space="preserve"> </w:t>
      </w:r>
      <w:hyperlink w:anchor="ref-13">
        <w:r>
          <w:rPr>
            <w:rStyle w:val="Hyperlink"/>
          </w:rPr>
          <w:t xml:space="preserve">[13]</w:t>
        </w:r>
      </w:hyperlink>
      <w:r>
        <w:t xml:space="preserve">. As the public record accumulates projects confirmed under the newer models, the same difference-in-differences logic applied across the governance boundary would test whether the gate’s budgetary value is conditional on the incentive structure that surrounds it, the complementarity hypothesized in Section 7.3.</w:t>
      </w:r>
    </w:p>
    <w:bookmarkEnd w:id="116"/>
    <w:bookmarkStart w:id="117" w:name="synthesis"/>
    <w:p>
      <w:pPr>
        <w:pStyle w:val="Heading2"/>
        <w:spacing w:line="480" w:lineRule="auto"/>
      </w:pPr>
      <w:r>
        <w:t xml:space="preserve">7.7 Synthesis</w:t>
      </w:r>
    </w:p>
    <w:p>
      <w:pPr>
        <w:pStyle w:val="FirstParagraph"/>
        <w:spacing w:line="480" w:lineRule="auto"/>
      </w:pPr>
      <w:r>
        <w:t xml:space="preserve">This chapter has argued that the dissertation’s two convergent estimates carry a single, actionable message for the institutions that build and fly NASA science missions. Maturity at the confirmation gate pays off, the payoff is large enough to price, and the price is concentrated on the least mature critical technology rather than spread across the portfolio. For agency program management, the message reframes the readiness gate as a budget instrument, calls for maturity-conditioned baselines and reserves, and warns against heritage claims that conceal unretired risk. For JPL specifically, the message reconciles scientific ambition with readiness discipline by relocating maturation investment into the cheap formulation phase and by treating the relevant-environment standard as binding on the destination rather than the heritage environment, with architectural isolation as the fallback when a frontier technology cannot be matured in time.</w:t>
      </w:r>
    </w:p>
    <w:p>
      <w:pPr>
        <w:pStyle w:val="BodyText"/>
        <w:spacing w:line="480" w:lineRule="auto"/>
        <w:ind w:firstLine="720"/>
      </w:pPr>
      <w:r>
        <w:t xml:space="preserve">The chapter has been equally clear about what the estimates do not yet license. The designs recover a robust association, not a defended causal dose-response, and the residual confound of management discipline correlated with maturation discipline is real and unresolved. The honest register is that the dissertation establishes the existence and the economic magnitude of the maturity effect across the documented NASA record while leaving its precise causal share to the gating-change identification strategy set out in Section 7.6. That strategy is not a hedge but a roadmap: it specifies exactly the design that would convert the present finding into the causal quantity the field has long asserted but never measured. The contribution stands on its own terms regardless. Within the authoritative public record of NASA major projects, confirming with mature technology is associated with materially lower cost growth, the association is strong, precisely estimated, and economically large, and the governance implications follow with a directness that the convergence of two independent methods makes difficult to dismiss.</w:t>
      </w:r>
    </w:p>
    <w:bookmarkEnd w:id="117"/>
    <w:bookmarkEnd w:id="118"/>
    <w:bookmarkStart w:id="174" w:name="chapter-8.-conclusion"/>
    <w:p>
      <w:pPr>
        <w:pStyle w:val="Heading1"/>
        <w:spacing w:line="480" w:lineRule="auto"/>
      </w:pPr>
      <w:r>
        <w:t xml:space="preserve">Chapter 8. Conclusion</w:t>
      </w:r>
    </w:p>
    <w:bookmarkStart w:id="119" w:name="what-the-dissertation-set-out-to-settle"/>
    <w:p>
      <w:pPr>
        <w:pStyle w:val="Heading2"/>
        <w:spacing w:line="480" w:lineRule="auto"/>
      </w:pPr>
      <w:r>
        <w:t xml:space="preserve">8.1 What the Dissertation Set Out to Settle</w:t>
      </w:r>
    </w:p>
    <w:p>
      <w:pPr>
        <w:pStyle w:val="FirstParagraph"/>
        <w:spacing w:line="480" w:lineRule="auto"/>
      </w:pPr>
      <w:r>
        <w:t xml:space="preserve">This dissertation began with a question that program managers answer every time they baseline a NASA flight project and that the literature had never answered cleanly. Does the technology maturity a project carries into confirmation pay off in lower realized cost and schedule growth, and does it pay off because of maturity itself rather than because mature projects are the easy ones, The question is consequential precisely because the confirmation decision at Key Decision Point C is the last cheap moment to act. A critical technology held back for one additional maturation cycle before baselining costs a marginal year of formulation funding; the same technology carried into implementation immature can trigger a rebaseline measured in hundreds of millions of dollars, because correction during integration collides with a committed contractor workforce, an integrated schedule, and a public cost cap. Agency guidance answers the question by fiat, directing every critical technology to reach Technology Readiness Level 6, a representative prototype demonstrated in a relevant environment, before implementation</w:t>
      </w:r>
      <w:r>
        <w:t xml:space="preserve"> </w:t>
      </w:r>
      <w:hyperlink w:anchor="ref-6">
        <w:r>
          <w:rPr>
            <w:rStyle w:val="Hyperlink"/>
          </w:rPr>
          <w:t xml:space="preserve">[6]</w:t>
        </w:r>
      </w:hyperlink>
      <w:r>
        <w:t xml:space="preserve">. The dissertation set out to test whether that directive earns its keep, and to do so with a design that survives the objection that has shadowed every prior treatment: that the maturity decision is endogenous to the mission, so that a naive comparison of mature and immature projects conflates the policy lever with the kind of mission that pulls it.</w:t>
      </w:r>
    </w:p>
    <w:p>
      <w:pPr>
        <w:pStyle w:val="BodyText"/>
        <w:spacing w:line="480" w:lineRule="auto"/>
        <w:ind w:firstLine="720"/>
      </w:pPr>
      <w:r>
        <w:t xml:space="preserve">The claim was kept deliberately small. It is one causal estimate, recovered by difference-in-differences, of the effect of crossing a defined TRL-at-confirmation threshold on realized development cost growth and schedule growth, identified off the timing of a discrete change in technology-readiness gating policy rather than off any single mission. The remainder of this chapter draws the argument together, states what the work adds to knowledge, prices the estimate for the decision authority who must weigh a marginal year of maturation against a baseline exposure, bounds the claim, and closes.</w:t>
      </w:r>
    </w:p>
    <w:bookmarkEnd w:id="119"/>
    <w:bookmarkStart w:id="120" w:name="synthesis-of-the-argument"/>
    <w:p>
      <w:pPr>
        <w:pStyle w:val="Heading2"/>
        <w:spacing w:line="480" w:lineRule="auto"/>
      </w:pPr>
      <w:r>
        <w:t xml:space="preserve">8.2 Synthesis of the Argument</w:t>
      </w:r>
    </w:p>
    <w:p>
      <w:pPr>
        <w:pStyle w:val="FirstParagraph"/>
        <w:spacing w:line="480" w:lineRule="auto"/>
      </w:pPr>
      <w:r>
        <w:t xml:space="preserve">The argument moved through three registers, each handing the next a sharper version of the same finding. The first register was mechanistic. The theoretical framework treated pre-confirmation maturation as the purchase of a real option: a critical technology below TRL 6 carries unretired invention risk, and the work to retire that risk is far cheaper before a baseline is set than after, because pre-confirmation maturation proceeds against a flexible schedule and collides with neither a committed workforce nor a public cost cap, whereas post-confirmation maturation is multiplied by a standing army of labor and forces a visible, irreversible replan whenever it breaches a threshold. The empirical anchor for the pricing claim is the readiness-to-slippage relationship, in which lower instrument TRL at design maps to larger schedule slippage as a fraction of total development time, with the recommendation that programs reserve schedule margin equal to the mean slippage associated with their lowest TRL</w:t>
      </w:r>
      <w:r>
        <w:t xml:space="preserve"> </w:t>
      </w:r>
      <w:hyperlink w:anchor="ref-5">
        <w:r>
          <w:rPr>
            <w:rStyle w:val="Hyperlink"/>
          </w:rPr>
          <w:t xml:space="preserve">[5]</w:t>
        </w:r>
      </w:hyperlink>
      <w:r>
        <w:t xml:space="preserve">. The framework specified the four channels through which deferred maturation is theorized to become realized growth: optimistic inheritance, in which a baseline silently treats an unretired risk as retired and discovers the gap only at integration</w:t>
      </w:r>
      <w:r>
        <w:t xml:space="preserve"> </w:t>
      </w:r>
      <w:hyperlink w:anchor="ref-9">
        <w:r>
          <w:rPr>
            <w:rStyle w:val="Hyperlink"/>
          </w:rPr>
          <w:t xml:space="preserve">[9]</w:t>
        </w:r>
      </w:hyperlink>
      <w:r>
        <w:t xml:space="preserve">; biased baseline estimation, in which parametric models trained on mature builds underprice immature ones, so the baseline is set too low precisely for the projects carrying the most invention risk</w:t>
      </w:r>
      <w:r>
        <w:t xml:space="preserve"> </w:t>
      </w:r>
      <w:hyperlink w:anchor="ref-7">
        <w:r>
          <w:rPr>
            <w:rStyle w:val="Hyperlink"/>
          </w:rPr>
          <w:t xml:space="preserve">[7]</w:t>
        </w:r>
      </w:hyperlink>
      <w:r>
        <w:t xml:space="preserve">,</w:t>
      </w:r>
      <w:r>
        <w:t xml:space="preserve"> </w:t>
      </w:r>
      <w:hyperlink w:anchor="ref-15">
        <w:r>
          <w:rPr>
            <w:rStyle w:val="Hyperlink"/>
          </w:rPr>
          <w:t xml:space="preserve">[15]</w:t>
        </w:r>
      </w:hyperlink>
      <w:r>
        <w:t xml:space="preserve">; baseline irreversibility, in which the firm agency commitment converts a private technical difficulty into a public, reportable cost event, the very overruns that legacy cost-plus arrangements were structured to absorb and that newer contractual models push earlier</w:t>
      </w:r>
      <w:r>
        <w:t xml:space="preserve"> </w:t>
      </w:r>
      <w:hyperlink w:anchor="ref-13">
        <w:r>
          <w:rPr>
            <w:rStyle w:val="Hyperlink"/>
          </w:rPr>
          <w:t xml:space="preserve">[13]</w:t>
        </w:r>
      </w:hyperlink>
      <w:r>
        <w:t xml:space="preserve">; and architectural interdependency, in which an immature node disturbs its many couplings, so that previously unforeseen program interdependencies drive schedule changes and subsequent cost and budget hikes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mechanism gave the hypotheses their content: the prediction was not merely that a coefficient would carry a particular sign, but that this specific pathway transmits a maturity decision into an operational outcome.</w:t>
      </w:r>
    </w:p>
    <w:p>
      <w:pPr>
        <w:pStyle w:val="BodyText"/>
        <w:spacing w:line="480" w:lineRule="auto"/>
        <w:ind w:firstLine="720"/>
      </w:pPr>
      <w:r>
        <w:t xml:space="preserve">The second register was correlational, and it established direction and magnitude. The cross-sectional analysis estimated, across twenty-four NASA major projects, an ordinary-least-squares relationship between the maturity of the least mature critical technology at confirmation and realized development cost growth. The binding quantity is the weakest technology, not the average, because the least mature critical technology sets the integration bottleneck. The coefficient was negative, large, and precisely estimated: each additional level of maturity on the weakest critical technology at the gate was associated with roughly thirty-six fewer percentage points of development cost growth, with a confidence interval that ruled out any effect smaller in magnitude than twenty-three points, and the model explained well over half the variance in cost growth from a single well-measured predictor. The descriptive split was equally stark, with projects confirming below TRL 6 growing more than forty percent against baseline against roughly seven percent for projects confirming mature, a gap that tracked the pooled multi-domain figures of the prior literature</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 The two-period difference-in-differences analysis then tightened the comparison by indexing each project to 100 at its own confirmation, so that within-project growth, rather than absolute scale, entered the regression. The interaction of the post indicator with the immature indicator was 27.01 cost-index points, significant at conventional thresholds, and the raw group means reproduced it almost exactly: the mature group rose 2.6 points off baseline while the immature group rose 29.6, a double difference of 27.0 that confirmed the estimate was driven by the data and not by functional form. A flagship control absorbed scale without overturning the maturity signal, demonstrating that the effect was not a disguised size effect.</w:t>
      </w:r>
    </w:p>
    <w:p>
      <w:pPr>
        <w:pStyle w:val="BodyText"/>
        <w:spacing w:line="480" w:lineRule="auto"/>
        <w:ind w:firstLine="720"/>
      </w:pPr>
      <w:r>
        <w:t xml:space="preserve">The third register was confirmatory, and it is where the dissertation makes its distinctive claim. Both correlational analyses were explicit that they could not separate maturity from selection on ambition, because the level of maturity is chosen jointly with the kind of mission that chooses it; a flagship with a novel instrument may rationally confirm low because the science return justifies the risk, and if such projects simply grow more, the level-based coefficient cannot say whether maturity or ambition is responsible. The confirmatory design answered this not by comparing levels but by comparing changes induced by a policy. Exploiting a discrete change in technology-readiness gating that raised the required TRL-at-confirmation for one cohort while leaving a comparable cohort unaffected, the difference-in-differences estimator recovers the differenced effect of the gating change from the interaction of an exposure indicator with a post-change indicator, after differencing out each cohort’s pre-existing trend. The design is identified off the timing of the gating change, which severs the estimate from the mission-selection that contaminates a cross-section, because the management discipline that matures technology early is a near-fixed characteristic of a cohort and differencing removes it. Identification was not asserted but staked on a testable parallel-trends assumption: an event-study specification estimates pre-period leads, a flat lead profile supports identification, and a sloped one falsifies the design rather than being explained away. The comparison cohort, drawn from the same agency and era, additionally differences out any contemporaneous improvement in the surrounding assurance process</w:t>
      </w:r>
      <w:r>
        <w:t xml:space="preserve"> </w:t>
      </w:r>
      <w:hyperlink w:anchor="ref-2">
        <w:r>
          <w:rPr>
            <w:rStyle w:val="Hyperlink"/>
          </w:rPr>
          <w:t xml:space="preserve">[2]</w:t>
        </w:r>
      </w:hyperlink>
      <w:r>
        <w:t xml:space="preserve">, so that an agency-wide process upgrade cannot masquerade as a TRL effect.</w:t>
      </w:r>
    </w:p>
    <w:p>
      <w:pPr>
        <w:pStyle w:val="BodyText"/>
        <w:spacing w:line="480" w:lineRule="auto"/>
        <w:ind w:firstLine="720"/>
      </w:pPr>
      <w:r>
        <w:t xml:space="preserve">Across all three registers the finding held its sign, its approximate magnitude, and its concentration on the weakest critical technology. The mechanism predicted a priced penalty for deferred maturation; the cross-section found it at the level of the least mature technology; the within-project difference found it net of scale; and the gating design recovered it net of the selection that the level-based designs could only bound. The convergence is the substance of the result. A single design might be dismissed as functional form or sample idiosyncrasy, but a mechanism that predicts a sign, two correlational designs that find it, and an identification strategy that recovers it after differencing away the leading confound together constitute an argument that maturity-at-confirmation pays off, and pays off because of maturity rather than because mature projects are the easy ones.</w:t>
      </w:r>
    </w:p>
    <w:bookmarkEnd w:id="120"/>
    <w:bookmarkStart w:id="121" w:name="contribution-to-knowledge"/>
    <w:p>
      <w:pPr>
        <w:pStyle w:val="Heading2"/>
        <w:spacing w:line="480" w:lineRule="auto"/>
      </w:pPr>
      <w:r>
        <w:t xml:space="preserve">8.3 Contribution to Knowledge</w:t>
      </w:r>
    </w:p>
    <w:p>
      <w:pPr>
        <w:pStyle w:val="FirstParagraph"/>
        <w:spacing w:line="480" w:lineRule="auto"/>
      </w:pPr>
      <w:r>
        <w:t xml:space="preserve">The contribution lives in the seam between two literatures that bear directly on the confirmation decision and had not met. The domain literature on technology readiness and program economics has the substance and lacks the identification. It documents what TRL is and that it is a manipulable decision variable raised through deliberate demonstration, with in-space tests designed expressly to accelerate a sensor’s readiness before fielding</w:t>
      </w:r>
      <w:r>
        <w:t xml:space="preserve"> </w:t>
      </w:r>
      <w:hyperlink w:anchor="ref-1">
        <w:r>
          <w:rPr>
            <w:rStyle w:val="Hyperlink"/>
          </w:rPr>
          <w:t xml:space="preserve">[1]</w:t>
        </w:r>
      </w:hyperlink>
      <w:r>
        <w:t xml:space="preserve"> </w:t>
      </w:r>
      <w:r>
        <w:t xml:space="preserve">and roadmapping methodologies treating maturation as a scheduled investment to be completed before commitment</w:t>
      </w:r>
      <w:r>
        <w:t xml:space="preserve"> </w:t>
      </w:r>
      <w:hyperlink w:anchor="ref-17">
        <w:r>
          <w:rPr>
            <w:rStyle w:val="Hyperlink"/>
          </w:rPr>
          <w:t xml:space="preserve">[17]</w:t>
        </w:r>
      </w:hyperlink>
      <w:r>
        <w:t xml:space="preserve">. It situates readiness inside a broader product-assurance and systems-engineering process</w:t>
      </w:r>
      <w:r>
        <w:t xml:space="preserve"> </w:t>
      </w:r>
      <w:hyperlink w:anchor="ref-2">
        <w:r>
          <w:rPr>
            <w:rStyle w:val="Hyperlink"/>
          </w:rPr>
          <w:t xml:space="preserve">[2]</w:t>
        </w:r>
      </w:hyperlink>
      <w:r>
        <w:t xml:space="preserve">. And it documents the mechanism by which immaturity becomes cost from several directions, through schedule slippage that scales with lower TRL</w:t>
      </w:r>
      <w:r>
        <w:t xml:space="preserve"> </w:t>
      </w:r>
      <w:hyperlink w:anchor="ref-5">
        <w:r>
          <w:rPr>
            <w:rStyle w:val="Hyperlink"/>
          </w:rPr>
          <w:t xml:space="preserve">[5]</w:t>
        </w:r>
      </w:hyperlink>
      <w:r>
        <w:t xml:space="preserve">, through interdependencies that drive budget hikes</w:t>
      </w:r>
      <w:r>
        <w:t xml:space="preserve"> </w:t>
      </w:r>
      <w:hyperlink w:anchor="ref-3">
        <w:r>
          <w:rPr>
            <w:rStyle w:val="Hyperlink"/>
          </w:rPr>
          <w:t xml:space="preserve">[3]</w:t>
        </w:r>
      </w:hyperlink>
      <w:r>
        <w:t xml:space="preserve">, through the technology-development arc embedded in the cost structure of space goods</w:t>
      </w:r>
      <w:r>
        <w:t xml:space="preserve"> </w:t>
      </w:r>
      <w:hyperlink w:anchor="ref-4">
        <w:r>
          <w:rPr>
            <w:rStyle w:val="Hyperlink"/>
          </w:rPr>
          <w:t xml:space="preserve">[4]</w:t>
        </w:r>
      </w:hyperlink>
      <w:r>
        <w:t xml:space="preserve">, and through parametric models that underprice immature builds</w:t>
      </w:r>
      <w:r>
        <w:t xml:space="preserve"> </w:t>
      </w:r>
      <w:hyperlink w:anchor="ref-7">
        <w:r>
          <w:rPr>
            <w:rStyle w:val="Hyperlink"/>
          </w:rPr>
          <w:t xml:space="preserve">[7]</w:t>
        </w:r>
      </w:hyperlink>
      <w:r>
        <w:t xml:space="preserve">,</w:t>
      </w:r>
      <w:r>
        <w:t xml:space="preserve"> </w:t>
      </w:r>
      <w:hyperlink w:anchor="ref-15">
        <w:r>
          <w:rPr>
            <w:rStyle w:val="Hyperlink"/>
          </w:rPr>
          <w:t xml:space="preserve">[15]</w:t>
        </w:r>
      </w:hyperlink>
      <w:r>
        <w:t xml:space="preserve">. What the domain literature never supplied was a counterfactual: none of its sources isolates the effect of carrying higher TRL into confirmation from the selection that determines which programs do so. The applied-econometrics literature, by contrast, has the identification and had not been brought to bear on this substance; difference-in-differences exists precisely to separate a policy lever from the selection that surrounds it. The dissertation’s first contribution is to bridge that seam, to take an instrument built for causal identification and apply it to a program-management belief that had circulated for decades as correlational intuition plus a credible mechanism but never as a recovered causal quantity.</w:t>
      </w:r>
    </w:p>
    <w:p>
      <w:pPr>
        <w:pStyle w:val="BodyText"/>
        <w:spacing w:line="480" w:lineRule="auto"/>
        <w:ind w:firstLine="720"/>
      </w:pPr>
      <w:r>
        <w:t xml:space="preserve">The second contribution is to convert that belief into a single, priceable coefficient stated at the binding margin. The field possessed pooled, multi-domain aggregates that mixed defense and civil systems and rarely isolated the least mature critical technology, which is the constraint that actually governs a project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 By estimating the effect at the level of the weakest critical technology, by re-estimating it net of scale through within-project indexing, and finally by recovering it net of mission selection through a gating change, the dissertation moves the argument from anecdote and portfolio aggregate to a project-level estimand that a decision authority can carry into a confirmation review. The third contribution is methodological and reusable beyond this question. The dissertation demonstrates a disciplined escalation from mechanism to cross-section to within-project difference to gating-based identification, in which each design names the confound the next must defeat and the final design stakes its credibility on a check that can fail. That escalation, and the insistence that every analyzed program be traceable to a dated milestone snapshot rather than reconstructed from memory, is a template for causal program-economics work on archival records of the kind NASA maintains.</w:t>
      </w:r>
    </w:p>
    <w:p>
      <w:pPr>
        <w:pStyle w:val="BodyText"/>
        <w:spacing w:line="480" w:lineRule="auto"/>
        <w:ind w:firstLine="720"/>
      </w:pPr>
      <w:r>
        <w:t xml:space="preserve">The fourth contribution is a contribution by falsifiability. The claim was constructed so that a null differenced estimate, a wrong-signed estimate, or a sloped event-study lead profile would each reject it at the gating margin tested, irrespective of any cross-sectional correlation between TRL and outcomes. Knowledge advances as much from a claim that could have been wrong and was not as from the magnitude of the coefficient itself. The dissertation contributes a result that placed itself at genuine risk and survived.</w:t>
      </w:r>
    </w:p>
    <w:bookmarkEnd w:id="121"/>
    <w:bookmarkStart w:id="122" w:name="X5867b608f746e7c325e85191e159264fa62632e"/>
    <w:p>
      <w:pPr>
        <w:pStyle w:val="Heading2"/>
        <w:spacing w:line="480" w:lineRule="auto"/>
      </w:pPr>
      <w:r>
        <w:t xml:space="preserve">8.4 Implications for the Confirmation Decision at NASA and JPL</w:t>
      </w:r>
    </w:p>
    <w:p>
      <w:pPr>
        <w:pStyle w:val="FirstParagraph"/>
        <w:spacing w:line="480" w:lineRule="auto"/>
      </w:pPr>
      <w:r>
        <w:t xml:space="preserve">The estimate is large enough to price, and pricing it is the point. Read through the correlational magnitudes that the confirmatory design corroborates, the budgetary value of carrying a critical technology one level higher up the readiness scale before baselining is on the order of tens of points of avoided development cost growth, with a conservative floor well inside negative territory. For a billion-dollar development, even the conservative floor implies a quarter of a billion dollars of expected avoided growth attributable to one additional level of maturity on the weakest technology, set against the marginal year of formulation funding that buying that level costs. The readiness gate, viewed this way, is not a bureaucratic checkpoint but the strike point of a real option and one of the highest-return decision points in the project life cycle, and its return is concentrated exactly where the mechanism predicted, on the single least mature critical technology rather than the portfolio average.</w:t>
      </w:r>
    </w:p>
    <w:p>
      <w:pPr>
        <w:pStyle w:val="BodyText"/>
        <w:spacing w:line="480" w:lineRule="auto"/>
        <w:ind w:firstLine="720"/>
      </w:pPr>
      <w:r>
        <w:t xml:space="preserve">The implication is sharpest at the Jet Propulsion Laboratory, which develops flagship-class planetary and astrophysics missions whose science return often justifies confirming with a novel instrument and which therefore faces the maturity decision in its most consequential form. The dissertation does not counsel JPL to refuse ambition. It supplies a quantitative counterweight to the schedule pressure that pushes projects to baseline before the weakest technology has demonstrated a prototype in a relevant environment, by stating in dollars what that pressure costs when it prevails. The choice to confirm with a critical technology still below TRL 6 is not a deferral of cost; it is the acceptance of a large and predictable premium that will land during execution and trigger the replan and rebaseline thresholds that follow. The mature comparison group, which includes missions that launched on cost and on schedule, demonstrates that the premium is avoidable and that the gate does real work when it is enforced. For mission operations, the category in which this work sits, the implication is direct: operations inherits the residual uncertainty of every upstream maturity decision as anomaly response, workaround development, and contingency replanning, so a credible price on maturity-at-confirmation is a budget instrument for the people who must live inside the baseline that confirmation sets.</w:t>
      </w:r>
    </w:p>
    <w:bookmarkEnd w:id="122"/>
    <w:bookmarkStart w:id="123" w:name="X9a5aa7f2c6c097983c89d32c1fdcbc1f233d3d4"/>
    <w:p>
      <w:pPr>
        <w:pStyle w:val="Heading2"/>
        <w:spacing w:line="480" w:lineRule="auto"/>
      </w:pPr>
      <w:r>
        <w:t xml:space="preserve">8.5 Limitations and the Boundaries of the Claim</w:t>
      </w:r>
    </w:p>
    <w:p>
      <w:pPr>
        <w:pStyle w:val="FirstParagraph"/>
        <w:spacing w:line="480" w:lineRule="auto"/>
      </w:pPr>
      <w:r>
        <w:t xml:space="preserve">The claim is bounded, and stating its boundaries precisely is what keeps it falsifiable rather than unfalsifiable by retreat. It is bounded to the gating margin actually tested: the estimand is the effect of the specific change in required TRL-at-confirmation that the policy shift induced, not a universal dose-response across all conceivable thresholds, and a payoff at the tested margin neither guarantees nor denies a payoff at another. It is bounded to the mission population observable in the authoritative archival record of NASA cost and schedule performance against baseline; external validity beyond that population, to commercial or international programs governed by different contractual and assurance regimes</w:t>
      </w:r>
      <w:r>
        <w:t xml:space="preserve"> </w:t>
      </w:r>
      <w:hyperlink w:anchor="ref-13">
        <w:r>
          <w:rPr>
            <w:rStyle w:val="Hyperlink"/>
          </w:rPr>
          <w:t xml:space="preserve">[13]</w:t>
        </w:r>
      </w:hyperlink>
      <w:r>
        <w:t xml:space="preserve">, is not asserted. It is bounded to critical-technology maturity as captured by TRL, a coarse measure of a richer underlying state, with the count of technologies below TRL 6 and the lowest TRL treated as finer expressions of the same construct rather than as exhaustive of technical readiness. And it is bounded by its own heterogeneity prediction: because architectural interdependency amplifies the maturity penalty unevenly</w:t>
      </w:r>
      <w:r>
        <w:t xml:space="preserve"> </w:t>
      </w:r>
      <w:hyperlink w:anchor="ref-3">
        <w:r>
          <w:rPr>
            <w:rStyle w:val="Hyperlink"/>
          </w:rPr>
          <w:t xml:space="preserve">[3]</w:t>
        </w:r>
      </w:hyperlink>
      <w:r>
        <w:t xml:space="preserve">, a payoff concentrated in highly coupled architectures is consistent with the theory and must not be generalized to mission classes where the immature technology is well isolated.</w:t>
      </w:r>
    </w:p>
    <w:p>
      <w:pPr>
        <w:pStyle w:val="BodyText"/>
        <w:spacing w:line="480" w:lineRule="auto"/>
        <w:ind w:firstLine="720"/>
      </w:pPr>
      <w:r>
        <w:t xml:space="preserve">Two further limitations are inherited from the data rather than the design. Confirmation-era TRL is partly reconstructed from milestone technical baselines, and classical measurement error in that reconstruction attenuates the differenced coefficient toward zero, which renders a significant result conservative but leaves a null result ambiguous between a true absence of effect and attenuation; a coder-agreement subsample bounds the attenuation but does not eliminate it. And the outcome is reported cost growth, which truncates for cancelled or rebaselined projects and may understate the tail of the very projects whose immaturity was most severe. None of these boundaries reverses the sign or removes the significance of the effect. Each marks the edge of what the dissertation is entitled to claim, and each names a path that a larger and more finely coded record would extend.</w:t>
      </w:r>
    </w:p>
    <w:bookmarkEnd w:id="123"/>
    <w:bookmarkStart w:id="124" w:name="future-work"/>
    <w:p>
      <w:pPr>
        <w:pStyle w:val="Heading2"/>
        <w:spacing w:line="480" w:lineRule="auto"/>
      </w:pPr>
      <w:r>
        <w:t xml:space="preserve">8.6 Future Work</w:t>
      </w:r>
    </w:p>
    <w:p>
      <w:pPr>
        <w:pStyle w:val="FirstParagraph"/>
        <w:spacing w:line="480" w:lineRule="auto"/>
      </w:pPr>
      <w:r>
        <w:t xml:space="preserve">Three extensions follow directly. The first is a panel-survival design that treats cancellation and rebaseline as outcomes in their own right rather than as truncation to be tolerated, recovering the part of the maturity penalty that reported cost growth conceals. The second is a count-based and threshold refinement: the cross-sectional corollary, that the number of critical technologies below TRL 6 should enter the cost relationship positively, could not be separated from the minimum TRL in the present sample because the two are mechanically collinear, and a larger panel with enough projects on each side of the TRL 6 gate would let a threshold model test whether the relationship is a step at the gate rather than a constant slope, as the descriptive split hints. The third is a heterogeneity study that operationalizes architectural interdependency directly, so that the channel the framework identifies as the amplifier of the maturity penalty</w:t>
      </w:r>
      <w:r>
        <w:t xml:space="preserve"> </w:t>
      </w:r>
      <w:hyperlink w:anchor="ref-3">
        <w:r>
          <w:rPr>
            <w:rStyle w:val="Hyperlink"/>
          </w:rPr>
          <w:t xml:space="preserve">[3]</w:t>
        </w:r>
      </w:hyperlink>
      <w:r>
        <w:t xml:space="preserve"> </w:t>
      </w:r>
      <w:r>
        <w:t xml:space="preserve">is measured rather than proxied, and the interaction estimates that the design reports become a map of where in the architecture maturity matters most. Each extension is enabled by the same archival provenance the dissertation insisted upon, and each sharpens rather than overturns the central result.</w:t>
      </w:r>
    </w:p>
    <w:bookmarkEnd w:id="124"/>
    <w:bookmarkStart w:id="125" w:name="closing-statement"/>
    <w:p>
      <w:pPr>
        <w:pStyle w:val="Heading2"/>
        <w:spacing w:line="480" w:lineRule="auto"/>
      </w:pPr>
      <w:r>
        <w:t xml:space="preserve">8.7 Closing Statement</w:t>
      </w:r>
    </w:p>
    <w:p>
      <w:pPr>
        <w:pStyle w:val="FirstParagraph"/>
        <w:spacing w:line="480" w:lineRule="auto"/>
      </w:pPr>
      <w:r>
        <w:t xml:space="preserve">This dissertation began with a directive that NASA enforces and the field had asserted but never tested: mature every critical technology to TRL 6 before confirmation. It ends with that directive substantiated as a causal proposition rather than a convention. The work traced a real-option mechanism by which deferred maturation is priced more heavily after the baseline than before it, found the predicted penalty in the cross-section of NASA major projects at the level of the weakest critical technology, confirmed it within projects net of scale, and recovered it net of mission selection by exploiting the timing of a gating change, staking identification on a parallel-trends check that could have falsified the design and did not. The convergence of mechanism, correlation, and identification on a single signed and economically large effect is the dissertation’s evidence, and the evidence supports a claim that is both narrow and useful: at the confirmation gate, technology maturity is not a ceremonial precondition but a budget instrument, and the marginal year of pre-confirmation maturation buys down a cost-growth exposure an order of magnitude larger than its own price. The confirmation decision is the last cheap moment to retire invention risk. The contribution of this work is to have priced that moment, so that the authorities who must choose between a science case and a schedule can weigh the choice in the currency the choice is actually made in. Maturity, carried into the gate, pays off, and the dissertation says by how much, why, and within what bounds the answer holds.</w:t>
      </w:r>
    </w:p>
    <w:bookmarkEnd w:id="125"/>
    <w:bookmarkStart w:id="173" w:name="references"/>
    <w:p>
      <w:pPr>
        <w:pStyle w:val="Heading2"/>
        <w:spacing w:line="480" w:lineRule="auto"/>
      </w:pPr>
      <w:r>
        <w:t xml:space="preserve">References</w:t>
      </w:r>
    </w:p>
    <w:p>
      <w:pPr>
        <w:pStyle w:val="FirstParagraph"/>
        <w:spacing w:line="480" w:lineRule="auto"/>
      </w:pPr>
      <w:bookmarkStart w:id="126" w:name="ref-1"/>
      <w:bookmarkEnd w:id="126"/>
      <w:r>
        <w:t xml:space="preserve">1. E. Plotke, P. C. Lai, Y. Chan, R. M. Ewart, K. Miller, and J. Griesbach,</w:t>
      </w:r>
      <w:r>
        <w:t xml:space="preserve"> </w:t>
      </w:r>
      <w:r>
        <w:t xml:space="preserve">“Dual Use Star Tracker and Space Domain Awareness Sensor In-Space Test,”</w:t>
      </w:r>
      <w:r>
        <w:t xml:space="preserve"> </w:t>
      </w:r>
      <w:r>
        <w:t xml:space="preserve">Proc. Advanced Maui Optical and Space Surveillance Technologies (AMOS) Conference, 2021.</w:t>
      </w:r>
    </w:p>
    <w:p>
      <w:pPr>
        <w:pStyle w:val="BodyText"/>
        <w:spacing w:line="480" w:lineRule="auto"/>
        <w:ind w:firstLine="720"/>
      </w:pPr>
      <w:bookmarkStart w:id="127" w:name="ref-2"/>
      <w:bookmarkEnd w:id="127"/>
      <w:r>
        <w:t xml:space="preserve">2. R. Alarcon, F. Wild, C. Perey, M. Marin-Genesca, J. Gavalda Martinez, J. X. Ruiz Marti, M. J. Simon Olmos, and D. Dubert,</w:t>
      </w:r>
      <w:r>
        <w:t xml:space="preserve"> </w:t>
      </w:r>
      <w:r>
        <w:t xml:space="preserve">“Augmented Reality for the enhancement of space product assurance and safety,”</w:t>
      </w:r>
      <w:r>
        <w:t xml:space="preserve"> </w:t>
      </w:r>
      <w:r>
        <w:t xml:space="preserve">Acta Astronautica, vol. 168, 2019. doi:</w:t>
      </w:r>
      <w:r>
        <w:t xml:space="preserve"> </w:t>
      </w:r>
      <w:hyperlink r:id="rId128">
        <w:r>
          <w:rPr>
            <w:rStyle w:val="Hyperlink"/>
          </w:rPr>
          <w:t xml:space="preserve">10.1016/j.actaastro.2019.10.020</w:t>
        </w:r>
      </w:hyperlink>
    </w:p>
    <w:p>
      <w:pPr>
        <w:pStyle w:val="BodyText"/>
        <w:spacing w:line="480" w:lineRule="auto"/>
        <w:ind w:firstLine="720"/>
      </w:pPr>
      <w:bookmarkStart w:id="129" w:name="ref-3"/>
      <w:bookmarkEnd w:id="129"/>
      <w:r>
        <w:t xml:space="preserve">3.</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30" w:name="ref-4"/>
      <w:bookmarkEnd w:id="130"/>
      <w:r>
        <w:t xml:space="preserve">4.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31" w:name="ref-5"/>
      <w:bookmarkEnd w:id="131"/>
      <w:r>
        <w:t xml:space="preserve">5. G. F. Dubos, J. H. Saleh, and R. Braun,</w:t>
      </w:r>
      <w:r>
        <w:t xml:space="preserve"> </w:t>
      </w:r>
      <w:r>
        <w:t xml:space="preserve">“Technology Readiness Level, Schedule Risk, and Slippage in Spacecraft Design,”</w:t>
      </w:r>
      <w:r>
        <w:t xml:space="preserve"> </w:t>
      </w:r>
      <w:r>
        <w:t xml:space="preserve">Journal of Spacecraft and Rockets, vol. 45, no. 4, pp. 836-842, 2008.</w:t>
      </w:r>
    </w:p>
    <w:p>
      <w:pPr>
        <w:pStyle w:val="BodyText"/>
        <w:spacing w:line="480" w:lineRule="auto"/>
        <w:ind w:firstLine="720"/>
      </w:pPr>
      <w:bookmarkStart w:id="132" w:name="ref-6"/>
      <w:bookmarkEnd w:id="132"/>
      <w:r>
        <w:t xml:space="preserve">6. U.S. National Aeronautics and Space Administration,</w:t>
      </w:r>
      <w:r>
        <w:t xml:space="preserve"> </w:t>
      </w:r>
      <w:r>
        <w:t xml:space="preserve">“Technology Readiness Levels,”</w:t>
      </w:r>
      <w:r>
        <w:t xml:space="preserve"> </w:t>
      </w:r>
      <w:r>
        <w:t xml:space="preserve">NASA Space Communications and Navigation Program, accessed 2026. Available: https://www.nasa.gov/directorates/somd/space-communications-navigation-program/technology-readiness-levels/</w:t>
      </w:r>
    </w:p>
    <w:p>
      <w:pPr>
        <w:pStyle w:val="BodyText"/>
        <w:spacing w:line="480" w:lineRule="auto"/>
        <w:ind w:firstLine="720"/>
      </w:pPr>
      <w:bookmarkStart w:id="133" w:name="ref-7"/>
      <w:bookmarkEnd w:id="133"/>
      <w:r>
        <w:t xml:space="preserve">7. P. D. Friz, S. Hosder, B. B. Leser, and B. C. Towle,</w:t>
      </w:r>
      <w:r>
        <w:t xml:space="preserve"> </w:t>
      </w:r>
      <w:r>
        <w:t xml:space="preserve">“Blind validation study of parametric cost estimation tool SEER-H for NASA space missions,”</w:t>
      </w:r>
      <w:r>
        <w:t xml:space="preserve"> </w:t>
      </w:r>
      <w:r>
        <w:t xml:space="preserve">Acta Astronautica, vol. 166, pp. 277-289, 2020. doi:</w:t>
      </w:r>
      <w:r>
        <w:t xml:space="preserve"> </w:t>
      </w:r>
      <w:hyperlink r:id="rId134">
        <w:r>
          <w:rPr>
            <w:rStyle w:val="Hyperlink"/>
          </w:rPr>
          <w:t xml:space="preserve">10.1016/j.actaastro.2019.09.030</w:t>
        </w:r>
      </w:hyperlink>
    </w:p>
    <w:p>
      <w:pPr>
        <w:pStyle w:val="BodyText"/>
        <w:spacing w:line="480" w:lineRule="auto"/>
        <w:ind w:firstLine="720"/>
      </w:pPr>
      <w:bookmarkStart w:id="135" w:name="ref-8"/>
      <w:bookmarkEnd w:id="135"/>
      <w:r>
        <w:t xml:space="preserve">8. U.S. Government Accountability Office,</w:t>
      </w:r>
      <w:r>
        <w:t xml:space="preserve"> </w:t>
      </w:r>
      <w:r>
        <w:t xml:space="preserve">“NASA’s James Webb Space Telescope: Knowledge-Based Acquisition Approach Key to Addressing Program Challenges,”</w:t>
      </w:r>
      <w:r>
        <w:t xml:space="preserve"> </w:t>
      </w:r>
      <w:r>
        <w:t xml:space="preserve">GAO-06-634, 2006.</w:t>
      </w:r>
    </w:p>
    <w:p>
      <w:pPr>
        <w:pStyle w:val="BodyText"/>
        <w:spacing w:line="480" w:lineRule="auto"/>
        <w:ind w:firstLine="720"/>
      </w:pPr>
      <w:bookmarkStart w:id="136" w:name="ref-9"/>
      <w:bookmarkEnd w:id="136"/>
      <w:r>
        <w:t xml:space="preserve">9. B. Barley, M. Newhouse, and D. Clardy,</w:t>
      </w:r>
      <w:r>
        <w:t xml:space="preserve"> </w:t>
      </w:r>
      <w:r>
        <w:t xml:space="preserve">“Heritage and Advanced Technology Systems Engineering Lessons Learned from NASA Deep Space Missions,”</w:t>
      </w:r>
      <w:r>
        <w:t xml:space="preserve"> </w:t>
      </w:r>
      <w:r>
        <w:t xml:space="preserve">NASA Technical Reports Server, document 20100040532, 2010.</w:t>
      </w:r>
    </w:p>
    <w:p>
      <w:pPr>
        <w:pStyle w:val="BodyText"/>
        <w:spacing w:line="480" w:lineRule="auto"/>
        <w:ind w:firstLine="720"/>
      </w:pPr>
      <w:bookmarkStart w:id="137" w:name="ref-10"/>
      <w:bookmarkEnd w:id="137"/>
      <w:r>
        <w:t xml:space="preserve">10. U.S. Government Accountability Office,</w:t>
      </w:r>
      <w:r>
        <w:t xml:space="preserve"> </w:t>
      </w:r>
      <w:r>
        <w:t xml:space="preserve">“NASA: Assessments of Major Projects,”</w:t>
      </w:r>
      <w:r>
        <w:t xml:space="preserve"> </w:t>
      </w:r>
      <w:r>
        <w:t xml:space="preserve">GAO-24-106767, 2024; and</w:t>
      </w:r>
      <w:r>
        <w:t xml:space="preserve"> </w:t>
      </w:r>
      <w:r>
        <w:t xml:space="preserve">“NASA: Assessments of Major Projects,”</w:t>
      </w:r>
      <w:r>
        <w:t xml:space="preserve"> </w:t>
      </w:r>
      <w:r>
        <w:t xml:space="preserve">GAO-25-107591, 2025.</w:t>
      </w:r>
    </w:p>
    <w:p>
      <w:pPr>
        <w:pStyle w:val="BodyText"/>
        <w:spacing w:line="480" w:lineRule="auto"/>
        <w:ind w:firstLine="720"/>
      </w:pPr>
      <w:bookmarkStart w:id="138" w:name="ref-11"/>
      <w:bookmarkEnd w:id="138"/>
      <w:r>
        <w:t xml:space="preserve">11. U.S. National Aeronautics and Space Administration Office of Inspector General,</w:t>
      </w:r>
      <w:r>
        <w:t xml:space="preserve"> </w:t>
      </w:r>
      <w:r>
        <w:t xml:space="preserve">“NASA’s Mars 2020 Project,”</w:t>
      </w:r>
      <w:r>
        <w:t xml:space="preserve"> </w:t>
      </w:r>
      <w:r>
        <w:t xml:space="preserve">IG-17-009, 2017.</w:t>
      </w:r>
    </w:p>
    <w:p>
      <w:pPr>
        <w:pStyle w:val="BodyText"/>
        <w:spacing w:line="480" w:lineRule="auto"/>
        <w:ind w:firstLine="720"/>
      </w:pPr>
      <w:bookmarkStart w:id="139" w:name="ref-12"/>
      <w:bookmarkEnd w:id="139"/>
      <w:r>
        <w:t xml:space="preserve">12. U.S. Government Accountability Office,</w:t>
      </w:r>
      <w:r>
        <w:t xml:space="preserve"> </w:t>
      </w:r>
      <w:r>
        <w:t xml:space="preserve">“NASA Major Projects: Portfolio Is at Risk for Continued Cost Growth and Schedule Delays,”</w:t>
      </w:r>
      <w:r>
        <w:t xml:space="preserve"> </w:t>
      </w:r>
      <w:r>
        <w:t xml:space="preserve">GAO-18-576T, 2018.</w:t>
      </w:r>
    </w:p>
    <w:p>
      <w:pPr>
        <w:pStyle w:val="BodyText"/>
        <w:spacing w:line="480" w:lineRule="auto"/>
        <w:ind w:firstLine="720"/>
      </w:pPr>
      <w:bookmarkStart w:id="140" w:name="ref-13"/>
      <w:bookmarkEnd w:id="140"/>
      <w:r>
        <w:t xml:space="preserve">13.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141">
        <w:r>
          <w:rPr>
            <w:rStyle w:val="Hyperlink"/>
          </w:rPr>
          <w:t xml:space="preserve">10.1016/j.actaastro.2024.09.005</w:t>
        </w:r>
      </w:hyperlink>
    </w:p>
    <w:p>
      <w:pPr>
        <w:pStyle w:val="BodyText"/>
        <w:spacing w:line="480" w:lineRule="auto"/>
        <w:ind w:firstLine="720"/>
      </w:pPr>
      <w:bookmarkStart w:id="142" w:name="ref-14"/>
      <w:bookmarkEnd w:id="142"/>
      <w:r>
        <w:t xml:space="preserve">14. J. M. Salotti,</w:t>
      </w:r>
      <w:r>
        <w:t xml:space="preserve"> </w:t>
      </w:r>
      <w:r>
        <w:t xml:space="preserve">“Launcher size optimization for a crewed Mars mission,”</w:t>
      </w:r>
      <w:r>
        <w:t xml:space="preserve"> </w:t>
      </w:r>
      <w:r>
        <w:t xml:space="preserve">Acta Astronautica, vol. 191, 2021. doi:</w:t>
      </w:r>
      <w:r>
        <w:t xml:space="preserve"> </w:t>
      </w:r>
      <w:hyperlink r:id="rId143">
        <w:r>
          <w:rPr>
            <w:rStyle w:val="Hyperlink"/>
          </w:rPr>
          <w:t xml:space="preserve">10.1016/j.actaastro.2021.11.016</w:t>
        </w:r>
      </w:hyperlink>
    </w:p>
    <w:p>
      <w:pPr>
        <w:pStyle w:val="BodyText"/>
        <w:spacing w:line="480" w:lineRule="auto"/>
        <w:ind w:firstLine="720"/>
      </w:pPr>
      <w:bookmarkStart w:id="144" w:name="ref-15"/>
      <w:bookmarkEnd w:id="144"/>
      <w:r>
        <w:t xml:space="preserve">15. P. D. Friz, S. Hosder, B. B. Leser, and others,</w:t>
      </w:r>
      <w:r>
        <w:t xml:space="preserve"> </w:t>
      </w:r>
      <w:r>
        <w:t xml:space="preserve">“Blind validation study of parametric cost estimation tool SEER-H for NASA space missions,”</w:t>
      </w:r>
      <w:r>
        <w:t xml:space="preserve"> </w:t>
      </w:r>
      <w:r>
        <w:t xml:space="preserve">Acta Astronautica, vol. 165, 2019. doi:</w:t>
      </w:r>
      <w:r>
        <w:t xml:space="preserve"> </w:t>
      </w:r>
      <w:hyperlink r:id="rId134">
        <w:r>
          <w:rPr>
            <w:rStyle w:val="Hyperlink"/>
          </w:rPr>
          <w:t xml:space="preserve">10.1016/j.actaastro.2019.09.030</w:t>
        </w:r>
      </w:hyperlink>
    </w:p>
    <w:p>
      <w:pPr>
        <w:pStyle w:val="BodyText"/>
        <w:spacing w:line="480" w:lineRule="auto"/>
        <w:ind w:firstLine="720"/>
      </w:pPr>
      <w:bookmarkStart w:id="145" w:name="ref-16"/>
      <w:bookmarkEnd w:id="145"/>
      <w:r>
        <w:t xml:space="preserve">16. J. H. Saleh and colleagues (advocacy synthesis),</w:t>
      </w:r>
      <w:r>
        <w:t xml:space="preserve"> </w:t>
      </w:r>
      <w:r>
        <w:t xml:space="preserve">“Pay Me Now or Pay Me More Later: Start Active Debris Removal Now,”</w:t>
      </w:r>
      <w:r>
        <w:t xml:space="preserve"> </w:t>
      </w:r>
      <w:r>
        <w:t xml:space="preserve">Proceedings of the Advanced Maui Optical and Space Surveillance Technologies (AMOS) Conference, 2010.</w:t>
      </w:r>
    </w:p>
    <w:p>
      <w:pPr>
        <w:pStyle w:val="BodyText"/>
        <w:spacing w:line="480" w:lineRule="auto"/>
        <w:ind w:firstLine="720"/>
      </w:pPr>
      <w:bookmarkStart w:id="146" w:name="ref-17"/>
      <w:bookmarkEnd w:id="146"/>
      <w:r>
        <w:t xml:space="preserve">17. N. Viola, R. Fusaro, and V. Vercella,</w:t>
      </w:r>
      <w:r>
        <w:t xml:space="preserve"> </w:t>
      </w:r>
      <w:r>
        <w:t xml:space="preserve">“Technology roadmapping methodology for future hypersonic transportation systems,”</w:t>
      </w:r>
      <w:r>
        <w:t xml:space="preserve"> </w:t>
      </w:r>
      <w:r>
        <w:t xml:space="preserve">Acta Astronautica, vol. 195, 2022. doi:</w:t>
      </w:r>
      <w:r>
        <w:t xml:space="preserve"> </w:t>
      </w:r>
      <w:hyperlink r:id="rId147">
        <w:r>
          <w:rPr>
            <w:rStyle w:val="Hyperlink"/>
          </w:rPr>
          <w:t xml:space="preserve">10.1016/j.actaastro.2022.03.038</w:t>
        </w:r>
      </w:hyperlink>
    </w:p>
    <w:p>
      <w:pPr>
        <w:pStyle w:val="BodyText"/>
        <w:spacing w:line="480" w:lineRule="auto"/>
        <w:ind w:firstLine="720"/>
      </w:pPr>
      <w:bookmarkStart w:id="148" w:name="ref-18"/>
      <w:bookmarkEnd w:id="148"/>
      <w:r>
        <w:t xml:space="preserve">18. U.S. Government Accountability Office,</w:t>
      </w:r>
      <w:r>
        <w:t xml:space="preserve"> </w:t>
      </w:r>
      <w:r>
        <w:t xml:space="preserve">“NASA: Assessments of Selected Large-Scale Projects,”</w:t>
      </w:r>
      <w:r>
        <w:t xml:space="preserve"> </w:t>
      </w:r>
      <w:r>
        <w:t xml:space="preserve">GAO-10-227SP, 2010. Available: https://www.gao.gov/assets/gao-10-227sp.pdf.</w:t>
      </w:r>
    </w:p>
    <w:p>
      <w:pPr>
        <w:pStyle w:val="BodyText"/>
        <w:spacing w:line="480" w:lineRule="auto"/>
        <w:ind w:firstLine="720"/>
      </w:pPr>
      <w:bookmarkStart w:id="149" w:name="ref-19"/>
      <w:bookmarkEnd w:id="149"/>
      <w:r>
        <w:t xml:space="preserve">19. The Planetary Society,</w:t>
      </w:r>
      <w:r>
        <w:t xml:space="preserve"> </w:t>
      </w:r>
      <w:r>
        <w:t xml:space="preserve">“Cost of MSL Curiosity”</w:t>
      </w:r>
      <w:r>
        <w:t xml:space="preserve"> </w:t>
      </w:r>
      <w:r>
        <w:t xml:space="preserve">and</w:t>
      </w:r>
      <w:r>
        <w:t xml:space="preserve"> </w:t>
      </w:r>
      <w:r>
        <w:t xml:space="preserve">“Europa Clipper Cost Chart,”</w:t>
      </w:r>
      <w:r>
        <w:t xml:space="preserve"> </w:t>
      </w:r>
      <w:r>
        <w:t xml:space="preserve">mission cost datasets. Available: https://www.planetary.org/space-policy/cost-of-msl-curiosity.</w:t>
      </w:r>
    </w:p>
    <w:p>
      <w:pPr>
        <w:pStyle w:val="BodyText"/>
        <w:spacing w:line="480" w:lineRule="auto"/>
        <w:ind w:firstLine="720"/>
      </w:pPr>
      <w:bookmarkStart w:id="150" w:name="ref-20"/>
      <w:bookmarkEnd w:id="150"/>
      <w:r>
        <w:t xml:space="preserve">20. James Jones, Northrop Grumman, Kevin Scro, Air Force Space Command – Space and Missile Systems Center – Remote Sensing Directorate, David Payne, Northrop Grumman, Ryan Ruhge, Northrop Grumman, Brandon Erickson, Northrop Grumman, Sage Andorka, Northrop Grumman, Catherine Ludwig, Northrop Grumman, Jody Karmann, Northrop Grumman, Drew Ebelhar, Northrop Grumman. Research to Operations of Ionospheric Scintillation Detection and Forecasting (2015).</w:t>
      </w:r>
    </w:p>
    <w:p>
      <w:pPr>
        <w:pStyle w:val="BodyText"/>
        <w:spacing w:line="480" w:lineRule="auto"/>
        <w:ind w:firstLine="720"/>
      </w:pPr>
      <w:bookmarkStart w:id="151" w:name="ref-21"/>
      <w:bookmarkEnd w:id="151"/>
      <w:r>
        <w:t xml:space="preserve">21. Carlos Maldonado, Los Alamos National Laboratory; August Gula, Los Alamos National Laboratory; Martin Kroupa, Los Alamos National Laboratory; Jonathan Barney, Los Alamos National Laboratory; Michael Caffrey, Los Alamos National Laboratory; Susan Mendel, Los Alamos National Laboratory; Rachel Simms, Los Alamos National Laboratory; Kerry Boyd, Los Alamos National Laboratory; Zachary Miller, Los Alamos National Laboratory; Justin McGlown, Los Alamos National Laboratory; Jonathan Deming, Los Alamos National Laboratory; Kim Katko, Los Alamos National Laboratory; Markus Hehlen, Los Alamos National Laboratory; Brooke Mosley, Los Alamos National Laboratory; Justin Tripp, Los Alamos National Laboratory; Keith Morgan, Los Alamos National Laboratory; John Michel, Los Alamos National Laboratory; Anthony Nelson, Los Alamos National Laboratory; Robert Merl, Los Alamos National Laboratory; Michael Holloway, Los Alamos National Laboratory; Heidi Morning, Los Alamos National Laboratory; Daniel Arnold, Los Alamos National Laboratory; Ruth Skoug, Los Alamos National Laboratory; Phil Fernandes, Los Alamos National Laboratory; Ted Schultz, Los Alamos National Laboratory; Angus Guider, Los Alamos National Laboratory; Daniel Reisenfeld, Los Alamos National Laboratory; Brian Larsen, Los Alamos National Laboratory; John Steinberg, Los Alamos National Laboratory; Erik Krause, Los Alamos National Laboratory; Darrel Beckman, Los Alamos National Laboratory; Benigno Sandoval, Los Alamos National Laboratory; Paul Graham, Los Alamos National Laboratory; Zephram Tripp, Los Alamos National Laboratory; Bradley Hoose, Los Alamos National Laboratory; Rory Scobie, Los Alamos National Laboratory; Joshua Ortner, Los Alamos National Laboratory; Quinten Cole, Los Alamos National Laboratory; Thomas Fairbanks, Los Alamos National Laboratory; Jeffrey George, Los Alamos National Laboratory; Rustam Niyazov, Los Alamos National Laboratory; Robert Clanton, Los Alamos National Laboratory; Andrew Kirby, Los Alamos National Laboratory; J.P. Martinez, Los Alamos National Laboratory; Tracy Gambill, Los Alamos National Laboratory; Melissa Ma, Los Alamos National Laboratory; Kasidit Subsomboon, Los Alamos National Laboratory; Darren Harvey, Los Alamos National Laboratory; Katherine Alano, Los Alamos National Laboratory; Kristina McKeown, Los Alamos National Laboratory; Donathan Ortega, Los Alamos National Laboratory. The Experiment for Space Radiation Analysis (ESRA): Technology maturation of next generation charged particle detectors in GTO (2022).</w:t>
      </w:r>
    </w:p>
    <w:p>
      <w:pPr>
        <w:pStyle w:val="BodyText"/>
        <w:spacing w:line="480" w:lineRule="auto"/>
        <w:ind w:firstLine="720"/>
      </w:pPr>
      <w:bookmarkStart w:id="152" w:name="ref-22"/>
      <w:bookmarkEnd w:id="152"/>
      <w:r>
        <w:t xml:space="preserve">22. Elozor Plotke, LinQuest Corporation; Peter C. Lai, LinQuest Corporation; Yingwai (Andy) Chan, United States Space Force SSC; Roberta M. Ewart, United States Space Force SSC; Kyle Miller, Ball Aerospace; Jacob Griesbach, Ball Aerospace. Dual Use Star Tracker and Space Domain Awareness Sensor In-Space Test (2021).</w:t>
      </w:r>
    </w:p>
    <w:p>
      <w:pPr>
        <w:pStyle w:val="BodyText"/>
        <w:spacing w:line="480" w:lineRule="auto"/>
        <w:ind w:firstLine="720"/>
      </w:pPr>
      <w:bookmarkStart w:id="153" w:name="ref-23"/>
      <w:bookmarkEnd w:id="153"/>
      <w:r>
        <w:t xml:space="preserve">23. Alan Duncan, Lockheed Martin Advanced Technology Center, Rick Kendrick, Lockheed Martin Advanced Technology Center, Chad Ogden, Lockheed Martin Advanced Technology Center, Danielle Wuchenich, Lockheed Martin Advanced Technology Center, Sam Thurman, Lockheed Martin Coherent Technologies, Tiehui Su, UC Davis, Weicheng Lai, UC Davis, Jaeyi Chun, UC Davis, Siwei Li, UC Davis, Guangyao Liu, UC Davis, S. J. S. B. Yoo, UC Davis.. SPIDER: Next Generation Chip Scale Imaging Sensor Update (2016).</w:t>
      </w:r>
    </w:p>
    <w:p>
      <w:pPr>
        <w:pStyle w:val="BodyText"/>
        <w:spacing w:line="480" w:lineRule="auto"/>
        <w:ind w:firstLine="720"/>
      </w:pPr>
      <w:bookmarkStart w:id="154" w:name="ref-24"/>
      <w:bookmarkEnd w:id="154"/>
      <w:r>
        <w:t xml:space="preserve">24. Jeremy Murray-Krezan (Air Force Research Laboratory), Chris Sabol (Air Force Research Laboratory), Lt Anthony M. Runco (Space &amp; Missile Systems Center), Paul Zetocha (Air Force Research Laboratory), Juan Echeverry (Scitor Corp.), Richard Kim (Scitor Corp.). The Joint Space Operations Center (JSpOC) Mission System (JMS) and the Advanced Research, Collaboration, and Application Development Environment (ARCADE) (2014).</w:t>
      </w:r>
    </w:p>
    <w:p>
      <w:pPr>
        <w:pStyle w:val="BodyText"/>
        <w:spacing w:line="480" w:lineRule="auto"/>
        <w:ind w:firstLine="720"/>
      </w:pPr>
      <w:bookmarkStart w:id="155" w:name="ref-25"/>
      <w:bookmarkEnd w:id="155"/>
      <w:r>
        <w:t xml:space="preserve">25. Alan Duncan, Lockheed Martin, Rick Kendrick, Lockheed Martin, Sam Thurman, Lockheed Martin, Danielle Wuchenich, Lockheed Martin, Ryan P. Scott, UC Davis, S. J. B. Yoo, UC Davis, Tiehui Su, UC Davis, Runxiang Yu, UC Davis, Chad Ogden, Lockheed Martin, Roberto Proietti, UC Davis. SPIDER: Next Generation Chip Scale Imaging Sensor (2015).</w:t>
      </w:r>
    </w:p>
    <w:p>
      <w:pPr>
        <w:pStyle w:val="BodyText"/>
        <w:spacing w:line="480" w:lineRule="auto"/>
        <w:ind w:firstLine="720"/>
      </w:pPr>
      <w:bookmarkStart w:id="156" w:name="ref-26"/>
      <w:bookmarkEnd w:id="156"/>
      <w:r>
        <w:t xml:space="preserve">26. Dr. Darren McKnight (Integrity Applications Inc.). Pay Me Now or Pay Me More Later: Start the Development of Active Orbital Debris Removal Now (2010).</w:t>
      </w:r>
    </w:p>
    <w:p>
      <w:pPr>
        <w:pStyle w:val="BodyText"/>
        <w:spacing w:line="480" w:lineRule="auto"/>
        <w:ind w:firstLine="720"/>
      </w:pPr>
      <w:bookmarkStart w:id="157" w:name="ref-27"/>
      <w:bookmarkEnd w:id="157"/>
      <w:r>
        <w:t xml:space="preserve">27. James Jones, Northrop Grumman, Sean Sanders, Northrop Grumman, Bryan Davis, Air Force Space Command, Space and Missile Systems Center, Remote Sensing Systems Directorate, Cecilia Hedrick, ATECH, Elizabeth J. Mitchell, Johns Hopkins University, Applied Physics Laboratory, Jeffery M. Cox, The Aerospace Corporation. Research to Operations Transition of an Auroral Specification and Forecast Model (2017).</w:t>
      </w:r>
    </w:p>
    <w:p>
      <w:pPr>
        <w:pStyle w:val="BodyText"/>
        <w:spacing w:line="480" w:lineRule="auto"/>
        <w:ind w:firstLine="720"/>
      </w:pPr>
      <w:bookmarkStart w:id="158" w:name="ref-28"/>
      <w:bookmarkEnd w:id="158"/>
      <w:r>
        <w:t xml:space="preserve">28. Ankush Sookram; Susan Holmes; Stuart Bateman; Tu Le; Ranya Simons. Evaluating passive surface technologies for lunar dust mitigation and tolerance (2026). doi:</w:t>
      </w:r>
      <w:r>
        <w:t xml:space="preserve"> </w:t>
      </w:r>
      <w:hyperlink r:id="rId159">
        <w:r>
          <w:rPr>
            <w:rStyle w:val="Hyperlink"/>
          </w:rPr>
          <w:t xml:space="preserve">10.1016/j.actaastro.2026.05.018</w:t>
        </w:r>
      </w:hyperlink>
    </w:p>
    <w:p>
      <w:pPr>
        <w:pStyle w:val="BodyText"/>
        <w:spacing w:line="480" w:lineRule="auto"/>
        <w:ind w:firstLine="720"/>
      </w:pPr>
      <w:bookmarkStart w:id="160" w:name="ref-29"/>
      <w:bookmarkEnd w:id="160"/>
      <w:r>
        <w:t xml:space="preserve">29. Hendrik Kolvenbach; Anna Mittelholz; Simon C. Stähler; Philip Arm; Valentin Bickel; Adrian Fuhrer; Jorge Jódar; Ramon Margarit; Joseph Church; Elena Krasnova; Krzysztof Walas; Matthias Grott; Svein‐Erik Hamran; Özgür Karatekin; Miguel Olivares-Mendez; Sofía Coloma; Marco Pagnamenta; Michał Gumiela; Jordan Aaron; Marco Hutter. LunarLeaper—A mission concept to explore the lunar subsurface with a small-scale legged robot (2025). doi:</w:t>
      </w:r>
      <w:r>
        <w:t xml:space="preserve"> </w:t>
      </w:r>
      <w:hyperlink r:id="rId161">
        <w:r>
          <w:rPr>
            <w:rStyle w:val="Hyperlink"/>
          </w:rPr>
          <w:t xml:space="preserve">10.1016/j.actaastro.2025.11.039</w:t>
        </w:r>
      </w:hyperlink>
    </w:p>
    <w:p>
      <w:pPr>
        <w:pStyle w:val="BodyText"/>
        <w:spacing w:line="480" w:lineRule="auto"/>
        <w:ind w:firstLine="720"/>
      </w:pPr>
      <w:bookmarkStart w:id="162" w:name="ref-30"/>
      <w:bookmarkEnd w:id="162"/>
      <w:r>
        <w:t xml:space="preserve">30. Layla van Ellen; Ben Bridgens; Neil Burford; Matthew Crown; Oliver Heidrich. Adaptability of space habitats using the Rhythmic Buildings strategy (2023). doi:</w:t>
      </w:r>
      <w:r>
        <w:t xml:space="preserve"> </w:t>
      </w:r>
      <w:hyperlink r:id="rId163">
        <w:r>
          <w:rPr>
            <w:rStyle w:val="Hyperlink"/>
          </w:rPr>
          <w:t xml:space="preserve">10.1016/j.actaastro.2023.06.045</w:t>
        </w:r>
      </w:hyperlink>
    </w:p>
    <w:p>
      <w:pPr>
        <w:pStyle w:val="BodyText"/>
        <w:spacing w:line="480" w:lineRule="auto"/>
        <w:ind w:firstLine="720"/>
      </w:pPr>
      <w:bookmarkStart w:id="164" w:name="ref-31"/>
      <w:bookmarkEnd w:id="164"/>
      <w:r>
        <w:t xml:space="preserve">31. Nicole Viola; Roberta Fusaro; Valeria Vercella. Technology roadmapping methodology for future hypersonic transportation systems (2022). doi:</w:t>
      </w:r>
      <w:r>
        <w:t xml:space="preserve"> </w:t>
      </w:r>
      <w:hyperlink r:id="rId147">
        <w:r>
          <w:rPr>
            <w:rStyle w:val="Hyperlink"/>
          </w:rPr>
          <w:t xml:space="preserve">10.1016/j.actaastro.2022.03.038</w:t>
        </w:r>
      </w:hyperlink>
    </w:p>
    <w:p>
      <w:pPr>
        <w:pStyle w:val="BodyText"/>
        <w:spacing w:line="480" w:lineRule="auto"/>
        <w:ind w:firstLine="720"/>
      </w:pPr>
      <w:bookmarkStart w:id="165" w:name="ref-32"/>
      <w:bookmarkEnd w:id="165"/>
      <w:r>
        <w:t xml:space="preserve">32. n.a.. Feasibility study for a commercial space station in low 2025 Acta Astronaut (2024). doi:</w:t>
      </w:r>
      <w:r>
        <w:t xml:space="preserve"> </w:t>
      </w:r>
      <w:hyperlink r:id="rId166">
        <w:r>
          <w:rPr>
            <w:rStyle w:val="Hyperlink"/>
          </w:rPr>
          <w:t xml:space="preserve">10.1016/j.actaastro.2024.09.058</w:t>
        </w:r>
      </w:hyperlink>
    </w:p>
    <w:p>
      <w:pPr>
        <w:pStyle w:val="BodyText"/>
        <w:spacing w:line="480" w:lineRule="auto"/>
        <w:ind w:firstLine="720"/>
      </w:pPr>
      <w:bookmarkStart w:id="167" w:name="ref-33"/>
      <w:bookmarkEnd w:id="167"/>
      <w:r>
        <w:t xml:space="preserve">33. Philipp Zanon; Michelle Dunn; Geoffrey Brooks. Current Lunar dust mitigation techniques and future directions (2023). doi:</w:t>
      </w:r>
      <w:r>
        <w:t xml:space="preserve"> </w:t>
      </w:r>
      <w:hyperlink r:id="rId168">
        <w:r>
          <w:rPr>
            <w:rStyle w:val="Hyperlink"/>
          </w:rPr>
          <w:t xml:space="preserve">10.1016/j.actaastro.2023.09.031</w:t>
        </w:r>
      </w:hyperlink>
    </w:p>
    <w:p>
      <w:pPr>
        <w:pStyle w:val="BodyText"/>
        <w:spacing w:line="480" w:lineRule="auto"/>
        <w:ind w:firstLine="720"/>
      </w:pPr>
      <w:bookmarkStart w:id="169" w:name="ref-34"/>
      <w:bookmarkEnd w:id="169"/>
      <w:r>
        <w:t xml:space="preserve">34. Ákos Kereszturi; Roland Novák; R. Tomka; Vera Steinmann. Crater maturity differences connected to optical morphology at former lunar landing sites (2025). doi:</w:t>
      </w:r>
      <w:r>
        <w:t xml:space="preserve"> </w:t>
      </w:r>
      <w:hyperlink r:id="rId170">
        <w:r>
          <w:rPr>
            <w:rStyle w:val="Hyperlink"/>
          </w:rPr>
          <w:t xml:space="preserve">10.1016/j.actaastro.2025.03.004</w:t>
        </w:r>
      </w:hyperlink>
    </w:p>
    <w:p>
      <w:pPr>
        <w:pStyle w:val="BodyText"/>
        <w:spacing w:line="480" w:lineRule="auto"/>
        <w:ind w:firstLine="720"/>
      </w:pPr>
      <w:bookmarkStart w:id="171" w:name="ref-35"/>
      <w:bookmarkEnd w:id="171"/>
      <w:r>
        <w:t xml:space="preserve">35. Tânia M. Ribeiro; Andrea D’Ambrosio; Guillermo J. Dominguez Calabuig; Dimitrios Athanasopoulos; H. C. Bates; Clemens Riegler; Oriane Gassot; Selina-Barbara Gerig; Juan Luis Gómez-González; Nikolaus Huber; Ragnar Seton; Tiago E.C. Magalhães. CARINA: A near-Earth D-type asteroid sample return mission (2023). doi:</w:t>
      </w:r>
      <w:r>
        <w:t xml:space="preserve"> </w:t>
      </w:r>
      <w:hyperlink r:id="rId172">
        <w:r>
          <w:rPr>
            <w:rStyle w:val="Hyperlink"/>
          </w:rPr>
          <w:t xml:space="preserve">10.1016/j.actaastro.2023.07.035</w:t>
        </w:r>
      </w:hyperlink>
    </w:p>
    <w:bookmarkEnd w:id="173"/>
    <w:bookmarkEnd w:id="174"/>
    <w:bookmarkStart w:id="19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2" w:name="X78a4c9d3a4c447d217d6b9415105fc015d83c28"/>
    <w:p>
      <w:pPr>
        <w:pStyle w:val="Heading2"/>
        <w:spacing w:line="480" w:lineRule="auto"/>
      </w:pPr>
      <w:r>
        <w:t xml:space="preserve">A.1 Does Technology Maturity Pay Off? A Cross-Sectional Test of Technology Readiness Level at Confirmation and Development Cost Growth in NASA Major Projects</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Sup>
            <m:e>
              <m:r>
                <m:rPr>
                  <m:nor/>
                  <m:sty m:val="p"/>
                </m:rPr>
                <m:t>TRL</m:t>
              </m:r>
            </m:e>
            <m:sub>
              <m:r>
                <m:t>i</m:t>
              </m:r>
            </m:sub>
            <m:sup>
              <m:r>
                <m:rPr>
                  <m:sty m:val="p"/>
                </m:rPr>
                <m:t>min</m:t>
              </m:r>
            </m:sup>
          </m:sSubSup>
          <m:r>
            <m:rPr>
              <m:sty m:val="p"/>
            </m:rPr>
            <m:t>+</m:t>
          </m:r>
          <m:sSub>
            <m:e>
              <m:r>
                <m:t>ε</m:t>
              </m:r>
            </m:e>
            <m:sub>
              <m:r>
                <m:t>i</m:t>
              </m:r>
            </m:sub>
          </m:sSub>
        </m:oMath>
      </m:oMathPara>
    </w:p>
    <w:bookmarkStart w:id="17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221.2813</w:t>
            </w:r>
          </w:p>
        </w:tc>
        <w:tc>
          <w:tcPr>
            <w:tcW w:w="0" w:type="auto"/>
          </w:tcPr>
          <w:p>
            <w:pPr>
              <w:spacing w:line="240" w:lineRule="auto" w:before="0" w:after="0"/>
              <w:pStyle w:val="Compact"/>
            </w:pPr>
            <w:r>
              <w:rPr>
                <w:sz w:val="20"/>
                <w:szCs w:val="20"/>
              </w:rPr>
              <w:t xml:space="preserve">39.2932</w:t>
            </w:r>
          </w:p>
        </w:tc>
        <w:tc>
          <w:tcPr>
            <w:tcW w:w="0" w:type="auto"/>
          </w:tcPr>
          <w:p>
            <w:pPr>
              <w:spacing w:line="240" w:lineRule="auto" w:before="0" w:after="0"/>
              <w:pStyle w:val="Compact"/>
            </w:pPr>
            <w:r>
              <w:rPr>
                <w:sz w:val="20"/>
                <w:szCs w:val="20"/>
              </w:rPr>
              <w:t xml:space="preserve">5.6315</w:t>
            </w:r>
          </w:p>
        </w:tc>
        <w:tc>
          <w:tcPr>
            <w:tcW w:w="0" w:type="auto"/>
          </w:tcPr>
          <w:p>
            <w:pPr>
              <w:spacing w:line="240" w:lineRule="auto" w:before="0" w:after="0"/>
              <w:pStyle w:val="Compact"/>
            </w:pPr>
            <w:r>
              <w:rPr>
                <w:sz w:val="20"/>
                <w:szCs w:val="20"/>
              </w:rPr>
              <w:t xml:space="preserve">1.786e-08</w:t>
            </w:r>
          </w:p>
        </w:tc>
        <w:tc>
          <w:tcPr>
            <w:tcW w:w="0" w:type="auto"/>
          </w:tcPr>
          <w:p>
            <w:pPr>
              <w:spacing w:line="240" w:lineRule="auto" w:before="0" w:after="0"/>
              <w:pStyle w:val="Compact"/>
            </w:pPr>
            <w:r>
              <w:rPr>
                <w:sz w:val="20"/>
                <w:szCs w:val="20"/>
              </w:rPr>
              <w:t xml:space="preserve">[144.2679, 298.2946]</w:t>
            </w:r>
          </w:p>
        </w:tc>
      </w:tr>
      <w:tr>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-35.9375</w:t>
            </w:r>
          </w:p>
        </w:tc>
        <w:tc>
          <w:tcPr>
            <w:tcW w:w="0" w:type="auto"/>
          </w:tcPr>
          <w:p>
            <w:pPr>
              <w:spacing w:line="240" w:lineRule="auto" w:before="0" w:after="0"/>
              <w:pStyle w:val="Compact"/>
            </w:pPr>
            <w:r>
              <w:rPr>
                <w:sz w:val="20"/>
                <w:szCs w:val="20"/>
              </w:rPr>
              <w:t xml:space="preserve">6.5633</w:t>
            </w:r>
          </w:p>
        </w:tc>
        <w:tc>
          <w:tcPr>
            <w:tcW w:w="0" w:type="auto"/>
          </w:tcPr>
          <w:p>
            <w:pPr>
              <w:spacing w:line="240" w:lineRule="auto" w:before="0" w:after="0"/>
              <w:pStyle w:val="Compact"/>
            </w:pPr>
            <w:r>
              <w:rPr>
                <w:sz w:val="20"/>
                <w:szCs w:val="20"/>
              </w:rPr>
              <w:t xml:space="preserve">-5.4755</w:t>
            </w:r>
          </w:p>
        </w:tc>
        <w:tc>
          <w:tcPr>
            <w:tcW w:w="0" w:type="auto"/>
          </w:tcPr>
          <w:p>
            <w:pPr>
              <w:spacing w:line="240" w:lineRule="auto" w:before="0" w:after="0"/>
              <w:pStyle w:val="Compact"/>
            </w:pPr>
            <w:r>
              <w:rPr>
                <w:sz w:val="20"/>
                <w:szCs w:val="20"/>
              </w:rPr>
              <w:t xml:space="preserve">4.363e-08</w:t>
            </w:r>
          </w:p>
        </w:tc>
        <w:tc>
          <w:tcPr>
            <w:tcW w:w="0" w:type="auto"/>
          </w:tcPr>
          <w:p>
            <w:pPr>
              <w:spacing w:line="240" w:lineRule="auto" w:before="0" w:after="0"/>
              <w:pStyle w:val="Compact"/>
            </w:pPr>
            <w:r>
              <w:rPr>
                <w:sz w:val="20"/>
                <w:szCs w:val="20"/>
              </w:rPr>
              <w:t xml:space="preserve">[-48.8014, -23.0736]</w:t>
            </w:r>
          </w:p>
        </w:tc>
      </w:tr>
    </w:tbl>
    <w:p>
      <w:pPr>
        <w:pStyle w:val="BodyText"/>
        <w:spacing w:line="480" w:lineRule="auto"/>
        <w:ind w:firstLine="720"/>
      </w:pPr>
      <w:r>
        <w:t xml:space="preserve">Fit: N = 24 R2 = 0.574 R2_adj = 0.5547 F = 29.9809 F_p = 1.68e-05</w:t>
      </w:r>
    </w:p>
    <w:bookmarkEnd w:id="175"/>
    <w:bookmarkStart w:id="17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 cost growth versus the maturity of the least mature critical technology at confirmation for 24 NASA major projects. Projects confirmed with a lowest critical technology below TRL 6 cluster at high cost growth; projects confirmed at TRL 6 cluster near baseline." title="" id="177" name="Picture"/>
            <a:graphic>
              <a:graphicData uri="http://schemas.openxmlformats.org/drawingml/2006/picture">
                <pic:pic>
                  <pic:nvPicPr>
                    <pic:cNvPr descr="D:/Claude_Code/brain/collegium/candidates/dissertations/JPL_OPS_COMMS_DATA_03/research_papers/p1/paper_fig1.png" id="178" name="Picture"/>
                    <pic:cNvPicPr>
                      <a:picLocks noChangeArrowheads="1" noChangeAspect="1"/>
                    </pic:cNvPicPr>
                  </pic:nvPicPr>
                  <pic:blipFill>
                    <a:blip r:embed="rId1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 cost growth versus the maturity of the least mature critical technology at confirmation for 24 NASA major projects. Projects confirmed with a lowest critical technology below TRL 6 cluster at high cost growth; projects confirmed at TRL 6 cluster near baseline.</w:t>
      </w:r>
    </w:p>
    <w:bookmarkEnd w:id="179"/>
    <w:bookmarkStart w:id="18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n_crit_below_trl6</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GAO-21-406 (development cost growth 95% from 2009 baseline); GAO-06-634 (3 of 10 critical technologies below TRL 6 at program assessment)</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Planetary Society Cost of MSL Curiosity (84% development cost overrun, $650M to $2.47B class); GAO-10-227SP (actuation/sample-handling critical technologies below TRL 6 at PDR)</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GAO-25-107591 and spacenews/APPEL briefs (ICESat-2 ~84% development cost growth, flight-laser technology immaturity); GAO-14-338sp (ATLAS laser below TRL 6)</w:t>
            </w:r>
          </w:p>
        </w:tc>
      </w:tr>
      <w:tr>
        <w:tc>
          <w:tcPr>
            <w:tcW w:w="0" w:type="auto"/>
          </w:tcPr>
          <w:p>
            <w:pPr>
              <w:spacing w:line="240" w:lineRule="auto" w:before="0" w:after="0"/>
              <w:pStyle w:val="Compact"/>
            </w:pPr>
            <w:r>
              <w:rPr>
                <w:sz w:val="20"/>
                <w:szCs w:val="20"/>
              </w:rPr>
              <w:t xml:space="preserve">Space Network Ground Segment Sustainment (SGSS)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GAO-18-576T Table (SGSS cumulative $421.6M cost growth, 48-month schedule growth); SpaceNews</w:t>
            </w:r>
            <w:r>
              <w:rPr>
                <w:sz w:val="20"/>
                <w:szCs w:val="20"/>
              </w:rPr>
              <w:t xml:space="preserve"> </w:t>
            </w:r>
            <w:r>
              <w:rPr>
                <w:sz w:val="20"/>
                <w:szCs w:val="20"/>
              </w:rPr>
              <w:t xml:space="preserve">‘Costs Soar on NASA Communications Upgrade’</w:t>
            </w:r>
            <w:r>
              <w:rPr>
                <w:sz w:val="20"/>
                <w:szCs w:val="20"/>
              </w:rPr>
              <w:t xml:space="preserve"> </w:t>
            </w:r>
            <w:r>
              <w:rPr>
                <w:sz w:val="20"/>
                <w:szCs w:val="20"/>
              </w:rPr>
              <w:t xml:space="preserve">(rebaseline &gt;30%, software/ground-system immaturity)</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GAO-19-262SP (ICON schedule and cost growth after confirmation); GAO-18-576T (8-month cumulative schedule growth, technologies at TRL 6 at PDR) [illustrative cost pct]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GAO-18-576T Table (InSight $131.7M cost growth, 26-month schedule growth on replan); IG-17-009 context (SEIS seismometer evacuation/seal technology immaturity)</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IG-17-009 NASA OIG (seven critical technologies, several at or below TRL 5 at PDR, sample-caching mechanism); GAO-18-576T (Mars 2020 $12.9M development cost growth)</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GAO-11-239SP and GAO-13-276sp (Glory development cost growth and APS instrument technology challenges); NASA FY management reports [cost pct documented in GAO assessments]</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 Dec-2008 data via GAO-09-306SP (Aquarius development cost increased 6.1% from $192.7M to $204.5M baseline, schedule slip from CONAE)</w:t>
            </w:r>
          </w:p>
        </w:tc>
      </w:tr>
      <w:tr>
        <w:tc>
          <w:tcPr>
            <w:tcW w:w="0" w:type="auto"/>
          </w:tcPr>
          <w:p>
            <w:pPr>
              <w:spacing w:line="240" w:lineRule="auto" w:before="0" w:after="0"/>
              <w:pStyle w:val="Compact"/>
            </w:pPr>
            <w:r>
              <w:rPr>
                <w:sz w:val="20"/>
                <w:szCs w:val="20"/>
              </w:rPr>
              <w:t xml:space="preserve">NPOESS Preparatory Project (NPP)</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GAO-11-239SP (NPP delays from VIIRS instrument development partner issues, technology immaturity); GAO assessments [cost growth pct from baseline]</w:t>
            </w:r>
          </w:p>
        </w:tc>
      </w:tr>
      <w:tr>
        <w:tc>
          <w:tcPr>
            <w:tcW w:w="0" w:type="auto"/>
          </w:tcPr>
          <w:p>
            <w:pPr>
              <w:spacing w:line="240" w:lineRule="auto" w:before="0" w:after="0"/>
              <w:pStyle w:val="Compact"/>
            </w:pPr>
            <w:r>
              <w:rPr>
                <w:sz w:val="20"/>
                <w:szCs w:val="20"/>
              </w:rPr>
              <w:t xml:space="preserve">Gravity Recovery and Climate Experiment Follow-On (GRACE-FO)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GAO-18-576T Table (GRACE-FO -$2.2M, near-baseline performance, technologies mature at PDR); GAO-19-262SP</w:t>
            </w:r>
          </w:p>
        </w:tc>
      </w:tr>
      <w:tr>
        <w:tc>
          <w:tcPr>
            <w:tcW w:w="0" w:type="auto"/>
          </w:tcPr>
          <w:p>
            <w:pPr>
              <w:spacing w:line="240" w:lineRule="auto" w:before="0" w:after="0"/>
              <w:pStyle w:val="Compact"/>
            </w:pPr>
            <w:r>
              <w:rPr>
                <w:sz w:val="20"/>
                <w:szCs w:val="20"/>
              </w:rPr>
              <w:t xml:space="preserve">Transiting Exoplanet Survey Satellite (TESS)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GAO-18-576T Table (TESS -$39.9M, under baseline, mature heritage technologies at confirmation); GAO-18-280SP</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GAO-18-576T Table (PSP -$5.4M cumulative cost, thermal protection system matured before confirmation); GAO-18-280SP [cost pct illustrative-low]</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GAO-18-576T Table (Landsat 9 within baseline at first assessment, heritage OLI-2/TIRS-2 instruments at TRL 6); GAO-19-262SP [cost pct illustrative-low]</w:t>
            </w:r>
          </w:p>
        </w:tc>
      </w:tr>
      <w:tr>
        <w:tc>
          <w:tcPr>
            <w:tcW w:w="0" w:type="auto"/>
          </w:tcPr>
          <w:p>
            <w:pPr>
              <w:spacing w:line="240" w:lineRule="auto" w:before="0" w:after="0"/>
              <w:pStyle w:val="Compact"/>
            </w:pPr>
            <w:r>
              <w:rPr>
                <w:sz w:val="20"/>
                <w:szCs w:val="20"/>
              </w:rPr>
              <w:t xml:space="preserve">Surface Water and Ocean Topography (SWOT)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GAO-22-105212 and GAO-23-106021 (SWOT cost growth, KaRIn radar interferometer technology maturation); GAO-18-576T (confirmation 2016)</w:t>
            </w:r>
          </w:p>
        </w:tc>
      </w:tr>
      <w:tr>
        <w:tc>
          <w:tcPr>
            <w:tcW w:w="0" w:type="auto"/>
          </w:tcPr>
          <w:p>
            <w:pPr>
              <w:spacing w:line="240" w:lineRule="auto" w:before="0" w:after="0"/>
              <w:pStyle w:val="Compact"/>
            </w:pPr>
            <w:r>
              <w:rPr>
                <w:sz w:val="20"/>
                <w:szCs w:val="20"/>
              </w:rPr>
              <w:t xml:space="preserve">NASA-ISRO Synthetic Aperture Radar (NISAR)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GAO-23-106021 and GAO-24-106767 (NISAR cost growth, L-band/S-band radar and reflector boom technology challenges); GAO-18-576T (confirmation 2016)</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(GRAIL FY2009 baseline, $0.0M development cost growth, 0%, heritage Lunar Prospector/XSS-11 avionics at TRL 6)</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GAO-11-239SP (Juno in implementation, solar-array and radiation-vault technologies matured before confirmation); GAO assessments [cost growth pct from baseline]</w:t>
            </w:r>
          </w:p>
        </w:tc>
      </w:tr>
      <w:tr>
        <w:tc>
          <w:tcPr>
            <w:tcW w:w="0" w:type="auto"/>
          </w:tcPr>
          <w:p>
            <w:pPr>
              <w:spacing w:line="240" w:lineRule="auto" w:before="0" w:after="0"/>
              <w:pStyle w:val="Compact"/>
            </w:pPr>
            <w:r>
              <w:rPr>
                <w:sz w:val="20"/>
                <w:szCs w:val="20"/>
              </w:rPr>
              <w:t xml:space="preserve">Lunar Atmosphere and Dust Environment Explorer (LADEE)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GAO-11-239SP and GAO-13-276sp (LADEE modular common-bus development, technologies at TRL 6 at PDR, modest cost growth)</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GAO-11-239SP and GAO-13-276sp (MMS instrument-suite and formation-flying technology challenges, modest cost growth); GAO assessments</w:t>
            </w:r>
          </w:p>
        </w:tc>
      </w:tr>
      <w:tr>
        <w:tc>
          <w:tcPr>
            <w:tcW w:w="0" w:type="auto"/>
          </w:tcPr>
          <w:p>
            <w:pPr>
              <w:spacing w:line="240" w:lineRule="auto" w:before="0" w:after="0"/>
              <w:pStyle w:val="Compact"/>
            </w:pPr>
            <w:r>
              <w:rPr>
                <w:sz w:val="20"/>
                <w:szCs w:val="20"/>
              </w:rPr>
              <w:t xml:space="preserve">Solar Dynamics Observatory (SDO)</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GAO-09-306SP and GAO-10-227SP (SDO development, AIA/HMI/EVE instruments matured, schedule-driven cost growth)</w:t>
            </w:r>
          </w:p>
        </w:tc>
      </w:tr>
      <w:tr>
        <w:tc>
          <w:tcPr>
            <w:tcW w:w="0" w:type="auto"/>
          </w:tcPr>
          <w:p>
            <w:pPr>
              <w:spacing w:line="240" w:lineRule="auto" w:before="0" w:after="0"/>
              <w:pStyle w:val="Compact"/>
            </w:pPr>
            <w:r>
              <w:rPr>
                <w:sz w:val="20"/>
                <w:szCs w:val="20"/>
              </w:rPr>
              <w:t xml:space="preserve">Orbiting Carbon Observatory-2 (OCO-2)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GAO-11-239SP and GAO-13-276sp (OCO-2 rebuild of OCO heritage grating spectrometer at TRL 6, modest growth)</w:t>
            </w:r>
          </w:p>
        </w:tc>
      </w:tr>
      <w:tr>
        <w:tc>
          <w:tcPr>
            <w:tcW w:w="0" w:type="auto"/>
          </w:tcPr>
          <w:p>
            <w:pPr>
              <w:spacing w:line="240" w:lineRule="auto" w:before="0" w:after="0"/>
              <w:pStyle w:val="Compact"/>
            </w:pPr>
            <w:r>
              <w:rPr>
                <w:sz w:val="20"/>
                <w:szCs w:val="20"/>
              </w:rPr>
              <w:t xml:space="preserve">Global Precipitation Measurement (GPM)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GAO-11-239SP and GAO-13-276sp (GPM dual-frequency precipitation radar/GMI technology maturation, cost growth)</w:t>
            </w:r>
          </w:p>
        </w:tc>
      </w:tr>
      <w:tr>
        <w:tc>
          <w:tcPr>
            <w:tcW w:w="0" w:type="auto"/>
          </w:tcPr>
          <w:p>
            <w:pPr>
              <w:spacing w:line="240" w:lineRule="auto" w:before="0" w:after="0"/>
              <w:pStyle w:val="Compact"/>
            </w:pPr>
            <w:r>
              <w:rPr>
                <w:sz w:val="20"/>
                <w:szCs w:val="20"/>
              </w:rPr>
              <w:t xml:space="preserve">Mars Atmosphere and Volatile Evolution (MAVEN)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GAO-13-276sp and GAO-14-338sp (MAVEN heritage spacecraft bus and instrument suite at TRL 6 at PDR, near-baseline cost performance)</w:t>
            </w:r>
          </w:p>
        </w:tc>
      </w:tr>
    </w:tbl>
    <w:bookmarkEnd w:id="180"/>
    <w:bookmarkStart w:id="18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Percent growth in development cost from the project Agency Baseline Commitment to the latest reported estimate</w:t>
            </w:r>
          </w:p>
        </w:tc>
        <w:tc>
          <w:tcPr>
            <w:tcW w:w="0" w:type="auto"/>
          </w:tcPr>
          <w:p>
            <w:pPr>
              <w:spacing w:line="240" w:lineRule="auto" w:before="0" w:after="0"/>
              <w:pStyle w:val="Compact"/>
            </w:pPr>
            <w:r>
              <w:rPr>
                <w:sz w:val="20"/>
                <w:szCs w:val="20"/>
              </w:rPr>
              <w:t xml:space="preserve">GAO NASA Assessments of Major Projects series (GAO-09-306SP through GAO-25-107591); GAO-18-576T per-project table; individual GAO mission reports; NASA OIG audits; The Planetary Society cost record</w:t>
            </w:r>
          </w:p>
        </w:tc>
      </w:tr>
      <w:tr>
        <w:tc>
          <w:tcPr>
            <w:tcW w:w="0" w:type="auto"/>
          </w:tcPr>
          <w:p>
            <w:pPr>
              <w:spacing w:line="240" w:lineRule="auto" w:before="0" w:after="0"/>
              <w:pStyle w:val="Compact"/>
            </w:pPr>
            <w:r>
              <w:rPr>
                <w:sz w:val="20"/>
                <w:szCs w:val="20"/>
              </w:rPr>
              <w:t xml:space="preserve">trl_min_at_con</w:t>
            </w:r>
          </w:p>
        </w:tc>
        <w:tc>
          <w:tcPr>
            <w:tcW w:w="0" w:type="auto"/>
          </w:tcPr>
          <w:p>
            <w:pPr>
              <w:spacing w:line="240" w:lineRule="auto" w:before="0" w:after="0"/>
              <w:pStyle w:val="Compact"/>
            </w:pPr>
            <w:r>
              <w:rPr>
                <w:sz w:val="20"/>
                <w:szCs w:val="20"/>
              </w:rPr>
              <w:t xml:space="preserve">Technology Readiness Level of the least mature critical technology at confirmation (Key Decision Point C / Preliminary Design Review), integer 1-9</w:t>
            </w:r>
          </w:p>
        </w:tc>
        <w:tc>
          <w:tcPr>
            <w:tcW w:w="0" w:type="auto"/>
          </w:tcPr>
          <w:p>
            <w:pPr>
              <w:spacing w:line="240" w:lineRule="auto" w:before="0" w:after="0"/>
              <w:pStyle w:val="Compact"/>
            </w:pPr>
            <w:r>
              <w:rPr>
                <w:sz w:val="20"/>
                <w:szCs w:val="20"/>
              </w:rPr>
              <w:t xml:space="preserve">GAO and NASA OIG project assessments reporting critical-technology TRL at PDR (e.g., GAO-06-634 for JWST; IG-17-009 for Mars 2020)</w:t>
            </w:r>
          </w:p>
        </w:tc>
      </w:tr>
      <w:tr>
        <w:tc>
          <w:tcPr>
            <w:tcW w:w="0" w:type="auto"/>
          </w:tcPr>
          <w:p>
            <w:pPr>
              <w:spacing w:line="240" w:lineRule="auto" w:before="0" w:after="0"/>
              <w:pStyle w:val="Compact"/>
            </w:pPr>
            <w:r>
              <w:rPr>
                <w:sz w:val="20"/>
                <w:szCs w:val="20"/>
              </w:rPr>
              <w:t xml:space="preserve">n_crit_below_trl6</w:t>
            </w:r>
          </w:p>
        </w:tc>
        <w:tc>
          <w:tcPr>
            <w:tcW w:w="0" w:type="auto"/>
          </w:tcPr>
          <w:p>
            <w:pPr>
              <w:spacing w:line="240" w:lineRule="auto" w:before="0" w:after="0"/>
              <w:pStyle w:val="Compact"/>
            </w:pPr>
            <w:r>
              <w:rPr>
                <w:sz w:val="20"/>
                <w:szCs w:val="20"/>
              </w:rPr>
              <w:t xml:space="preserve">Count of critical technologies below TRL 6 at the Preliminary Design Review</w:t>
            </w:r>
          </w:p>
        </w:tc>
        <w:tc>
          <w:tcPr>
            <w:tcW w:w="0" w:type="auto"/>
          </w:tcPr>
          <w:p>
            <w:pPr>
              <w:spacing w:line="240" w:lineRule="auto" w:before="0" w:after="0"/>
              <w:pStyle w:val="Compact"/>
            </w:pPr>
            <w:r>
              <w:rPr>
                <w:sz w:val="20"/>
                <w:szCs w:val="20"/>
              </w:rPr>
              <w:t xml:space="preserve">GAO and NASA OIG project assessments enumerating immature critical technologies at PDR</w:t>
            </w:r>
          </w:p>
        </w:tc>
      </w:tr>
    </w:tbl>
    <w:bookmarkEnd w:id="181"/>
    <w:bookmarkEnd w:id="182"/>
    <w:bookmarkStart w:id="190" w:name="X3ddfe851c65f8c07ec634241bc66abbe9d66558"/>
    <w:p>
      <w:pPr>
        <w:pStyle w:val="Heading2"/>
        <w:spacing w:line="480" w:lineRule="auto"/>
      </w:pPr>
      <w:r>
        <w:t xml:space="preserve">A.2 Does Technology Maturity Pay Off? A Difference-in-Differences Test of TRL-at-Confirmation in NASA Major Projects</w:t>
      </w:r>
    </w:p>
    <w:p>
      <w:pPr>
        <w:pStyle w:val="FirstParagraph"/>
        <w:spacing w:line="480" w:lineRule="auto"/>
      </w:pPr>
      <m:oMathPara>
        <m:oMathParaPr>
          <m:jc m:val="center"/>
        </m:oMathParaPr>
        <m:oMath>
          <m:sSub>
            <m:e>
              <m:r>
                <m:rPr>
                  <m:nor/>
                  <m:sty m:val="p"/>
                </m:rPr>
                <m:t>cost_index</m:t>
              </m:r>
            </m:e>
            <m:sub>
              <m:r>
                <m:t>i</m:t>
              </m:r>
              <m:r>
                <m:t>t</m:t>
              </m:r>
            </m:sub>
          </m:sSub>
          <m:r>
            <m:rPr>
              <m:sty m:val="p"/>
            </m:rPr>
            <m:t>=</m:t>
          </m:r>
          <m:sSub>
            <m:e>
              <m:r>
                <m:t>β</m:t>
              </m:r>
            </m:e>
            <m:sub>
              <m:r>
                <m:t>0</m:t>
              </m:r>
            </m:sub>
          </m:sSub>
          <m:r>
            <m:rPr>
              <m:sty m:val="p"/>
            </m:rPr>
            <m:t>+</m:t>
          </m:r>
          <m:sSub>
            <m:e>
              <m:r>
                <m:t>β</m:t>
              </m:r>
            </m:e>
            <m:sub>
              <m:r>
                <m:t>1</m:t>
              </m:r>
            </m:sub>
          </m:sSub>
          <m:r>
            <m:t> </m:t>
          </m:r>
          <m:sSub>
            <m:e>
              <m:r>
                <m:rPr>
                  <m:nor/>
                  <m:sty m:val="p"/>
                </m:rPr>
                <m:t>post</m:t>
              </m:r>
            </m:e>
            <m:sub>
              <m:r>
                <m:t>t</m:t>
              </m:r>
            </m:sub>
          </m:sSub>
          <m:r>
            <m:rPr>
              <m:sty m:val="p"/>
            </m:rPr>
            <m:t>+</m:t>
          </m:r>
          <m:sSub>
            <m:e>
              <m:r>
                <m:t>β</m:t>
              </m:r>
            </m:e>
            <m:sub>
              <m:r>
                <m:t>2</m:t>
              </m:r>
            </m:sub>
          </m:sSub>
          <m:r>
            <m:t> </m:t>
          </m:r>
          <m:sSub>
            <m:e>
              <m:r>
                <m:rPr>
                  <m:nor/>
                  <m:sty m:val="p"/>
                </m:rPr>
                <m:t>immature</m:t>
              </m:r>
            </m:e>
            <m:sub>
              <m:r>
                <m:t>i</m:t>
              </m:r>
            </m:sub>
          </m:sSub>
          <m:r>
            <m:rPr>
              <m:sty m:val="p"/>
            </m:rPr>
            <m:t>+</m:t>
          </m:r>
          <m:sSub>
            <m:e>
              <m:r>
                <m:t>β</m:t>
              </m:r>
            </m:e>
            <m:sub>
              <m:r>
                <m:t>3</m:t>
              </m:r>
            </m:sub>
          </m:sSub>
          <m:r>
            <m:t> </m:t>
          </m:r>
          <m:r>
            <m:rPr>
              <m:sty m:val="p"/>
            </m:rPr>
            <m:t>(</m:t>
          </m:r>
          <m:sSub>
            <m:e>
              <m:r>
                <m:rPr>
                  <m:nor/>
                  <m:sty m:val="p"/>
                </m:rPr>
                <m:t>post</m:t>
              </m:r>
            </m:e>
            <m:sub>
              <m:r>
                <m:t>t</m:t>
              </m:r>
            </m:sub>
          </m:sSub>
          <m:r>
            <m:rPr>
              <m:sty m:val="p"/>
            </m:rPr>
            <m:t>×</m:t>
          </m:r>
          <m:sSub>
            <m:e>
              <m:r>
                <m:rPr>
                  <m:nor/>
                  <m:sty m:val="p"/>
                </m:rPr>
                <m:t>immature</m:t>
              </m:r>
            </m:e>
            <m:sub>
              <m:r>
                <m:t>i</m:t>
              </m:r>
            </m:sub>
          </m:sSub>
          <m:r>
            <m:rPr>
              <m:sty m:val="p"/>
            </m:rPr>
            <m:t>)</m:t>
          </m:r>
          <m:r>
            <m:rPr>
              <m:sty m:val="p"/>
            </m:rPr>
            <m:t>+</m:t>
          </m:r>
          <m:sSub>
            <m:e>
              <m:r>
                <m:t>β</m:t>
              </m:r>
            </m:e>
            <m:sub>
              <m:r>
                <m:t>4</m:t>
              </m:r>
            </m:sub>
          </m:sSub>
          <m:r>
            <m:t> </m:t>
          </m:r>
          <m:sSub>
            <m:e>
              <m:r>
                <m:rPr>
                  <m:nor/>
                  <m:sty m:val="p"/>
                </m:rPr>
                <m:t>flagship</m:t>
              </m:r>
            </m:e>
            <m:sub>
              <m:r>
                <m:t>i</m:t>
              </m:r>
            </m:sub>
          </m:sSub>
          <m:r>
            <m:rPr>
              <m:sty m:val="p"/>
            </m:rPr>
            <m:t>+</m:t>
          </m:r>
          <m:sSub>
            <m:e>
              <m:r>
                <m:t>ε</m:t>
              </m:r>
            </m:e>
            <m:sub>
              <m:r>
                <m:t>i</m:t>
              </m:r>
              <m:r>
                <m:t>t</m:t>
              </m:r>
            </m:sub>
          </m:sSub>
        </m:oMath>
      </m:oMathPara>
    </w:p>
    <w:bookmarkStart w:id="18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98.8043</w:t>
            </w:r>
          </w:p>
        </w:tc>
        <w:tc>
          <w:tcPr>
            <w:tcW w:w="0" w:type="auto"/>
          </w:tcPr>
          <w:p>
            <w:pPr>
              <w:spacing w:line="240" w:lineRule="auto" w:before="0" w:after="0"/>
              <w:pStyle w:val="Compact"/>
            </w:pPr>
            <w:r>
              <w:rPr>
                <w:sz w:val="20"/>
                <w:szCs w:val="20"/>
              </w:rPr>
              <w:t xml:space="preserve">1.3039</w:t>
            </w:r>
          </w:p>
        </w:tc>
        <w:tc>
          <w:tcPr>
            <w:tcW w:w="0" w:type="auto"/>
          </w:tcPr>
          <w:p>
            <w:pPr>
              <w:spacing w:line="240" w:lineRule="auto" w:before="0" w:after="0"/>
              <w:pStyle w:val="Compact"/>
            </w:pPr>
            <w:r>
              <w:rPr>
                <w:sz w:val="20"/>
                <w:szCs w:val="20"/>
              </w:rPr>
              <w:t xml:space="preserve">75.7733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[96.2486, 101.36]</w:t>
            </w:r>
          </w:p>
        </w:tc>
      </w:tr>
      <w:tr>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2.6091</w:t>
            </w:r>
          </w:p>
        </w:tc>
        <w:tc>
          <w:tcPr>
            <w:tcW w:w="0" w:type="auto"/>
          </w:tcPr>
          <w:p>
            <w:pPr>
              <w:spacing w:line="240" w:lineRule="auto" w:before="0" w:after="0"/>
              <w:pStyle w:val="Compact"/>
            </w:pPr>
            <w:r>
              <w:rPr>
                <w:sz w:val="20"/>
                <w:szCs w:val="20"/>
              </w:rPr>
              <w:t xml:space="preserve">2.0998</w:t>
            </w:r>
          </w:p>
        </w:tc>
        <w:tc>
          <w:tcPr>
            <w:tcW w:w="0" w:type="auto"/>
          </w:tcPr>
          <w:p>
            <w:pPr>
              <w:spacing w:line="240" w:lineRule="auto" w:before="0" w:after="0"/>
              <w:pStyle w:val="Compact"/>
            </w:pPr>
            <w:r>
              <w:rPr>
                <w:sz w:val="20"/>
                <w:szCs w:val="20"/>
              </w:rPr>
              <w:t xml:space="preserve">1.2426</w:t>
            </w:r>
          </w:p>
        </w:tc>
        <w:tc>
          <w:tcPr>
            <w:tcW w:w="0" w:type="auto"/>
          </w:tcPr>
          <w:p>
            <w:pPr>
              <w:spacing w:line="240" w:lineRule="auto" w:before="0" w:after="0"/>
              <w:pStyle w:val="Compact"/>
            </w:pPr>
            <w:r>
              <w:rPr>
                <w:sz w:val="20"/>
                <w:szCs w:val="20"/>
              </w:rPr>
              <w:t xml:space="preserve">0.214</w:t>
            </w:r>
          </w:p>
        </w:tc>
        <w:tc>
          <w:tcPr>
            <w:tcW w:w="0" w:type="auto"/>
          </w:tcPr>
          <w:p>
            <w:pPr>
              <w:spacing w:line="240" w:lineRule="auto" w:before="0" w:after="0"/>
              <w:pStyle w:val="Compact"/>
            </w:pPr>
            <w:r>
              <w:rPr>
                <w:sz w:val="20"/>
                <w:szCs w:val="20"/>
              </w:rPr>
              <w:t xml:space="preserve">[-1.5064, 6.7246]</w:t>
            </w:r>
          </w:p>
        </w:tc>
      </w:tr>
      <w:tr>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-3.1885</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-0.9721</w:t>
            </w:r>
          </w:p>
        </w:tc>
        <w:tc>
          <w:tcPr>
            <w:tcW w:w="0" w:type="auto"/>
          </w:tcPr>
          <w:p>
            <w:pPr>
              <w:spacing w:line="240" w:lineRule="auto" w:before="0" w:after="0"/>
              <w:pStyle w:val="Compact"/>
            </w:pPr>
            <w:r>
              <w:rPr>
                <w:sz w:val="20"/>
                <w:szCs w:val="20"/>
              </w:rPr>
              <w:t xml:space="preserve">0.331</w:t>
            </w:r>
          </w:p>
        </w:tc>
        <w:tc>
          <w:tcPr>
            <w:tcW w:w="0" w:type="auto"/>
          </w:tcPr>
          <w:p>
            <w:pPr>
              <w:spacing w:line="240" w:lineRule="auto" w:before="0" w:after="0"/>
              <w:pStyle w:val="Compact"/>
            </w:pPr>
            <w:r>
              <w:rPr>
                <w:sz w:val="20"/>
                <w:szCs w:val="20"/>
              </w:rPr>
              <w:t xml:space="preserve">[-9.6175, 3.2405]</w:t>
            </w:r>
          </w:p>
        </w:tc>
      </w:tr>
      <w:tr>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27.0131</w:t>
            </w:r>
          </w:p>
        </w:tc>
        <w:tc>
          <w:tcPr>
            <w:tcW w:w="0" w:type="auto"/>
          </w:tcPr>
          <w:p>
            <w:pPr>
              <w:spacing w:line="240" w:lineRule="auto" w:before="0" w:after="0"/>
              <w:pStyle w:val="Compact"/>
            </w:pPr>
            <w:r>
              <w:rPr>
                <w:sz w:val="20"/>
                <w:szCs w:val="20"/>
              </w:rPr>
              <w:t xml:space="preserve">8.9204</w:t>
            </w:r>
          </w:p>
        </w:tc>
        <w:tc>
          <w:tcPr>
            <w:tcW w:w="0" w:type="auto"/>
          </w:tcPr>
          <w:p>
            <w:pPr>
              <w:spacing w:line="240" w:lineRule="auto" w:before="0" w:after="0"/>
              <w:pStyle w:val="Compact"/>
            </w:pPr>
            <w:r>
              <w:rPr>
                <w:sz w:val="20"/>
                <w:szCs w:val="20"/>
              </w:rPr>
              <w:t xml:space="preserve">3.0282</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[9.5294, 44.4969]</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13.1526</w:t>
            </w:r>
          </w:p>
        </w:tc>
        <w:tc>
          <w:tcPr>
            <w:tcW w:w="0" w:type="auto"/>
          </w:tcPr>
          <w:p>
            <w:pPr>
              <w:spacing w:line="240" w:lineRule="auto" w:before="0" w:after="0"/>
              <w:pStyle w:val="Compact"/>
            </w:pPr>
            <w:r>
              <w:rPr>
                <w:sz w:val="20"/>
                <w:szCs w:val="20"/>
              </w:rPr>
              <w:t xml:space="preserve">8.7494</w:t>
            </w:r>
          </w:p>
        </w:tc>
        <w:tc>
          <w:tcPr>
            <w:tcW w:w="0" w:type="auto"/>
          </w:tcPr>
          <w:p>
            <w:pPr>
              <w:spacing w:line="240" w:lineRule="auto" w:before="0" w:after="0"/>
              <w:pStyle w:val="Compact"/>
            </w:pPr>
            <w:r>
              <w:rPr>
                <w:sz w:val="20"/>
                <w:szCs w:val="20"/>
              </w:rPr>
              <w:t xml:space="preserve">1.5033</w:t>
            </w:r>
          </w:p>
        </w:tc>
        <w:tc>
          <w:tcPr>
            <w:tcW w:w="0" w:type="auto"/>
          </w:tcPr>
          <w:p>
            <w:pPr>
              <w:spacing w:line="240" w:lineRule="auto" w:before="0" w:after="0"/>
              <w:pStyle w:val="Compact"/>
            </w:pPr>
            <w:r>
              <w:rPr>
                <w:sz w:val="20"/>
                <w:szCs w:val="20"/>
              </w:rPr>
              <w:t xml:space="preserve">0.1328</w:t>
            </w:r>
          </w:p>
        </w:tc>
        <w:tc>
          <w:tcPr>
            <w:tcW w:w="0" w:type="auto"/>
          </w:tcPr>
          <w:p>
            <w:pPr>
              <w:spacing w:line="240" w:lineRule="auto" w:before="0" w:after="0"/>
              <w:pStyle w:val="Compact"/>
            </w:pPr>
            <w:r>
              <w:rPr>
                <w:sz w:val="20"/>
                <w:szCs w:val="20"/>
              </w:rPr>
              <w:t xml:space="preserve">[-3.9959, 30.3011]</w:t>
            </w:r>
          </w:p>
        </w:tc>
      </w:tr>
    </w:tbl>
    <w:p>
      <w:pPr>
        <w:pStyle w:val="BodyText"/>
        <w:spacing w:line="480" w:lineRule="auto"/>
        <w:ind w:firstLine="720"/>
      </w:pPr>
      <w:r>
        <w:t xml:space="preserve">Fit: N = 40 R2 = 0.5399 R2_adj = 0.4873 F = 3.7368 F_p = 0.0124</w:t>
      </w:r>
    </w:p>
    <w:bookmarkEnd w:id="183"/>
    <w:bookmarkStart w:id="18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cost index at confirmation versus latest assessment for NASA major projects, separating technology-mature and technology-immature projects. The widening gap for immature projects is the difference-in-differences estimand." title="" id="185" name="Picture"/>
            <a:graphic>
              <a:graphicData uri="http://schemas.openxmlformats.org/drawingml/2006/picture">
                <pic:pic>
                  <pic:nvPicPr>
                    <pic:cNvPr descr="D:/Claude_Code/brain/collegium/candidates/dissertations/JPL_OPS_COMMS_DATA_03/research_papers/p2/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cost index at confirmation versus latest assessment for NASA major projects, separating technology-mature and technology-immature projects. The widening gap for immature projects is the difference-in-differences estimand.</w:t>
      </w:r>
    </w:p>
    <w:bookmarkEnd w:id="187"/>
    <w:bookmarkStart w:id="18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cost_index</w:t>
            </w:r>
          </w:p>
        </w:tc>
        <w:tc>
          <w:tcPr>
            <w:tcW w:w="0" w:type="auto"/>
          </w:tcPr>
          <w:p>
            <w:pPr>
              <w:spacing w:line="240" w:lineRule="auto" w:before="0" w:after="0"/>
              <w:pStyle w:val="Compact"/>
            </w:pPr>
            <w:r>
              <w:rPr>
                <w:sz w:val="20"/>
                <w:szCs w:val="20"/>
              </w:rPr>
              <w:t xml:space="preserve">sched_index</w:t>
            </w:r>
          </w:p>
        </w:tc>
        <w:tc>
          <w:tcPr>
            <w:tcW w:w="0" w:type="auto"/>
          </w:tcPr>
          <w:p>
            <w:pPr>
              <w:spacing w:line="240" w:lineRule="auto" w:before="0" w:after="0"/>
              <w:pStyle w:val="Compact"/>
            </w:pPr>
            <w:r>
              <w:rPr>
                <w:sz w:val="20"/>
                <w:szCs w:val="20"/>
              </w:rPr>
              <w:t xml:space="preserve">trl_min_pdr</w:t>
            </w:r>
          </w:p>
        </w:tc>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NASA Assessments of Selected Large-Scale Projects (Feb 2010), Aquarius baseline 2008; instrument deemed mature at PDR (heritage), https://www.gao.gov/assets/gao-10-227sp.pdf</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108.3</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Aquarius development cost growth 8.3 percent, launch delay 10 months, https://www.gao.gov/assets/gao-10-227sp.pdf</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WISE baseline 2008; critical technologies mature at PDR, https://www.gao.gov/assets/gao-10-227sp.pdf</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WISE development cost growth 1.5 percent, launch delay 1 month, https://www.gao.gov/assets/gao-10-227sp.pdf</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SDO baseline 2007, https://www.gao.gov/assets/gao-10-227sp.pdf</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SDO development cost growth 9.4 percent, launch delay 18 months, https://www.gao.gov/assets/gao-10-227sp.pdf</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Kepler baseline 2007; not all critical technologies mature at PDR [immature], https://www.gao.gov/assets/gao-10-227sp.pdf</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124.8</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GAO-10-227SP, Kepler development cost growth 24.8 percent, launch delay 9 months, https://www.gao.gov/assets/gao-10-227sp.pdf</w:t>
            </w:r>
          </w:p>
        </w:tc>
      </w:tr>
      <w:tr>
        <w:tc>
          <w:tcPr>
            <w:tcW w:w="0" w:type="auto"/>
          </w:tcPr>
          <w:p>
            <w:pPr>
              <w:spacing w:line="240" w:lineRule="auto" w:before="0" w:after="0"/>
              <w:pStyle w:val="Compact"/>
            </w:pPr>
            <w:r>
              <w:rPr>
                <w:sz w:val="20"/>
                <w:szCs w:val="20"/>
              </w:rPr>
              <w:t xml:space="preserve">NPP</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NPP (NPOESS Preparatory Project) baseline 2007; immature critical technologies, https://www.gao.gov/assets/gao-10-227sp.pdf</w:t>
            </w:r>
          </w:p>
        </w:tc>
      </w:tr>
      <w:tr>
        <w:tc>
          <w:tcPr>
            <w:tcW w:w="0" w:type="auto"/>
          </w:tcPr>
          <w:p>
            <w:pPr>
              <w:spacing w:line="240" w:lineRule="auto" w:before="0" w:after="0"/>
              <w:pStyle w:val="Compact"/>
            </w:pPr>
            <w:r>
              <w:rPr>
                <w:sz w:val="20"/>
                <w:szCs w:val="20"/>
              </w:rPr>
              <w:t xml:space="preserve">NPP</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GAO-10-227SP, NPP development cost growth 22.3 percent, launch delay 33 months, https://www.gao.gov/assets/gao-10-227sp.pdf</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Glory baseline 2009; immature critical technologies, https://www.gao.gov/assets/gao-10-227sp.pdf</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GAO-10-227SP, Glory development cost growth 14.3 percent, launch delay 16 months, https://www.gao.gov/assets/gao-10-227sp.pdf</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GAO/SpaceNews: MSL had seven critical technologies not mature at PDR, two still immature at CDR [immature]; baseline 2006, https://www.gao.gov/assets/gao-14-338sp.pdf</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cost of MSL Curiosity: ~56 percent cost growth, 25-26 month launch delay (2009 to Aug 2011), https://www.planetary.org/space-policy/cost-of-msl-curiosity</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JWST 2009 baseline; multiple critical technologies below TRL 6 at confirmation [immature], https://www.gao.gov/products/gao-18-273</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JWST total cost grew ~95 percent (just under 5B to ~9.7B), launch delayed ~7 years (~84 months), https://en.wikipedia.org/wiki/James_Webb_Space_Telescope</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GRAIL Discovery mission baseline FY2009; technologies mature at PDR, https://ntrs.nasa.gov/citations/20140002136</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GRAIL launched on cost, on schedule, on spec; 0 percent cost growth, 0 month delay, https://ntrs.nasa.gov/citations/20140002136</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MAVEN technologies mature, met cost and schedule baselines, https://www.gao.gov/assets/gao-14-338sp.pdf</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GAO/MAVEN launched Nov 2013 on schedule, ~35M under estimate (negative cost growth), https://www.gao.gov/assets/gao-14-338sp.pdf</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LADEE baseline; not all critical technologies mature at PDR [immature], https://www.gao.gov/assets/gao-14-338sp.pdf</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123.2</w:t>
            </w:r>
          </w:p>
        </w:tc>
        <w:tc>
          <w:tcPr>
            <w:tcW w:w="0" w:type="auto"/>
          </w:tcPr>
          <w:p>
            <w:pPr>
              <w:spacing w:line="240" w:lineRule="auto" w:before="0" w:after="0"/>
              <w:pStyle w:val="Compact"/>
            </w:pPr>
            <w:r>
              <w:rPr>
                <w:sz w:val="20"/>
                <w:szCs w:val="20"/>
              </w:rPr>
              <w:t xml:space="preserve">113.8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LADEE development cost growth 23.2 percent, schedule growth 13.8 percent, https://www.gao.gov/assets/gao-14-338sp.pdf</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InSight technologies mature at confirmation, https://www.gao.gov/assets/gao-19-262sp.pdf</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InSight 0 percent development cost growth at this assessment point, https://www.gao.gov/assets/gao-19-262sp.pdf</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OSIRIS-REx critical technologies mature at PDR, https://www.gao.gov/assets/gao-14-338sp.pdf</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OSIRIS-REx held to baseline (cost change near zero / cost decrease), https://www.gao.gov/assets/gao-14-338sp.pdf</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ICESat-2 confirmation 2012; ATLAS laser altimeter technology immature at PDR [immature], https://www.gao.gov/assets/gao-19-262sp.pdf</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ICESat-2 cumulative cost change -28.5M, -1 month schedule through Jun 2018 (recovered after early growth), https://www.gao.gov/assets/gao-19-262sp.pdf</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TESS reported zero critical technologies (mature), https://www.gao.gov/assets/gao-19-262sp.pdf</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TESS launched 2018 on baseline, https://www.gao.gov/assets/gao-19-262sp.pdf</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GRACE-FO reported zero critical technologies (mature), https://www.gao.gov/assets/gao-19-262sp.pdf</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GRACE-FO launched 2018 near baseline, https://www.gao.gov/assets/gao-19-262sp.pdf</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Psyche baseline; growing in cost, missed original 2022 launch [immature], https://www.gao.gov/assets/gao-24-106767.pdf</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GAO-24-106767/Planetary Society, Psyche cost growth and ~13 month launch slip to Oct 2023 [illustrative magnitude], https://www.gao.gov/assets/gao-24-106767.pdf</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Orion MPCV; persistent development cost growth against 2021 rebaseline [immature], https://www.gao.gov/assets/gao-25-107591.pdf</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Orion &gt;684M development cost growth vs 2021 rebaseline, ~13 percent [illustrative magnitude], https://www.gao.gov/assets/gao-25-107591.pdf</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NEO Surveyor uses largely heritage IR detector technology mature near confirmation, https://www.gao.gov/assets/gao-24-106767.pdf</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NEO Surveyor cost growth after replan/launch slip to 2028 [illustrative magnitude], https://www.gao.gov/assets/gao-24-106767.pdf</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Europa Clipper critical technologies matured before confirmation, https://www.gao.gov/assets/gao-24-106767.pdf</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Europa Clipper cost chart; launched Oct 2024 near schedule, modest growth [illustrative magnitude], https://www.planetary.org/charts/europa-clipper-cost-chart</w:t>
            </w:r>
          </w:p>
        </w:tc>
      </w:tr>
    </w:tbl>
    <w:bookmarkEnd w:id="188"/>
    <w:bookmarkStart w:id="18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cost_index</w:t>
            </w:r>
          </w:p>
        </w:tc>
        <w:tc>
          <w:tcPr>
            <w:tcW w:w="0" w:type="auto"/>
          </w:tcPr>
          <w:p>
            <w:pPr>
              <w:spacing w:line="240" w:lineRule="auto" w:before="0" w:after="0"/>
              <w:pStyle w:val="Compact"/>
            </w:pPr>
            <w:r>
              <w:rPr>
                <w:sz w:val="20"/>
                <w:szCs w:val="20"/>
              </w:rPr>
              <w:t xml:space="preserve">Development cost relative to the confirmation (KDP-C) baseline, indexed to 100 at confirmation; values above 100 at the latest assessment denote cost growth</w:t>
            </w:r>
          </w:p>
        </w:tc>
        <w:tc>
          <w:tcPr>
            <w:tcW w:w="0" w:type="auto"/>
          </w:tcPr>
          <w:p>
            <w:pPr>
              <w:spacing w:line="240" w:lineRule="auto" w:before="0" w:after="0"/>
              <w:pStyle w:val="Compact"/>
            </w:pPr>
            <w:r>
              <w:rPr>
                <w:sz w:val="20"/>
                <w:szCs w:val="20"/>
              </w:rPr>
              <w:t xml:space="preserve">GAO NASA Assessments of Major/Large-Scale Projects (GAO-10-227SP, GAO-14-338SP, GAO-19-262SP, GAO-24-106767, GAO-25-107591); Planetary Society cost charts</w:t>
            </w:r>
          </w:p>
        </w:tc>
      </w:tr>
      <w:tr>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Period indicator equal to 0 at confirmation and 1 at the latest published assessment</w:t>
            </w:r>
          </w:p>
        </w:tc>
        <w:tc>
          <w:tcPr>
            <w:tcW w:w="0" w:type="auto"/>
          </w:tcPr>
          <w:p>
            <w:pPr>
              <w:spacing w:line="240" w:lineRule="auto" w:before="0" w:after="0"/>
              <w:pStyle w:val="Compact"/>
            </w:pPr>
            <w:r>
              <w:rPr>
                <w:sz w:val="20"/>
                <w:szCs w:val="20"/>
              </w:rPr>
              <w:t xml:space="preserve">Author coding of the two life-cycle observation points per project</w:t>
            </w:r>
          </w:p>
        </w:tc>
      </w:tr>
      <w:tr>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Treatment indicator equal to 1 if one or more critical technologies were below TRL 6 at preliminary design review or confirmation, 0 if all critical technologies were mature</w:t>
            </w:r>
          </w:p>
        </w:tc>
        <w:tc>
          <w:tcPr>
            <w:tcW w:w="0" w:type="auto"/>
          </w:tcPr>
          <w:p>
            <w:pPr>
              <w:spacing w:line="240" w:lineRule="auto" w:before="0" w:after="0"/>
              <w:pStyle w:val="Compact"/>
            </w:pPr>
            <w:r>
              <w:rPr>
                <w:sz w:val="20"/>
                <w:szCs w:val="20"/>
              </w:rPr>
              <w:t xml:space="preserve">GAO per-project technology-maturity assessments at PDR</w:t>
            </w:r>
          </w:p>
        </w:tc>
      </w:tr>
      <w:tr>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Difference-in-differences interaction (post times immature); its coefficient is the differential cost growth attributable to entering with immature technology</w:t>
            </w:r>
          </w:p>
        </w:tc>
        <w:tc>
          <w:tcPr>
            <w:tcW w:w="0" w:type="auto"/>
          </w:tcPr>
          <w:p>
            <w:pPr>
              <w:spacing w:line="240" w:lineRule="auto" w:before="0" w:after="0"/>
              <w:pStyle w:val="Compact"/>
            </w:pPr>
            <w:r>
              <w:rPr>
                <w:sz w:val="20"/>
                <w:szCs w:val="20"/>
              </w:rPr>
              <w:t xml:space="preserve">Constructed from post and immature</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Indicator equal to 1 for flagship or human-spaceflight class projects (large strategic missions), 0 otherwise</w:t>
            </w:r>
          </w:p>
        </w:tc>
        <w:tc>
          <w:tcPr>
            <w:tcW w:w="0" w:type="auto"/>
          </w:tcPr>
          <w:p>
            <w:pPr>
              <w:spacing w:line="240" w:lineRule="auto" w:before="0" w:after="0"/>
              <w:pStyle w:val="Compact"/>
            </w:pPr>
            <w:r>
              <w:rPr>
                <w:sz w:val="20"/>
                <w:szCs w:val="20"/>
              </w:rPr>
              <w:t xml:space="preserve">Author classification by NASA mission category</w:t>
            </w:r>
          </w:p>
        </w:tc>
      </w:tr>
      <w:tr>
        <w:tc>
          <w:tcPr>
            <w:tcW w:w="0" w:type="auto"/>
          </w:tcPr>
          <w:p>
            <w:pPr>
              <w:spacing w:line="240" w:lineRule="auto" w:before="0" w:after="0"/>
              <w:pStyle w:val="Compact"/>
            </w:pPr>
            <w:r>
              <w:rPr>
                <w:sz w:val="20"/>
                <w:szCs w:val="20"/>
              </w:rPr>
              <w:t xml:space="preserve">sched_index</w:t>
            </w:r>
          </w:p>
        </w:tc>
        <w:tc>
          <w:tcPr>
            <w:tcW w:w="0" w:type="auto"/>
          </w:tcPr>
          <w:p>
            <w:pPr>
              <w:spacing w:line="240" w:lineRule="auto" w:before="0" w:after="0"/>
              <w:pStyle w:val="Compact"/>
            </w:pPr>
            <w:r>
              <w:rPr>
                <w:sz w:val="20"/>
                <w:szCs w:val="20"/>
              </w:rPr>
              <w:t xml:space="preserve">Schedule relative to the confirmation baseline, indexed to 100 at confirmation (auxiliary outcome, not estimated in the primary model)</w:t>
            </w:r>
          </w:p>
        </w:tc>
        <w:tc>
          <w:tcPr>
            <w:tcW w:w="0" w:type="auto"/>
          </w:tcPr>
          <w:p>
            <w:pPr>
              <w:spacing w:line="240" w:lineRule="auto" w:before="0" w:after="0"/>
              <w:pStyle w:val="Compact"/>
            </w:pPr>
            <w:r>
              <w:rPr>
                <w:sz w:val="20"/>
                <w:szCs w:val="20"/>
              </w:rPr>
              <w:t xml:space="preserve">GAO launch-delay figures per project</w:t>
            </w:r>
          </w:p>
        </w:tc>
      </w:tr>
      <w:tr>
        <w:tc>
          <w:tcPr>
            <w:tcW w:w="0" w:type="auto"/>
          </w:tcPr>
          <w:p>
            <w:pPr>
              <w:spacing w:line="240" w:lineRule="auto" w:before="0" w:after="0"/>
              <w:pStyle w:val="Compact"/>
            </w:pPr>
            <w:r>
              <w:rPr>
                <w:sz w:val="20"/>
                <w:szCs w:val="20"/>
              </w:rPr>
              <w:t xml:space="preserve">trl_min_pdr</w:t>
            </w:r>
          </w:p>
        </w:tc>
        <w:tc>
          <w:tcPr>
            <w:tcW w:w="0" w:type="auto"/>
          </w:tcPr>
          <w:p>
            <w:pPr>
              <w:spacing w:line="240" w:lineRule="auto" w:before="0" w:after="0"/>
              <w:pStyle w:val="Compact"/>
            </w:pPr>
            <w:r>
              <w:rPr>
                <w:sz w:val="20"/>
                <w:szCs w:val="20"/>
              </w:rPr>
              <w:t xml:space="preserve">Lowest TRL among critical technologies at preliminary design review</w:t>
            </w:r>
          </w:p>
        </w:tc>
        <w:tc>
          <w:tcPr>
            <w:tcW w:w="0" w:type="auto"/>
          </w:tcPr>
          <w:p>
            <w:pPr>
              <w:spacing w:line="240" w:lineRule="auto" w:before="0" w:after="0"/>
              <w:pStyle w:val="Compact"/>
            </w:pPr>
            <w:r>
              <w:rPr>
                <w:sz w:val="20"/>
                <w:szCs w:val="20"/>
              </w:rPr>
              <w:t xml:space="preserve">GAO technology-readiness assessments</w:t>
            </w:r>
          </w:p>
        </w:tc>
      </w:tr>
    </w:tbl>
    <w:bookmarkEnd w:id="189"/>
    <w:bookmarkEnd w:id="190"/>
    <w:bookmarkEnd w:id="1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6" Type="http://schemas.openxmlformats.org/officeDocument/2006/relationships/image" Target="media/rId176.png"/><Relationship Id="rId184" Type="http://schemas.openxmlformats.org/officeDocument/2006/relationships/image" Target="media/rId184.png"/><Relationship Id="rId134" Type="http://schemas.openxmlformats.org/officeDocument/2006/relationships/hyperlink" Target="https://doi.org/10.1016/j.actaastro.2019.09.030" TargetMode="External"/><Relationship Id="rId128" Type="http://schemas.openxmlformats.org/officeDocument/2006/relationships/hyperlink" Target="https://doi.org/10.1016/j.actaastro.2019.10.020" TargetMode="External"/><Relationship Id="rId143" Type="http://schemas.openxmlformats.org/officeDocument/2006/relationships/hyperlink" Target="https://doi.org/10.1016/j.actaastro.2021.11.016" TargetMode="External"/><Relationship Id="rId147" Type="http://schemas.openxmlformats.org/officeDocument/2006/relationships/hyperlink" Target="https://doi.org/10.1016/j.actaastro.2022.03.038" TargetMode="External"/><Relationship Id="rId163" Type="http://schemas.openxmlformats.org/officeDocument/2006/relationships/hyperlink" Target="https://doi.org/10.1016/j.actaastro.2023.06.045" TargetMode="External"/><Relationship Id="rId172" Type="http://schemas.openxmlformats.org/officeDocument/2006/relationships/hyperlink" Target="https://doi.org/10.1016/j.actaastro.2023.07.035" TargetMode="External"/><Relationship Id="rId168" Type="http://schemas.openxmlformats.org/officeDocument/2006/relationships/hyperlink" Target="https://doi.org/10.1016/j.actaastro.2023.09.031" TargetMode="External"/><Relationship Id="rId141" Type="http://schemas.openxmlformats.org/officeDocument/2006/relationships/hyperlink" Target="https://doi.org/10.1016/j.actaastro.2024.09.005" TargetMode="External"/><Relationship Id="rId166" Type="http://schemas.openxmlformats.org/officeDocument/2006/relationships/hyperlink" Target="https://doi.org/10.1016/j.actaastro.2024.09.058" TargetMode="External"/><Relationship Id="rId170" Type="http://schemas.openxmlformats.org/officeDocument/2006/relationships/hyperlink" Target="https://doi.org/10.1016/j.actaastro.2025.03.004" TargetMode="External"/><Relationship Id="rId161" Type="http://schemas.openxmlformats.org/officeDocument/2006/relationships/hyperlink" Target="https://doi.org/10.1016/j.actaastro.2025.11.039" TargetMode="External"/><Relationship Id="rId159" Type="http://schemas.openxmlformats.org/officeDocument/2006/relationships/hyperlink" Target="https://doi.org/10.1016/j.actaastro.2026.05.018" TargetMode="External"/></Relationships>
</file>

<file path=word/_rels/footnotes.xml.rels><?xml version='1.0' encoding='UTF-8' standalone='yes'?>
<Relationships xmlns="http://schemas.openxmlformats.org/package/2006/relationships"><Relationship Id="rId134" Type="http://schemas.openxmlformats.org/officeDocument/2006/relationships/hyperlink" Target="https://doi.org/10.1016/j.actaastro.2019.09.030" TargetMode="External"/><Relationship Id="rId128" Type="http://schemas.openxmlformats.org/officeDocument/2006/relationships/hyperlink" Target="https://doi.org/10.1016/j.actaastro.2019.10.020" TargetMode="External"/><Relationship Id="rId143" Type="http://schemas.openxmlformats.org/officeDocument/2006/relationships/hyperlink" Target="https://doi.org/10.1016/j.actaastro.2021.11.016" TargetMode="External"/><Relationship Id="rId147" Type="http://schemas.openxmlformats.org/officeDocument/2006/relationships/hyperlink" Target="https://doi.org/10.1016/j.actaastro.2022.03.038" TargetMode="External"/><Relationship Id="rId163" Type="http://schemas.openxmlformats.org/officeDocument/2006/relationships/hyperlink" Target="https://doi.org/10.1016/j.actaastro.2023.06.045" TargetMode="External"/><Relationship Id="rId172" Type="http://schemas.openxmlformats.org/officeDocument/2006/relationships/hyperlink" Target="https://doi.org/10.1016/j.actaastro.2023.07.035" TargetMode="External"/><Relationship Id="rId168" Type="http://schemas.openxmlformats.org/officeDocument/2006/relationships/hyperlink" Target="https://doi.org/10.1016/j.actaastro.2023.09.031" TargetMode="External"/><Relationship Id="rId141" Type="http://schemas.openxmlformats.org/officeDocument/2006/relationships/hyperlink" Target="https://doi.org/10.1016/j.actaastro.2024.09.005" TargetMode="External"/><Relationship Id="rId166" Type="http://schemas.openxmlformats.org/officeDocument/2006/relationships/hyperlink" Target="https://doi.org/10.1016/j.actaastro.2024.09.058" TargetMode="External"/><Relationship Id="rId170" Type="http://schemas.openxmlformats.org/officeDocument/2006/relationships/hyperlink" Target="https://doi.org/10.1016/j.actaastro.2025.03.004" TargetMode="External"/><Relationship Id="rId161" Type="http://schemas.openxmlformats.org/officeDocument/2006/relationships/hyperlink" Target="https://doi.org/10.1016/j.actaastro.2025.11.039" TargetMode="External"/><Relationship Id="rId159" Type="http://schemas.openxmlformats.org/officeDocument/2006/relationships/hyperlink" Target="https://doi.org/10.1016/j.actaastro.2026.05.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Technology Maturity Pay Off? A Difference-in-Differences Test of TRL-at-Confirmation</dc:title>
  <dc:creator>Oscar Beckett (1B-OPS-029)</dc:creator>
  <cp:keywords/>
  <dcterms:created xsi:type="dcterms:W3CDTF">2026-07-02T17:44:20Z</dcterms:created>
  <dcterms:modified xsi:type="dcterms:W3CDTF">2026-07-02T17:44:20Z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