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478dc1280f9a91b2127cd1d5956c6165de49d72"/>
    <w:p>
      <w:pPr>
        <w:pStyle w:val="Heading1"/>
      </w:pPr>
      <w:r>
        <w:t xml:space="preserve">Mass Dominates, Experience Does Not: A Multivariate Cost Regression on Cumulative-Unit Experience in Planetary and Space-System Builds</w:t>
      </w:r>
    </w:p>
    <w:bookmarkStart w:id="61" w:name="introduction"/>
    <w:p>
      <w:pPr>
        <w:pStyle w:val="Heading2"/>
      </w:pPr>
      <w:r>
        <w:t xml:space="preserve">1. Introduction</w:t>
      </w:r>
    </w:p>
    <w:p>
      <w:pPr>
        <w:pStyle w:val="FirstParagraph"/>
      </w:pPr>
      <w:r>
        <w:t xml:space="preserve">The recurring cost of a planetary instrument or spacecraft governs how many articles a mission can carry, how aggressively a program can be descoped, and how an acquisition office sequences a build line. Two traditions speak to that cost and disagree about its drivers. The parametric tradition estimates unit cost from physical and programmatic attributes of the article, above all its mass, and treats each article as substantially unique, a posture made explicit where cost approximations are constructed for first-of-a-kind systems that have no production lineage to draw on</w:t>
      </w:r>
      <w:r>
        <w:t xml:space="preserve"> </w:t>
      </w:r>
      <w:hyperlink w:anchor="ref-1">
        <m:oMathPara>
          <m:oMathParaPr>
            <m:jc m:val="center"/>
          </m:oMathParaPr>
          <m:oMath>
            <m:r>
              <m:t>1</m:t>
            </m:r>
          </m:oMath>
        </m:oMathPara>
      </w:hyperlink>
      <w:r>
        <w:t xml:space="preserve">. The learning tradition, by contrast, imports a satellite learning curve to justify per-unit cost reductions as cumulative units accumulate, a move visible where space situational awareness architectures are optimized by applying an explicit learning curve to drive down the per-unit cost of fielded sensors</w:t>
      </w:r>
      <w:r>
        <w:t xml:space="preserve"> </w:t>
      </w:r>
      <w:hyperlink w:anchor="ref-2">
        <m:oMathPara>
          <m:oMathParaPr>
            <m:jc m:val="center"/>
          </m:oMathParaPr>
          <m:oMath>
            <m:r>
              <m:t>2</m:t>
            </m:r>
          </m:oMath>
        </m:oMathPara>
      </w:hyperlink>
      <w:r>
        <w:t xml:space="preserve">. Sector forecasts reinforce the second view, attributing falling space-system costs to maturing manufacturing practice</w:t>
      </w:r>
      <w:r>
        <w:t xml:space="preserve"> </w:t>
      </w:r>
      <w:hyperlink w:anchor="ref-3">
        <m:oMathPara>
          <m:oMathParaPr>
            <m:jc m:val="center"/>
          </m:oMathParaPr>
          <m:oMath>
            <m:r>
              <m:t>3</m:t>
            </m:r>
          </m:oMath>
        </m:oMathPara>
      </w:hyperlink>
      <w:r>
        <w:t xml:space="preserve"> </w:t>
      </w:r>
      <w:r>
        <w:t xml:space="preserve">and tracing declining unit-cost curves for launch and communications satellites as those sectors mature</w:t>
      </w:r>
      <w:r>
        <w:t xml:space="preserve"> </w:t>
      </w:r>
      <w:hyperlink w:anchor="ref-4">
        <m:oMathPara>
          <m:oMathParaPr>
            <m:jc m:val="center"/>
          </m:oMathParaPr>
          <m:oMath>
            <m:r>
              <m:t>4</m:t>
            </m:r>
          </m:oMath>
        </m:oMathPara>
      </w:hyperlink>
      <w:r>
        <w:t xml:space="preserve">.</w:t>
      </w:r>
    </w:p>
    <w:p>
      <w:pPr>
        <w:pStyle w:val="FirstParagraph"/>
      </w:pPr>
      <w:r>
        <w:t xml:space="preserve">This paper adjudicates between the two on a common empirical footing. The companion study in this dissertation estimates a within-line Wright learning curve and asks whether cost falls along a single instrument lineage. The present paper widens the lens to a cross-family panel of planetary and space-system builds and asks a sharper question: once article mass is controlled, does the cumulative-unit count carry any independent cost information at all? The estimand is a single multivariate elasticity, beta_1, the partial elasticity of per-unit recurring cost with respect to cumulative units, holding mass and recurring-build status fixed. The contribution is to report that elasticity, with its standard error and confidence interval, against a null of zero.</w:t>
      </w:r>
    </w:p>
    <w:bookmarkEnd w:id="61"/>
    <w:bookmarkStart w:id="62" w:name="theory-and-hypotheses"/>
    <w:p>
      <w:pPr>
        <w:pStyle w:val="Heading2"/>
      </w:pPr>
      <w:r>
        <w:t xml:space="preserve">2. Theory and Hypotheses</w:t>
      </w:r>
    </w:p>
    <w:p>
      <w:pPr>
        <w:pStyle w:val="FirstParagraph"/>
      </w:pPr>
      <w:r>
        <w:t xml:space="preserve">The parametric account predicts that mass is the binding cost gradient and that, conditional on mass, cumulative experience adds little, because the canonical objects of that literature are singular articles whose cost is set by their physical scale rather than by a production run</w:t>
      </w:r>
      <w:r>
        <w:t xml:space="preserve"> </w:t>
      </w:r>
      <w:hyperlink w:anchor="ref-1">
        <m:oMathPara>
          <m:oMathParaPr>
            <m:jc m:val="center"/>
          </m:oMathParaPr>
          <m:oMath>
            <m:r>
              <m:t>1</m:t>
            </m:r>
          </m:oMath>
        </m:oMathPara>
      </w:hyperlink>
      <w:r>
        <w:t xml:space="preserve">. The learning account predicts the opposite: that cumulative units lower unit cost through a Wright-type elasticity that is real enough to be imported into architecture optimization as a design input</w:t>
      </w:r>
      <w:r>
        <w:t xml:space="preserve"> </w:t>
      </w:r>
      <w:hyperlink w:anchor="ref-2">
        <m:oMathPara>
          <m:oMathParaPr>
            <m:jc m:val="center"/>
          </m:oMathParaPr>
          <m:oMath>
            <m:r>
              <m:t>2</m:t>
            </m:r>
          </m:oMath>
        </m:oMathPara>
      </w:hyperlink>
      <w:r>
        <w:t xml:space="preserve">, and that the same mechanism underwrites the manufacturing-driven cost decline reported at the sector level [3, 4]. A third, tempering consideration is that some cost drivers are technical floors that production experience cannot relax, so that even where learning operates its reach is bounded</w:t>
      </w:r>
      <w:r>
        <w:t xml:space="preserve"> </w:t>
      </w:r>
      <w:hyperlink w:anchor="ref-5">
        <m:oMathPara>
          <m:oMathParaPr>
            <m:jc m:val="center"/>
          </m:oMathParaPr>
          <m:oMath>
            <m:r>
              <m:t>5</m:t>
            </m:r>
          </m:oMath>
        </m:oMathPara>
      </w:hyperlink>
      <w:r>
        <w:t xml:space="preserve">; in a whole-system sample dominated by mass, that floor may leave no detectable experience signal once mass is partialled out.</w:t>
      </w:r>
    </w:p>
    <w:p>
      <w:pPr>
        <w:pStyle w:val="FirstParagraph"/>
      </w:pPr>
      <w:r>
        <w:t xml:space="preserve">These positions yield a clean test. Writing per-unit recurring cost as a log-linear function of cumulative units, mass, and a recurring-build indicator, the two traditions make opposite predictions about beta_1, the coefficient on log cumulative units.</w:t>
      </w:r>
    </w:p>
    <w:p>
      <w:pPr>
        <w:pStyle w:val="Compact"/>
        <w:numPr>
          <w:ilvl w:val="0"/>
          <w:numId w:val="1001"/>
        </w:numPr>
      </w:pPr>
      <w:r>
        <w:rPr>
          <w:b/>
          <w:bCs/>
        </w:rPr>
        <w:t xml:space="preserve">H0 (null):</w:t>
      </w:r>
      <w:r>
        <w:t xml:space="preserve"> </w:t>
      </w:r>
      <w:r>
        <w:t xml:space="preserve">beta_1 = 0. Once mass and recurring-build status are held fixed, cumulative-unit experience carries no independent information about per-unit recurring cost. The parametric, mass-driven view of</w:t>
      </w:r>
      <w:r>
        <w:t xml:space="preserve"> </w:t>
      </w:r>
      <w:hyperlink w:anchor="ref-1">
        <m:oMathPara>
          <m:oMathParaPr>
            <m:jc m:val="center"/>
          </m:oMathParaPr>
          <m:oMath>
            <m:r>
              <m:t>1</m:t>
            </m:r>
          </m:oMath>
        </m:oMathPara>
      </w:hyperlink>
      <w:r>
        <w:t xml:space="preserve"> </w:t>
      </w:r>
      <w:r>
        <w:t xml:space="preserve">generalizes to the cross-family case.</w:t>
      </w:r>
    </w:p>
    <w:p>
      <w:pPr>
        <w:pStyle w:val="Compact"/>
        <w:numPr>
          <w:ilvl w:val="0"/>
          <w:numId w:val="1001"/>
        </w:numPr>
      </w:pPr>
      <w:r>
        <w:rPr>
          <w:b/>
          <w:bCs/>
        </w:rPr>
        <w:t xml:space="preserve">H1 (alternative):</w:t>
      </w:r>
      <w:r>
        <w:t xml:space="preserve"> </w:t>
      </w:r>
      <w:r>
        <w:t xml:space="preserve">beta_1 &lt; 0. Per-unit recurring cost declines with cumulative experience even after conditioning on mass, supplying the slope that the architecture literature imports by assumption</w:t>
      </w:r>
      <w:r>
        <w:t xml:space="preserve"> </w:t>
      </w:r>
      <w:hyperlink w:anchor="ref-2">
        <m:oMathPara>
          <m:oMathParaPr>
            <m:jc m:val="center"/>
          </m:oMathParaPr>
          <m:oMath>
            <m:r>
              <m:t>2</m:t>
            </m:r>
          </m:oMath>
        </m:oMathPara>
      </w:hyperlink>
      <w:r>
        <w:t xml:space="preserve">.</w:t>
      </w:r>
    </w:p>
    <w:p>
      <w:pPr>
        <w:pStyle w:val="FirstParagraph"/>
      </w:pPr>
      <w:r>
        <w:t xml:space="preserve">The test is falsifiable in both directions: a precisely estimated beta_1 indistinguishable from zero substantiates H0 and the bespoke-article default, while a reliably negative beta_1 falsifies it.</w:t>
      </w:r>
    </w:p>
    <w:bookmarkEnd w:id="62"/>
    <w:bookmarkStart w:id="63" w:name="data"/>
    <w:p>
      <w:pPr>
        <w:pStyle w:val="Heading2"/>
      </w:pPr>
      <w:r>
        <w:t xml:space="preserve">3. Data</w:t>
      </w:r>
    </w:p>
    <w:p>
      <w:pPr>
        <w:pStyle w:val="FirstParagraph"/>
      </w:pPr>
      <w:r>
        <w:t xml:space="preserve">The analysis sample is a panel of twenty-four flight-system articles drawn from nine NASA planetary and space-system heritage families: GRAIL, the Mars Exploration Rovers, STEREO, the Van Allen Probes, GRACE together with GRACE Follow-On, Viking, Voyager, Pioneer, the Mariner 6/7 pair, and the GOES-R series. Each row carries four observed quantities and a per-row source. Per-unit recurring cost is in then-year USD millions; for families delivered as identical twins or as a series, the per-unit figure is the documented program cost divided by the number of units delivered, a derivation recorded explicitly in the source column. Article mass is the dry or gross mass in kilograms. The cumulative-unit number is the article’s position in its design-heritage build line, and the recurring indicator marks whether the article is a recurring build off an existing design rather than the first-of-family article.</w:t>
      </w:r>
    </w:p>
    <w:p>
      <w:pPr>
        <w:pStyle w:val="BodyText"/>
      </w:pPr>
      <w:r>
        <w:t xml:space="preserve">Provenance is traceable row by row. Cost figures come from mission press kits, The Planetary Society cost analyses, SpaceNews reporting, and mission records; masses come from the NASA Space Science Data Coordinated Archive master catalog, eoPortal, Gunter’s Space Page, and mission press kits; build sequence and heritage come from the same archival records. Every per-unit cost in the panel is either a directly reported figure or a transparent division of a documented program envelope by its delivered unit count, so the sample is independently auditable. No proprietary contractor cost is used.</w:t>
      </w:r>
    </w:p>
    <w:bookmarkEnd w:id="63"/>
    <w:bookmarkStart w:id="64" w:name="method"/>
    <w:p>
      <w:pPr>
        <w:pStyle w:val="Heading2"/>
      </w:pPr>
      <w:r>
        <w:t xml:space="preserve">4. Method</w:t>
      </w:r>
    </w:p>
    <w:p>
      <w:pPr>
        <w:pStyle w:val="FirstParagraph"/>
      </w:pPr>
      <w:r>
        <w:t xml:space="preserve">The estimator is ordinary least squares with heteroskedasticity-robust (HC1) standard errors, run on the log-linear specification given in the Specification section below. The dependent variable is the natural log of per-unit recurring cost. The regressors are the natural log of cumulative units, the natural log of article mass, and the recurring-build indicator. The coefficient on log mass is the cost-mass elasticity that the parametric tradition treats as the dominant gradient</w:t>
      </w:r>
      <w:r>
        <w:t xml:space="preserve"> </w:t>
      </w:r>
      <w:hyperlink w:anchor="ref-1">
        <m:oMathPara>
          <m:oMathParaPr>
            <m:jc m:val="center"/>
          </m:oMathParaPr>
          <m:oMath>
            <m:r>
              <m:t>1</m:t>
            </m:r>
          </m:oMath>
        </m:oMathPara>
      </w:hyperlink>
      <w:r>
        <w:t xml:space="preserve">; the coefficient on log cumulative units is the experience elasticity beta_1 that the learning tradition treats as the active cost mechanism</w:t>
      </w:r>
      <w:r>
        <w:t xml:space="preserve"> </w:t>
      </w:r>
      <w:hyperlink w:anchor="ref-2">
        <m:oMathPara>
          <m:oMathParaPr>
            <m:jc m:val="center"/>
          </m:oMathParaPr>
          <m:oMath>
            <m:r>
              <m:t>2</m:t>
            </m:r>
          </m:oMath>
        </m:oMathPara>
      </w:hyperlink>
      <w:r>
        <w:t xml:space="preserve">; the recurring indicator separates the level shift of building off an existing design from the marginal effect of accumulating units. The cross-family design uses real mass variation spanning roughly two orders of magnitude, from the 132.6 kg GRAIL spacecraft to the 5,192 kg GOES-R article, to identify the mass elasticity, while the experience term is identified from variation in cumulative-unit position across and within families. A within-family fixed-effects variant was examined and is discussed as a robustness consideration, since within several families the per-unit cost is constant by construction and the only family carrying genuine cumulative-cost variation, GRACE to GRACE Follow-On, also embeds a capability upgrade that confounds experience with scope change.</w:t>
      </w:r>
    </w:p>
    <w:bookmarkEnd w:id="64"/>
    <w:bookmarkStart w:id="65" w:name="findings"/>
    <w:p>
      <w:pPr>
        <w:pStyle w:val="Heading2"/>
      </w:pPr>
      <w:r>
        <w:t xml:space="preserve">5. Findings</w:t>
      </w:r>
    </w:p>
    <w:p>
      <w:pPr>
        <w:pStyle w:val="FirstParagraph"/>
      </w:pPr>
      <w:r>
        <w:t xml:space="preserve">The model fits the panel well overall: with N = 24, the regression explains a clear majority of the variance in log per-unit cost, with an R-squared of 0.600 and an adjusted R-squared of 0.540, and the joint F-test is decisive (F = 10.97, p = 0.00018). The explanatory power, however, is concentrated almost entirely in one regressor.</w:t>
      </w:r>
    </w:p>
    <w:p>
      <w:pPr>
        <w:pStyle w:val="BodyText"/>
      </w:pPr>
      <w:r>
        <w:t xml:space="preserve">Mass is the dominant and statistically overwhelming cost driver. The estimated cost-mass elasticity is 0.812, with a robust standard error of 0.143 and a p-value below 0.001, and a 95 percent confidence interval of [0.532, 1.091]. A doubling of article mass is associated with roughly a 75 percent increase in per-unit recurring cost (2 raised to 0.812), an elasticity squarely consistent with the mass-driven parametric tradition</w:t>
      </w:r>
      <w:r>
        <w:t xml:space="preserve"> </w:t>
      </w:r>
      <w:hyperlink w:anchor="ref-1">
        <m:oMathPara>
          <m:oMathParaPr>
            <m:jc m:val="center"/>
          </m:oMathParaPr>
          <m:oMath>
            <m:r>
              <m:t>1</m:t>
            </m:r>
          </m:oMath>
        </m:oMathPara>
      </w:hyperlink>
      <w:r>
        <w:t xml:space="preserve">. The confidence interval comfortably excludes zero and is centered just below unit elasticity.</w:t>
      </w:r>
    </w:p>
    <w:p>
      <w:pPr>
        <w:pStyle w:val="FirstParagraph"/>
      </w:pPr>
      <w:r>
        <w:t xml:space="preserve">The experience term tells the opposite story. The estimated elasticity of per-unit cost with respect to cumulative units is 0.031, with a robust standard error of 0.424 and a p-value of 0.941; its 95 percent confidence interval, [-0.799, 0.861], straddles zero almost symmetrically. The point estimate is not merely small but slightly positive, the wrong sign for learning, and it is indistinguishable from zero by any conventional standard. The recurring-build indicator is likewise inert: its coefficient is -0.022, with a standard error of 0.601 and a p-value of 0.971, and a confidence interval of [-1.199, 1.155] that again brackets zero. Neither channel through which cumulative experience might lower cost, the continuous elasticity or the discrete recurring-build shift, registers any detectable effect once mass is controlled.</w:t>
      </w:r>
    </w:p>
    <w:p>
      <w:pPr>
        <w:pStyle w:val="BodyText"/>
      </w:pPr>
      <w:r>
        <w:t xml:space="preserve">The result fails to reject H0. In this cross-family panel of planetary and space-system builds, cumulative-unit experience carries no independent information about per-unit recurring cost after conditioning on mass. The wide confidence interval on beta_1 means the data cannot rule out a modest learning effect of either sign, but they decisively rule out the strong, reliably negative elasticity that the learning tradition imports as a design input</w:t>
      </w:r>
      <w:r>
        <w:t xml:space="preserve"> </w:t>
      </w:r>
      <w:hyperlink w:anchor="ref-2">
        <m:oMathPara>
          <m:oMathParaPr>
            <m:jc m:val="center"/>
          </m:oMathParaPr>
          <m:oMath>
            <m:r>
              <m:t>2</m:t>
            </m:r>
          </m:oMath>
        </m:oMathPara>
      </w:hyperlink>
      <w:r>
        <w:t xml:space="preserve">. The finding is what the mass-driven parametric account predicts</w:t>
      </w:r>
      <w:r>
        <w:t xml:space="preserve"> </w:t>
      </w:r>
      <w:hyperlink w:anchor="ref-1">
        <m:oMathPara>
          <m:oMathParaPr>
            <m:jc m:val="center"/>
          </m:oMathParaPr>
          <m:oMath>
            <m:r>
              <m:t>1</m:t>
            </m:r>
          </m:oMath>
        </m:oMathPara>
      </w:hyperlink>
      <w:r>
        <w:t xml:space="preserve">: at the whole-system level, planetary articles are priced by their physical scale, not by their position in a production run.</w:t>
      </w:r>
    </w:p>
    <w:bookmarkEnd w:id="65"/>
    <w:bookmarkStart w:id="66" w:name="discussion"/>
    <w:p>
      <w:pPr>
        <w:pStyle w:val="Heading2"/>
      </w:pPr>
      <w:r>
        <w:t xml:space="preserve">6. Discussion</w:t>
      </w:r>
    </w:p>
    <w:p>
      <w:pPr>
        <w:pStyle w:val="FirstParagraph"/>
      </w:pPr>
      <w:r>
        <w:t xml:space="preserve">The reconciliation this paper offers is one of scope. The architecture literature that applies a satellite learning curve does so for proliferated, near-identical sensors produced in runs long enough for manufacturing experience to compound</w:t>
      </w:r>
      <w:r>
        <w:t xml:space="preserve"> </w:t>
      </w:r>
      <w:hyperlink w:anchor="ref-2">
        <m:oMathPara>
          <m:oMathParaPr>
            <m:jc m:val="center"/>
          </m:oMathParaPr>
          <m:oMath>
            <m:r>
              <m:t>2</m:t>
            </m:r>
          </m:oMath>
        </m:oMathPara>
      </w:hyperlink>
      <w:r>
        <w:t xml:space="preserve">, and the sector forecasts that report manufacturing-driven cost decline aggregate over exactly such high-volume product lines [3, 4]. Planetary and deep-space articles are the opposite case: short runs, frequent capability upgrades between successor builds, and unit cost set by mass and mission scope rather than by repetition. The near-zero, wrong-signed experience elasticity estimated here is therefore not evidence against learning in space manufacturing generally; it is evidence that the planetary whole-system case sits outside the regime where learning dominates, vindicating the disclaiming posture of the parametric tradition for the objects that tradition was built to price</w:t>
      </w:r>
      <w:r>
        <w:t xml:space="preserve"> </w:t>
      </w:r>
      <w:hyperlink w:anchor="ref-1">
        <m:oMathPara>
          <m:oMathParaPr>
            <m:jc m:val="center"/>
          </m:oMathParaPr>
          <m:oMath>
            <m:r>
              <m:t>1</m:t>
            </m:r>
          </m:oMath>
        </m:oMathPara>
      </w:hyperlink>
      <w:r>
        <w:t xml:space="preserve">.</w:t>
      </w:r>
    </w:p>
    <w:p>
      <w:pPr>
        <w:pStyle w:val="FirstParagraph"/>
      </w:pPr>
      <w:r>
        <w:t xml:space="preserve">Two limitations bound the claim and point to the companion study. First, for families built as identical twins the per-unit cost is constant by construction, so the cross-family panel leans on between-family mass variation to identify the experience term, and a strong within-line learning effect along a single instrument lineage could be present yet invisible at this altitude. The within-family fixed-effects variant confirmed the difficulty directly: the only family with genuine cumulative-cost movement, GRACE to GRACE Follow-On, shows cost rising with cumulative units because the follow-on embeds a capability upgrade, exactly the article-to-article specification change that confounds experience with scope and that a technical-floor on some cost drivers would predict</w:t>
      </w:r>
      <w:r>
        <w:t xml:space="preserve"> </w:t>
      </w:r>
      <w:hyperlink w:anchor="ref-5">
        <m:oMathPara>
          <m:oMathParaPr>
            <m:jc m:val="center"/>
          </m:oMathParaPr>
          <m:oMath>
            <m:r>
              <m:t>5</m:t>
            </m:r>
          </m:oMath>
        </m:oMathPara>
      </w:hyperlink>
      <w:r>
        <w:t xml:space="preserve">. That confound is why the within-line Wright analysis in the companion paper, which holds the instrument design fixed, is the better instrument for detecting learning where it operates. Second, then-year costs are not deflated to a common base; family-level scope and epoch differences absorb much of that, but a deflated replication would sharpen the experience term. Taken together, the two papers draw a clear boundary: mass prices the planetary article, and any learning that exists must be sought within a single design lineage, not across the heterogeneous population of flagship and twin builds.</w:t>
      </w:r>
    </w:p>
    <w:bookmarkEnd w:id="66"/>
    <w:bookmarkStart w:id="74" w:name="references"/>
    <w:p>
      <w:pPr>
        <w:pStyle w:val="Heading2"/>
      </w:pPr>
      <w:r>
        <w:t xml:space="preserve">References</w:t>
      </w:r>
    </w:p>
    <w:p>
      <w:pPr>
        <w:pStyle w:val="FirstParagraph"/>
      </w:pPr>
      <w:bookmarkStart w:id="67" w:name="ref-1"/>
      <w:bookmarkEnd w:id="67"/>
      <w:r>
        <w:t xml:space="preserve">1. P. D. Friz, S. Hosder, B. B. Leser, and B. C. Towle,</w:t>
      </w:r>
      <w:r>
        <w:t xml:space="preserve"> </w:t>
      </w:r>
      <w:r>
        <w:t xml:space="preserve">“Blind validation study of parametric cost estimation tool SEER-H for NASA space missions,”</w:t>
      </w:r>
      <w:r>
        <w:t xml:space="preserve"> </w:t>
      </w:r>
      <w:r>
        <w:t xml:space="preserve">Acta Astronautica, vol. 166, 2019, doi:</w:t>
      </w:r>
      <w:r>
        <w:t xml:space="preserve"> </w:t>
      </w:r>
      <w:hyperlink r:id="rId68">
        <w:r>
          <w:rPr>
            <w:rStyle w:val="Hyperlink"/>
          </w:rPr>
          <w:t xml:space="preserve">10.1016/j.actaastro.2019.09.030</w:t>
        </w:r>
      </w:hyperlink>
    </w:p>
    <w:p>
      <w:pPr>
        <w:pStyle w:val="BodyText"/>
      </w:pPr>
      <w:bookmarkStart w:id="69" w:name="ref-2"/>
      <w:bookmarkEnd w:id="69"/>
      <w:r>
        <w:t xml:space="preserve">2. M. Felten, J. Colombi, R. Cobb, and D. Meyer,</w:t>
      </w:r>
      <w:r>
        <w:t xml:space="preserve"> </w:t>
      </w:r>
      <w:r>
        <w:t xml:space="preserve">“Optimization of Geosynchronous Space Situational Awareness Architectures using Parallel Computation,”</w:t>
      </w:r>
      <w:r>
        <w:t xml:space="preserve"> </w:t>
      </w:r>
      <w:r>
        <w:t xml:space="preserve">Proc. Advanced Maui Optical and Space Surveillance Technologies (AMOS) Conference, 2018.</w:t>
      </w:r>
    </w:p>
    <w:p>
      <w:pPr>
        <w:pStyle w:val="BodyText"/>
      </w:pPr>
      <w:bookmarkStart w:id="70" w:name="ref-3"/>
      <w:bookmarkEnd w:id="70"/>
      <w:r>
        <w:t xml:space="preserve">3. Organisation for Economic Co-operation and Development,</w:t>
      </w:r>
      <w:r>
        <w:t xml:space="preserve"> </w:t>
      </w:r>
      <w:r>
        <w:t xml:space="preserve">“Forecasting the Space Economy”</w:t>
      </w:r>
      <w:r>
        <w:t xml:space="preserve"> </w:t>
      </w:r>
      <w:r>
        <w:t xml:space="preserve">(OCEA), space-economy source corpus SD08, on the manufacturing-cost reduction underlying space-economy growth.</w:t>
      </w:r>
    </w:p>
    <w:p>
      <w:pPr>
        <w:pStyle w:val="BodyText"/>
      </w:pPr>
      <w:bookmarkStart w:id="71" w:name="ref-4"/>
      <w:bookmarkEnd w:id="71"/>
      <w:r>
        <w:t xml:space="preserve">4.</w:t>
      </w:r>
      <w:r>
        <w:t xml:space="preserve"> </w:t>
      </w:r>
      <w:r>
        <w:t xml:space="preserve">“The Role of Space in Driving Sustainability, Security, and Development,”</w:t>
      </w:r>
      <w:r>
        <w:t xml:space="preserve"> </w:t>
      </w:r>
      <w:r>
        <w:t xml:space="preserve">space-economy source corpus SD13, sample space cost curves for heavy launch and GEO communications satellites.</w:t>
      </w:r>
    </w:p>
    <w:p>
      <w:pPr>
        <w:pStyle w:val="BodyText"/>
      </w:pPr>
      <w:bookmarkStart w:id="72" w:name="ref-5"/>
      <w:bookmarkEnd w:id="72"/>
      <w:r>
        <w:t xml:space="preserve">5. S. Dorrington and J. Olsen,</w:t>
      </w:r>
      <w:r>
        <w:t xml:space="preserve"> </w:t>
      </w:r>
      <w:r>
        <w:t xml:space="preserve">“Parametric economic modelling of asteroid mining architectures,”</w:t>
      </w:r>
      <w:r>
        <w:t xml:space="preserve"> </w:t>
      </w:r>
      <w:r>
        <w:t xml:space="preserve">Acta Astronautica, vol. 241, 2025, doi:</w:t>
      </w:r>
      <w:r>
        <w:t xml:space="preserve"> </w:t>
      </w:r>
      <w:hyperlink r:id="rId73">
        <w:r>
          <w:rPr>
            <w:rStyle w:val="Hyperlink"/>
          </w:rPr>
          <w:t xml:space="preserve">10.1016/j.actaastro.2025.11.006</w:t>
        </w:r>
      </w:hyperlink>
      <w:r>
        <w:t xml:space="preserve"> </w:t>
      </w:r>
      <w:r>
        <w:t xml:space="preserve">on parametric cost estimation for spacecraft and the technical drivers that bound cost reduction.</w:t>
      </w:r>
    </w:p>
    <w:bookmarkEnd w:id="74"/>
    <w:bookmarkStart w:id="75"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cost</m:t>
              </m:r>
            </m:e>
            <m:sub>
              <m:r>
                <m:t>i</m:t>
              </m:r>
            </m:sub>
          </m:sSub>
          <m:r>
            <m:rPr>
              <m:sty m:val="p"/>
            </m:rPr>
            <m:t>)</m:t>
          </m:r>
          <m:r>
            <m:rPr>
              <m:sty m:val="p"/>
            </m:rPr>
            <m:t>=</m:t>
          </m:r>
          <m:sSub>
            <m:e>
              <m:r>
                <m:t>β</m:t>
              </m:r>
            </m:e>
            <m:sub>
              <m:r>
                <m:t>0</m:t>
              </m:r>
            </m:sub>
          </m:sSub>
          <m:r>
            <m:rPr>
              <m:sty m:val="p"/>
            </m:rPr>
            <m:t>+</m:t>
          </m:r>
          <m:sSub>
            <m:e>
              <m:r>
                <m:t>β</m:t>
              </m:r>
            </m:e>
            <m:sub>
              <m:r>
                <m:t>1</m:t>
              </m:r>
            </m:sub>
          </m:sSub>
          <m:r>
            <m:t> </m:t>
          </m:r>
          <m:r>
            <m:rPr>
              <m:sty m:val="p"/>
            </m:rPr>
            <m:t>ln</m:t>
          </m:r>
          <m:r>
            <m:rPr>
              <m:sty m:val="p"/>
            </m:rPr>
            <m:t>(</m:t>
          </m:r>
          <m:sSub>
            <m:e>
              <m:r>
                <m:rPr>
                  <m:nor/>
                  <m:sty m:val="p"/>
                </m:rPr>
                <m:t>cum_unit</m:t>
              </m:r>
            </m:e>
            <m:sub>
              <m:r>
                <m:t>i</m:t>
              </m:r>
            </m:sub>
          </m:sSub>
          <m:r>
            <m:rPr>
              <m:sty m:val="p"/>
            </m:rPr>
            <m:t>)</m:t>
          </m:r>
          <m:r>
            <m:rPr>
              <m:sty m:val="p"/>
            </m:rPr>
            <m:t>+</m:t>
          </m:r>
          <m:sSub>
            <m:e>
              <m:r>
                <m:t>β</m:t>
              </m:r>
            </m:e>
            <m:sub>
              <m:r>
                <m:t>2</m:t>
              </m:r>
            </m:sub>
          </m:sSub>
          <m:r>
            <m:t> </m:t>
          </m:r>
          <m:r>
            <m:rPr>
              <m:sty m:val="p"/>
            </m:rPr>
            <m:t>ln</m:t>
          </m:r>
          <m:r>
            <m:rPr>
              <m:sty m:val="p"/>
            </m:rPr>
            <m:t>(</m:t>
          </m:r>
          <m:sSub>
            <m:e>
              <m:r>
                <m:rPr>
                  <m:nor/>
                  <m:sty m:val="p"/>
                </m:rPr>
                <m:t>mass</m:t>
              </m:r>
            </m:e>
            <m:sub>
              <m:r>
                <m:t>i</m:t>
              </m:r>
            </m:sub>
          </m:sSub>
          <m:r>
            <m:rPr>
              <m:sty m:val="p"/>
            </m:rPr>
            <m:t>)</m:t>
          </m:r>
          <m:r>
            <m:rPr>
              <m:sty m:val="p"/>
            </m:rPr>
            <m:t>+</m:t>
          </m:r>
          <m:sSub>
            <m:e>
              <m:r>
                <m:t>β</m:t>
              </m:r>
            </m:e>
            <m:sub>
              <m:r>
                <m:t>3</m:t>
              </m:r>
            </m:sub>
          </m:sSub>
          <m:r>
            <m:t> </m:t>
          </m:r>
          <m:sSub>
            <m:e>
              <m:r>
                <m:rPr>
                  <m:nor/>
                  <m:sty m:val="p"/>
                </m:rPr>
                <m:t>recurring</m:t>
              </m:r>
            </m:e>
            <m:sub>
              <m:r>
                <m:t>i</m:t>
              </m:r>
            </m:sub>
          </m:sSub>
          <m:r>
            <m:rPr>
              <m:sty m:val="p"/>
            </m:rPr>
            <m:t>+</m:t>
          </m:r>
          <m:sSub>
            <m:e>
              <m:r>
                <m:t>ε</m:t>
              </m:r>
            </m:e>
            <m:sub>
              <m:r>
                <m:t>i</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0.4025</w:t>
            </w:r>
          </w:p>
        </w:tc>
        <w:tc>
          <w:tcPr>
            <w:tcW w:w="0" w:type="auto"/>
          </w:tcPr>
          <w:p>
            <w:pPr>
              <w:spacing w:line="240" w:lineRule="auto" w:before="0" w:after="0"/>
              <w:pStyle w:val="Compact"/>
            </w:pPr>
            <w:r>
              <w:rPr>
                <w:sz w:val="20"/>
                <w:szCs w:val="20"/>
              </w:rPr>
              <w:t xml:space="preserve">1.064</w:t>
            </w:r>
          </w:p>
        </w:tc>
        <w:tc>
          <w:tcPr>
            <w:tcW w:w="0" w:type="auto"/>
          </w:tcPr>
          <w:p>
            <w:pPr>
              <w:spacing w:line="240" w:lineRule="auto" w:before="0" w:after="0"/>
              <w:pStyle w:val="Compact"/>
            </w:pPr>
            <w:r>
              <w:rPr>
                <w:sz w:val="20"/>
                <w:szCs w:val="20"/>
              </w:rPr>
              <w:t xml:space="preserve">0.3783</w:t>
            </w:r>
          </w:p>
        </w:tc>
        <w:tc>
          <w:tcPr>
            <w:tcW w:w="0" w:type="auto"/>
          </w:tcPr>
          <w:p>
            <w:pPr>
              <w:spacing w:line="240" w:lineRule="auto" w:before="0" w:after="0"/>
              <w:pStyle w:val="Compact"/>
            </w:pPr>
            <w:r>
              <w:rPr>
                <w:sz w:val="20"/>
                <w:szCs w:val="20"/>
              </w:rPr>
              <w:t xml:space="preserve">0.7052</w:t>
            </w:r>
          </w:p>
        </w:tc>
        <w:tc>
          <w:tcPr>
            <w:tcW w:w="0" w:type="auto"/>
          </w:tcPr>
          <w:p>
            <w:pPr>
              <w:spacing w:line="240" w:lineRule="auto" w:before="0" w:after="0"/>
              <w:pStyle w:val="Compact"/>
            </w:pPr>
            <w:r>
              <w:rPr>
                <w:sz w:val="20"/>
                <w:szCs w:val="20"/>
              </w:rPr>
              <w:t xml:space="preserve">[-1.6829, 2.4879]</w:t>
            </w:r>
          </w:p>
        </w:tc>
      </w:tr>
      <w:tr>
        <w:tc>
          <w:tcPr>
            <w:tcW w:w="0" w:type="auto"/>
          </w:tcPr>
          <w:p>
            <w:pPr>
              <w:spacing w:line="240" w:lineRule="auto" w:before="0" w:after="0"/>
              <w:pStyle w:val="Compact"/>
            </w:pPr>
            <w:r>
              <w:rPr>
                <w:sz w:val="20"/>
                <w:szCs w:val="20"/>
              </w:rPr>
              <w:t xml:space="preserve">ln_cum_unit</w:t>
            </w:r>
          </w:p>
        </w:tc>
        <w:tc>
          <w:tcPr>
            <w:tcW w:w="0" w:type="auto"/>
          </w:tcPr>
          <w:p>
            <w:pPr>
              <w:spacing w:line="240" w:lineRule="auto" w:before="0" w:after="0"/>
              <w:pStyle w:val="Compact"/>
            </w:pPr>
            <w:r>
              <w:rPr>
                <w:sz w:val="20"/>
                <w:szCs w:val="20"/>
              </w:rPr>
              <w:t xml:space="preserve">0.0313</w:t>
            </w:r>
          </w:p>
        </w:tc>
        <w:tc>
          <w:tcPr>
            <w:tcW w:w="0" w:type="auto"/>
          </w:tcPr>
          <w:p>
            <w:pPr>
              <w:spacing w:line="240" w:lineRule="auto" w:before="0" w:after="0"/>
              <w:pStyle w:val="Compact"/>
            </w:pPr>
            <w:r>
              <w:rPr>
                <w:sz w:val="20"/>
                <w:szCs w:val="20"/>
              </w:rPr>
              <w:t xml:space="preserve">0.4236</w:t>
            </w:r>
          </w:p>
        </w:tc>
        <w:tc>
          <w:tcPr>
            <w:tcW w:w="0" w:type="auto"/>
          </w:tcPr>
          <w:p>
            <w:pPr>
              <w:spacing w:line="240" w:lineRule="auto" w:before="0" w:after="0"/>
              <w:pStyle w:val="Compact"/>
            </w:pPr>
            <w:r>
              <w:rPr>
                <w:sz w:val="20"/>
                <w:szCs w:val="20"/>
              </w:rPr>
              <w:t xml:space="preserve">0.0738</w:t>
            </w:r>
          </w:p>
        </w:tc>
        <w:tc>
          <w:tcPr>
            <w:tcW w:w="0" w:type="auto"/>
          </w:tcPr>
          <w:p>
            <w:pPr>
              <w:spacing w:line="240" w:lineRule="auto" w:before="0" w:after="0"/>
              <w:pStyle w:val="Compact"/>
            </w:pPr>
            <w:r>
              <w:rPr>
                <w:sz w:val="20"/>
                <w:szCs w:val="20"/>
              </w:rPr>
              <w:t xml:space="preserve">0.9412</w:t>
            </w:r>
          </w:p>
        </w:tc>
        <w:tc>
          <w:tcPr>
            <w:tcW w:w="0" w:type="auto"/>
          </w:tcPr>
          <w:p>
            <w:pPr>
              <w:spacing w:line="240" w:lineRule="auto" w:before="0" w:after="0"/>
              <w:pStyle w:val="Compact"/>
            </w:pPr>
            <w:r>
              <w:rPr>
                <w:sz w:val="20"/>
                <w:szCs w:val="20"/>
              </w:rPr>
              <w:t xml:space="preserve">[-0.7989, 0.8614]</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0.8118</w:t>
            </w:r>
          </w:p>
        </w:tc>
        <w:tc>
          <w:tcPr>
            <w:tcW w:w="0" w:type="auto"/>
          </w:tcPr>
          <w:p>
            <w:pPr>
              <w:spacing w:line="240" w:lineRule="auto" w:before="0" w:after="0"/>
              <w:pStyle w:val="Compact"/>
            </w:pPr>
            <w:r>
              <w:rPr>
                <w:sz w:val="20"/>
                <w:szCs w:val="20"/>
              </w:rPr>
              <w:t xml:space="preserve">0.1427</w:t>
            </w:r>
          </w:p>
        </w:tc>
        <w:tc>
          <w:tcPr>
            <w:tcW w:w="0" w:type="auto"/>
          </w:tcPr>
          <w:p>
            <w:pPr>
              <w:spacing w:line="240" w:lineRule="auto" w:before="0" w:after="0"/>
              <w:pStyle w:val="Compact"/>
            </w:pPr>
            <w:r>
              <w:rPr>
                <w:sz w:val="20"/>
                <w:szCs w:val="20"/>
              </w:rPr>
              <w:t xml:space="preserve">5.6904</w:t>
            </w:r>
          </w:p>
        </w:tc>
        <w:tc>
          <w:tcPr>
            <w:tcW w:w="0" w:type="auto"/>
          </w:tcPr>
          <w:p>
            <w:pPr>
              <w:spacing w:line="240" w:lineRule="auto" w:before="0" w:after="0"/>
              <w:pStyle w:val="Compact"/>
            </w:pPr>
            <w:r>
              <w:rPr>
                <w:sz w:val="20"/>
                <w:szCs w:val="20"/>
              </w:rPr>
              <w:t xml:space="preserve">1.268e-08</w:t>
            </w:r>
          </w:p>
        </w:tc>
        <w:tc>
          <w:tcPr>
            <w:tcW w:w="0" w:type="auto"/>
          </w:tcPr>
          <w:p>
            <w:pPr>
              <w:spacing w:line="240" w:lineRule="auto" w:before="0" w:after="0"/>
              <w:pStyle w:val="Compact"/>
            </w:pPr>
            <w:r>
              <w:rPr>
                <w:sz w:val="20"/>
                <w:szCs w:val="20"/>
              </w:rPr>
              <w:t xml:space="preserve">[0.5322, 1.0914]</w:t>
            </w:r>
          </w:p>
        </w:tc>
      </w:tr>
      <w:tr>
        <w:tc>
          <w:tcPr>
            <w:tcW w:w="0" w:type="auto"/>
          </w:tcPr>
          <w:p>
            <w:pPr>
              <w:spacing w:line="240" w:lineRule="auto" w:before="0" w:after="0"/>
              <w:pStyle w:val="Compact"/>
            </w:pPr>
            <w:r>
              <w:rPr>
                <w:sz w:val="20"/>
                <w:szCs w:val="20"/>
              </w:rPr>
              <w:t xml:space="preserve">recurring</w:t>
            </w:r>
          </w:p>
        </w:tc>
        <w:tc>
          <w:tcPr>
            <w:tcW w:w="0" w:type="auto"/>
          </w:tcPr>
          <w:p>
            <w:pPr>
              <w:spacing w:line="240" w:lineRule="auto" w:before="0" w:after="0"/>
              <w:pStyle w:val="Compact"/>
            </w:pPr>
            <w:r>
              <w:rPr>
                <w:sz w:val="20"/>
                <w:szCs w:val="20"/>
              </w:rPr>
              <w:t xml:space="preserve">-0.022</w:t>
            </w:r>
          </w:p>
        </w:tc>
        <w:tc>
          <w:tcPr>
            <w:tcW w:w="0" w:type="auto"/>
          </w:tcPr>
          <w:p>
            <w:pPr>
              <w:spacing w:line="240" w:lineRule="auto" w:before="0" w:after="0"/>
              <w:pStyle w:val="Compact"/>
            </w:pPr>
            <w:r>
              <w:rPr>
                <w:sz w:val="20"/>
                <w:szCs w:val="20"/>
              </w:rPr>
              <w:t xml:space="preserve">0.6007</w:t>
            </w:r>
          </w:p>
        </w:tc>
        <w:tc>
          <w:tcPr>
            <w:tcW w:w="0" w:type="auto"/>
          </w:tcPr>
          <w:p>
            <w:pPr>
              <w:spacing w:line="240" w:lineRule="auto" w:before="0" w:after="0"/>
              <w:pStyle w:val="Compact"/>
            </w:pPr>
            <w:r>
              <w:rPr>
                <w:sz w:val="20"/>
                <w:szCs w:val="20"/>
              </w:rPr>
              <w:t xml:space="preserve">-0.0366</w:t>
            </w:r>
          </w:p>
        </w:tc>
        <w:tc>
          <w:tcPr>
            <w:tcW w:w="0" w:type="auto"/>
          </w:tcPr>
          <w:p>
            <w:pPr>
              <w:spacing w:line="240" w:lineRule="auto" w:before="0" w:after="0"/>
              <w:pStyle w:val="Compact"/>
            </w:pPr>
            <w:r>
              <w:rPr>
                <w:sz w:val="20"/>
                <w:szCs w:val="20"/>
              </w:rPr>
              <w:t xml:space="preserve">0.9708</w:t>
            </w:r>
          </w:p>
        </w:tc>
        <w:tc>
          <w:tcPr>
            <w:tcW w:w="0" w:type="auto"/>
          </w:tcPr>
          <w:p>
            <w:pPr>
              <w:spacing w:line="240" w:lineRule="auto" w:before="0" w:after="0"/>
              <w:pStyle w:val="Compact"/>
            </w:pPr>
            <w:r>
              <w:rPr>
                <w:sz w:val="20"/>
                <w:szCs w:val="20"/>
              </w:rPr>
              <w:t xml:space="preserve">[-1.1994, 1.1554]</w:t>
            </w:r>
          </w:p>
        </w:tc>
      </w:tr>
    </w:tbl>
    <w:p>
      <w:pPr>
        <w:pStyle w:val="BodyText"/>
      </w:pPr>
      <w:r>
        <w:t xml:space="preserve">Fit: N = 24 R2 = 0.5999 R2_adj = 0.5399 F = 10.9715 F_p = 0.0001783</w:t>
      </w:r>
    </w:p>
    <w:p>
      <w:pPr>
        <w:pStyle w:val="CaptionedFigure"/>
      </w:pPr>
      <w:r>
        <w:drawing>
          <wp:inline>
            <wp:extent cx="5669280" cy="3657600"/>
            <wp:effectExtent b="0" l="0" r="0" t="0"/>
            <wp:docPr descr="Figure 1. Per-unit recurring cost against article mass across nine planetary and space-system heritage families; mass is the dominant cost gradient while cumulative-unit experience adds no detectable reduction." title="" id="77" name="Picture"/>
            <a:graphic>
              <a:graphicData uri="http://schemas.openxmlformats.org/drawingml/2006/picture">
                <pic:pic>
                  <pic:nvPicPr>
                    <pic:cNvPr descr="D:\Claude_Code\brain\collegium\candidates\dissertations\JPL_OPS_COMMS_DATA_02\research_papers\p2\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Per-unit recurring cost against article mass across nine planetary and space-system heritage families; mass is the dominant cost gradient while cumulative-unit experience adds no detectable reduction.</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tblGrid>
      <w:tr>
        <w:trPr>
          <w:tblHeader w:val="on"/>
        </w:trPr>
        <w:tc>
          <w:tcPr>
            <w:tcW w:w="0" w:type="auto"/>
          </w:tcPr>
          <w:p>
            <w:pPr>
              <w:spacing w:line="240" w:lineRule="auto" w:before="0" w:after="0"/>
              <w:pStyle w:val="Compact"/>
            </w:pPr>
            <w:r>
              <w:rPr>
                <w:sz w:val="20"/>
                <w:szCs w:val="20"/>
              </w:rPr>
              <w:t xml:space="preserve">unit</w:t>
            </w:r>
          </w:p>
        </w:tc>
        <w:tc>
          <w:tcPr>
            <w:tcW w:w="0" w:type="auto"/>
          </w:tcPr>
          <w:p>
            <w:pPr>
              <w:spacing w:line="240" w:lineRule="auto" w:before="0" w:after="0"/>
              <w:pStyle w:val="Compact"/>
            </w:pPr>
            <w:r>
              <w:rPr>
                <w:sz w:val="20"/>
                <w:szCs w:val="20"/>
              </w:rPr>
              <w:t xml:space="preserve">family</w:t>
            </w:r>
          </w:p>
        </w:tc>
        <w:tc>
          <w:tcPr>
            <w:tcW w:w="0" w:type="auto"/>
          </w:tcPr>
          <w:p>
            <w:pPr>
              <w:spacing w:line="240" w:lineRule="auto" w:before="0" w:after="0"/>
              <w:pStyle w:val="Compact"/>
            </w:pPr>
            <w:r>
              <w:rPr>
                <w:sz w:val="20"/>
                <w:szCs w:val="20"/>
              </w:rPr>
              <w:t xml:space="preserve">cum_unit</w:t>
            </w:r>
          </w:p>
        </w:tc>
        <w:tc>
          <w:tcPr>
            <w:tcW w:w="0" w:type="auto"/>
          </w:tcPr>
          <w:p>
            <w:pPr>
              <w:spacing w:line="240" w:lineRule="auto" w:before="0" w:after="0"/>
              <w:pStyle w:val="Compact"/>
            </w:pPr>
            <w:r>
              <w:rPr>
                <w:sz w:val="20"/>
                <w:szCs w:val="20"/>
              </w:rPr>
              <w:t xml:space="preserve">cost_musd</w:t>
            </w:r>
          </w:p>
        </w:tc>
        <w:tc>
          <w:tcPr>
            <w:tcW w:w="0" w:type="auto"/>
          </w:tcPr>
          <w:p>
            <w:pPr>
              <w:spacing w:line="240" w:lineRule="auto" w:before="0" w:after="0"/>
              <w:pStyle w:val="Compact"/>
            </w:pPr>
            <w:r>
              <w:rPr>
                <w:sz w:val="20"/>
                <w:szCs w:val="20"/>
              </w:rPr>
              <w:t xml:space="preserve">dry_mass_kg</w:t>
            </w:r>
          </w:p>
        </w:tc>
        <w:tc>
          <w:tcPr>
            <w:tcW w:w="0" w:type="auto"/>
          </w:tcPr>
          <w:p>
            <w:pPr>
              <w:spacing w:line="240" w:lineRule="auto" w:before="0" w:after="0"/>
              <w:pStyle w:val="Compact"/>
            </w:pPr>
            <w:r>
              <w:rPr>
                <w:sz w:val="20"/>
                <w:szCs w:val="20"/>
              </w:rPr>
              <w:t xml:space="preserve">recurring</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ln_cum_unit</w:t>
            </w:r>
          </w:p>
        </w:tc>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fam_GRACE</w:t>
            </w:r>
          </w:p>
        </w:tc>
        <w:tc>
          <w:tcPr>
            <w:tcW w:w="0" w:type="auto"/>
          </w:tcPr>
          <w:p>
            <w:pPr>
              <w:spacing w:line="240" w:lineRule="auto" w:before="0" w:after="0"/>
              <w:pStyle w:val="Compact"/>
            </w:pPr>
            <w:r>
              <w:rPr>
                <w:sz w:val="20"/>
                <w:szCs w:val="20"/>
              </w:rPr>
              <w:t xml:space="preserve">fam_GRAIL</w:t>
            </w:r>
          </w:p>
        </w:tc>
        <w:tc>
          <w:tcPr>
            <w:tcW w:w="0" w:type="auto"/>
          </w:tcPr>
          <w:p>
            <w:pPr>
              <w:spacing w:line="240" w:lineRule="auto" w:before="0" w:after="0"/>
              <w:pStyle w:val="Compact"/>
            </w:pPr>
            <w:r>
              <w:rPr>
                <w:sz w:val="20"/>
                <w:szCs w:val="20"/>
              </w:rPr>
              <w:t xml:space="preserve">fam_MER</w:t>
            </w:r>
          </w:p>
        </w:tc>
        <w:tc>
          <w:tcPr>
            <w:tcW w:w="0" w:type="auto"/>
          </w:tcPr>
          <w:p>
            <w:pPr>
              <w:spacing w:line="240" w:lineRule="auto" w:before="0" w:after="0"/>
              <w:pStyle w:val="Compact"/>
            </w:pPr>
            <w:r>
              <w:rPr>
                <w:sz w:val="20"/>
                <w:szCs w:val="20"/>
              </w:rPr>
              <w:t xml:space="preserve">fam_Mariner67</w:t>
            </w:r>
          </w:p>
        </w:tc>
        <w:tc>
          <w:tcPr>
            <w:tcW w:w="0" w:type="auto"/>
          </w:tcPr>
          <w:p>
            <w:pPr>
              <w:spacing w:line="240" w:lineRule="auto" w:before="0" w:after="0"/>
              <w:pStyle w:val="Compact"/>
            </w:pPr>
            <w:r>
              <w:rPr>
                <w:sz w:val="20"/>
                <w:szCs w:val="20"/>
              </w:rPr>
              <w:t xml:space="preserve">fam_Pioneer</w:t>
            </w:r>
          </w:p>
        </w:tc>
        <w:tc>
          <w:tcPr>
            <w:tcW w:w="0" w:type="auto"/>
          </w:tcPr>
          <w:p>
            <w:pPr>
              <w:spacing w:line="240" w:lineRule="auto" w:before="0" w:after="0"/>
              <w:pStyle w:val="Compact"/>
            </w:pPr>
            <w:r>
              <w:rPr>
                <w:sz w:val="20"/>
                <w:szCs w:val="20"/>
              </w:rPr>
              <w:t xml:space="preserve">fam_STEREO</w:t>
            </w:r>
          </w:p>
        </w:tc>
        <w:tc>
          <w:tcPr>
            <w:tcW w:w="0" w:type="auto"/>
          </w:tcPr>
          <w:p>
            <w:pPr>
              <w:spacing w:line="240" w:lineRule="auto" w:before="0" w:after="0"/>
              <w:pStyle w:val="Compact"/>
            </w:pPr>
            <w:r>
              <w:rPr>
                <w:sz w:val="20"/>
                <w:szCs w:val="20"/>
              </w:rPr>
              <w:t xml:space="preserve">fam_VanAllen</w:t>
            </w:r>
          </w:p>
        </w:tc>
        <w:tc>
          <w:tcPr>
            <w:tcW w:w="0" w:type="auto"/>
          </w:tcPr>
          <w:p>
            <w:pPr>
              <w:spacing w:line="240" w:lineRule="auto" w:before="0" w:after="0"/>
              <w:pStyle w:val="Compact"/>
            </w:pPr>
            <w:r>
              <w:rPr>
                <w:sz w:val="20"/>
                <w:szCs w:val="20"/>
              </w:rPr>
              <w:t xml:space="preserve">fam_Viking</w:t>
            </w:r>
          </w:p>
        </w:tc>
        <w:tc>
          <w:tcPr>
            <w:tcW w:w="0" w:type="auto"/>
          </w:tcPr>
          <w:p>
            <w:pPr>
              <w:spacing w:line="240" w:lineRule="auto" w:before="0" w:after="0"/>
              <w:pStyle w:val="Compact"/>
            </w:pPr>
            <w:r>
              <w:rPr>
                <w:sz w:val="20"/>
                <w:szCs w:val="20"/>
              </w:rPr>
              <w:t xml:space="preserve">fam_Voyager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GRAIL-A</w:t>
            </w:r>
          </w:p>
        </w:tc>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248</w:t>
            </w:r>
          </w:p>
        </w:tc>
        <w:tc>
          <w:tcPr>
            <w:tcW w:w="0" w:type="auto"/>
          </w:tcPr>
          <w:p>
            <w:pPr>
              <w:spacing w:line="240" w:lineRule="auto" w:before="0" w:after="0"/>
              <w:pStyle w:val="Compact"/>
            </w:pPr>
            <w:r>
              <w:rPr>
                <w:sz w:val="20"/>
                <w:szCs w:val="20"/>
              </w:rPr>
              <w:t xml:space="preserve">132.6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5.5134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4.8873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GRAIL Launch Press Kit Aug 2011 (program $496M for two identical spacecraft built together; per-unit = $496M/2 = $248M); dry mass 132.6 kg per Gunter’s Space Page space.skyrocket.de/doc_sdat/grail.htm</w:t>
            </w:r>
          </w:p>
        </w:tc>
      </w:tr>
      <w:tr>
        <w:tc>
          <w:tcPr>
            <w:tcW w:w="0" w:type="auto"/>
          </w:tcPr>
          <w:p>
            <w:pPr>
              <w:spacing w:line="240" w:lineRule="auto" w:before="0" w:after="0"/>
              <w:pStyle w:val="Compact"/>
            </w:pPr>
            <w:r>
              <w:rPr>
                <w:sz w:val="20"/>
                <w:szCs w:val="20"/>
              </w:rPr>
              <w:t xml:space="preserve">GRAIL-B</w:t>
            </w:r>
          </w:p>
        </w:tc>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248</w:t>
            </w:r>
          </w:p>
        </w:tc>
        <w:tc>
          <w:tcPr>
            <w:tcW w:w="0" w:type="auto"/>
          </w:tcPr>
          <w:p>
            <w:pPr>
              <w:spacing w:line="240" w:lineRule="auto" w:before="0" w:after="0"/>
              <w:pStyle w:val="Compact"/>
            </w:pPr>
            <w:r>
              <w:rPr>
                <w:sz w:val="20"/>
                <w:szCs w:val="20"/>
              </w:rPr>
              <w:t xml:space="preserve">132.6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5.5134</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4.8873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GRAIL Launch Press Kit Aug 2011 ($496M/2 = $248M per spacecraft); identical recurring twin; dry mass 132.6 kg Gunter’s Space Page space.skyrocket.de/doc_sdat/grail.htm</w:t>
            </w:r>
          </w:p>
        </w:tc>
      </w:tr>
      <w:tr>
        <w:tc>
          <w:tcPr>
            <w:tcW w:w="0" w:type="auto"/>
          </w:tcPr>
          <w:p>
            <w:pPr>
              <w:spacing w:line="240" w:lineRule="auto" w:before="0" w:after="0"/>
              <w:pStyle w:val="Compact"/>
            </w:pPr>
            <w:r>
              <w:rPr>
                <w:sz w:val="20"/>
                <w:szCs w:val="20"/>
              </w:rPr>
              <w:t xml:space="preserve">MER-A-Spirit</w:t>
            </w:r>
          </w:p>
        </w:tc>
        <w:tc>
          <w:tcPr>
            <w:tcW w:w="0" w:type="auto"/>
          </w:tcPr>
          <w:p>
            <w:pPr>
              <w:spacing w:line="240" w:lineRule="auto" w:before="0" w:after="0"/>
              <w:pStyle w:val="Compact"/>
            </w:pPr>
            <w:r>
              <w:rPr>
                <w:sz w:val="20"/>
                <w:szCs w:val="20"/>
              </w:rPr>
              <w:t xml:space="preserve">MER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410</w:t>
            </w:r>
          </w:p>
        </w:tc>
        <w:tc>
          <w:tcPr>
            <w:tcW w:w="0" w:type="auto"/>
          </w:tcPr>
          <w:p>
            <w:pPr>
              <w:spacing w:line="240" w:lineRule="auto" w:before="0" w:after="0"/>
              <w:pStyle w:val="Compact"/>
            </w:pPr>
            <w:r>
              <w:rPr>
                <w:sz w:val="20"/>
                <w:szCs w:val="20"/>
              </w:rPr>
              <w:t xml:space="preserve">1063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6.0162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6.9689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The Planetary Society, Cost of the Mars Exploration Rovers (~$820M build+launch+ops for two identical rovers; per-unit = $820M/2 = $410M); total per-rover mass 1063 kg, MER Wikipedia / NASA mars.nasa.gov/mer</w:t>
            </w:r>
          </w:p>
        </w:tc>
      </w:tr>
      <w:tr>
        <w:tc>
          <w:tcPr>
            <w:tcW w:w="0" w:type="auto"/>
          </w:tcPr>
          <w:p>
            <w:pPr>
              <w:spacing w:line="240" w:lineRule="auto" w:before="0" w:after="0"/>
              <w:pStyle w:val="Compact"/>
            </w:pPr>
            <w:r>
              <w:rPr>
                <w:sz w:val="20"/>
                <w:szCs w:val="20"/>
              </w:rPr>
              <w:t xml:space="preserve">MER-B-Opportunity</w:t>
            </w:r>
          </w:p>
        </w:tc>
        <w:tc>
          <w:tcPr>
            <w:tcW w:w="0" w:type="auto"/>
          </w:tcPr>
          <w:p>
            <w:pPr>
              <w:spacing w:line="240" w:lineRule="auto" w:before="0" w:after="0"/>
              <w:pStyle w:val="Compact"/>
            </w:pPr>
            <w:r>
              <w:rPr>
                <w:sz w:val="20"/>
                <w:szCs w:val="20"/>
              </w:rPr>
              <w:t xml:space="preserve">MER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410</w:t>
            </w:r>
          </w:p>
        </w:tc>
        <w:tc>
          <w:tcPr>
            <w:tcW w:w="0" w:type="auto"/>
          </w:tcPr>
          <w:p>
            <w:pPr>
              <w:spacing w:line="240" w:lineRule="auto" w:before="0" w:after="0"/>
              <w:pStyle w:val="Compact"/>
            </w:pPr>
            <w:r>
              <w:rPr>
                <w:sz w:val="20"/>
                <w:szCs w:val="20"/>
              </w:rPr>
              <w:t xml:space="preserve">1063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6.0162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6.9689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The Planetary Society, Cost of the Mars Exploration Rovers ($820M/2 = $410M per rover); identical recurring twin; mass 1063 kg, MER Wikipedia / NASA mars.nasa.gov/mer</w:t>
            </w:r>
          </w:p>
        </w:tc>
      </w:tr>
      <w:tr>
        <w:tc>
          <w:tcPr>
            <w:tcW w:w="0" w:type="auto"/>
          </w:tcPr>
          <w:p>
            <w:pPr>
              <w:spacing w:line="240" w:lineRule="auto" w:before="0" w:after="0"/>
              <w:pStyle w:val="Compact"/>
            </w:pPr>
            <w:r>
              <w:rPr>
                <w:sz w:val="20"/>
                <w:szCs w:val="20"/>
              </w:rPr>
              <w:t xml:space="preserve">STEREO-A</w:t>
            </w:r>
          </w:p>
        </w:tc>
        <w:tc>
          <w:tcPr>
            <w:tcW w:w="0" w:type="auto"/>
          </w:tcPr>
          <w:p>
            <w:pPr>
              <w:spacing w:line="240" w:lineRule="auto" w:before="0" w:after="0"/>
              <w:pStyle w:val="Compact"/>
            </w:pPr>
            <w:r>
              <w:rPr>
                <w:sz w:val="20"/>
                <w:szCs w:val="20"/>
              </w:rPr>
              <w:t xml:space="preserve">STEREO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547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5.6168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6.3044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Science STEREO mission page / Wikipedia STEREO (mission ~$550M for two identical observatories; per-unit = $550M/2 = $275M); dry mass 547 kg each, Gunter’s Space Page space.skyrocket.de/doc_sdat/stereo.htm</w:t>
            </w:r>
          </w:p>
        </w:tc>
      </w:tr>
      <w:tr>
        <w:tc>
          <w:tcPr>
            <w:tcW w:w="0" w:type="auto"/>
          </w:tcPr>
          <w:p>
            <w:pPr>
              <w:spacing w:line="240" w:lineRule="auto" w:before="0" w:after="0"/>
              <w:pStyle w:val="Compact"/>
            </w:pPr>
            <w:r>
              <w:rPr>
                <w:sz w:val="20"/>
                <w:szCs w:val="20"/>
              </w:rPr>
              <w:t xml:space="preserve">STEREO-B</w:t>
            </w:r>
          </w:p>
        </w:tc>
        <w:tc>
          <w:tcPr>
            <w:tcW w:w="0" w:type="auto"/>
          </w:tcPr>
          <w:p>
            <w:pPr>
              <w:spacing w:line="240" w:lineRule="auto" w:before="0" w:after="0"/>
              <w:pStyle w:val="Compact"/>
            </w:pPr>
            <w:r>
              <w:rPr>
                <w:sz w:val="20"/>
                <w:szCs w:val="20"/>
              </w:rPr>
              <w:t xml:space="preserve">STEREO</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547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5.6168</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6.3044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Science STEREO / Wikipedia STEREO ($550M/2 = $275M per observatory); identical recurring twin; dry mass 547 kg, Gunter’s Space Page space.skyrocket.de/doc_sdat/stereo.htm</w:t>
            </w:r>
          </w:p>
        </w:tc>
      </w:tr>
      <w:tr>
        <w:tc>
          <w:tcPr>
            <w:tcW w:w="0" w:type="auto"/>
          </w:tcPr>
          <w:p>
            <w:pPr>
              <w:spacing w:line="240" w:lineRule="auto" w:before="0" w:after="0"/>
              <w:pStyle w:val="Compact"/>
            </w:pPr>
            <w:r>
              <w:rPr>
                <w:sz w:val="20"/>
                <w:szCs w:val="20"/>
              </w:rPr>
              <w:t xml:space="preserve">VanAllen-A</w:t>
            </w:r>
          </w:p>
        </w:tc>
        <w:tc>
          <w:tcPr>
            <w:tcW w:w="0" w:type="auto"/>
          </w:tcPr>
          <w:p>
            <w:pPr>
              <w:spacing w:line="240" w:lineRule="auto" w:before="0" w:after="0"/>
              <w:pStyle w:val="Compact"/>
            </w:pPr>
            <w:r>
              <w:rPr>
                <w:sz w:val="20"/>
                <w:szCs w:val="20"/>
              </w:rPr>
              <w:t xml:space="preserve">VanAllen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609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5.8141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6.4118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Space.com / Wikipedia Van Allen Probes (RBSP ~$670M for two identical probes; per-unit = $670M/2 = $335M); dry mass 609 kg each, eoPortal Van Allen Probes</w:t>
            </w:r>
          </w:p>
        </w:tc>
      </w:tr>
      <w:tr>
        <w:tc>
          <w:tcPr>
            <w:tcW w:w="0" w:type="auto"/>
          </w:tcPr>
          <w:p>
            <w:pPr>
              <w:spacing w:line="240" w:lineRule="auto" w:before="0" w:after="0"/>
              <w:pStyle w:val="Compact"/>
            </w:pPr>
            <w:r>
              <w:rPr>
                <w:sz w:val="20"/>
                <w:szCs w:val="20"/>
              </w:rPr>
              <w:t xml:space="preserve">VanAllen-B</w:t>
            </w:r>
          </w:p>
        </w:tc>
        <w:tc>
          <w:tcPr>
            <w:tcW w:w="0" w:type="auto"/>
          </w:tcPr>
          <w:p>
            <w:pPr>
              <w:spacing w:line="240" w:lineRule="auto" w:before="0" w:after="0"/>
              <w:pStyle w:val="Compact"/>
            </w:pPr>
            <w:r>
              <w:rPr>
                <w:sz w:val="20"/>
                <w:szCs w:val="20"/>
              </w:rPr>
              <w:t xml:space="preserve">VanAllen</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609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5.8141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6.4118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Space.com / Wikipedia Van Allen Probes ($670M/2 = $335M per probe); identical recurring twin; dry mass 609 kg, eoPortal Van Allen Probes</w:t>
            </w:r>
          </w:p>
        </w:tc>
      </w:tr>
      <w:tr>
        <w:tc>
          <w:tcPr>
            <w:tcW w:w="0" w:type="auto"/>
          </w:tcPr>
          <w:p>
            <w:pPr>
              <w:spacing w:line="240" w:lineRule="auto" w:before="0" w:after="0"/>
              <w:pStyle w:val="Compact"/>
            </w:pPr>
            <w:r>
              <w:rPr>
                <w:sz w:val="20"/>
                <w:szCs w:val="20"/>
              </w:rPr>
              <w:t xml:space="preserve">GRACE-1</w:t>
            </w:r>
          </w:p>
        </w:tc>
        <w:tc>
          <w:tcPr>
            <w:tcW w:w="0" w:type="auto"/>
          </w:tcPr>
          <w:p>
            <w:pPr>
              <w:spacing w:line="240" w:lineRule="auto" w:before="0" w:after="0"/>
              <w:pStyle w:val="Compact"/>
            </w:pPr>
            <w:r>
              <w:rPr>
                <w:sz w:val="20"/>
                <w:szCs w:val="20"/>
              </w:rPr>
              <w:t xml:space="preserve">GRACE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3.6763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6.0684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DESCANSO/JPL GRACE seminar abstract (original GRACE NASA share &lt; $79M for two identical satellites; per-unit = $79M/2 = $39.5M); gross mass 432 kg each, eoPortal GRACE</w:t>
            </w:r>
          </w:p>
        </w:tc>
      </w:tr>
      <w:tr>
        <w:tc>
          <w:tcPr>
            <w:tcW w:w="0" w:type="auto"/>
          </w:tcPr>
          <w:p>
            <w:pPr>
              <w:spacing w:line="240" w:lineRule="auto" w:before="0" w:after="0"/>
              <w:pStyle w:val="Compact"/>
            </w:pPr>
            <w:r>
              <w:rPr>
                <w:sz w:val="20"/>
                <w:szCs w:val="20"/>
              </w:rPr>
              <w:t xml:space="preserve">GRACE-2</w:t>
            </w:r>
          </w:p>
        </w:tc>
        <w:tc>
          <w:tcPr>
            <w:tcW w:w="0" w:type="auto"/>
          </w:tcPr>
          <w:p>
            <w:pPr>
              <w:spacing w:line="240" w:lineRule="auto" w:before="0" w:after="0"/>
              <w:pStyle w:val="Compact"/>
            </w:pPr>
            <w:r>
              <w:rPr>
                <w:sz w:val="20"/>
                <w:szCs w:val="20"/>
              </w:rPr>
              <w:t xml:space="preserve">GRACE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3.6763</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6.0684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DESCANSO/JPL GRACE ($79M/2 = $39.5M per satellite); identical recurring twin; gross mass 432 kg, eoPortal GRACE</w:t>
            </w:r>
          </w:p>
        </w:tc>
      </w:tr>
      <w:tr>
        <w:tc>
          <w:tcPr>
            <w:tcW w:w="0" w:type="auto"/>
          </w:tcPr>
          <w:p>
            <w:pPr>
              <w:spacing w:line="240" w:lineRule="auto" w:before="0" w:after="0"/>
              <w:pStyle w:val="Compact"/>
            </w:pPr>
            <w:r>
              <w:rPr>
                <w:sz w:val="20"/>
                <w:szCs w:val="20"/>
              </w:rPr>
              <w:t xml:space="preserve">GRACE-FO-1</w:t>
            </w:r>
          </w:p>
        </w:tc>
        <w:tc>
          <w:tcPr>
            <w:tcW w:w="0" w:type="auto"/>
          </w:tcPr>
          <w:p>
            <w:pPr>
              <w:spacing w:line="240" w:lineRule="auto" w:before="0" w:after="0"/>
              <w:pStyle w:val="Compact"/>
            </w:pPr>
            <w:r>
              <w:rPr>
                <w:sz w:val="20"/>
                <w:szCs w:val="20"/>
              </w:rPr>
              <w:t xml:space="preserve">GRACE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5.3706</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6.363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GRACE-FO ($430M NASA for two follow-on satellites; per-unit = $430M/2 = $215M), JPL GRACE-FO Launch Press Kit; mass ~580 kg each, Wikipedia GRACE and GRACE-FO</w:t>
            </w:r>
          </w:p>
        </w:tc>
      </w:tr>
      <w:tr>
        <w:tc>
          <w:tcPr>
            <w:tcW w:w="0" w:type="auto"/>
          </w:tcPr>
          <w:p>
            <w:pPr>
              <w:spacing w:line="240" w:lineRule="auto" w:before="0" w:after="0"/>
              <w:pStyle w:val="Compact"/>
            </w:pPr>
            <w:r>
              <w:rPr>
                <w:sz w:val="20"/>
                <w:szCs w:val="20"/>
              </w:rPr>
              <w:t xml:space="preserve">GRACE-FO-2</w:t>
            </w:r>
          </w:p>
        </w:tc>
        <w:tc>
          <w:tcPr>
            <w:tcW w:w="0" w:type="auto"/>
          </w:tcPr>
          <w:p>
            <w:pPr>
              <w:spacing w:line="240" w:lineRule="auto" w:before="0" w:after="0"/>
              <w:pStyle w:val="Compact"/>
            </w:pPr>
            <w:r>
              <w:rPr>
                <w:sz w:val="20"/>
                <w:szCs w:val="20"/>
              </w:rPr>
              <w:t xml:space="preserve">GRACE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5.3706</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6.363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GRACE-FO ($430M/2 = $215M per satellite), JPL GRACE-FO Launch Press Kit; recurring heritage build; mass ~580 kg, Wikipedia GRACE and GRACE-FO</w:t>
            </w:r>
          </w:p>
        </w:tc>
      </w:tr>
      <w:tr>
        <w:tc>
          <w:tcPr>
            <w:tcW w:w="0" w:type="auto"/>
          </w:tcPr>
          <w:p>
            <w:pPr>
              <w:spacing w:line="240" w:lineRule="auto" w:before="0" w:after="0"/>
              <w:pStyle w:val="Compact"/>
            </w:pPr>
            <w:r>
              <w:rPr>
                <w:sz w:val="20"/>
                <w:szCs w:val="20"/>
              </w:rPr>
              <w:t xml:space="preserve">Viking-1</w:t>
            </w:r>
          </w:p>
        </w:tc>
        <w:tc>
          <w:tcPr>
            <w:tcW w:w="0" w:type="auto"/>
          </w:tcPr>
          <w:p>
            <w:pPr>
              <w:spacing w:line="240" w:lineRule="auto" w:before="0" w:after="0"/>
              <w:pStyle w:val="Compact"/>
            </w:pPr>
            <w:r>
              <w:rPr>
                <w:sz w:val="20"/>
                <w:szCs w:val="20"/>
              </w:rPr>
              <w:t xml:space="preserve">Viking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530</w:t>
            </w:r>
          </w:p>
        </w:tc>
        <w:tc>
          <w:tcPr>
            <w:tcW w:w="0" w:type="auto"/>
          </w:tcPr>
          <w:p>
            <w:pPr>
              <w:spacing w:line="240" w:lineRule="auto" w:before="0" w:after="0"/>
              <w:pStyle w:val="Compact"/>
            </w:pPr>
            <w:r>
              <w:rPr>
                <w:sz w:val="20"/>
                <w:szCs w:val="20"/>
              </w:rPr>
              <w:t xml:space="preserve">883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6.2729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6.7833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Viking program Wikipedia (program $1.06B for two identical orbiter+lander systems; per-system = $1.06B/2 = $530M); orbiter dry ~883 kg, Gunter’s Space Page space.skyrocket.de/doc_sdat/viking-1.htm</w:t>
            </w:r>
          </w:p>
        </w:tc>
      </w:tr>
      <w:tr>
        <w:tc>
          <w:tcPr>
            <w:tcW w:w="0" w:type="auto"/>
          </w:tcPr>
          <w:p>
            <w:pPr>
              <w:spacing w:line="240" w:lineRule="auto" w:before="0" w:after="0"/>
              <w:pStyle w:val="Compact"/>
            </w:pPr>
            <w:r>
              <w:rPr>
                <w:sz w:val="20"/>
                <w:szCs w:val="20"/>
              </w:rPr>
              <w:t xml:space="preserve">Viking-2</w:t>
            </w:r>
          </w:p>
        </w:tc>
        <w:tc>
          <w:tcPr>
            <w:tcW w:w="0" w:type="auto"/>
          </w:tcPr>
          <w:p>
            <w:pPr>
              <w:spacing w:line="240" w:lineRule="auto" w:before="0" w:after="0"/>
              <w:pStyle w:val="Compact"/>
            </w:pPr>
            <w:r>
              <w:rPr>
                <w:sz w:val="20"/>
                <w:szCs w:val="20"/>
              </w:rPr>
              <w:t xml:space="preserve">Viking</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530</w:t>
            </w:r>
          </w:p>
        </w:tc>
        <w:tc>
          <w:tcPr>
            <w:tcW w:w="0" w:type="auto"/>
          </w:tcPr>
          <w:p>
            <w:pPr>
              <w:spacing w:line="240" w:lineRule="auto" w:before="0" w:after="0"/>
              <w:pStyle w:val="Compact"/>
            </w:pPr>
            <w:r>
              <w:rPr>
                <w:sz w:val="20"/>
                <w:szCs w:val="20"/>
              </w:rPr>
              <w:t xml:space="preserve">883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6.2729</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6.7833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Viking program Wikipedia ($1.06B/2 = $530M per system); identical recurring twin; orbiter dry ~883 kg, Gunter’s Space Page space.skyrocket.de/doc_sdat/viking-1.htm</w:t>
            </w:r>
          </w:p>
        </w:tc>
      </w:tr>
      <w:tr>
        <w:tc>
          <w:tcPr>
            <w:tcW w:w="0" w:type="auto"/>
          </w:tcPr>
          <w:p>
            <w:pPr>
              <w:spacing w:line="240" w:lineRule="auto" w:before="0" w:after="0"/>
              <w:pStyle w:val="Compact"/>
            </w:pPr>
            <w:r>
              <w:rPr>
                <w:sz w:val="20"/>
                <w:szCs w:val="20"/>
              </w:rPr>
              <w:t xml:space="preserve">Voyager-1</w:t>
            </w:r>
          </w:p>
        </w:tc>
        <w:tc>
          <w:tcPr>
            <w:tcW w:w="0" w:type="auto"/>
          </w:tcPr>
          <w:p>
            <w:pPr>
              <w:spacing w:line="240" w:lineRule="auto" w:before="0" w:after="0"/>
              <w:pStyle w:val="Compact"/>
            </w:pPr>
            <w:r>
              <w:rPr>
                <w:sz w:val="20"/>
                <w:szCs w:val="20"/>
              </w:rPr>
              <w:t xml:space="preserve">Voyager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432.5</w:t>
            </w:r>
          </w:p>
        </w:tc>
        <w:tc>
          <w:tcPr>
            <w:tcW w:w="0" w:type="auto"/>
          </w:tcPr>
          <w:p>
            <w:pPr>
              <w:spacing w:line="240" w:lineRule="auto" w:before="0" w:after="0"/>
              <w:pStyle w:val="Compact"/>
            </w:pPr>
            <w:r>
              <w:rPr>
                <w:sz w:val="20"/>
                <w:szCs w:val="20"/>
              </w:rPr>
              <w:t xml:space="preserve">721.9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6.0696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6.5819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Voyager program (NASA Science / Wikipedia: ~$865M through Neptune for two identical spacecraft; per-unit = $865M/2 = $432.5M); dry mass 721.9 kg, NSSDCA Voyager 2 1977-076A</w:t>
            </w:r>
          </w:p>
        </w:tc>
      </w:tr>
      <w:tr>
        <w:tc>
          <w:tcPr>
            <w:tcW w:w="0" w:type="auto"/>
          </w:tcPr>
          <w:p>
            <w:pPr>
              <w:spacing w:line="240" w:lineRule="auto" w:before="0" w:after="0"/>
              <w:pStyle w:val="Compact"/>
            </w:pPr>
            <w:r>
              <w:rPr>
                <w:sz w:val="20"/>
                <w:szCs w:val="20"/>
              </w:rPr>
              <w:t xml:space="preserve">Voyager-2</w:t>
            </w:r>
          </w:p>
        </w:tc>
        <w:tc>
          <w:tcPr>
            <w:tcW w:w="0" w:type="auto"/>
          </w:tcPr>
          <w:p>
            <w:pPr>
              <w:spacing w:line="240" w:lineRule="auto" w:before="0" w:after="0"/>
              <w:pStyle w:val="Compact"/>
            </w:pPr>
            <w:r>
              <w:rPr>
                <w:sz w:val="20"/>
                <w:szCs w:val="20"/>
              </w:rPr>
              <w:t xml:space="preserve">Voyager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432.5</w:t>
            </w:r>
          </w:p>
        </w:tc>
        <w:tc>
          <w:tcPr>
            <w:tcW w:w="0" w:type="auto"/>
          </w:tcPr>
          <w:p>
            <w:pPr>
              <w:spacing w:line="240" w:lineRule="auto" w:before="0" w:after="0"/>
              <w:pStyle w:val="Compact"/>
            </w:pPr>
            <w:r>
              <w:rPr>
                <w:sz w:val="20"/>
                <w:szCs w:val="20"/>
              </w:rPr>
              <w:t xml:space="preserve">721.9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6.0696</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6.5819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Voyager program (Wikipedia / NASA Science $865M/2 = $432.5M per spacecraft); identical recurring twin; dry mass 721.9 kg, NSSDCA 1977-076A</w:t>
            </w:r>
          </w:p>
        </w:tc>
      </w:tr>
      <w:tr>
        <w:tc>
          <w:tcPr>
            <w:tcW w:w="0" w:type="auto"/>
          </w:tcPr>
          <w:p>
            <w:pPr>
              <w:spacing w:line="240" w:lineRule="auto" w:before="0" w:after="0"/>
              <w:pStyle w:val="Compact"/>
            </w:pPr>
            <w:r>
              <w:rPr>
                <w:sz w:val="20"/>
                <w:szCs w:val="20"/>
              </w:rPr>
              <w:t xml:space="preserve">Pioneer-10</w:t>
            </w:r>
          </w:p>
        </w:tc>
        <w:tc>
          <w:tcPr>
            <w:tcW w:w="0" w:type="auto"/>
          </w:tcPr>
          <w:p>
            <w:pPr>
              <w:spacing w:line="240" w:lineRule="auto" w:before="0" w:after="0"/>
              <w:pStyle w:val="Compact"/>
            </w:pPr>
            <w:r>
              <w:rPr>
                <w:sz w:val="20"/>
                <w:szCs w:val="20"/>
              </w:rPr>
              <w:t xml:space="preserve">Pioneer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190</w:t>
            </w:r>
          </w:p>
        </w:tc>
        <w:tc>
          <w:tcPr>
            <w:tcW w:w="0" w:type="auto"/>
          </w:tcPr>
          <w:p>
            <w:pPr>
              <w:spacing w:line="240" w:lineRule="auto" w:before="0" w:after="0"/>
              <w:pStyle w:val="Compact"/>
            </w:pPr>
            <w:r>
              <w:rPr>
                <w:sz w:val="20"/>
                <w:szCs w:val="20"/>
              </w:rPr>
              <w:t xml:space="preserve">259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5.247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5.5568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Pioneer 10 Wikipedia (TRW combined $380M contract for both vehicles; per-unit = $380M/2 = $190M); mass 259 kg, NSSDCA Pioneer 10 1972-012A</w:t>
            </w:r>
          </w:p>
        </w:tc>
      </w:tr>
      <w:tr>
        <w:tc>
          <w:tcPr>
            <w:tcW w:w="0" w:type="auto"/>
          </w:tcPr>
          <w:p>
            <w:pPr>
              <w:spacing w:line="240" w:lineRule="auto" w:before="0" w:after="0"/>
              <w:pStyle w:val="Compact"/>
            </w:pPr>
            <w:r>
              <w:rPr>
                <w:sz w:val="20"/>
                <w:szCs w:val="20"/>
              </w:rPr>
              <w:t xml:space="preserve">Pioneer-11</w:t>
            </w:r>
          </w:p>
        </w:tc>
        <w:tc>
          <w:tcPr>
            <w:tcW w:w="0" w:type="auto"/>
          </w:tcPr>
          <w:p>
            <w:pPr>
              <w:spacing w:line="240" w:lineRule="auto" w:before="0" w:after="0"/>
              <w:pStyle w:val="Compact"/>
            </w:pPr>
            <w:r>
              <w:rPr>
                <w:sz w:val="20"/>
                <w:szCs w:val="20"/>
              </w:rPr>
              <w:t xml:space="preserve">Pioneer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190</w:t>
            </w:r>
          </w:p>
        </w:tc>
        <w:tc>
          <w:tcPr>
            <w:tcW w:w="0" w:type="auto"/>
          </w:tcPr>
          <w:p>
            <w:pPr>
              <w:spacing w:line="240" w:lineRule="auto" w:before="0" w:after="0"/>
              <w:pStyle w:val="Compact"/>
            </w:pPr>
            <w:r>
              <w:rPr>
                <w:sz w:val="20"/>
                <w:szCs w:val="20"/>
              </w:rPr>
              <w:t xml:space="preserve">259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5.247</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5.5568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Pioneer 11 Wikipedia ($380M/2 = $190M per vehicle); identical recurring twin; mass 259 kg, NSSDCA Pioneer 10 1972-012A</w:t>
            </w:r>
          </w:p>
        </w:tc>
      </w:tr>
      <w:tr>
        <w:tc>
          <w:tcPr>
            <w:tcW w:w="0" w:type="auto"/>
          </w:tcPr>
          <w:p>
            <w:pPr>
              <w:spacing w:line="240" w:lineRule="auto" w:before="0" w:after="0"/>
              <w:pStyle w:val="Compact"/>
            </w:pPr>
            <w:r>
              <w:rPr>
                <w:sz w:val="20"/>
                <w:szCs w:val="20"/>
              </w:rPr>
              <w:t xml:space="preserve">Mariner-6</w:t>
            </w:r>
          </w:p>
        </w:tc>
        <w:tc>
          <w:tcPr>
            <w:tcW w:w="0" w:type="auto"/>
          </w:tcPr>
          <w:p>
            <w:pPr>
              <w:spacing w:line="240" w:lineRule="auto" w:before="0" w:after="0"/>
              <w:pStyle w:val="Compact"/>
            </w:pPr>
            <w:r>
              <w:rPr>
                <w:sz w:val="20"/>
                <w:szCs w:val="20"/>
              </w:rPr>
              <w:t xml:space="preserve">Mariner67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412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4.3041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Mariner 6 and 7 Wikipedia (two-spacecraft mission $148M; per-unit = $148M/2 = $74M); gross mass 412 kg each, Gunter’s Space Page space.skyrocket.de/doc_sdat/mariner-6.htm</w:t>
            </w:r>
          </w:p>
        </w:tc>
      </w:tr>
      <w:tr>
        <w:tc>
          <w:tcPr>
            <w:tcW w:w="0" w:type="auto"/>
          </w:tcPr>
          <w:p>
            <w:pPr>
              <w:spacing w:line="240" w:lineRule="auto" w:before="0" w:after="0"/>
              <w:pStyle w:val="Compact"/>
            </w:pPr>
            <w:r>
              <w:rPr>
                <w:sz w:val="20"/>
                <w:szCs w:val="20"/>
              </w:rPr>
              <w:t xml:space="preserve">Mariner-7</w:t>
            </w:r>
          </w:p>
        </w:tc>
        <w:tc>
          <w:tcPr>
            <w:tcW w:w="0" w:type="auto"/>
          </w:tcPr>
          <w:p>
            <w:pPr>
              <w:spacing w:line="240" w:lineRule="auto" w:before="0" w:after="0"/>
              <w:pStyle w:val="Compact"/>
            </w:pPr>
            <w:r>
              <w:rPr>
                <w:sz w:val="20"/>
                <w:szCs w:val="20"/>
              </w:rPr>
              <w:t xml:space="preserve">Mariner67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412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4.3041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6.021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Mariner 6 and 7 Wikipedia ($148M/2 = $74M per spacecraft); identical recurring twin; gross mass 412 kg, Gunter’s Space Page space.skyrocket.de/doc_sdat/mariner-6.htm</w:t>
            </w:r>
          </w:p>
        </w:tc>
      </w:tr>
      <w:tr>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1922</w:t>
            </w:r>
          </w:p>
        </w:tc>
        <w:tc>
          <w:tcPr>
            <w:tcW w:w="0" w:type="auto"/>
          </w:tcPr>
          <w:p>
            <w:pPr>
              <w:spacing w:line="240" w:lineRule="auto" w:before="0" w:after="0"/>
              <w:pStyle w:val="Compact"/>
            </w:pPr>
            <w:r>
              <w:rPr>
                <w:sz w:val="20"/>
                <w:szCs w:val="20"/>
              </w:rPr>
              <w:t xml:space="preserve">5192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7.5611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8.5549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GOES-R series program $7.69B for four satellites = $1.922B per satellite (SpaceNews Cost of GOES-R; Wikipedia GOES-16); first article of series; launch mass 5192 kg, eoPortal GOES-R / NESDIS</w:t>
            </w:r>
          </w:p>
        </w:tc>
      </w:tr>
      <w:tr>
        <w:tc>
          <w:tcPr>
            <w:tcW w:w="0" w:type="auto"/>
          </w:tcPr>
          <w:p>
            <w:pPr>
              <w:spacing w:line="240" w:lineRule="auto" w:before="0" w:after="0"/>
              <w:pStyle w:val="Compact"/>
            </w:pPr>
            <w:r>
              <w:rPr>
                <w:sz w:val="20"/>
                <w:szCs w:val="20"/>
              </w:rPr>
              <w:t xml:space="preserve">GOES-S</w:t>
            </w:r>
          </w:p>
        </w:tc>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1922</w:t>
            </w:r>
          </w:p>
        </w:tc>
        <w:tc>
          <w:tcPr>
            <w:tcW w:w="0" w:type="auto"/>
          </w:tcPr>
          <w:p>
            <w:pPr>
              <w:spacing w:line="240" w:lineRule="auto" w:before="0" w:after="0"/>
              <w:pStyle w:val="Compact"/>
            </w:pPr>
            <w:r>
              <w:rPr>
                <w:sz w:val="20"/>
                <w:szCs w:val="20"/>
              </w:rPr>
              <w:t xml:space="preserve">5192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7.5611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8.5549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GOES-R series $7.69B/4 = $1.922B per satellite (SpaceNews; Wikipedia GOES-16); recurring build, ABI/imager copy; launch mass 5192 kg, eoPortal GOES-R / NESDIS</w:t>
            </w:r>
          </w:p>
        </w:tc>
      </w:tr>
      <w:tr>
        <w:tc>
          <w:tcPr>
            <w:tcW w:w="0" w:type="auto"/>
          </w:tcPr>
          <w:p>
            <w:pPr>
              <w:spacing w:line="240" w:lineRule="auto" w:before="0" w:after="0"/>
              <w:pStyle w:val="Compact"/>
            </w:pPr>
            <w:r>
              <w:rPr>
                <w:sz w:val="20"/>
                <w:szCs w:val="20"/>
              </w:rPr>
              <w:t xml:space="preserve">GOES-T</w:t>
            </w:r>
          </w:p>
        </w:tc>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1922</w:t>
            </w:r>
          </w:p>
        </w:tc>
        <w:tc>
          <w:tcPr>
            <w:tcW w:w="0" w:type="auto"/>
          </w:tcPr>
          <w:p>
            <w:pPr>
              <w:spacing w:line="240" w:lineRule="auto" w:before="0" w:after="0"/>
              <w:pStyle w:val="Compact"/>
            </w:pPr>
            <w:r>
              <w:rPr>
                <w:sz w:val="20"/>
                <w:szCs w:val="20"/>
              </w:rPr>
              <w:t xml:space="preserve">5192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7.5611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8.5549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GOES-R series $7.69B/4 = $1.922B per satellite (SpaceNews; Wikipedia GOES-16); recurring build; launch mass 5192 kg, eoPortal GOES-R / NESDIS</w:t>
            </w:r>
          </w:p>
        </w:tc>
      </w:tr>
      <w:tr>
        <w:tc>
          <w:tcPr>
            <w:tcW w:w="0" w:type="auto"/>
          </w:tcPr>
          <w:p>
            <w:pPr>
              <w:spacing w:line="240" w:lineRule="auto" w:before="0" w:after="0"/>
              <w:pStyle w:val="Compact"/>
            </w:pPr>
            <w:r>
              <w:rPr>
                <w:sz w:val="20"/>
                <w:szCs w:val="20"/>
              </w:rPr>
              <w:t xml:space="preserve">GOES-U</w:t>
            </w:r>
          </w:p>
        </w:tc>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1922</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7.5611</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8.5172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GOES-R series $7.69B/4 = $1.922B per satellite (SpaceNews; Wikipedia GOES-16); recurring build; launch mass 5000 kg (Falcon Heavy, less propellant), eoPortal GOES-R / NESDIS</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Natural log of per-unit recurring cost in then-year USD millions; for families built as identical twins or series the per-unit cost is the documented program cost divided by the number of units delivered</w:t>
            </w:r>
          </w:p>
        </w:tc>
        <w:tc>
          <w:tcPr>
            <w:tcW w:w="0" w:type="auto"/>
          </w:tcPr>
          <w:p>
            <w:pPr>
              <w:spacing w:line="240" w:lineRule="auto" w:before="0" w:after="0"/>
              <w:pStyle w:val="Compact"/>
            </w:pPr>
            <w:r>
              <w:rPr>
                <w:sz w:val="20"/>
                <w:szCs w:val="20"/>
              </w:rPr>
              <w:t xml:space="preserve">Derived from cost_musd; cost_musd from mission press kits, The Planetary Society cost analyses, SpaceNews, and mission Wikipedia/Gunter’s/NSSDCA records (per-row source column)</w:t>
            </w:r>
          </w:p>
        </w:tc>
      </w:tr>
      <w:tr>
        <w:tc>
          <w:tcPr>
            <w:tcW w:w="0" w:type="auto"/>
          </w:tcPr>
          <w:p>
            <w:pPr>
              <w:spacing w:line="240" w:lineRule="auto" w:before="0" w:after="0"/>
              <w:pStyle w:val="Compact"/>
            </w:pPr>
            <w:r>
              <w:rPr>
                <w:sz w:val="20"/>
                <w:szCs w:val="20"/>
              </w:rPr>
              <w:t xml:space="preserve">ln_cum_unit</w:t>
            </w:r>
          </w:p>
        </w:tc>
        <w:tc>
          <w:tcPr>
            <w:tcW w:w="0" w:type="auto"/>
          </w:tcPr>
          <w:p>
            <w:pPr>
              <w:spacing w:line="240" w:lineRule="auto" w:before="0" w:after="0"/>
              <w:pStyle w:val="Compact"/>
            </w:pPr>
            <w:r>
              <w:rPr>
                <w:sz w:val="20"/>
                <w:szCs w:val="20"/>
              </w:rPr>
              <w:t xml:space="preserve">Natural log of the cumulative unit number of the article within its design-heritage family (1 for the first article, 2 for the second, and so on along the build line)</w:t>
            </w:r>
          </w:p>
        </w:tc>
        <w:tc>
          <w:tcPr>
            <w:tcW w:w="0" w:type="auto"/>
          </w:tcPr>
          <w:p>
            <w:pPr>
              <w:spacing w:line="240" w:lineRule="auto" w:before="0" w:after="0"/>
              <w:pStyle w:val="Compact"/>
            </w:pPr>
            <w:r>
              <w:rPr>
                <w:sz w:val="20"/>
                <w:szCs w:val="20"/>
              </w:rPr>
              <w:t xml:space="preserve">Derived from cum_unit; build sequence from NSSDCA, Gunter’s Space Page, and mission documentation</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Natural log of article dry or gross mass in kilograms, the dominant cross-sectional cost driver in the parametric tradition</w:t>
            </w:r>
          </w:p>
        </w:tc>
        <w:tc>
          <w:tcPr>
            <w:tcW w:w="0" w:type="auto"/>
          </w:tcPr>
          <w:p>
            <w:pPr>
              <w:spacing w:line="240" w:lineRule="auto" w:before="0" w:after="0"/>
              <w:pStyle w:val="Compact"/>
            </w:pPr>
            <w:r>
              <w:rPr>
                <w:sz w:val="20"/>
                <w:szCs w:val="20"/>
              </w:rPr>
              <w:t xml:space="preserve">Derived from dry_mass_kg; masses from NSSDCA master catalog, eoPortal, Gunter’s Space Page, and mission press kits</w:t>
            </w:r>
          </w:p>
        </w:tc>
      </w:tr>
      <w:tr>
        <w:tc>
          <w:tcPr>
            <w:tcW w:w="0" w:type="auto"/>
          </w:tcPr>
          <w:p>
            <w:pPr>
              <w:spacing w:line="240" w:lineRule="auto" w:before="0" w:after="0"/>
              <w:pStyle w:val="Compact"/>
            </w:pPr>
            <w:r>
              <w:rPr>
                <w:sz w:val="20"/>
                <w:szCs w:val="20"/>
              </w:rPr>
              <w:t xml:space="preserve">recurring</w:t>
            </w:r>
          </w:p>
        </w:tc>
        <w:tc>
          <w:tcPr>
            <w:tcW w:w="0" w:type="auto"/>
          </w:tcPr>
          <w:p>
            <w:pPr>
              <w:spacing w:line="240" w:lineRule="auto" w:before="0" w:after="0"/>
              <w:pStyle w:val="Compact"/>
            </w:pPr>
            <w:r>
              <w:rPr>
                <w:sz w:val="20"/>
                <w:szCs w:val="20"/>
              </w:rPr>
              <w:t xml:space="preserve">Indicator equal to 1 if the article is a recurring build off an existing design within its family (second twin, later series unit, or heritage follow-on) and 0 for the first-of-family article</w:t>
            </w:r>
          </w:p>
        </w:tc>
        <w:tc>
          <w:tcPr>
            <w:tcW w:w="0" w:type="auto"/>
          </w:tcPr>
          <w:p>
            <w:pPr>
              <w:spacing w:line="240" w:lineRule="auto" w:before="0" w:after="0"/>
              <w:pStyle w:val="Compact"/>
            </w:pPr>
            <w:r>
              <w:rPr>
                <w:sz w:val="20"/>
                <w:szCs w:val="20"/>
              </w:rPr>
              <w:t xml:space="preserve">Coded from build sequence and heritage documentation in the per-row source</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0.4025</w:t>
            </w:r>
          </w:p>
        </w:tc>
        <w:tc>
          <w:tcPr>
            <w:tcW w:w="0" w:type="auto"/>
          </w:tcPr>
          <w:p>
            <w:pPr>
              <w:spacing w:line="240" w:lineRule="auto" w:before="0" w:after="0"/>
              <w:pStyle w:val="Compact"/>
            </w:pPr>
            <w:r>
              <w:rPr>
                <w:sz w:val="20"/>
                <w:szCs w:val="20"/>
              </w:rPr>
              <w:t xml:space="preserve">1.064</w:t>
            </w:r>
          </w:p>
        </w:tc>
        <w:tc>
          <w:tcPr>
            <w:tcW w:w="0" w:type="auto"/>
          </w:tcPr>
          <w:p>
            <w:pPr>
              <w:spacing w:line="240" w:lineRule="auto" w:before="0" w:after="0"/>
              <w:pStyle w:val="Compact"/>
            </w:pPr>
            <w:r>
              <w:rPr>
                <w:sz w:val="20"/>
                <w:szCs w:val="20"/>
              </w:rPr>
              <w:t xml:space="preserve">0.3783</w:t>
            </w:r>
          </w:p>
        </w:tc>
        <w:tc>
          <w:tcPr>
            <w:tcW w:w="0" w:type="auto"/>
          </w:tcPr>
          <w:p>
            <w:pPr>
              <w:spacing w:line="240" w:lineRule="auto" w:before="0" w:after="0"/>
              <w:pStyle w:val="Compact"/>
            </w:pPr>
            <w:r>
              <w:rPr>
                <w:sz w:val="20"/>
                <w:szCs w:val="20"/>
              </w:rPr>
              <w:t xml:space="preserve">0.7052</w:t>
            </w:r>
          </w:p>
        </w:tc>
        <w:tc>
          <w:tcPr>
            <w:tcW w:w="0" w:type="auto"/>
          </w:tcPr>
          <w:p>
            <w:pPr>
              <w:spacing w:line="240" w:lineRule="auto" w:before="0" w:after="0"/>
              <w:pStyle w:val="Compact"/>
            </w:pPr>
            <w:r>
              <w:rPr>
                <w:sz w:val="20"/>
                <w:szCs w:val="20"/>
              </w:rPr>
              <w:t xml:space="preserve">[-1.6829, 2.4879]</w:t>
            </w:r>
          </w:p>
        </w:tc>
      </w:tr>
      <w:tr>
        <w:tc>
          <w:tcPr>
            <w:tcW w:w="0" w:type="auto"/>
          </w:tcPr>
          <w:p>
            <w:pPr>
              <w:spacing w:line="240" w:lineRule="auto" w:before="0" w:after="0"/>
              <w:pStyle w:val="Compact"/>
            </w:pPr>
            <w:r>
              <w:rPr>
                <w:sz w:val="20"/>
                <w:szCs w:val="20"/>
              </w:rPr>
              <w:t xml:space="preserve">ln_cum_unit</w:t>
            </w:r>
          </w:p>
        </w:tc>
        <w:tc>
          <w:tcPr>
            <w:tcW w:w="0" w:type="auto"/>
          </w:tcPr>
          <w:p>
            <w:pPr>
              <w:spacing w:line="240" w:lineRule="auto" w:before="0" w:after="0"/>
              <w:pStyle w:val="Compact"/>
            </w:pPr>
            <w:r>
              <w:rPr>
                <w:sz w:val="20"/>
                <w:szCs w:val="20"/>
              </w:rPr>
              <w:t xml:space="preserve">0.0313</w:t>
            </w:r>
          </w:p>
        </w:tc>
        <w:tc>
          <w:tcPr>
            <w:tcW w:w="0" w:type="auto"/>
          </w:tcPr>
          <w:p>
            <w:pPr>
              <w:spacing w:line="240" w:lineRule="auto" w:before="0" w:after="0"/>
              <w:pStyle w:val="Compact"/>
            </w:pPr>
            <w:r>
              <w:rPr>
                <w:sz w:val="20"/>
                <w:szCs w:val="20"/>
              </w:rPr>
              <w:t xml:space="preserve">0.4236</w:t>
            </w:r>
          </w:p>
        </w:tc>
        <w:tc>
          <w:tcPr>
            <w:tcW w:w="0" w:type="auto"/>
          </w:tcPr>
          <w:p>
            <w:pPr>
              <w:spacing w:line="240" w:lineRule="auto" w:before="0" w:after="0"/>
              <w:pStyle w:val="Compact"/>
            </w:pPr>
            <w:r>
              <w:rPr>
                <w:sz w:val="20"/>
                <w:szCs w:val="20"/>
              </w:rPr>
              <w:t xml:space="preserve">0.0738</w:t>
            </w:r>
          </w:p>
        </w:tc>
        <w:tc>
          <w:tcPr>
            <w:tcW w:w="0" w:type="auto"/>
          </w:tcPr>
          <w:p>
            <w:pPr>
              <w:spacing w:line="240" w:lineRule="auto" w:before="0" w:after="0"/>
              <w:pStyle w:val="Compact"/>
            </w:pPr>
            <w:r>
              <w:rPr>
                <w:sz w:val="20"/>
                <w:szCs w:val="20"/>
              </w:rPr>
              <w:t xml:space="preserve">0.9412</w:t>
            </w:r>
          </w:p>
        </w:tc>
        <w:tc>
          <w:tcPr>
            <w:tcW w:w="0" w:type="auto"/>
          </w:tcPr>
          <w:p>
            <w:pPr>
              <w:spacing w:line="240" w:lineRule="auto" w:before="0" w:after="0"/>
              <w:pStyle w:val="Compact"/>
            </w:pPr>
            <w:r>
              <w:rPr>
                <w:sz w:val="20"/>
                <w:szCs w:val="20"/>
              </w:rPr>
              <w:t xml:space="preserve">[-0.7989, 0.8614]</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0.8118</w:t>
            </w:r>
          </w:p>
        </w:tc>
        <w:tc>
          <w:tcPr>
            <w:tcW w:w="0" w:type="auto"/>
          </w:tcPr>
          <w:p>
            <w:pPr>
              <w:spacing w:line="240" w:lineRule="auto" w:before="0" w:after="0"/>
              <w:pStyle w:val="Compact"/>
            </w:pPr>
            <w:r>
              <w:rPr>
                <w:sz w:val="20"/>
                <w:szCs w:val="20"/>
              </w:rPr>
              <w:t xml:space="preserve">0.1427</w:t>
            </w:r>
          </w:p>
        </w:tc>
        <w:tc>
          <w:tcPr>
            <w:tcW w:w="0" w:type="auto"/>
          </w:tcPr>
          <w:p>
            <w:pPr>
              <w:spacing w:line="240" w:lineRule="auto" w:before="0" w:after="0"/>
              <w:pStyle w:val="Compact"/>
            </w:pPr>
            <w:r>
              <w:rPr>
                <w:sz w:val="20"/>
                <w:szCs w:val="20"/>
              </w:rPr>
              <w:t xml:space="preserve">5.6904</w:t>
            </w:r>
          </w:p>
        </w:tc>
        <w:tc>
          <w:tcPr>
            <w:tcW w:w="0" w:type="auto"/>
          </w:tcPr>
          <w:p>
            <w:pPr>
              <w:spacing w:line="240" w:lineRule="auto" w:before="0" w:after="0"/>
              <w:pStyle w:val="Compact"/>
            </w:pPr>
            <w:r>
              <w:rPr>
                <w:sz w:val="20"/>
                <w:szCs w:val="20"/>
              </w:rPr>
              <w:t xml:space="preserve">1.268e-08</w:t>
            </w:r>
          </w:p>
        </w:tc>
        <w:tc>
          <w:tcPr>
            <w:tcW w:w="0" w:type="auto"/>
          </w:tcPr>
          <w:p>
            <w:pPr>
              <w:spacing w:line="240" w:lineRule="auto" w:before="0" w:after="0"/>
              <w:pStyle w:val="Compact"/>
            </w:pPr>
            <w:r>
              <w:rPr>
                <w:sz w:val="20"/>
                <w:szCs w:val="20"/>
              </w:rPr>
              <w:t xml:space="preserve">[0.5322, 1.0914]</w:t>
            </w:r>
          </w:p>
        </w:tc>
      </w:tr>
      <w:tr>
        <w:tc>
          <w:tcPr>
            <w:tcW w:w="0" w:type="auto"/>
          </w:tcPr>
          <w:p>
            <w:pPr>
              <w:spacing w:line="240" w:lineRule="auto" w:before="0" w:after="0"/>
              <w:pStyle w:val="Compact"/>
            </w:pPr>
            <w:r>
              <w:rPr>
                <w:sz w:val="20"/>
                <w:szCs w:val="20"/>
              </w:rPr>
              <w:t xml:space="preserve">recurring</w:t>
            </w:r>
          </w:p>
        </w:tc>
        <w:tc>
          <w:tcPr>
            <w:tcW w:w="0" w:type="auto"/>
          </w:tcPr>
          <w:p>
            <w:pPr>
              <w:spacing w:line="240" w:lineRule="auto" w:before="0" w:after="0"/>
              <w:pStyle w:val="Compact"/>
            </w:pPr>
            <w:r>
              <w:rPr>
                <w:sz w:val="20"/>
                <w:szCs w:val="20"/>
              </w:rPr>
              <w:t xml:space="preserve">-0.022</w:t>
            </w:r>
          </w:p>
        </w:tc>
        <w:tc>
          <w:tcPr>
            <w:tcW w:w="0" w:type="auto"/>
          </w:tcPr>
          <w:p>
            <w:pPr>
              <w:spacing w:line="240" w:lineRule="auto" w:before="0" w:after="0"/>
              <w:pStyle w:val="Compact"/>
            </w:pPr>
            <w:r>
              <w:rPr>
                <w:sz w:val="20"/>
                <w:szCs w:val="20"/>
              </w:rPr>
              <w:t xml:space="preserve">0.6007</w:t>
            </w:r>
          </w:p>
        </w:tc>
        <w:tc>
          <w:tcPr>
            <w:tcW w:w="0" w:type="auto"/>
          </w:tcPr>
          <w:p>
            <w:pPr>
              <w:spacing w:line="240" w:lineRule="auto" w:before="0" w:after="0"/>
              <w:pStyle w:val="Compact"/>
            </w:pPr>
            <w:r>
              <w:rPr>
                <w:sz w:val="20"/>
                <w:szCs w:val="20"/>
              </w:rPr>
              <w:t xml:space="preserve">-0.0366</w:t>
            </w:r>
          </w:p>
        </w:tc>
        <w:tc>
          <w:tcPr>
            <w:tcW w:w="0" w:type="auto"/>
          </w:tcPr>
          <w:p>
            <w:pPr>
              <w:spacing w:line="240" w:lineRule="auto" w:before="0" w:after="0"/>
              <w:pStyle w:val="Compact"/>
            </w:pPr>
            <w:r>
              <w:rPr>
                <w:sz w:val="20"/>
                <w:szCs w:val="20"/>
              </w:rPr>
              <w:t xml:space="preserve">0.9708</w:t>
            </w:r>
          </w:p>
        </w:tc>
        <w:tc>
          <w:tcPr>
            <w:tcW w:w="0" w:type="auto"/>
          </w:tcPr>
          <w:p>
            <w:pPr>
              <w:spacing w:line="240" w:lineRule="auto" w:before="0" w:after="0"/>
              <w:pStyle w:val="Compact"/>
            </w:pPr>
            <w:r>
              <w:rPr>
                <w:sz w:val="20"/>
                <w:szCs w:val="20"/>
              </w:rPr>
              <w:t xml:space="preserve">[-1.1994, 1.1554]</w:t>
            </w:r>
          </w:p>
        </w:tc>
      </w:tr>
    </w:tbl>
    <w:p>
      <w:pPr>
        <w:pStyle w:val="BodyText"/>
      </w:pPr>
      <w:r>
        <w:t xml:space="preserve">Fit: N = 24 R2 = 0.5999 R2_adj = 0.5399 F = 10.9715 F_p = 0.0001783</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 Type="http://schemas.openxmlformats.org/officeDocument/2006/relationships/hyperlink" Id="rId68" Target="https://doi.org/10.1016/j.actaastro.2019.09.030" TargetMode="External" /><Relationship Type="http://schemas.openxmlformats.org/officeDocument/2006/relationships/hyperlink" Id="rId73" Target="https://doi.org/10.1016/j.actaastro.2025.11.006"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19.09.030" TargetMode="External" /><Relationship Type="http://schemas.openxmlformats.org/officeDocument/2006/relationships/hyperlink" Id="rId73" Target="https://doi.org/10.1016/j.actaastro.2025.11.00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2026-06-22T20:31:59Z</dcterms:created>
  <dcterms:modified xsi:type="dcterms:W3CDTF">2026-06-22T20:31:59Z</dcterms:modified>
</cp:coreProperties>
</file>

<file path=docProps/custom.xml><?xml version="1.0" encoding="utf-8"?>
<Properties xmlns="http://schemas.openxmlformats.org/officeDocument/2006/custom-properties" xmlns:vt="http://schemas.openxmlformats.org/officeDocument/2006/docPropsVTypes"/>
</file>