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68ddc421dced83eea0fc3349afa3dfa2f507e3f"/>
    <w:p>
      <w:pPr>
        <w:pStyle w:val="Heading1"/>
      </w:pPr>
      <w:r>
        <w:t xml:space="preserve">Learning Curves in Planetary Instrument Production: A Cost-Reduction Elasticity</w:t>
      </w:r>
    </w:p>
    <w:bookmarkStart w:id="61" w:name="introduction"/>
    <w:p>
      <w:pPr>
        <w:pStyle w:val="Heading2"/>
      </w:pPr>
      <w:r>
        <w:t xml:space="preserve">1. Introduction</w:t>
      </w:r>
    </w:p>
    <w:p>
      <w:pPr>
        <w:pStyle w:val="FirstParagraph"/>
      </w:pPr>
      <w:r>
        <w:t xml:space="preserve">The recurring cost of a planetary science instrument shapes mission affordability, descope decisions, and the number of instruments a science payload can carry. Standard practice estimates that cost from the physical and programmatic attributes of the article, treating each instrument as substantially unique. This paper asks whether that bespoke-article view is complete. It tests, on a publicly reconstructable panel of flight units, whether recurring planetary instrument cost falls as a family accumulates production units, and it reports the magnitude of any such effect as a single cost-reduction elasticity.</w:t>
      </w:r>
    </w:p>
    <w:p>
      <w:pPr>
        <w:pStyle w:val="BodyText"/>
      </w:pPr>
      <w:r>
        <w:t xml:space="preserve">The motivation is a disjuncture in how adjacent communities treat production experience. Parametric spacecraft cost models are sometimes built precisely because they cannot rest on prior production experience, the article in question being a first-of-a-kind system without a production lineage</w:t>
      </w:r>
      <w:r>
        <w:t xml:space="preserve"> </w:t>
      </w:r>
      <w:hyperlink w:anchor="ref-1">
        <m:oMathPara>
          <m:oMathParaPr>
            <m:jc m:val="center"/>
          </m:oMathParaPr>
          <m:oMath>
            <m:r>
              <m:t>1</m:t>
            </m:r>
          </m:oMath>
        </m:oMathPara>
      </w:hyperlink>
      <w:r>
        <w:t xml:space="preserve">. That posture is reasonable for a singular article and becomes a problem only when it hardens into a default assumption that planetary instruments never accrue experience worth modeling. Against that default, operational and architecture analyses apply an explicit satellite learning curve to reduce per-unit cost as fielded units grow</w:t>
      </w:r>
      <w:r>
        <w:t xml:space="preserve"> </w:t>
      </w:r>
      <w:hyperlink w:anchor="ref-2">
        <m:oMathPara>
          <m:oMathParaPr>
            <m:jc m:val="center"/>
          </m:oMathParaPr>
          <m:oMath>
            <m:r>
              <m:t>2</m:t>
            </m:r>
          </m:oMath>
        </m:oMathPara>
      </w:hyperlink>
      <w:r>
        <w:t xml:space="preserve">, and sector forecasts attribute falling space-system costs to maturing manufacturing practice [3, 4]. The disruption literature in Earth observation frames manufacturer cost reduction as a competitive lever while noting that some technical drivers, such as mirror mass, resist learning entirely</w:t>
      </w:r>
      <w:r>
        <w:t xml:space="preserve"> </w:t>
      </w:r>
      <w:hyperlink w:anchor="ref-5">
        <m:oMathPara>
          <m:oMathParaPr>
            <m:jc m:val="center"/>
          </m:oMathParaPr>
          <m:oMath>
            <m:r>
              <m:t>5</m:t>
            </m:r>
          </m:oMath>
        </m:oMathPara>
      </w:hyperlink>
      <w:r>
        <w:t xml:space="preserve">. The planetary instrument community thus estimates cost as if learning does not occur, while neighboring sectors treat learning as central. The single falsifiable contribution here is an estimate of the production-experience elasticity of recurring planetary instrument cost, tested against a null of zero.</w:t>
      </w:r>
    </w:p>
    <w:bookmarkEnd w:id="61"/>
    <w:bookmarkStart w:id="62" w:name="theory-and-hypotheses"/>
    <w:p>
      <w:pPr>
        <w:pStyle w:val="Heading2"/>
      </w:pPr>
      <w:r>
        <w:t xml:space="preserve">2. Theory and Hypotheses</w:t>
      </w:r>
    </w:p>
    <w:p>
      <w:pPr>
        <w:pStyle w:val="FirstParagraph"/>
      </w:pPr>
      <w:r>
        <w:t xml:space="preserve">The Wright learning curve holds that unit cost declines by a constant fraction with each doubling of cumulative output, so that log unit cost is linear in log cumulative units. In that specification the slope is an elasticity, denoted b, and the implied learning rate is L = 2^b: the factor by which unit cost is multiplied when cumulative production doubles. A slope of zero means no learning; a negative slope means cost falls with experience.</w:t>
      </w:r>
    </w:p>
    <w:p>
      <w:pPr>
        <w:pStyle w:val="BodyText"/>
      </w:pPr>
      <w:r>
        <w:t xml:space="preserve">Two mechanisms make a non-zero slope plausible for planetary instruments even at low production volumes. First, instrument families that share a design lineage reuse tooling, calibration procedures, and qualification heritage across successive flight units, the same heritage that the parametric tradition records as a cost driver</w:t>
      </w:r>
      <w:r>
        <w:t xml:space="preserve"> </w:t>
      </w:r>
      <w:hyperlink w:anchor="ref-1">
        <m:oMathPara>
          <m:oMathParaPr>
            <m:jc m:val="center"/>
          </m:oMathParaPr>
          <m:oMath>
            <m:r>
              <m:t>1</m:t>
            </m:r>
          </m:oMath>
        </m:oMathPara>
      </w:hyperlink>
      <w:r>
        <w:t xml:space="preserve">. Second, the operational literature already presumes such reuse when it imports a satellite learning slope to justify per-unit reductions in proliferated architectures</w:t>
      </w:r>
      <w:r>
        <w:t xml:space="preserve"> </w:t>
      </w:r>
      <w:hyperlink w:anchor="ref-2">
        <m:oMathPara>
          <m:oMathParaPr>
            <m:jc m:val="center"/>
          </m:oMathParaPr>
          <m:oMath>
            <m:r>
              <m:t>2</m:t>
            </m:r>
          </m:oMath>
        </m:oMathPara>
      </w:hyperlink>
      <w:r>
        <w:t xml:space="preserve">. Working against a non-zero slope are short production runs, partial heritage transfer when later units add capability, and irreducible technical floors of the kind the Earth-observation literature identifies for mirror mass</w:t>
      </w:r>
      <w:r>
        <w:t xml:space="preserve"> </w:t>
      </w:r>
      <w:hyperlink w:anchor="ref-5">
        <m:oMathPara>
          <m:oMathParaPr>
            <m:jc m:val="center"/>
          </m:oMathParaPr>
          <m:oMath>
            <m:r>
              <m:t>5</m:t>
            </m:r>
          </m:oMath>
        </m:oMathPara>
      </w:hyperlink>
      <w:r>
        <w:t xml:space="preserve">. The sector-level evidence that dollar-per-kg has fallen for some instrument classes but not others</w:t>
      </w:r>
      <w:r>
        <w:t xml:space="preserve"> </w:t>
      </w:r>
      <w:hyperlink w:anchor="ref-4">
        <m:oMathPara>
          <m:oMathParaPr>
            <m:jc m:val="center"/>
          </m:oMathParaPr>
          <m:oMath>
            <m:r>
              <m:t>4</m:t>
            </m:r>
          </m:oMath>
        </m:oMathPara>
      </w:hyperlink>
      <w:r>
        <w:t xml:space="preserve"> </w:t>
      </w:r>
      <w:r>
        <w:t xml:space="preserve">suggests the effect, if present, is moderate rather than dramatic.</w:t>
      </w:r>
    </w:p>
    <w:p>
      <w:pPr>
        <w:pStyle w:val="Compact"/>
        <w:numPr>
          <w:ilvl w:val="0"/>
          <w:numId w:val="1001"/>
        </w:numPr>
      </w:pPr>
      <w:r>
        <w:rPr>
          <w:b/>
          <w:bCs/>
        </w:rPr>
        <w:t xml:space="preserve">H0 (null):</w:t>
      </w:r>
      <w:r>
        <w:t xml:space="preserve"> </w:t>
      </w:r>
      <w:r>
        <w:t xml:space="preserve">b = 0. Recurring planetary instrument cost does not decline with cumulative units, vindicating the bespoke-article view</w:t>
      </w:r>
      <w:r>
        <w:t xml:space="preserve"> </w:t>
      </w:r>
      <w:hyperlink w:anchor="ref-1">
        <m:oMathPara>
          <m:oMathParaPr>
            <m:jc m:val="center"/>
          </m:oMathParaPr>
          <m:oMath>
            <m:r>
              <m:t>1</m:t>
            </m:r>
          </m:oMath>
        </m:oMathPara>
      </w:hyperlink>
      <w:r>
        <w:t xml:space="preserve"> </w:t>
      </w:r>
      <w:r>
        <w:t xml:space="preserve">and denying that the satellite learning curve</w:t>
      </w:r>
      <w:r>
        <w:t xml:space="preserve"> </w:t>
      </w:r>
      <w:hyperlink w:anchor="ref-2">
        <m:oMathPara>
          <m:oMathParaPr>
            <m:jc m:val="center"/>
          </m:oMathParaPr>
          <m:oMath>
            <m:r>
              <m:t>2</m:t>
            </m:r>
          </m:oMath>
        </m:oMathPara>
      </w:hyperlink>
      <w:r>
        <w:t xml:space="preserve"> </w:t>
      </w:r>
      <w:r>
        <w:t xml:space="preserve">transfers to planetary instruments.</w:t>
      </w:r>
    </w:p>
    <w:p>
      <w:pPr>
        <w:pStyle w:val="Compact"/>
        <w:numPr>
          <w:ilvl w:val="0"/>
          <w:numId w:val="1001"/>
        </w:numPr>
      </w:pPr>
      <w:r>
        <w:rPr>
          <w:b/>
          <w:bCs/>
        </w:rPr>
        <w:t xml:space="preserve">H1 (alternative):</w:t>
      </w:r>
      <w:r>
        <w:t xml:space="preserve"> </w:t>
      </w:r>
      <w:r>
        <w:t xml:space="preserve">b &lt; 0. Recurring cost declines measurably with cumulative units, yielding a learning rate L = 2^b &lt; 1 that is distinguishable from unity.</w:t>
      </w:r>
    </w:p>
    <w:bookmarkEnd w:id="62"/>
    <w:bookmarkStart w:id="63" w:name="data"/>
    <w:p>
      <w:pPr>
        <w:pStyle w:val="Heading2"/>
      </w:pPr>
      <w:r>
        <w:t xml:space="preserve">3. Data</w:t>
      </w:r>
    </w:p>
    <w:p>
      <w:pPr>
        <w:pStyle w:val="FirstParagraph"/>
      </w:pPr>
      <w:r>
        <w:t xml:space="preserve">The unit of analysis is a planetary instrument flight unit. The panel comprises twenty-six flight units drawn from five documented instrument families: the Alpha Particle X-ray Spectrometer line from Mars Pathfinder through the Mars Exploration Rovers, the Mars Science Laboratory, and Chandrayaan-2; the Malin Space Science Systems shared-electronics camera family from the Mars Color Imager and Mars Descent Imager through the Mast cameras and Mastcam-Z; the fluxgate magnetometer lineage from Voyager through Mars Global Surveyor, MESSENGER, STEREO, MAVEN, and Juno; the thermal imager and emission-spectrometer line from the Thermal Emission Spectrometer through THEMIS and the OSIRIS-REx Thermal Emission Spectrometer; and a Malin planetary-camera pair spanning JunoCam and the OSIRIS-REx camera build.</w:t>
      </w:r>
    </w:p>
    <w:p>
      <w:pPr>
        <w:pStyle w:val="BodyText"/>
      </w:pPr>
      <w:r>
        <w:t xml:space="preserve">Each row carries three quantities used in estimation. Cumulative units is the build number of the flight unit within its family, documented from NASA Space Science Data Coordinated Archive instrument records, Malin Space Science Systems project history, and the instrument-team publications cited per row. Flight-unit mass is documented from instrument-team papers and archive records where public; where a per-unit mass is not publicly itemized, a within-family interpolation is used and tagged explicitly. Recurring cost is normalized to FY2016 dollars and reconstructed transparently from the NASA Instrument Cost Model estimating relationships</w:t>
      </w:r>
      <w:r>
        <w:t xml:space="preserve"> </w:t>
      </w:r>
      <w:hyperlink w:anchor="ref-6">
        <m:oMathPara>
          <m:oMathParaPr>
            <m:jc m:val="center"/>
          </m:oMathParaPr>
          <m:oMath>
            <m:r>
              <m:t>6</m:t>
            </m:r>
          </m:oMath>
        </m:oMathPara>
      </w:hyperlink>
      <w:r>
        <w:t xml:space="preserve"> </w:t>
      </w:r>
      <w:r>
        <w:t xml:space="preserve">along the documented dollar-per-kg trend reported for instrument classes over thirty years of flight history</w:t>
      </w:r>
      <w:r>
        <w:t xml:space="preserve"> </w:t>
      </w:r>
      <w:hyperlink w:anchor="ref-7">
        <m:oMathPara>
          <m:oMathParaPr>
            <m:jc m:val="center"/>
          </m:oMathParaPr>
          <m:oMath>
            <m:r>
              <m:t>7</m:t>
            </m:r>
          </m:oMath>
        </m:oMathPara>
      </w:hyperlink>
      <w:r>
        <w:t xml:space="preserve">, with family anchors taken from public mission and contract records, including the documented shared-electronics camera contract for the Mars Science Laboratory. The reconstruction does not embed a learning slope; the cross-sectional cost model is applied to documented mass and the published class-level dollar-per-kg trend, so any experience effect that emerges is identified from real anchors and documented build order rather than imposed. Every row names its sources, and the full construction is reproduced in the embedded workbook so any figure on the page is traceable to its origin.</w:t>
      </w:r>
    </w:p>
    <w:bookmarkEnd w:id="63"/>
    <w:bookmarkStart w:id="64" w:name="method"/>
    <w:p>
      <w:pPr>
        <w:pStyle w:val="Heading2"/>
      </w:pPr>
      <w:r>
        <w:t xml:space="preserve">4. Method</w:t>
      </w:r>
    </w:p>
    <w:p>
      <w:pPr>
        <w:pStyle w:val="FirstParagraph"/>
      </w:pPr>
      <w:r>
        <w:t xml:space="preserve">The estimator is a log-log ordinary least squares regression of recurring unit cost on cumulative units, the canonical Wright specification, fitted with heteroskedasticity-robust (HC1) standard errors. The coefficient on log cumulative units is the production-experience elasticity b; the implied learning rate is L = 2^b. The specification is reported in Section Specification, and the full estimator output, with coefficients, robust standard errors, t-statistics, p-values, confidence intervals, and fit, appears in the embedded workbook. The test of interest is whether b is distinguishable from zero: H0 is rejected only if the slope is reliably negative. The pooled fit treats the panel as a single experience curve across families, which is the most conservative reading of the data because it does not let any one family’s heritage drive the slope.</w:t>
      </w:r>
    </w:p>
    <w:bookmarkEnd w:id="64"/>
    <w:bookmarkStart w:id="65" w:name="findings"/>
    <w:p>
      <w:pPr>
        <w:pStyle w:val="Heading2"/>
      </w:pPr>
      <w:r>
        <w:t xml:space="preserve">5. Findings</w:t>
      </w:r>
    </w:p>
    <w:p>
      <w:pPr>
        <w:pStyle w:val="FirstParagraph"/>
      </w:pPr>
      <w:r>
        <w:t xml:space="preserve">The fitted elasticity of recurring planetary instrument cost with respect to cumulative units is b = -0.218, with a robust standard error of 0.127, a t-statistic of about -1.7, and a p-value of 0.087. The 95 percent confidence interval runs from -0.468 to 0.032. The estimated constant is 1.606 (standard error 0.152, p below 0.001). The model is estimated on all twenty-six flight units and explains a modest share of the variation in log cost, with an R-squared of 0.130.</w:t>
      </w:r>
    </w:p>
    <w:p>
      <w:pPr>
        <w:pStyle w:val="BodyText"/>
      </w:pPr>
      <w:r>
        <w:t xml:space="preserve">The point estimate translates into a learning rate of L = 2^b = 0.860. Read literally, each doubling of cumulative units within an instrument family is associated with roughly a fourteen percent reduction in recurring unit cost. The sign is the one H1 predicts, and the magnitude is moderate, in the range the sector-level evidence would lead one to expect rather than the steep slopes seen in high-volume manufacturing [4, 7].</w:t>
      </w:r>
    </w:p>
    <w:p>
      <w:pPr>
        <w:pStyle w:val="BodyText"/>
      </w:pPr>
      <w:r>
        <w:t xml:space="preserve">The statistical verdict is deliberately cautious. The slope is negative and economically meaningful, but at the conventional five percent threshold it is not significant: the confidence interval includes zero, and the p-value of 0.087 clears only the ten percent level. On the strict test, the pooled cross-family estimate does not reject H0. What the data support is a directional finding consistent with a moderate learning effect, estimated rather than assumed, together with an honest confidence interval that a mission operations or acquisition planner can propagate rather than a single point figure presented with false precision. The result neither vindicates the bespoke-article default of</w:t>
      </w:r>
      <w:r>
        <w:t xml:space="preserve"> </w:t>
      </w:r>
      <w:hyperlink w:anchor="ref-1">
        <m:oMathPara>
          <m:oMathParaPr>
            <m:jc m:val="center"/>
          </m:oMathParaPr>
          <m:oMath>
            <m:r>
              <m:t>1</m:t>
            </m:r>
          </m:oMath>
        </m:oMathPara>
      </w:hyperlink>
      <w:r>
        <w:t xml:space="preserve"> </w:t>
      </w:r>
      <w:r>
        <w:t xml:space="preserve">outright nor confirms the imported satellite slope of</w:t>
      </w:r>
      <w:r>
        <w:t xml:space="preserve"> </w:t>
      </w:r>
      <w:hyperlink w:anchor="ref-2">
        <m:oMathPara>
          <m:oMathParaPr>
            <m:jc m:val="center"/>
          </m:oMathParaPr>
          <m:oMath>
            <m:r>
              <m:t>2</m:t>
            </m:r>
          </m:oMath>
        </m:oMathPara>
      </w:hyperlink>
      <w:r>
        <w:t xml:space="preserve">; it places the planetary instrument case between them, with a best estimate near a fourteen percent learning rate and uncertainty wide enough to demand more units before the slope can be pinned down.</w:t>
      </w:r>
    </w:p>
    <w:bookmarkEnd w:id="65"/>
    <w:bookmarkStart w:id="66" w:name="discussion"/>
    <w:p>
      <w:pPr>
        <w:pStyle w:val="Heading2"/>
      </w:pPr>
      <w:r>
        <w:t xml:space="preserve">6. Discussion</w:t>
      </w:r>
    </w:p>
    <w:p>
      <w:pPr>
        <w:pStyle w:val="FirstParagraph"/>
      </w:pPr>
      <w:r>
        <w:t xml:space="preserve">Three implications follow. First, the disclaiming posture of parametric first-of-a-kind cost estimation</w:t>
      </w:r>
      <w:r>
        <w:t xml:space="preserve"> </w:t>
      </w:r>
      <w:hyperlink w:anchor="ref-1">
        <m:oMathPara>
          <m:oMathParaPr>
            <m:jc m:val="center"/>
          </m:oMathParaPr>
          <m:oMath>
            <m:r>
              <m:t>1</m:t>
            </m:r>
          </m:oMath>
        </m:oMathPara>
      </w:hyperlink>
      <w:r>
        <w:t xml:space="preserve"> </w:t>
      </w:r>
      <w:r>
        <w:t xml:space="preserve">and the assuming posture of architecture optimization that imports a satellite learning curve</w:t>
      </w:r>
      <w:r>
        <w:t xml:space="preserve"> </w:t>
      </w:r>
      <w:hyperlink w:anchor="ref-2">
        <m:oMathPara>
          <m:oMathParaPr>
            <m:jc m:val="center"/>
          </m:oMathParaPr>
          <m:oMath>
            <m:r>
              <m:t>2</m:t>
            </m:r>
          </m:oMath>
        </m:oMathPara>
      </w:hyperlink>
      <w:r>
        <w:t xml:space="preserve"> </w:t>
      </w:r>
      <w:r>
        <w:t xml:space="preserve">can be reconciled on a common empirical footing: the pooled planetary instrument elasticity is negative but small and imprecise, which is consistent with learning that is real yet weaker and noisier than in the high-volume regimes where the imported slopes originate. Second, the moderate learning rate is plausible against the sector benchmark that dollar-per-kg has fallen for some instrument classes and not others [4, 7], and against the caution that some cost drivers are technical floors immune to experience</w:t>
      </w:r>
      <w:r>
        <w:t xml:space="preserve"> </w:t>
      </w:r>
      <w:hyperlink w:anchor="ref-5">
        <m:oMathPara>
          <m:oMathParaPr>
            <m:jc m:val="center"/>
          </m:oMathParaPr>
          <m:oMath>
            <m:r>
              <m:t>5</m:t>
            </m:r>
          </m:oMath>
        </m:oMathPara>
      </w:hyperlink>
      <w:r>
        <w:t xml:space="preserve">. Third, the width of the interval is itself the policy-relevant output: sequencing instrument builds to capture cost reductions is defensible in direction, but the expected saving per doubling should be carried with its uncertainty rather than booked as a certainty.</w:t>
      </w:r>
    </w:p>
    <w:p>
      <w:pPr>
        <w:pStyle w:val="FirstParagraph"/>
      </w:pPr>
      <w:r>
        <w:t xml:space="preserve">The limitations are inherent to the available record and are stated plainly. The cost variable is reconstructed from a published cost model and a documented class-level trend rather than drawn from itemized per-unit contractor cost, which is not public; the reconstruction is transparent and free of any embedded learning slope, but it is a reconstruction. Several per-unit masses are within-family interpolations where the archive does not itemize them. The pooled specification does not separate family-specific learning from cross-family heterogeneity, and later units in some families add capability, so part of the residual variation reflects specification change rather than pure experience. A larger panel with itemized cost, family fixed effects, and a capability-held-fixed subsample would tighten the estimate and is the natural next step. On the present evidence, the most defensible statement is that recurring planetary instrument cost shows a moderate, directionally negative production-experience elasticity, best estimated near a fourteen percent learning rate, that is not yet distinguishable from zero at conventional significance.</w:t>
      </w:r>
    </w:p>
    <w:bookmarkEnd w:id="66"/>
    <w:bookmarkStart w:id="76" w:name="references"/>
    <w:p>
      <w:pPr>
        <w:pStyle w:val="Heading2"/>
      </w:pPr>
      <w:r>
        <w:t xml:space="preserve">References</w:t>
      </w:r>
    </w:p>
    <w:p>
      <w:pPr>
        <w:pStyle w:val="FirstParagraph"/>
      </w:pPr>
      <w:bookmarkStart w:id="67" w:name="ref-1"/>
      <w:bookmarkEnd w:id="67"/>
      <w:r>
        <w:t xml:space="preserve">1. C. Fuglesang and M. Garcia de Herreros Miciano,</w:t>
      </w:r>
      <w:r>
        <w:t xml:space="preserve"> </w:t>
      </w:r>
      <w:r>
        <w:t xml:space="preserve">“Realistic sunshade system at L1 for global temperature control,”</w:t>
      </w:r>
      <w:r>
        <w:t xml:space="preserve"> </w:t>
      </w:r>
      <w:r>
        <w:t xml:space="preserve">Acta Astronautica, vol. 186, 2021. doi:</w:t>
      </w:r>
      <w:r>
        <w:t xml:space="preserve"> </w:t>
      </w:r>
      <w:hyperlink r:id="rId68">
        <w:r>
          <w:rPr>
            <w:rStyle w:val="Hyperlink"/>
          </w:rPr>
          <w:t xml:space="preserve">10.1016/j.actaastro.2021.04.035</w:t>
        </w:r>
      </w:hyperlink>
    </w:p>
    <w:p>
      <w:pPr>
        <w:pStyle w:val="BodyText"/>
      </w:pPr>
      <w:bookmarkStart w:id="69" w:name="ref-2"/>
      <w:bookmarkEnd w:id="69"/>
      <w:r>
        <w:t xml:space="preserve">2. M. Felten, J. Colombi, R. Cobb, and D. Meyer,</w:t>
      </w:r>
      <w:r>
        <w:t xml:space="preserve"> </w:t>
      </w:r>
      <w:r>
        <w:t xml:space="preserve">“Optimization of Geosynchronous Space Situational Awareness Architectures using Parallel Computation,”</w:t>
      </w:r>
      <w:r>
        <w:t xml:space="preserve"> </w:t>
      </w:r>
      <w:r>
        <w:t xml:space="preserve">in Proc. Advanced Maui Optical and Space Surveillance Technologies (AMOS) Conference, 2018.</w:t>
      </w:r>
    </w:p>
    <w:p>
      <w:pPr>
        <w:pStyle w:val="BodyText"/>
      </w:pPr>
      <w:bookmarkStart w:id="70" w:name="ref-3"/>
      <w:bookmarkEnd w:id="70"/>
      <w:r>
        <w:t xml:space="preserve">3.</w:t>
      </w:r>
      <w:r>
        <w:t xml:space="preserve"> </w:t>
      </w:r>
      <w:r>
        <w:t xml:space="preserve">“OCEA: Forecasting the Space Economy,”</w:t>
      </w:r>
      <w:r>
        <w:t xml:space="preserve"> </w:t>
      </w:r>
      <w:r>
        <w:t xml:space="preserve">Space Economy source document SD08, Space Economy Papers corpus.</w:t>
      </w:r>
    </w:p>
    <w:p>
      <w:pPr>
        <w:pStyle w:val="BodyText"/>
      </w:pPr>
      <w:bookmarkStart w:id="71" w:name="ref-4"/>
      <w:bookmarkEnd w:id="71"/>
      <w:r>
        <w:t xml:space="preserve">4.</w:t>
      </w:r>
      <w:r>
        <w:t xml:space="preserve"> </w:t>
      </w:r>
      <w:r>
        <w:t xml:space="preserve">“The Role of Space in Driving Sustainability, Security, and Development,”</w:t>
      </w:r>
      <w:r>
        <w:t xml:space="preserve"> </w:t>
      </w:r>
      <w:r>
        <w:t xml:space="preserve">Space Economy source document SD13, Space Economy Papers corpus.</w:t>
      </w:r>
    </w:p>
    <w:p>
      <w:pPr>
        <w:pStyle w:val="BodyText"/>
      </w:pPr>
      <w:bookmarkStart w:id="72" w:name="ref-5"/>
      <w:bookmarkEnd w:id="72"/>
      <w:r>
        <w:t xml:space="preserve">5. G. Denis, A. Claverie, X. Pasco, J.-P. Darnis, B. de Maupeou, M. Lafaye, and E. Morel,</w:t>
      </w:r>
      <w:r>
        <w:t xml:space="preserve"> </w:t>
      </w:r>
      <w:r>
        <w:t xml:space="preserve">“Towards disruptions in Earth observation? New Earth Observation systems and markets evolution: Possible scenarios and impacts,”</w:t>
      </w:r>
      <w:r>
        <w:t xml:space="preserve"> </w:t>
      </w:r>
      <w:r>
        <w:t xml:space="preserve">Acta Astronautica, vol. 137, 2017. doi:</w:t>
      </w:r>
      <w:r>
        <w:t xml:space="preserve"> </w:t>
      </w:r>
      <w:hyperlink r:id="rId73">
        <w:r>
          <w:rPr>
            <w:rStyle w:val="Hyperlink"/>
          </w:rPr>
          <w:t xml:space="preserve">10.1016/j.actaastro.2017.04.034</w:t>
        </w:r>
      </w:hyperlink>
    </w:p>
    <w:p>
      <w:pPr>
        <w:pStyle w:val="BodyText"/>
      </w:pPr>
      <w:bookmarkStart w:id="74" w:name="ref-6"/>
      <w:bookmarkEnd w:id="74"/>
      <w:r>
        <w:t xml:space="preserve">6. H. Habib-Agahi and J. Mrozinski,</w:t>
      </w:r>
      <w:r>
        <w:t xml:space="preserve"> </w:t>
      </w:r>
      <w:r>
        <w:t xml:space="preserve">“NASA Instrument Cost Model (NICM) Version VII,”</w:t>
      </w:r>
      <w:r>
        <w:t xml:space="preserve"> </w:t>
      </w:r>
      <w:r>
        <w:t xml:space="preserve">NASA Cost Symposium, 2015. Available: https://www.nasa.gov/wp-content/uploads/2023/06/14-nicm-vii-for-2015-nasa-cost-symposiumfinal-tagged.pdf.</w:t>
      </w:r>
    </w:p>
    <w:p>
      <w:pPr>
        <w:pStyle w:val="BodyText"/>
      </w:pPr>
      <w:bookmarkStart w:id="75" w:name="ref-7"/>
      <w:bookmarkEnd w:id="75"/>
      <w:r>
        <w:t xml:space="preserve">7. J. Mrozinski, M. DiNicola, and H. Habib-Agahi,</w:t>
      </w:r>
      <w:r>
        <w:t xml:space="preserve"> </w:t>
      </w:r>
      <w:r>
        <w:t xml:space="preserve">“NASA Space Flight Instruments: Cost-Time Trends,”</w:t>
      </w:r>
      <w:r>
        <w:t xml:space="preserve"> </w:t>
      </w:r>
      <w:r>
        <w:t xml:space="preserve">Jet Propulsion Laboratory, Rep. JPL-CL-16-3895, 2016. NTRS document 20190026811. Available: https://ntrs.nasa.gov/citations/20190026811.</w:t>
      </w:r>
    </w:p>
    <w:bookmarkEnd w:id="76"/>
    <w:bookmarkStart w:id="77"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Cost</m:t>
              </m:r>
            </m:e>
            <m:sub>
              <m:r>
                <m:t>i</m:t>
              </m:r>
            </m:sub>
          </m:sSub>
          <m:r>
            <m:rPr>
              <m:sty m:val="p"/>
            </m:rPr>
            <m:t>)</m:t>
          </m:r>
          <m:r>
            <m:rPr>
              <m:sty m:val="p"/>
            </m:rPr>
            <m:t>=</m:t>
          </m:r>
          <m:r>
            <m:t>α</m:t>
          </m:r>
          <m:r>
            <m:rPr>
              <m:sty m:val="p"/>
            </m:rPr>
            <m:t>+</m:t>
          </m:r>
          <m:r>
            <m:t>b</m:t>
          </m:r>
          <m:r>
            <m:t> </m:t>
          </m:r>
          <m:r>
            <m:rPr>
              <m:sty m:val="p"/>
            </m:rPr>
            <m:t>ln</m:t>
          </m:r>
          <m:r>
            <m:rPr>
              <m:sty m:val="p"/>
            </m:rPr>
            <m:t>(</m:t>
          </m:r>
          <m:sSub>
            <m:e>
              <m:r>
                <m:rPr>
                  <m:nor/>
                  <m:sty m:val="p"/>
                </m:rPr>
                <m:t>CumUnits</m:t>
              </m:r>
            </m:e>
            <m:sub>
              <m:r>
                <m:t>i</m:t>
              </m:r>
            </m:sub>
          </m:sSub>
          <m:r>
            <m:rPr>
              <m:sty m:val="p"/>
            </m:rPr>
            <m:t>)</m:t>
          </m:r>
          <m:r>
            <m:rPr>
              <m:sty m:val="p"/>
            </m:rPr>
            <m:t>+</m:t>
          </m:r>
          <m:sSub>
            <m:e>
              <m:r>
                <m:t>ε</m:t>
              </m:r>
            </m:e>
            <m:sub>
              <m:r>
                <m:t>i</m:t>
              </m:r>
            </m:sub>
          </m:sSub>
          <m:r>
            <m:rPr>
              <m:sty m:val="p"/>
            </m:rPr>
            <m:t>,</m:t>
          </m:r>
          <m:r>
            <m:t>  </m:t>
          </m:r>
          <m:r>
            <m:t>L</m:t>
          </m:r>
          <m:r>
            <m:rPr>
              <m:sty m:val="p"/>
            </m:rPr>
            <m:t>=</m:t>
          </m:r>
          <m:sSup>
            <m:e>
              <m:r>
                <m:t>2</m:t>
              </m:r>
            </m:e>
            <m:sup>
              <m:r>
                <m:t> </m:t>
              </m:r>
              <m:r>
                <m:t>b</m:t>
              </m:r>
            </m:sup>
          </m:sSup>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1.6059</w:t>
            </w:r>
          </w:p>
        </w:tc>
        <w:tc>
          <w:tcPr>
            <w:tcW w:w="0" w:type="auto"/>
          </w:tcPr>
          <w:p>
            <w:pPr>
              <w:spacing w:line="240" w:lineRule="auto" w:before="0" w:after="0"/>
              <w:pStyle w:val="Compact"/>
            </w:pPr>
            <w:r>
              <w:rPr>
                <w:sz w:val="20"/>
                <w:szCs w:val="20"/>
              </w:rPr>
              <w:t xml:space="preserve">0.1521</w:t>
            </w:r>
          </w:p>
        </w:tc>
        <w:tc>
          <w:tcPr>
            <w:tcW w:w="0" w:type="auto"/>
          </w:tcPr>
          <w:p>
            <w:pPr>
              <w:spacing w:line="240" w:lineRule="auto" w:before="0" w:after="0"/>
              <w:pStyle w:val="Compact"/>
            </w:pPr>
            <w:r>
              <w:rPr>
                <w:sz w:val="20"/>
                <w:szCs w:val="20"/>
              </w:rPr>
              <w:t xml:space="preserve">10.5596</w:t>
            </w:r>
          </w:p>
        </w:tc>
        <w:tc>
          <w:tcPr>
            <w:tcW w:w="0" w:type="auto"/>
          </w:tcPr>
          <w:p>
            <w:pPr>
              <w:spacing w:line="240" w:lineRule="auto" w:before="0" w:after="0"/>
              <w:pStyle w:val="Compact"/>
            </w:pPr>
            <w:r>
              <w:rPr>
                <w:sz w:val="20"/>
                <w:szCs w:val="20"/>
              </w:rPr>
              <w:t xml:space="preserve">4.587e-26</w:t>
            </w:r>
          </w:p>
        </w:tc>
        <w:tc>
          <w:tcPr>
            <w:tcW w:w="0" w:type="auto"/>
          </w:tcPr>
          <w:p>
            <w:pPr>
              <w:spacing w:line="240" w:lineRule="auto" w:before="0" w:after="0"/>
              <w:pStyle w:val="Compact"/>
            </w:pPr>
            <w:r>
              <w:rPr>
                <w:sz w:val="20"/>
                <w:szCs w:val="20"/>
              </w:rPr>
              <w:t xml:space="preserve">[1.3078, 1.904]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-0.2181</w:t>
            </w:r>
          </w:p>
        </w:tc>
        <w:tc>
          <w:tcPr>
            <w:tcW w:w="0" w:type="auto"/>
          </w:tcPr>
          <w:p>
            <w:pPr>
              <w:spacing w:line="240" w:lineRule="auto" w:before="0" w:after="0"/>
              <w:pStyle w:val="Compact"/>
            </w:pPr>
            <w:r>
              <w:rPr>
                <w:sz w:val="20"/>
                <w:szCs w:val="20"/>
              </w:rPr>
              <w:t xml:space="preserve">0.1275</w:t>
            </w:r>
          </w:p>
        </w:tc>
        <w:tc>
          <w:tcPr>
            <w:tcW w:w="0" w:type="auto"/>
          </w:tcPr>
          <w:p>
            <w:pPr>
              <w:spacing w:line="240" w:lineRule="auto" w:before="0" w:after="0"/>
              <w:pStyle w:val="Compact"/>
            </w:pPr>
            <w:r>
              <w:rPr>
                <w:sz w:val="20"/>
                <w:szCs w:val="20"/>
              </w:rPr>
              <w:t xml:space="preserve">-1.7113</w:t>
            </w:r>
          </w:p>
        </w:tc>
        <w:tc>
          <w:tcPr>
            <w:tcW w:w="0" w:type="auto"/>
          </w:tcPr>
          <w:p>
            <w:pPr>
              <w:spacing w:line="240" w:lineRule="auto" w:before="0" w:after="0"/>
              <w:pStyle w:val="Compact"/>
            </w:pPr>
            <w:r>
              <w:rPr>
                <w:sz w:val="20"/>
                <w:szCs w:val="20"/>
              </w:rPr>
              <w:t xml:space="preserve">0.087</w:t>
            </w:r>
          </w:p>
        </w:tc>
        <w:tc>
          <w:tcPr>
            <w:tcW w:w="0" w:type="auto"/>
          </w:tcPr>
          <w:p>
            <w:pPr>
              <w:spacing w:line="240" w:lineRule="auto" w:before="0" w:after="0"/>
              <w:pStyle w:val="Compact"/>
            </w:pPr>
            <w:r>
              <w:rPr>
                <w:sz w:val="20"/>
                <w:szCs w:val="20"/>
              </w:rPr>
              <w:t xml:space="preserve">[-0.468, 0.0317]</w:t>
            </w:r>
          </w:p>
        </w:tc>
      </w:tr>
    </w:tbl>
    <w:p>
      <w:pPr>
        <w:pStyle w:val="BodyText"/>
      </w:pPr>
      <w:r>
        <w:t xml:space="preserve">Fit: N = 26 R2 = 0.1304 elasticity_b = -0.2181 progress_ratio_2^b = 0.8597</w:t>
      </w:r>
    </w:p>
    <w:p>
      <w:pPr>
        <w:pStyle w:val="CaptionedFigure"/>
      </w:pPr>
      <w:r>
        <w:drawing>
          <wp:inline>
            <wp:extent cx="5669280" cy="3657600"/>
            <wp:effectExtent b="0" l="0" r="0" t="0"/>
            <wp:docPr descr="Figure 1. Log-log fit of recurring planetary instrument cost on cumulative production units; the fitted slope is the production-experience elasticity b, with learning rate L = 2^b." title="" id="79" name="Picture"/>
            <a:graphic>
              <a:graphicData uri="http://schemas.openxmlformats.org/drawingml/2006/picture">
                <pic:pic>
                  <pic:nvPicPr>
                    <pic:cNvPr descr="D:\Claude_Code\brain\collegium\candidates\dissertations\JPL_OPS_COMMS_DATA_02\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fit of recurring planetary instrument cost on cumulative production units; the fitted slope is the production-experience elasticity b, with learning rate L = 2^b.</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family</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cumulative_units</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recurring_cost_FY16M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APXS-Pathfinder</w:t>
            </w:r>
          </w:p>
        </w:tc>
        <w:tc>
          <w:tcPr>
            <w:tcW w:w="0" w:type="auto"/>
          </w:tcPr>
          <w:p>
            <w:pPr>
              <w:spacing w:line="240" w:lineRule="auto" w:before="0" w:after="0"/>
              <w:pStyle w:val="Compact"/>
            </w:pPr>
            <w:r>
              <w:rPr>
                <w:sz w:val="20"/>
                <w:szCs w:val="20"/>
              </w:rPr>
              <w:t xml:space="preserve">APXS</w:t>
            </w:r>
          </w:p>
        </w:tc>
        <w:tc>
          <w:tcPr>
            <w:tcW w:w="0" w:type="auto"/>
          </w:tcPr>
          <w:p>
            <w:pPr>
              <w:spacing w:line="240" w:lineRule="auto" w:before="0" w:after="0"/>
              <w:pStyle w:val="Compact"/>
            </w:pPr>
            <w:r>
              <w:rPr>
                <w:sz w:val="20"/>
                <w:szCs w:val="20"/>
              </w:rPr>
              <w:t xml:space="preserve">Mars Pathfinder Sojourner</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Mass 0.60 kg documented: Rieder et al. APXS for Mars-96/Pathfinder (ADS 1996DPS….28.0221R) achieved 600 g design. Recurring cost reconstructed via NICM Particles CER (Habib-Agahi &amp; Mrozinski, NICM VII, NASA 2015 Cost Symposium) anchored to documented dollar-per-kg trend in Mrozinski, DiNicola &amp; Habib-Agahi, NASA Space Flight Instruments: Cost-Time Trends, JPL-CL-16-3895 (NTRS 20190026811, 2016)</w:t>
            </w:r>
          </w:p>
        </w:tc>
      </w:tr>
      <w:tr>
        <w:tc>
          <w:tcPr>
            <w:tcW w:w="0" w:type="auto"/>
          </w:tcPr>
          <w:p>
            <w:pPr>
              <w:spacing w:line="240" w:lineRule="auto" w:before="0" w:after="0"/>
              <w:pStyle w:val="Compact"/>
            </w:pPr>
            <w:r>
              <w:rPr>
                <w:sz w:val="20"/>
                <w:szCs w:val="20"/>
              </w:rPr>
              <w:t xml:space="preserve">APXS-MER-A</w:t>
            </w:r>
          </w:p>
        </w:tc>
        <w:tc>
          <w:tcPr>
            <w:tcW w:w="0" w:type="auto"/>
          </w:tcPr>
          <w:p>
            <w:pPr>
              <w:spacing w:line="240" w:lineRule="auto" w:before="0" w:after="0"/>
              <w:pStyle w:val="Compact"/>
            </w:pPr>
            <w:r>
              <w:rPr>
                <w:sz w:val="20"/>
                <w:szCs w:val="20"/>
              </w:rPr>
              <w:t xml:space="preserve">APXS</w:t>
            </w:r>
          </w:p>
        </w:tc>
        <w:tc>
          <w:tcPr>
            <w:tcW w:w="0" w:type="auto"/>
          </w:tcPr>
          <w:p>
            <w:pPr>
              <w:spacing w:line="240" w:lineRule="auto" w:before="0" w:after="0"/>
              <w:pStyle w:val="Compact"/>
            </w:pPr>
            <w:r>
              <w:rPr>
                <w:sz w:val="20"/>
                <w:szCs w:val="20"/>
              </w:rPr>
              <w:t xml:space="preserve">MER Spirit</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Mass 0.37 kg documented: NASA Mars MER APXS (mars.nasa.gov) and Washington U. an.rsl.wustl.edu MER APXS. Recurring cost reconstructed via NICM Particles CER (NICM VII, NASA 2015) along documented dollar-per-kg trend (JPL-CL-16-3895, NTRS 20190026811)</w:t>
            </w:r>
          </w:p>
        </w:tc>
      </w:tr>
      <w:tr>
        <w:tc>
          <w:tcPr>
            <w:tcW w:w="0" w:type="auto"/>
          </w:tcPr>
          <w:p>
            <w:pPr>
              <w:spacing w:line="240" w:lineRule="auto" w:before="0" w:after="0"/>
              <w:pStyle w:val="Compact"/>
            </w:pPr>
            <w:r>
              <w:rPr>
                <w:sz w:val="20"/>
                <w:szCs w:val="20"/>
              </w:rPr>
              <w:t xml:space="preserve">APXS-MER-B</w:t>
            </w:r>
          </w:p>
        </w:tc>
        <w:tc>
          <w:tcPr>
            <w:tcW w:w="0" w:type="auto"/>
          </w:tcPr>
          <w:p>
            <w:pPr>
              <w:spacing w:line="240" w:lineRule="auto" w:before="0" w:after="0"/>
              <w:pStyle w:val="Compact"/>
            </w:pPr>
            <w:r>
              <w:rPr>
                <w:sz w:val="20"/>
                <w:szCs w:val="20"/>
              </w:rPr>
              <w:t xml:space="preserve">APXS</w:t>
            </w:r>
          </w:p>
        </w:tc>
        <w:tc>
          <w:tcPr>
            <w:tcW w:w="0" w:type="auto"/>
          </w:tcPr>
          <w:p>
            <w:pPr>
              <w:spacing w:line="240" w:lineRule="auto" w:before="0" w:after="0"/>
              <w:pStyle w:val="Compact"/>
            </w:pPr>
            <w:r>
              <w:rPr>
                <w:sz w:val="20"/>
                <w:szCs w:val="20"/>
              </w:rPr>
              <w:t xml:space="preserve">MER Opportunity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Mass 0.37 kg documented: Rieder et al. 2003 J. Geophys. Res. Planets doi:10.1029/2003JE002150 Athena APXS (MER-B is build copy of MER-A). Recurring cost reconstructed via NICM Particles CER (NICM VII, NASA 2015), dollar-per-kg trend (JPL-CL-16-3895)</w:t>
            </w:r>
          </w:p>
        </w:tc>
      </w:tr>
      <w:tr>
        <w:tc>
          <w:tcPr>
            <w:tcW w:w="0" w:type="auto"/>
          </w:tcPr>
          <w:p>
            <w:pPr>
              <w:spacing w:line="240" w:lineRule="auto" w:before="0" w:after="0"/>
              <w:pStyle w:val="Compact"/>
            </w:pPr>
            <w:r>
              <w:rPr>
                <w:sz w:val="20"/>
                <w:szCs w:val="20"/>
              </w:rPr>
              <w:t xml:space="preserve">APXS-MSL</w:t>
            </w:r>
          </w:p>
        </w:tc>
        <w:tc>
          <w:tcPr>
            <w:tcW w:w="0" w:type="auto"/>
          </w:tcPr>
          <w:p>
            <w:pPr>
              <w:spacing w:line="240" w:lineRule="auto" w:before="0" w:after="0"/>
              <w:pStyle w:val="Compact"/>
            </w:pPr>
            <w:r>
              <w:rPr>
                <w:sz w:val="20"/>
                <w:szCs w:val="20"/>
              </w:rPr>
              <w:t xml:space="preserve">APXS</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Mass ~0.37 kg documented: Canadian Space Agency APXS page (asc-csa.gc.ca) and Gellert et al. APXS-for-MSL (researchgate 258360203): MSL APXS is updated MER/Pathfinder design. Recurring cost reconstructed via NICM Particles CER (NICM VII, NASA 2015), dollar-per-kg trend (JPL-CL-16-3895)</w:t>
            </w:r>
          </w:p>
        </w:tc>
      </w:tr>
      <w:tr>
        <w:tc>
          <w:tcPr>
            <w:tcW w:w="0" w:type="auto"/>
          </w:tcPr>
          <w:p>
            <w:pPr>
              <w:spacing w:line="240" w:lineRule="auto" w:before="0" w:after="0"/>
              <w:pStyle w:val="Compact"/>
            </w:pPr>
            <w:r>
              <w:rPr>
                <w:sz w:val="20"/>
                <w:szCs w:val="20"/>
              </w:rPr>
              <w:t xml:space="preserve">APXS-Chandrayaan</w:t>
            </w:r>
          </w:p>
        </w:tc>
        <w:tc>
          <w:tcPr>
            <w:tcW w:w="0" w:type="auto"/>
          </w:tcPr>
          <w:p>
            <w:pPr>
              <w:spacing w:line="240" w:lineRule="auto" w:before="0" w:after="0"/>
              <w:pStyle w:val="Compact"/>
            </w:pPr>
            <w:r>
              <w:rPr>
                <w:sz w:val="20"/>
                <w:szCs w:val="20"/>
              </w:rPr>
              <w:t xml:space="preserve">APXS</w:t>
            </w:r>
          </w:p>
        </w:tc>
        <w:tc>
          <w:tcPr>
            <w:tcW w:w="0" w:type="auto"/>
          </w:tcPr>
          <w:p>
            <w:pPr>
              <w:spacing w:line="240" w:lineRule="auto" w:before="0" w:after="0"/>
              <w:pStyle w:val="Compact"/>
            </w:pPr>
            <w:r>
              <w:rPr>
                <w:sz w:val="20"/>
                <w:szCs w:val="20"/>
              </w:rPr>
              <w:t xml:space="preserve">Chandrayaan-2 Pragyan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Heritage documented: arXiv:1910.09232 APXS on-board Chandrayaan-2 Pragyan rover (heritage of MER/MSL APXS). Mass 0.50 kg [illustrative]; recurring cost reconstructed via NICM Particles CER (NICM VII, NASA 2015), dollar-per-kg trend (JPL-CL-16-3895)</w:t>
            </w:r>
          </w:p>
        </w:tc>
      </w:tr>
      <w:tr>
        <w:tc>
          <w:tcPr>
            <w:tcW w:w="0" w:type="auto"/>
          </w:tcPr>
          <w:p>
            <w:pPr>
              <w:spacing w:line="240" w:lineRule="auto" w:before="0" w:after="0"/>
              <w:pStyle w:val="Compact"/>
            </w:pPr>
            <w:r>
              <w:rPr>
                <w:sz w:val="20"/>
                <w:szCs w:val="20"/>
              </w:rPr>
              <w:t xml:space="preserve">MARCI-MCO</w:t>
            </w:r>
          </w:p>
        </w:tc>
        <w:tc>
          <w:tcPr>
            <w:tcW w:w="0" w:type="auto"/>
          </w:tcPr>
          <w:p>
            <w:pPr>
              <w:spacing w:line="240" w:lineRule="auto" w:before="0" w:after="0"/>
              <w:pStyle w:val="Compact"/>
            </w:pPr>
            <w:r>
              <w:rPr>
                <w:sz w:val="20"/>
                <w:szCs w:val="20"/>
              </w:rPr>
              <w:t xml:space="preserve">MSSS_MMM</w:t>
            </w:r>
          </w:p>
        </w:tc>
        <w:tc>
          <w:tcPr>
            <w:tcW w:w="0" w:type="auto"/>
          </w:tcPr>
          <w:p>
            <w:pPr>
              <w:spacing w:line="240" w:lineRule="auto" w:before="0" w:after="0"/>
              <w:pStyle w:val="Compact"/>
            </w:pPr>
            <w:r>
              <w:rPr>
                <w:sz w:val="20"/>
                <w:szCs w:val="20"/>
              </w:rPr>
              <w:t xml:space="preserve">Mars Climate Orbiter</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Mass &lt;0.5 kg documented: MSSS MRO MARCI description (msss.com/mro/marci/description.html, package &lt;500 g) and USGS Mars Color Imager on MCO (pubs.usgs.gov/publication/70023361); first MARCI build 1998. Recurring cost reconstructed via NICM Planetary Optical CER (NICM VII, NASA 2015)</w:t>
            </w:r>
          </w:p>
        </w:tc>
      </w:tr>
      <w:tr>
        <w:tc>
          <w:tcPr>
            <w:tcW w:w="0" w:type="auto"/>
          </w:tcPr>
          <w:p>
            <w:pPr>
              <w:spacing w:line="240" w:lineRule="auto" w:before="0" w:after="0"/>
              <w:pStyle w:val="Compact"/>
            </w:pPr>
            <w:r>
              <w:rPr>
                <w:sz w:val="20"/>
                <w:szCs w:val="20"/>
              </w:rPr>
              <w:t xml:space="preserve">MARDI-MPL</w:t>
            </w:r>
          </w:p>
        </w:tc>
        <w:tc>
          <w:tcPr>
            <w:tcW w:w="0" w:type="auto"/>
          </w:tcPr>
          <w:p>
            <w:pPr>
              <w:spacing w:line="240" w:lineRule="auto" w:before="0" w:after="0"/>
              <w:pStyle w:val="Compact"/>
            </w:pPr>
            <w:r>
              <w:rPr>
                <w:sz w:val="20"/>
                <w:szCs w:val="20"/>
              </w:rPr>
              <w:t xml:space="preserve">MSSS_MMM</w:t>
            </w:r>
          </w:p>
        </w:tc>
        <w:tc>
          <w:tcPr>
            <w:tcW w:w="0" w:type="auto"/>
          </w:tcPr>
          <w:p>
            <w:pPr>
              <w:spacing w:line="240" w:lineRule="auto" w:before="0" w:after="0"/>
              <w:pStyle w:val="Compact"/>
            </w:pPr>
            <w:r>
              <w:rPr>
                <w:sz w:val="20"/>
                <w:szCs w:val="20"/>
              </w:rPr>
              <w:t xml:space="preserve">Mars Polar Lander</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Lineage documented: msss.com/all_projects MARDI Mars Polar Lander build (1998); shared MSSS imaging electronics. Mass 0.50 kg [illustrative]; recurring cost reconstructed via NICM Planetary Optical CER (NICM VII, NASA 2015)</w:t>
            </w:r>
          </w:p>
        </w:tc>
      </w:tr>
      <w:tr>
        <w:tc>
          <w:tcPr>
            <w:tcW w:w="0" w:type="auto"/>
          </w:tcPr>
          <w:p>
            <w:pPr>
              <w:spacing w:line="240" w:lineRule="auto" w:before="0" w:after="0"/>
              <w:pStyle w:val="Compact"/>
            </w:pPr>
            <w:r>
              <w:rPr>
                <w:sz w:val="20"/>
                <w:szCs w:val="20"/>
              </w:rPr>
              <w:t xml:space="preserve">MARCI-MRO</w:t>
            </w:r>
          </w:p>
        </w:tc>
        <w:tc>
          <w:tcPr>
            <w:tcW w:w="0" w:type="auto"/>
          </w:tcPr>
          <w:p>
            <w:pPr>
              <w:spacing w:line="240" w:lineRule="auto" w:before="0" w:after="0"/>
              <w:pStyle w:val="Compact"/>
            </w:pPr>
            <w:r>
              <w:rPr>
                <w:sz w:val="20"/>
                <w:szCs w:val="20"/>
              </w:rPr>
              <w:t xml:space="preserve">MSSS_MMM</w:t>
            </w:r>
          </w:p>
        </w:tc>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Mass &lt;0.5 kg documented: MSSS MRO MARCI description (msss.com/mro/marci/description.html, package &lt;500 g); MARCI rebuild for MRO 2005. Recurring cost reconstructed via NICM Planetary Optical CER (NICM VII, NASA 2015)</w:t>
            </w:r>
          </w:p>
        </w:tc>
      </w:tr>
      <w:tr>
        <w:tc>
          <w:tcPr>
            <w:tcW w:w="0" w:type="auto"/>
          </w:tcPr>
          <w:p>
            <w:pPr>
              <w:spacing w:line="240" w:lineRule="auto" w:before="0" w:after="0"/>
              <w:pStyle w:val="Compact"/>
            </w:pPr>
            <w:r>
              <w:rPr>
                <w:sz w:val="20"/>
                <w:szCs w:val="20"/>
              </w:rPr>
              <w:t xml:space="preserve">CTX-MRO</w:t>
            </w:r>
          </w:p>
        </w:tc>
        <w:tc>
          <w:tcPr>
            <w:tcW w:w="0" w:type="auto"/>
          </w:tcPr>
          <w:p>
            <w:pPr>
              <w:spacing w:line="240" w:lineRule="auto" w:before="0" w:after="0"/>
              <w:pStyle w:val="Compact"/>
            </w:pPr>
            <w:r>
              <w:rPr>
                <w:sz w:val="20"/>
                <w:szCs w:val="20"/>
              </w:rPr>
              <w:t xml:space="preserve">MSSS_MMM</w:t>
            </w:r>
          </w:p>
        </w:tc>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Lineage documented: msss.com/all_projects/mro-ctx Context Camera; MSSS shared-electronics camera family. Mass 2.50 kg [illustrative]; recurring cost reconstructed via NICM Planetary Optical CER (NICM VII, NASA 2015)</w:t>
            </w:r>
          </w:p>
        </w:tc>
      </w:tr>
      <w:tr>
        <w:tc>
          <w:tcPr>
            <w:tcW w:w="0" w:type="auto"/>
          </w:tcPr>
          <w:p>
            <w:pPr>
              <w:spacing w:line="240" w:lineRule="auto" w:before="0" w:after="0"/>
              <w:pStyle w:val="Compact"/>
            </w:pPr>
            <w:r>
              <w:rPr>
                <w:sz w:val="20"/>
                <w:szCs w:val="20"/>
              </w:rPr>
              <w:t xml:space="preserve">MARDI-Phoenix</w:t>
            </w:r>
          </w:p>
        </w:tc>
        <w:tc>
          <w:tcPr>
            <w:tcW w:w="0" w:type="auto"/>
          </w:tcPr>
          <w:p>
            <w:pPr>
              <w:spacing w:line="240" w:lineRule="auto" w:before="0" w:after="0"/>
              <w:pStyle w:val="Compact"/>
            </w:pPr>
            <w:r>
              <w:rPr>
                <w:sz w:val="20"/>
                <w:szCs w:val="20"/>
              </w:rPr>
              <w:t xml:space="preserve">MSSS_MMM</w:t>
            </w:r>
          </w:p>
        </w:tc>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Lineage documented: msss.com/all_projects MARDI Phoenix build (2007); MSSS imaging electronics. Mass 0.50 kg [illustrative]; recurring cost reconstructed via NICM Planetary Optical CER (NICM VII, NASA 2015)</w:t>
            </w:r>
          </w:p>
        </w:tc>
      </w:tr>
      <w:tr>
        <w:tc>
          <w:tcPr>
            <w:tcW w:w="0" w:type="auto"/>
          </w:tcPr>
          <w:p>
            <w:pPr>
              <w:spacing w:line="240" w:lineRule="auto" w:before="0" w:after="0"/>
              <w:pStyle w:val="Compact"/>
            </w:pPr>
            <w:r>
              <w:rPr>
                <w:sz w:val="20"/>
                <w:szCs w:val="20"/>
              </w:rPr>
              <w:t xml:space="preserve">MARDI-MSL</w:t>
            </w:r>
          </w:p>
        </w:tc>
        <w:tc>
          <w:tcPr>
            <w:tcW w:w="0" w:type="auto"/>
          </w:tcPr>
          <w:p>
            <w:pPr>
              <w:spacing w:line="240" w:lineRule="auto" w:before="0" w:after="0"/>
              <w:pStyle w:val="Compact"/>
            </w:pPr>
            <w:r>
              <w:rPr>
                <w:sz w:val="20"/>
                <w:szCs w:val="20"/>
              </w:rPr>
              <w:t xml:space="preserve">MSSS_MMM</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Documented: Malin et al. 2017 Earth &amp; Space Science doi:10.1002/2016EA000252 MSL MARDI; part of documented 18.9M USD 3-camera MMM contract w/ shared DEA electronics (msss.com). Mass 0.50 kg [illustrative]; cost is share of documented MSL MMM contract</w:t>
            </w:r>
          </w:p>
        </w:tc>
      </w:tr>
      <w:tr>
        <w:tc>
          <w:tcPr>
            <w:tcW w:w="0" w:type="auto"/>
          </w:tcPr>
          <w:p>
            <w:pPr>
              <w:spacing w:line="240" w:lineRule="auto" w:before="0" w:after="0"/>
              <w:pStyle w:val="Compact"/>
            </w:pPr>
            <w:r>
              <w:rPr>
                <w:sz w:val="20"/>
                <w:szCs w:val="20"/>
              </w:rPr>
              <w:t xml:space="preserve">MAHLI-MSL</w:t>
            </w:r>
          </w:p>
        </w:tc>
        <w:tc>
          <w:tcPr>
            <w:tcW w:w="0" w:type="auto"/>
          </w:tcPr>
          <w:p>
            <w:pPr>
              <w:spacing w:line="240" w:lineRule="auto" w:before="0" w:after="0"/>
              <w:pStyle w:val="Compact"/>
            </w:pPr>
            <w:r>
              <w:rPr>
                <w:sz w:val="20"/>
                <w:szCs w:val="20"/>
              </w:rPr>
              <w:t xml:space="preserve">MSSS_MMM</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Documented: Edgett et al. 2012 Space Sci Rev doi:10.1007/s11214-012-9910-4 MAHLI; part of documented 18.9M USD 3-camera MMM contract (msss.com). Mass 0.58 kg [illustrative]; cost is share of MSL MMM contract</w:t>
            </w:r>
          </w:p>
        </w:tc>
      </w:tr>
      <w:tr>
        <w:tc>
          <w:tcPr>
            <w:tcW w:w="0" w:type="auto"/>
          </w:tcPr>
          <w:p>
            <w:pPr>
              <w:spacing w:line="240" w:lineRule="auto" w:before="0" w:after="0"/>
              <w:pStyle w:val="Compact"/>
            </w:pPr>
            <w:r>
              <w:rPr>
                <w:sz w:val="20"/>
                <w:szCs w:val="20"/>
              </w:rPr>
              <w:t xml:space="preserve">Mastcam-MSL</w:t>
            </w:r>
          </w:p>
        </w:tc>
        <w:tc>
          <w:tcPr>
            <w:tcW w:w="0" w:type="auto"/>
          </w:tcPr>
          <w:p>
            <w:pPr>
              <w:spacing w:line="240" w:lineRule="auto" w:before="0" w:after="0"/>
              <w:pStyle w:val="Compact"/>
            </w:pPr>
            <w:r>
              <w:rPr>
                <w:sz w:val="20"/>
                <w:szCs w:val="20"/>
              </w:rPr>
              <w:t xml:space="preserve">MSSS_MMM</w:t>
            </w:r>
          </w:p>
        </w:tc>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Mass 1.38 kg/head documented: Malin et al. 2017 doi:10.1002/2016EA000252 and msss.com MSL Mastcam; part of documented 18.9M USD MMM 3-camera contract. Cost is share of MSL MMM contract</w:t>
            </w:r>
          </w:p>
        </w:tc>
      </w:tr>
      <w:tr>
        <w:tc>
          <w:tcPr>
            <w:tcW w:w="0" w:type="auto"/>
          </w:tcPr>
          <w:p>
            <w:pPr>
              <w:spacing w:line="240" w:lineRule="auto" w:before="0" w:after="0"/>
              <w:pStyle w:val="Compact"/>
            </w:pPr>
            <w:r>
              <w:rPr>
                <w:sz w:val="20"/>
                <w:szCs w:val="20"/>
              </w:rPr>
              <w:t xml:space="preserve">MastcamZ-M2020</w:t>
            </w:r>
          </w:p>
        </w:tc>
        <w:tc>
          <w:tcPr>
            <w:tcW w:w="0" w:type="auto"/>
          </w:tcPr>
          <w:p>
            <w:pPr>
              <w:spacing w:line="240" w:lineRule="auto" w:before="0" w:after="0"/>
              <w:pStyle w:val="Compact"/>
            </w:pPr>
            <w:r>
              <w:rPr>
                <w:sz w:val="20"/>
                <w:szCs w:val="20"/>
              </w:rPr>
              <w:t xml:space="preserve">MSSS_MMM</w:t>
            </w:r>
          </w:p>
        </w:tc>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Mass documented: Bell et al. 2021 Space Sci Rev doi:10.1007/s11214-020-00755-x and mastcamz.asu.edu tech-specs (1.38 kg/head x2 + 1.47 kg DEA). MSSS camera family successor; recurring cost reconstructed via NICM Planetary Optical CER (NICM VII, NASA 2015)</w:t>
            </w:r>
          </w:p>
        </w:tc>
      </w:tr>
      <w:tr>
        <w:tc>
          <w:tcPr>
            <w:tcW w:w="0" w:type="auto"/>
          </w:tcPr>
          <w:p>
            <w:pPr>
              <w:spacing w:line="240" w:lineRule="auto" w:before="0" w:after="0"/>
              <w:pStyle w:val="Compact"/>
            </w:pPr>
            <w:r>
              <w:rPr>
                <w:sz w:val="20"/>
                <w:szCs w:val="20"/>
              </w:rPr>
              <w:t xml:space="preserve">MAG-Voyager1</w:t>
            </w:r>
          </w:p>
        </w:tc>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Voyager 1</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Mass 5.6 kg documented: NSSDCA Voyager Triaxial Fluxgate Magnetometer (nssdc.gsfc.nasa.gov experiment 1977-076A-05). Recurring cost reconstructed via NICM Fields CER (NICM VII, NASA 2015)</w:t>
            </w:r>
          </w:p>
        </w:tc>
      </w:tr>
      <w:tr>
        <w:tc>
          <w:tcPr>
            <w:tcW w:w="0" w:type="auto"/>
          </w:tcPr>
          <w:p>
            <w:pPr>
              <w:spacing w:line="240" w:lineRule="auto" w:before="0" w:after="0"/>
              <w:pStyle w:val="Compact"/>
            </w:pPr>
            <w:r>
              <w:rPr>
                <w:sz w:val="20"/>
                <w:szCs w:val="20"/>
              </w:rPr>
              <w:t xml:space="preserve">MAG-Voyager2</w:t>
            </w:r>
          </w:p>
        </w:tc>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Voyager 2</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Mass 5.6 kg documented: NSSDCA Voyager 2 Triaxial Fluxgate Magnetometer (1977-076A); build copy of Voyager 1 MAG. Recurring cost reconstructed via NICM Fields CER (NICM VII, NASA 2015)</w:t>
            </w:r>
          </w:p>
        </w:tc>
      </w:tr>
      <w:tr>
        <w:tc>
          <w:tcPr>
            <w:tcW w:w="0" w:type="auto"/>
          </w:tcPr>
          <w:p>
            <w:pPr>
              <w:spacing w:line="240" w:lineRule="auto" w:before="0" w:after="0"/>
              <w:pStyle w:val="Compact"/>
            </w:pPr>
            <w:r>
              <w:rPr>
                <w:sz w:val="20"/>
                <w:szCs w:val="20"/>
              </w:rPr>
              <w:t xml:space="preserve">MAG-MGS</w:t>
            </w:r>
          </w:p>
        </w:tc>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Mars Global Surveyor</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Lineage documented: Wikipedia Magnetometer (Juno) heritage list names MGS fluxgate; Acuna et al. MGS MAG/ER. Mass 5.50 kg [illustrative]; recurring cost reconstructed via NICM Fields CER (NICM VII, NASA 2015)</w:t>
            </w:r>
          </w:p>
        </w:tc>
      </w:tr>
      <w:tr>
        <w:tc>
          <w:tcPr>
            <w:tcW w:w="0" w:type="auto"/>
          </w:tcPr>
          <w:p>
            <w:pPr>
              <w:spacing w:line="240" w:lineRule="auto" w:before="0" w:after="0"/>
              <w:pStyle w:val="Compact"/>
            </w:pPr>
            <w:r>
              <w:rPr>
                <w:sz w:val="20"/>
                <w:szCs w:val="20"/>
              </w:rPr>
              <w:t xml:space="preserve">MAG-MESSENGER</w:t>
            </w:r>
          </w:p>
        </w:tc>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Mass 4.4 kg documented: Anderson et al. 2007 Space Sci Rev doi:10.1007/s11214-007-9246-7 MESSENGER MAG; NSSDCA experiment 2004-030A-07. Recurring cost reconstructed via NICM Fields CER (NICM VII, NASA 2015)</w:t>
            </w:r>
          </w:p>
        </w:tc>
      </w:tr>
      <w:tr>
        <w:tc>
          <w:tcPr>
            <w:tcW w:w="0" w:type="auto"/>
          </w:tcPr>
          <w:p>
            <w:pPr>
              <w:spacing w:line="240" w:lineRule="auto" w:before="0" w:after="0"/>
              <w:pStyle w:val="Compact"/>
            </w:pPr>
            <w:r>
              <w:rPr>
                <w:sz w:val="20"/>
                <w:szCs w:val="20"/>
              </w:rPr>
              <w:t xml:space="preserve">MAG-STEREO</w:t>
            </w:r>
          </w:p>
        </w:tc>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STEREO</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Lineage documented: Wikipedia Spacecraft magnetometer / Magnetometer (Juno) heritage list names STEREO fluxgate. Mass 4.20 kg [illustrative]; recurring cost reconstructed via NICM Fields CER (NICM VII, NASA 2015)</w:t>
            </w:r>
          </w:p>
        </w:tc>
      </w:tr>
      <w:tr>
        <w:tc>
          <w:tcPr>
            <w:tcW w:w="0" w:type="auto"/>
          </w:tcPr>
          <w:p>
            <w:pPr>
              <w:spacing w:line="240" w:lineRule="auto" w:before="0" w:after="0"/>
              <w:pStyle w:val="Compact"/>
            </w:pPr>
            <w:r>
              <w:rPr>
                <w:sz w:val="20"/>
                <w:szCs w:val="20"/>
              </w:rPr>
              <w:t xml:space="preserve">MAG-MAVEN</w:t>
            </w:r>
          </w:p>
        </w:tc>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Lineage documented: Connerney et al. 2015 Space Sci Rev doi:10.1007/s11214-015-0169-4 MAVEN Magnetic Field Investigation (lasp.colorado.edu/maven MAG). Mass 4.00 kg [illustrative]; recurring cost reconstructed via NICM Fields CER (NICM VII, NASA 2015)</w:t>
            </w:r>
          </w:p>
        </w:tc>
      </w:tr>
      <w:tr>
        <w:tc>
          <w:tcPr>
            <w:tcW w:w="0" w:type="auto"/>
          </w:tcPr>
          <w:p>
            <w:pPr>
              <w:spacing w:line="240" w:lineRule="auto" w:before="0" w:after="0"/>
              <w:pStyle w:val="Compact"/>
            </w:pPr>
            <w:r>
              <w:rPr>
                <w:sz w:val="20"/>
                <w:szCs w:val="20"/>
              </w:rPr>
              <w:t xml:space="preserve">MAG-Juno</w:t>
            </w:r>
          </w:p>
        </w:tc>
        <w:tc>
          <w:tcPr>
            <w:tcW w:w="0" w:type="auto"/>
          </w:tcPr>
          <w:p>
            <w:pPr>
              <w:spacing w:line="240" w:lineRule="auto" w:before="0" w:after="0"/>
              <w:pStyle w:val="Compact"/>
            </w:pPr>
            <w:r>
              <w:rPr>
                <w:sz w:val="20"/>
                <w:szCs w:val="20"/>
              </w:rPr>
              <w:t xml:space="preserve">FGM</w:t>
            </w:r>
          </w:p>
        </w:tc>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Lineage documented: Connerney et al. 2017 Space Sci Rev doi:10.1007/s11214-017-0334-z Juno Magnetic Field Investigation (junomag.gsfc.nasa.gov); fluxgate heritage of Voyager/MGS. Mass 4.50 kg [illustrative]; recurring cost reconstructed via NICM Fields CER (NICM VII, NASA 2015)</w:t>
            </w:r>
          </w:p>
        </w:tc>
      </w:tr>
      <w:tr>
        <w:tc>
          <w:tcPr>
            <w:tcW w:w="0" w:type="auto"/>
          </w:tcPr>
          <w:p>
            <w:pPr>
              <w:spacing w:line="240" w:lineRule="auto" w:before="0" w:after="0"/>
              <w:pStyle w:val="Compact"/>
            </w:pPr>
            <w:r>
              <w:rPr>
                <w:sz w:val="20"/>
                <w:szCs w:val="20"/>
              </w:rPr>
              <w:t xml:space="preserve">TES-MGS</w:t>
            </w:r>
          </w:p>
        </w:tc>
        <w:tc>
          <w:tcPr>
            <w:tcW w:w="0" w:type="auto"/>
          </w:tcPr>
          <w:p>
            <w:pPr>
              <w:spacing w:line="240" w:lineRule="auto" w:before="0" w:after="0"/>
              <w:pStyle w:val="Compact"/>
            </w:pPr>
            <w:r>
              <w:rPr>
                <w:sz w:val="20"/>
                <w:szCs w:val="20"/>
              </w:rPr>
              <w:t xml:space="preserve">TIR</w:t>
            </w:r>
          </w:p>
        </w:tc>
        <w:tc>
          <w:tcPr>
            <w:tcW w:w="0" w:type="auto"/>
          </w:tcPr>
          <w:p>
            <w:pPr>
              <w:spacing w:line="240" w:lineRule="auto" w:before="0" w:after="0"/>
              <w:pStyle w:val="Compact"/>
            </w:pPr>
            <w:r>
              <w:rPr>
                <w:sz w:val="20"/>
                <w:szCs w:val="20"/>
              </w:rPr>
              <w:t xml:space="preserve">Mars Global Surveyor</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Lineage documented: Christensen et al. TES on Mars Global Surveyor; thermal emission spectrometer lineage to THEMIS/OTES. Mass 14.10 kg [illustrative]; recurring cost reconstructed via NICM Planetary Optical CER (NICM VII, NASA 2015)</w:t>
            </w:r>
          </w:p>
        </w:tc>
      </w:tr>
      <w:tr>
        <w:tc>
          <w:tcPr>
            <w:tcW w:w="0" w:type="auto"/>
          </w:tcPr>
          <w:p>
            <w:pPr>
              <w:spacing w:line="240" w:lineRule="auto" w:before="0" w:after="0"/>
              <w:pStyle w:val="Compact"/>
            </w:pPr>
            <w:r>
              <w:rPr>
                <w:sz w:val="20"/>
                <w:szCs w:val="20"/>
              </w:rPr>
              <w:t xml:space="preserve">THEMIS-Odyssey</w:t>
            </w:r>
          </w:p>
        </w:tc>
        <w:tc>
          <w:tcPr>
            <w:tcW w:w="0" w:type="auto"/>
          </w:tcPr>
          <w:p>
            <w:pPr>
              <w:spacing w:line="240" w:lineRule="auto" w:before="0" w:after="0"/>
              <w:pStyle w:val="Compact"/>
            </w:pPr>
            <w:r>
              <w:rPr>
                <w:sz w:val="20"/>
                <w:szCs w:val="20"/>
              </w:rPr>
              <w:t xml:space="preserve">TIR</w:t>
            </w:r>
          </w:p>
        </w:tc>
        <w:tc>
          <w:tcPr>
            <w:tcW w:w="0" w:type="auto"/>
          </w:tcPr>
          <w:p>
            <w:pPr>
              <w:spacing w:line="240" w:lineRule="auto" w:before="0" w:after="0"/>
              <w:pStyle w:val="Compact"/>
            </w:pPr>
            <w:r>
              <w:rPr>
                <w:sz w:val="20"/>
                <w:szCs w:val="20"/>
              </w:rPr>
              <w:t xml:space="preserve">Mars Odyssey</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Mass 11.2 kg documented: Christensen et al. 2004 THEMIS for Mars 2001 Odyssey doi:10.1007/978-0-306-48600-5_3 and themis.asu.edu factsheet; thermal-imager lineage from TES. Recurring cost reconstructed via NICM Planetary Optical CER (NICM VII, NASA 2015)</w:t>
            </w:r>
          </w:p>
        </w:tc>
      </w:tr>
      <w:tr>
        <w:tc>
          <w:tcPr>
            <w:tcW w:w="0" w:type="auto"/>
          </w:tcPr>
          <w:p>
            <w:pPr>
              <w:spacing w:line="240" w:lineRule="auto" w:before="0" w:after="0"/>
              <w:pStyle w:val="Compact"/>
            </w:pPr>
            <w:r>
              <w:rPr>
                <w:sz w:val="20"/>
                <w:szCs w:val="20"/>
              </w:rPr>
              <w:t xml:space="preserve">OTES-OSIRIS</w:t>
            </w:r>
          </w:p>
        </w:tc>
        <w:tc>
          <w:tcPr>
            <w:tcW w:w="0" w:type="auto"/>
          </w:tcPr>
          <w:p>
            <w:pPr>
              <w:spacing w:line="240" w:lineRule="auto" w:before="0" w:after="0"/>
              <w:pStyle w:val="Compact"/>
            </w:pPr>
            <w:r>
              <w:rPr>
                <w:sz w:val="20"/>
                <w:szCs w:val="20"/>
              </w:rPr>
              <w:t xml:space="preserve">TIR</w:t>
            </w:r>
          </w:p>
        </w:tc>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6.27</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Mass 6.27 kg documented: Christensen et al. 2018 OTES Space Sci Rev doi:10.1007/s11214-018-0513-6 (arXiv:1704.02390); TES/THEMIS thermal-imager heritage. Recurring cost reconstructed via NICM Planetary Optical CER (NICM VII, NASA 2015)</w:t>
            </w:r>
          </w:p>
        </w:tc>
      </w:tr>
      <w:tr>
        <w:tc>
          <w:tcPr>
            <w:tcW w:w="0" w:type="auto"/>
          </w:tcPr>
          <w:p>
            <w:pPr>
              <w:spacing w:line="240" w:lineRule="auto" w:before="0" w:after="0"/>
              <w:pStyle w:val="Compact"/>
            </w:pPr>
            <w:r>
              <w:rPr>
                <w:sz w:val="20"/>
                <w:szCs w:val="20"/>
              </w:rPr>
              <w:t xml:space="preserve">JCAM-Juno</w:t>
            </w:r>
          </w:p>
        </w:tc>
        <w:tc>
          <w:tcPr>
            <w:tcW w:w="0" w:type="auto"/>
          </w:tcPr>
          <w:p>
            <w:pPr>
              <w:spacing w:line="240" w:lineRule="auto" w:before="0" w:after="0"/>
              <w:pStyle w:val="Compact"/>
            </w:pPr>
            <w:r>
              <w:rPr>
                <w:sz w:val="20"/>
                <w:szCs w:val="20"/>
              </w:rPr>
              <w:t xml:space="preserve">JCAM</w:t>
            </w:r>
          </w:p>
        </w:tc>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Mass documented: Hansen et al. 2014 JunoCam Space Sci Rev doi:10.1007/s11214-014-0079-x (2.642 kg head + 1.053 kg JDEA = 3.70 kg); MSSS visible camera. Recurring cost reconstructed via NICM Planetary Optical CER (NICM VII, NASA 2015)</w:t>
            </w:r>
          </w:p>
        </w:tc>
      </w:tr>
      <w:tr>
        <w:tc>
          <w:tcPr>
            <w:tcW w:w="0" w:type="auto"/>
          </w:tcPr>
          <w:p>
            <w:pPr>
              <w:spacing w:line="240" w:lineRule="auto" w:before="0" w:after="0"/>
              <w:pStyle w:val="Compact"/>
            </w:pPr>
            <w:r>
              <w:rPr>
                <w:sz w:val="20"/>
                <w:szCs w:val="20"/>
              </w:rPr>
              <w:t xml:space="preserve">JCAM-OSIRIS</w:t>
            </w:r>
          </w:p>
        </w:tc>
        <w:tc>
          <w:tcPr>
            <w:tcW w:w="0" w:type="auto"/>
          </w:tcPr>
          <w:p>
            <w:pPr>
              <w:spacing w:line="240" w:lineRule="auto" w:before="0" w:after="0"/>
              <w:pStyle w:val="Compact"/>
            </w:pPr>
            <w:r>
              <w:rPr>
                <w:sz w:val="20"/>
                <w:szCs w:val="20"/>
              </w:rPr>
              <w:t xml:space="preserve">JCAM</w:t>
            </w:r>
          </w:p>
        </w:tc>
        <w:tc>
          <w:tcPr>
            <w:tcW w:w="0" w:type="auto"/>
          </w:tcPr>
          <w:p>
            <w:pPr>
              <w:spacing w:line="240" w:lineRule="auto" w:before="0" w:after="0"/>
              <w:pStyle w:val="Compact"/>
            </w:pPr>
            <w:r>
              <w:rPr>
                <w:sz w:val="20"/>
                <w:szCs w:val="20"/>
              </w:rPr>
              <w:t xml:space="preserve">OSIRIS-REx OCAMS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Lineage documented: msss.com all_projects OSIRIS-REx camera; MSSS ECAM-class build heritage. Mass 3.50 kg [illustrative]; recurring cost reconstructed via NICM Planetary Optical CER (NICM VII, NASA 2015)</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recurring_cost_FY16M</w:t>
            </w:r>
          </w:p>
        </w:tc>
        <w:tc>
          <w:tcPr>
            <w:tcW w:w="0" w:type="auto"/>
          </w:tcPr>
          <w:p>
            <w:pPr>
              <w:spacing w:line="240" w:lineRule="auto" w:before="0" w:after="0"/>
              <w:pStyle w:val="Compact"/>
            </w:pPr>
            <w:r>
              <w:rPr>
                <w:sz w:val="20"/>
                <w:szCs w:val="20"/>
              </w:rPr>
              <w:t xml:space="preserve">Recurring (B/C/D) production cost of the flight unit, normalized to FY2016 US dollars (millions)</w:t>
            </w:r>
          </w:p>
        </w:tc>
        <w:tc>
          <w:tcPr>
            <w:tcW w:w="0" w:type="auto"/>
          </w:tcPr>
          <w:p>
            <w:pPr>
              <w:spacing w:line="240" w:lineRule="auto" w:before="0" w:after="0"/>
              <w:pStyle w:val="Compact"/>
            </w:pPr>
            <w:r>
              <w:rPr>
                <w:sz w:val="20"/>
                <w:szCs w:val="20"/>
              </w:rPr>
              <w:t xml:space="preserve">Reconstructed via the NICM Cost Estimating Relationships (Habib-Agahi and Mrozinski, NASA Instrument Cost Model VII, NASA 2015 Cost Symposium) along the documented dollar-per-kg decline reported in Mrozinski, DiNicola and Habib-Agahi, NASA Space Flight Instruments: Cost-Time Trends, JPL-CL-16-3895 (NTRS 20190026811, 2016); family anchors from public mission and contract records cited per row</w:t>
            </w:r>
          </w:p>
        </w:tc>
      </w:tr>
      <w:tr>
        <w:tc>
          <w:tcPr>
            <w:tcW w:w="0" w:type="auto"/>
          </w:tcPr>
          <w:p>
            <w:pPr>
              <w:spacing w:line="240" w:lineRule="auto" w:before="0" w:after="0"/>
              <w:pStyle w:val="Compact"/>
            </w:pPr>
            <w:r>
              <w:rPr>
                <w:sz w:val="20"/>
                <w:szCs w:val="20"/>
              </w:rPr>
              <w:t xml:space="preserve">cumulative_units</w:t>
            </w:r>
          </w:p>
        </w:tc>
        <w:tc>
          <w:tcPr>
            <w:tcW w:w="0" w:type="auto"/>
          </w:tcPr>
          <w:p>
            <w:pPr>
              <w:spacing w:line="240" w:lineRule="auto" w:before="0" w:after="0"/>
              <w:pStyle w:val="Compact"/>
            </w:pPr>
            <w:r>
              <w:rPr>
                <w:sz w:val="20"/>
                <w:szCs w:val="20"/>
              </w:rPr>
              <w:t xml:space="preserve">Cumulative build number of the flight unit within its instrument family (1 = first article)</w:t>
            </w:r>
          </w:p>
        </w:tc>
        <w:tc>
          <w:tcPr>
            <w:tcW w:w="0" w:type="auto"/>
          </w:tcPr>
          <w:p>
            <w:pPr>
              <w:spacing w:line="240" w:lineRule="auto" w:before="0" w:after="0"/>
              <w:pStyle w:val="Compact"/>
            </w:pPr>
            <w:r>
              <w:rPr>
                <w:sz w:val="20"/>
                <w:szCs w:val="20"/>
              </w:rPr>
              <w:t xml:space="preserve">Build order documented from NSSDCA instrument records, MSSS project history (msss.com), and the instrument-team publications cited per row</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Flight-unit mass in kilograms (control / construction input to the cost CER)</w:t>
            </w:r>
          </w:p>
        </w:tc>
        <w:tc>
          <w:tcPr>
            <w:tcW w:w="0" w:type="auto"/>
          </w:tcPr>
          <w:p>
            <w:pPr>
              <w:spacing w:line="240" w:lineRule="auto" w:before="0" w:after="0"/>
              <w:pStyle w:val="Compact"/>
            </w:pPr>
            <w:r>
              <w:rPr>
                <w:sz w:val="20"/>
                <w:szCs w:val="20"/>
              </w:rPr>
              <w:t xml:space="preserve">Documented per-row from instrument-team papers and NSSDCA where public; family interpolations tagged [illustrative] where per-unit mass is not publicly itemized</w:t>
            </w:r>
          </w:p>
        </w:tc>
      </w:tr>
      <w:tr>
        <w:tc>
          <w:tcPr>
            <w:tcW w:w="0" w:type="auto"/>
          </w:tcPr>
          <w:p>
            <w:pPr>
              <w:spacing w:line="240" w:lineRule="auto" w:before="0" w:after="0"/>
              <w:pStyle w:val="Compact"/>
            </w:pPr>
            <w:r>
              <w:rPr>
                <w:sz w:val="20"/>
                <w:szCs w:val="20"/>
              </w:rPr>
              <w:t xml:space="preserve">family</w:t>
            </w:r>
          </w:p>
        </w:tc>
        <w:tc>
          <w:tcPr>
            <w:tcW w:w="0" w:type="auto"/>
          </w:tcPr>
          <w:p>
            <w:pPr>
              <w:spacing w:line="240" w:lineRule="auto" w:before="0" w:after="0"/>
              <w:pStyle w:val="Compact"/>
            </w:pPr>
            <w:r>
              <w:rPr>
                <w:sz w:val="20"/>
                <w:szCs w:val="20"/>
              </w:rPr>
              <w:t xml:space="preserve">Instrument family sharing a common design lineage</w:t>
            </w:r>
          </w:p>
        </w:tc>
        <w:tc>
          <w:tcPr>
            <w:tcW w:w="0" w:type="auto"/>
          </w:tcPr>
          <w:p>
            <w:pPr>
              <w:spacing w:line="240" w:lineRule="auto" w:before="0" w:after="0"/>
              <w:pStyle w:val="Compact"/>
            </w:pPr>
            <w:r>
              <w:rPr>
                <w:sz w:val="20"/>
                <w:szCs w:val="20"/>
              </w:rPr>
              <w:t xml:space="preserve">APXS, MSSS shared-electronics cameras (MMM), fluxgate magnetometers (FGM), thermal imagers/spectrometers (TIR), MSSS planetary cameras (JCAM); per-row lineage citations</w:t>
            </w:r>
          </w:p>
        </w:tc>
      </w:tr>
      <w:tr>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Named planetary instrument flight unit</w:t>
            </w:r>
          </w:p>
        </w:tc>
        <w:tc>
          <w:tcPr>
            <w:tcW w:w="0" w:type="auto"/>
          </w:tcPr>
          <w:p>
            <w:pPr>
              <w:spacing w:line="240" w:lineRule="auto" w:before="0" w:after="0"/>
              <w:pStyle w:val="Compact"/>
            </w:pPr>
            <w:r>
              <w:rPr>
                <w:sz w:val="20"/>
                <w:szCs w:val="20"/>
              </w:rPr>
              <w:t xml:space="preserve">NASA mission documentation and instrument-team publications cited per row</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1.6059</w:t>
            </w:r>
          </w:p>
        </w:tc>
        <w:tc>
          <w:tcPr>
            <w:tcW w:w="0" w:type="auto"/>
          </w:tcPr>
          <w:p>
            <w:pPr>
              <w:spacing w:line="240" w:lineRule="auto" w:before="0" w:after="0"/>
              <w:pStyle w:val="Compact"/>
            </w:pPr>
            <w:r>
              <w:rPr>
                <w:sz w:val="20"/>
                <w:szCs w:val="20"/>
              </w:rPr>
              <w:t xml:space="preserve">0.1521</w:t>
            </w:r>
          </w:p>
        </w:tc>
        <w:tc>
          <w:tcPr>
            <w:tcW w:w="0" w:type="auto"/>
          </w:tcPr>
          <w:p>
            <w:pPr>
              <w:spacing w:line="240" w:lineRule="auto" w:before="0" w:after="0"/>
              <w:pStyle w:val="Compact"/>
            </w:pPr>
            <w:r>
              <w:rPr>
                <w:sz w:val="20"/>
                <w:szCs w:val="20"/>
              </w:rPr>
              <w:t xml:space="preserve">10.5596</w:t>
            </w:r>
          </w:p>
        </w:tc>
        <w:tc>
          <w:tcPr>
            <w:tcW w:w="0" w:type="auto"/>
          </w:tcPr>
          <w:p>
            <w:pPr>
              <w:spacing w:line="240" w:lineRule="auto" w:before="0" w:after="0"/>
              <w:pStyle w:val="Compact"/>
            </w:pPr>
            <w:r>
              <w:rPr>
                <w:sz w:val="20"/>
                <w:szCs w:val="20"/>
              </w:rPr>
              <w:t xml:space="preserve">4.587e-26</w:t>
            </w:r>
          </w:p>
        </w:tc>
        <w:tc>
          <w:tcPr>
            <w:tcW w:w="0" w:type="auto"/>
          </w:tcPr>
          <w:p>
            <w:pPr>
              <w:spacing w:line="240" w:lineRule="auto" w:before="0" w:after="0"/>
              <w:pStyle w:val="Compact"/>
            </w:pPr>
            <w:r>
              <w:rPr>
                <w:sz w:val="20"/>
                <w:szCs w:val="20"/>
              </w:rPr>
              <w:t xml:space="preserve">[1.3078, 1.904]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-0.2181</w:t>
            </w:r>
          </w:p>
        </w:tc>
        <w:tc>
          <w:tcPr>
            <w:tcW w:w="0" w:type="auto"/>
          </w:tcPr>
          <w:p>
            <w:pPr>
              <w:spacing w:line="240" w:lineRule="auto" w:before="0" w:after="0"/>
              <w:pStyle w:val="Compact"/>
            </w:pPr>
            <w:r>
              <w:rPr>
                <w:sz w:val="20"/>
                <w:szCs w:val="20"/>
              </w:rPr>
              <w:t xml:space="preserve">0.1275</w:t>
            </w:r>
          </w:p>
        </w:tc>
        <w:tc>
          <w:tcPr>
            <w:tcW w:w="0" w:type="auto"/>
          </w:tcPr>
          <w:p>
            <w:pPr>
              <w:spacing w:line="240" w:lineRule="auto" w:before="0" w:after="0"/>
              <w:pStyle w:val="Compact"/>
            </w:pPr>
            <w:r>
              <w:rPr>
                <w:sz w:val="20"/>
                <w:szCs w:val="20"/>
              </w:rPr>
              <w:t xml:space="preserve">-1.7113</w:t>
            </w:r>
          </w:p>
        </w:tc>
        <w:tc>
          <w:tcPr>
            <w:tcW w:w="0" w:type="auto"/>
          </w:tcPr>
          <w:p>
            <w:pPr>
              <w:spacing w:line="240" w:lineRule="auto" w:before="0" w:after="0"/>
              <w:pStyle w:val="Compact"/>
            </w:pPr>
            <w:r>
              <w:rPr>
                <w:sz w:val="20"/>
                <w:szCs w:val="20"/>
              </w:rPr>
              <w:t xml:space="preserve">0.087</w:t>
            </w:r>
          </w:p>
        </w:tc>
        <w:tc>
          <w:tcPr>
            <w:tcW w:w="0" w:type="auto"/>
          </w:tcPr>
          <w:p>
            <w:pPr>
              <w:spacing w:line="240" w:lineRule="auto" w:before="0" w:after="0"/>
              <w:pStyle w:val="Compact"/>
            </w:pPr>
            <w:r>
              <w:rPr>
                <w:sz w:val="20"/>
                <w:szCs w:val="20"/>
              </w:rPr>
              <w:t xml:space="preserve">[-0.468, 0.0317]</w:t>
            </w:r>
          </w:p>
        </w:tc>
      </w:tr>
    </w:tbl>
    <w:p>
      <w:pPr>
        <w:pStyle w:val="BodyText"/>
      </w:pPr>
      <w:r>
        <w:t xml:space="preserve">Fit: N = 26 R2 = 0.1304 elasticity_b = -0.2181 progress_ratio_2^b = 0.8597</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3" Target="https://doi.org/10.1016/j.actaastro.2017.04.034" TargetMode="External" /><Relationship Type="http://schemas.openxmlformats.org/officeDocument/2006/relationships/hyperlink" Id="rId68" Target="https://doi.org/10.1016/j.actaastro.2021.04.035"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1016/j.actaastro.2017.04.034" TargetMode="External" /><Relationship Type="http://schemas.openxmlformats.org/officeDocument/2006/relationships/hyperlink" Id="rId68" Target="https://doi.org/10.1016/j.actaastro.2021.04.03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2026-06-22T20:31:58Z</dcterms:created>
  <dcterms:modified xsi:type="dcterms:W3CDTF">2026-06-22T20:31:58Z</dcterms:modified>
</cp:coreProperties>
</file>

<file path=docProps/custom.xml><?xml version="1.0" encoding="utf-8"?>
<Properties xmlns="http://schemas.openxmlformats.org/officeDocument/2006/custom-properties" xmlns:vt="http://schemas.openxmlformats.org/officeDocument/2006/docPropsVTypes"/>
</file>