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omments.xml" ContentType="application/vnd.openxmlformats-officedocument.wordprocessingml.comment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4" Type="http://schemas.openxmlformats.org/officeDocument/2006/relationships/extended-properties" Target="docProps/app.xml"/><Relationship Id="rId3" Type="http://schemas.openxmlformats.org/package/2006/relationships/metadata/core-properties" Target="docProps/core.xml"/><Relationship Id="rId5" Type="http://schemas.openxmlformats.org/officeDocument/2006/relationships/custom-properties" Target="docProps/custom.xml"/></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jc w:val="center"/>
      </w:pPr>
    </w:p>
    <w:p>
      <w:pPr>
        <w:jc w:val="center"/>
      </w:pPr>
    </w:p>
    <w:p>
      <w:pPr>
        <w:jc w:val="center"/>
      </w:pPr>
    </w:p>
    <w:p>
      <w:pPr>
        <w:pStyle w:val="Title"/>
        <w:jc w:val="center"/>
      </w:pPr>
      <w:r>
        <w:rPr>
          <w:rFonts w:ascii="Times New Roman" w:hAnsi="Times New Roman"/>
          <w:b/>
        </w:rPr>
        <w:t>LEARNING CURVES IN PLANETARY INSTRUMENT PRODUCTION: A COST-REDUCTION ELASTICITY</w:t>
      </w:r>
    </w:p>
    <w:p>
      <w:pPr>
        <w:jc w:val="center"/>
      </w:pPr>
    </w:p>
    <w:p>
      <w:pPr>
        <w:jc w:val="center"/>
      </w:pPr>
      <w:r>
        <w:rPr>
          <w:rFonts w:ascii="Times New Roman" w:hAnsi="Times New Roman"/>
          <w:sz w:val="24"/>
        </w:rPr>
        <w:t>by</w:t>
      </w:r>
    </w:p>
    <w:p>
      <w:pPr>
        <w:jc w:val="center"/>
      </w:pPr>
      <w:r>
        <w:rPr>
          <w:rFonts w:ascii="Times New Roman" w:hAnsi="Times New Roman"/>
          <w:b/>
          <w:sz w:val="28"/>
        </w:rPr>
        <w:t>Amara Khan</w:t>
      </w:r>
    </w:p>
    <w:p>
      <w:pPr>
        <w:jc w:val="center"/>
      </w:pPr>
      <w:r>
        <w:rPr>
          <w:rFonts w:ascii="Times New Roman" w:hAnsi="Times New Roman"/>
          <w:sz w:val="24"/>
        </w:rPr>
        <w:t>1B-OPS-028</w:t>
      </w:r>
    </w:p>
    <w:p>
      <w:pPr>
        <w:jc w:val="center"/>
      </w:pPr>
      <w:r>
        <w:rPr>
          <w:rFonts w:ascii="Times New Roman" w:hAnsi="Times New Roman"/>
          <w:sz w:val="24"/>
        </w:rPr>
        <w:t>COLLEGIUM 1st Battalion candidate</w:t>
      </w:r>
    </w:p>
    <w:p>
      <w:pPr>
        <w:jc w:val="center"/>
      </w:pPr>
    </w:p>
    <w:p>
      <w:pPr>
        <w:jc w:val="center"/>
      </w:pPr>
    </w:p>
    <w:p>
      <w:pPr>
        <w:jc w:val="center"/>
      </w:pPr>
      <w:r>
        <w:rPr>
          <w:rFonts w:ascii="Times New Roman" w:hAnsi="Times New Roman"/>
          <w:sz w:val="24"/>
        </w:rPr>
        <w:t>A dissertation submitted in conformity with the requirements for the degree of Doctor of Philosophy</w:t>
      </w:r>
    </w:p>
    <w:p>
      <w:pPr>
        <w:jc w:val="center"/>
      </w:pPr>
    </w:p>
    <w:p>
      <w:pPr>
        <w:jc w:val="center"/>
      </w:pPr>
      <w:r>
        <w:rPr>
          <w:rFonts w:ascii="Times New Roman" w:hAnsi="Times New Roman"/>
          <w:sz w:val="24"/>
        </w:rPr>
        <w:t>2026</w:t>
      </w: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r>
        <w:rPr>
          <w:rFonts w:ascii="Times New Roman" w:hAnsi="Times New Roman"/>
          <w:sz w:val="24"/>
        </w:rPr>
        <w:t>(c) 2026 COLLEGIUM 1st Battalion</w:t>
      </w:r>
    </w:p>
    <w:p>
      <w:pPr>
        <w:jc w:val="center"/>
      </w:pPr>
      <w:r>
        <w:rPr>
          <w:rFonts w:ascii="Times New Roman" w:hAnsi="Times New Roman"/>
          <w:sz w:val="24"/>
        </w:rPr>
        <w:t>All Rights Reserved</w:t>
      </w:r>
    </w:p>
    <w:p>
      <w:r>
        <w:br w:type="page"/>
      </w:r>
    </w:p>
    <w:p>
      <w:pPr>
        <w:pStyle w:val="Date"/>
        <w:spacing w:line="480" w:lineRule="auto"/>
      </w:pPr>
      <w:r>
        <w:t xml:space="preserve">2025-12-31</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bookmarkStart w:id="68" w:name="chapter-1.-introduction"/>
    <w:p>
      <w:pPr>
        <w:pStyle w:val="Heading1"/>
        <w:spacing w:line="480" w:lineRule="auto"/>
      </w:pPr>
      <w:r>
        <w:t xml:space="preserve">Chapter 1. Introduction</w:t>
      </w:r>
    </w:p>
    <w:bookmarkStart w:id="61" w:name="the-problem-and-its-stakes"/>
    <w:p>
      <w:pPr>
        <w:pStyle w:val="Heading2"/>
        <w:spacing w:line="480" w:lineRule="auto"/>
      </w:pPr>
      <w:r>
        <w:t xml:space="preserve">1.1 The Problem and Its Stakes</w:t>
      </w:r>
    </w:p>
    <w:p>
      <w:pPr>
        <w:pStyle w:val="FirstParagraph"/>
        <w:spacing w:line="480" w:lineRule="auto"/>
      </w:pPr>
      <w:r>
        <w:t xml:space="preserve">The recurring cost of a planetary science instrument is a first-order determinant of what a mission can achieve. It governs how many instruments a science payload can carry, how aggressively a project can be descoped when a budget envelope tightens, and how an acquisition office sequences a build line across successive flight opportunities. When a project review forces a choice between a second spectrometer and a margin reserve, the number that decides the question is an estimate of recurring instrument cost. That estimate is therefore not a back-office accounting artifact. It is a binding constraint on the scientific reach of NASA’s planetary program and, by extension, on the engineering and operations workload that the Jet Propulsion Laboratory and its peer centers carry across a flight’s lifetime.</w:t>
      </w:r>
    </w:p>
    <w:p>
      <w:pPr>
        <w:pStyle w:val="BodyText"/>
        <w:spacing w:line="480" w:lineRule="auto"/>
        <w:ind w:firstLine="720"/>
      </w:pPr>
      <w:r>
        <w:t xml:space="preserve">The standard way to produce that estimate treats each instrument as substantially unique. Parametric cost models estimate recurring cost from the physical and programmatic attributes of the article, above all its mass, its technology readiness, and its design heritage, and they treat the article as a bespoke, first-of-a-kind object. The most explicit version of this posture appears where a manufacturing-cost approximation is constructed precisely because it could not rest on previous spacecraft production experience, the article in question being a genuinely singular system with no production lineage to draw on</w:t>
      </w:r>
      <w:r>
        <w:t xml:space="preserve"> </w:t>
      </w:r>
      <w:hyperlink w:anchor="ref-1">
        <w:r>
          <w:rPr>
            <w:rStyle w:val="Hyperlink"/>
          </w:rPr>
          <w:t xml:space="preserve">[1]</w:t>
        </w:r>
      </w:hyperlink>
      <w:r>
        <w:t xml:space="preserve">. The discipline that NASA’s cost community has built around this posture is real and mature. The NASA Instrument Cost Model encodes cost-estimating relationships calibrated across decades of flight instruments</w:t>
      </w:r>
      <w:r>
        <w:t xml:space="preserve"> </w:t>
      </w:r>
      <w:hyperlink w:anchor="ref-7">
        <w:r>
          <w:rPr>
            <w:rStyle w:val="Hyperlink"/>
          </w:rPr>
          <w:t xml:space="preserve">[7]</w:t>
        </w:r>
      </w:hyperlink>
      <w:r>
        <w:t xml:space="preserve">, the cost-time trend studies that accompany it document how dollar-per-kilogram has moved across instrument classes over thirty years of flight history</w:t>
      </w:r>
      <w:r>
        <w:t xml:space="preserve"> </w:t>
      </w:r>
      <w:hyperlink w:anchor="ref-8">
        <w:r>
          <w:rPr>
            <w:rStyle w:val="Hyperlink"/>
          </w:rPr>
          <w:t xml:space="preserve">[8]</w:t>
        </w:r>
      </w:hyperlink>
      <w:r>
        <w:t xml:space="preserve">, and independent blind validation of parametric tools such as SEER-H confirms that mass-anchored, cross-sectional estimation predicts space-mission cost with usable accuracy</w:t>
      </w:r>
      <w:r>
        <w:t xml:space="preserve"> </w:t>
      </w:r>
      <w:hyperlink w:anchor="ref-9">
        <w:r>
          <w:rPr>
            <w:rStyle w:val="Hyperlink"/>
          </w:rPr>
          <w:t xml:space="preserve">[9]</w:t>
        </w:r>
      </w:hyperlink>
      <w:r>
        <w:t xml:space="preserve">. These are the instruments of a working profession, not a strawman.</w:t>
      </w:r>
    </w:p>
    <w:p>
      <w:pPr>
        <w:pStyle w:val="BodyText"/>
        <w:spacing w:line="480" w:lineRule="auto"/>
        <w:ind w:firstLine="720"/>
      </w:pPr>
      <w:r>
        <w:t xml:space="preserve">Parametric estimation as practiced is not the difficulty. What happens when a reasonable modeling choice for a singular article hardens into a default assumption about an entire class of objects is the difficulty. The choice to disclaim production experience is correct for a first-of-a-kind system that has no lineage. It becomes a problem when it is generalized into the premise that planetary instruments never accrue production experience worth modeling, so that the longitudinal dimension of cost, how unit cost moves as a family of related instruments accumulates flight units, is excluded from the estimating apparatus by construction rather than by evidence. If that premise is wrong, the planetary program is leaving a quantifiable cost lever unmeasured, and mission operations and acquisition planning are deprived of a basis for sequencing builds to capture reductions that are actually available.</w:t>
      </w:r>
    </w:p>
    <w:p>
      <w:pPr>
        <w:pStyle w:val="BodyText"/>
        <w:spacing w:line="480" w:lineRule="auto"/>
        <w:ind w:firstLine="720"/>
      </w:pPr>
      <w:r>
        <w:t xml:space="preserve">The stakes of resolving the premise are concrete for NASA and JPL. If recurring planetary instrument cost does fall measurably with cumulative experience within an instrument family, then the agency can sequence instrument builds, favor heritage lines, and stage acquisitions to capture that reduction, and it can carry the expected saving into cost-risk analysis with a defensible magnitude. If, on the other hand, recurring cost is governed by article mass and mission scope and is effectively flat in cumulative units, then the bespoke-article default is vindicated for the objects it was built to price, and effort spent chasing learning savings in short planetary production runs is misdirected. Either answer is operationally useful, but only if it is the product of measurement rather than assumption. The community currently has the assumption without the measurement.</w:t>
      </w:r>
    </w:p>
    <w:bookmarkEnd w:id="61"/>
    <w:bookmarkStart w:id="62" w:name="the-disjuncture-that-motivates-the-work"/>
    <w:p>
      <w:pPr>
        <w:pStyle w:val="Heading2"/>
        <w:spacing w:line="480" w:lineRule="auto"/>
      </w:pPr>
      <w:r>
        <w:t xml:space="preserve">1.2 The Disjuncture That Motivates the Work</w:t>
      </w:r>
    </w:p>
    <w:p>
      <w:pPr>
        <w:pStyle w:val="FirstParagraph"/>
        <w:spacing w:line="480" w:lineRule="auto"/>
      </w:pPr>
      <w:r>
        <w:t xml:space="preserve">The motivation for revisiting the bespoke-article default is that the evidence surrounding it points in two directions at once, and no common measurement reconciles them. Within the planetary instrument community, cost is estimated as if production experience does not occur, for the principled reason that the canonical object of parametric estimation is a singular article</w:t>
      </w:r>
      <w:r>
        <w:t xml:space="preserve"> </w:t>
      </w:r>
      <w:hyperlink w:anchor="ref-1">
        <w:r>
          <w:rPr>
            <w:rStyle w:val="Hyperlink"/>
          </w:rPr>
          <w:t xml:space="preserve">[1]</w:t>
        </w:r>
      </w:hyperlink>
      <w:r>
        <w:t xml:space="preserve">. Yet in adjacent space sectors, production experience is treated as a central and quantifiable cost mechanism. In space situational awareness architecture optimization, the per-unit cost of a fielded sensor is reduced by applying an explicit satellite learning curve as cumulative units grow, and that learning slope is imported as a design input that drives the optimization</w:t>
      </w:r>
      <w:r>
        <w:t xml:space="preserve"> </w:t>
      </w:r>
      <w:hyperlink w:anchor="ref-2">
        <w:r>
          <w:rPr>
            <w:rStyle w:val="Hyperlink"/>
          </w:rPr>
          <w:t xml:space="preserve">[2]</w:t>
        </w:r>
      </w:hyperlink>
      <w:r>
        <w:t xml:space="preserve">. The same architecture tradition recurs across the space-domain-awareness literature, where fielded-sensor and constellation cost is repeatedly modeled as declining with scale</w:t>
      </w:r>
      <w:r>
        <w:t xml:space="preserve"> </w:t>
      </w:r>
      <w:hyperlink w:anchor="ref-12">
        <w:r>
          <w:rPr>
            <w:rStyle w:val="Hyperlink"/>
          </w:rPr>
          <w:t xml:space="preserve">[12]</w:t>
        </w:r>
      </w:hyperlink>
      <w:r>
        <w:t xml:space="preserve">,</w:t>
      </w:r>
      <w:r>
        <w:t xml:space="preserve"> </w:t>
      </w:r>
      <w:hyperlink w:anchor="ref-14">
        <w:r>
          <w:rPr>
            <w:rStyle w:val="Hyperlink"/>
          </w:rPr>
          <w:t xml:space="preserve">[14]</w:t>
        </w:r>
      </w:hyperlink>
      <w:r>
        <w:t xml:space="preserve">. At the sector level, forecasts of the space economy attribute falling space-system costs to maturing manufacturing practice alongside declining launch cost</w:t>
      </w:r>
      <w:r>
        <w:t xml:space="preserve"> </w:t>
      </w:r>
      <w:hyperlink w:anchor="ref-3">
        <w:r>
          <w:rPr>
            <w:rStyle w:val="Hyperlink"/>
          </w:rPr>
          <w:t xml:space="preserve">[3]</w:t>
        </w:r>
      </w:hyperlink>
      <w:r>
        <w:t xml:space="preserve">,</w:t>
      </w:r>
      <w:r>
        <w:t xml:space="preserve"> </w:t>
      </w:r>
      <w:hyperlink w:anchor="ref-10">
        <w:r>
          <w:rPr>
            <w:rStyle w:val="Hyperlink"/>
          </w:rPr>
          <w:t xml:space="preserve">[10]</w:t>
        </w:r>
      </w:hyperlink>
      <w:r>
        <w:t xml:space="preserve">, and reference cost curves trace declining unit costs for both heavy launch and communications satellites as those sectors mature</w:t>
      </w:r>
      <w:r>
        <w:t xml:space="preserve"> </w:t>
      </w:r>
      <w:hyperlink w:anchor="ref-4">
        <w:r>
          <w:rPr>
            <w:rStyle w:val="Hyperlink"/>
          </w:rPr>
          <w:t xml:space="preserve">[4]</w:t>
        </w:r>
      </w:hyperlink>
      <w:r>
        <w:t xml:space="preserve">. The disruption literature in Earth observation frames manufacturer cost reduction as a competitive lever, while noting candidly that some technical drivers, such as mirror mass, resist learning entirely and impose a floor that production experience cannot relax</w:t>
      </w:r>
      <w:r>
        <w:t xml:space="preserve"> </w:t>
      </w:r>
      <w:hyperlink w:anchor="ref-5">
        <w:r>
          <w:rPr>
            <w:rStyle w:val="Hyperlink"/>
          </w:rPr>
          <w:t xml:space="preserve">[5]</w:t>
        </w:r>
      </w:hyperlink>
      <w:r>
        <w:t xml:space="preserve">.</w:t>
      </w:r>
    </w:p>
    <w:p>
      <w:pPr>
        <w:pStyle w:val="BodyText"/>
        <w:spacing w:line="480" w:lineRule="auto"/>
        <w:ind w:firstLine="720"/>
      </w:pPr>
      <w:r>
        <w:t xml:space="preserve">One community therefore estimates cost as if learning does not happen, while neighboring communities treat learning as the active cost mechanism and build it into their architectures by assumption. This is the disjuncture that the dissertation confronts. It is not a disagreement about facts so much as a gap in measurement: the slope that one tradition disclaims is the slope that the other imports, and neither side has estimated it for the specific, low-volume case of planetary instruments, where production runs are short and heritage transfer between successive flight units is partial. The question the dissertation poses is whether the planetary instrument case is genuinely exceptional, an object class that sits outside the regime where learning operates, or merely under-measured, a place where a real but moderate learning effect has gone unestimated because the dominant estimating tradition was never built to look for it.</w:t>
      </w:r>
    </w:p>
    <w:bookmarkEnd w:id="62"/>
    <w:bookmarkStart w:id="63" w:name="X164893b3b32aafee5576035948bb293e32b21f3"/>
    <w:p>
      <w:pPr>
        <w:pStyle w:val="Heading2"/>
        <w:spacing w:line="480" w:lineRule="auto"/>
      </w:pPr>
      <w:r>
        <w:t xml:space="preserve">1.3 The Gap Between the Domain Literature and the Econometric Method</w:t>
      </w:r>
    </w:p>
    <w:p>
      <w:pPr>
        <w:pStyle w:val="FirstParagraph"/>
        <w:spacing w:line="480" w:lineRule="auto"/>
      </w:pPr>
      <w:r>
        <w:t xml:space="preserve">The gap that the dissertation fills is precise, and it lives at the seam between two literatures that do not meet. On one side is the domain literature on space-system cost. This body of work is rigorous on the cross-sectional determinants of cost. It establishes that mass is the dominant cost gradient for space articles</w:t>
      </w:r>
      <w:r>
        <w:t xml:space="preserve"> </w:t>
      </w:r>
      <w:hyperlink w:anchor="ref-1">
        <w:r>
          <w:rPr>
            <w:rStyle w:val="Hyperlink"/>
          </w:rPr>
          <w:t xml:space="preserve">[1]</w:t>
        </w:r>
      </w:hyperlink>
      <w:r>
        <w:t xml:space="preserve">,</w:t>
      </w:r>
      <w:r>
        <w:t xml:space="preserve"> </w:t>
      </w:r>
      <w:hyperlink w:anchor="ref-9">
        <w:r>
          <w:rPr>
            <w:rStyle w:val="Hyperlink"/>
          </w:rPr>
          <w:t xml:space="preserve">[9]</w:t>
        </w:r>
      </w:hyperlink>
      <w:r>
        <w:t xml:space="preserve">, it encodes that relationship in operational cost models calibrated on real instrument populations</w:t>
      </w:r>
      <w:r>
        <w:t xml:space="preserve"> </w:t>
      </w:r>
      <w:hyperlink w:anchor="ref-7">
        <w:r>
          <w:rPr>
            <w:rStyle w:val="Hyperlink"/>
          </w:rPr>
          <w:t xml:space="preserve">[7]</w:t>
        </w:r>
      </w:hyperlink>
      <w:r>
        <w:t xml:space="preserve">,</w:t>
      </w:r>
      <w:r>
        <w:t xml:space="preserve"> </w:t>
      </w:r>
      <w:hyperlink w:anchor="ref-8">
        <w:r>
          <w:rPr>
            <w:rStyle w:val="Hyperlink"/>
          </w:rPr>
          <w:t xml:space="preserve">[8]</w:t>
        </w:r>
      </w:hyperlink>
      <w:r>
        <w:t xml:space="preserve">, and it extends the parametric approach to adjacent problems from hypersonic vehicle development cost</w:t>
      </w:r>
      <w:r>
        <w:t xml:space="preserve"> </w:t>
      </w:r>
      <w:hyperlink w:anchor="ref-24">
        <w:r>
          <w:rPr>
            <w:rStyle w:val="Hyperlink"/>
          </w:rPr>
          <w:t xml:space="preserve">[24]</w:t>
        </w:r>
      </w:hyperlink>
      <w:r>
        <w:t xml:space="preserve"> </w:t>
      </w:r>
      <w:r>
        <w:t xml:space="preserve">to asteroid-mining and space-resource architectures</w:t>
      </w:r>
      <w:r>
        <w:t xml:space="preserve"> </w:t>
      </w:r>
      <w:hyperlink w:anchor="ref-11">
        <w:r>
          <w:rPr>
            <w:rStyle w:val="Hyperlink"/>
          </w:rPr>
          <w:t xml:space="preserve">[11]</w:t>
        </w:r>
      </w:hyperlink>
      <w:r>
        <w:t xml:space="preserve">,</w:t>
      </w:r>
      <w:r>
        <w:t xml:space="preserve"> </w:t>
      </w:r>
      <w:hyperlink w:anchor="ref-20">
        <w:r>
          <w:rPr>
            <w:rStyle w:val="Hyperlink"/>
          </w:rPr>
          <w:t xml:space="preserve">[20]</w:t>
        </w:r>
      </w:hyperlink>
      <w:r>
        <w:t xml:space="preserve">,</w:t>
      </w:r>
      <w:r>
        <w:t xml:space="preserve"> </w:t>
      </w:r>
      <w:hyperlink w:anchor="ref-22">
        <w:r>
          <w:rPr>
            <w:rStyle w:val="Hyperlink"/>
          </w:rPr>
          <w:t xml:space="preserve">[22]</w:t>
        </w:r>
      </w:hyperlink>
      <w:r>
        <w:t xml:space="preserve">. But this literature is, by construction, nearly silent on the longitudinal effect of cumulative production. Its canonical objects are singular, so the question of how cost moves as a family accumulates units does not arise within its frame. Where the broader space-manufacturing literature does engage production, it does so through the lens of process change, such as the adoption of additive manufacturing for spacecraft components</w:t>
      </w:r>
      <w:r>
        <w:t xml:space="preserve"> </w:t>
      </w:r>
      <w:hyperlink w:anchor="ref-25">
        <w:r>
          <w:rPr>
            <w:rStyle w:val="Hyperlink"/>
          </w:rPr>
          <w:t xml:space="preserve">[25]</w:t>
        </w:r>
      </w:hyperlink>
      <w:r>
        <w:t xml:space="preserve">, rather than through an estimated experience elasticity.</w:t>
      </w:r>
    </w:p>
    <w:p>
      <w:pPr>
        <w:pStyle w:val="BodyText"/>
        <w:spacing w:line="480" w:lineRule="auto"/>
        <w:ind w:firstLine="720"/>
      </w:pPr>
      <w:r>
        <w:t xml:space="preserve">On the other side is the econometric method literature on learning curves. The Wright learning curve, the workhorse of that literature, holds that unit cost declines by a constant fraction with each doubling of cumulative output, so that the logarithm of unit cost is linear in the logarithm of cumulative units, and the slope of that line is an elasticity that maps directly to a learning rate. This is a mature and well-specified estimation framework with a century of application across manufacturing settings. The problem is that where the space literature touches it, it touches it as an input rather than an estimand. The architecture-optimization tradition imports a learning slope to drive a design choice</w:t>
      </w:r>
      <w:r>
        <w:t xml:space="preserve"> </w:t>
      </w:r>
      <w:hyperlink w:anchor="ref-2">
        <w:r>
          <w:rPr>
            <w:rStyle w:val="Hyperlink"/>
          </w:rPr>
          <w:t xml:space="preserve">[2]</w:t>
        </w:r>
      </w:hyperlink>
      <w:r>
        <w:t xml:space="preserve">,</w:t>
      </w:r>
      <w:r>
        <w:t xml:space="preserve"> </w:t>
      </w:r>
      <w:hyperlink w:anchor="ref-12">
        <w:r>
          <w:rPr>
            <w:rStyle w:val="Hyperlink"/>
          </w:rPr>
          <w:t xml:space="preserve">[12]</w:t>
        </w:r>
      </w:hyperlink>
      <w:r>
        <w:t xml:space="preserve">, but it does not estimate that slope from planetary instrument data and does not test it against a null of no learning. The slope is asserted where it is analytically convenient and disclaimed where it is inconvenient, with no estimation reconciling the two postures.</w:t>
      </w:r>
    </w:p>
    <w:p>
      <w:pPr>
        <w:pStyle w:val="BodyText"/>
        <w:spacing w:line="480" w:lineRule="auto"/>
        <w:ind w:firstLine="720"/>
      </w:pPr>
      <w:r>
        <w:t xml:space="preserve">The gap, then, is neither a missing dataset nor a missing method. It is a missing estimate. No existing study reports the elasticity of recurring planetary instrument cost with respect to cumulative units produced within an instrument family, estimated from data rather than assumed, and tested against a null of zero. The domain literature has the data tradition but not the longitudinal question; the method literature has the longitudinal question but not the planetary application. The dissertation joins them by carrying the Wright specification, properly identified and properly tested, into the planetary instrument case, and by reporting the resulting elasticity with the uncertainty that an honest estimate carries. Filling this gap reconciles the disclaiming posture of the parametric tradition</w:t>
      </w:r>
      <w:r>
        <w:t xml:space="preserve"> </w:t>
      </w:r>
      <w:hyperlink w:anchor="ref-1">
        <w:r>
          <w:rPr>
            <w:rStyle w:val="Hyperlink"/>
          </w:rPr>
          <w:t xml:space="preserve">[1]</w:t>
        </w:r>
      </w:hyperlink>
      <w:r>
        <w:t xml:space="preserve"> </w:t>
      </w:r>
      <w:r>
        <w:t xml:space="preserve">with the assuming posture of the architecture tradition</w:t>
      </w:r>
      <w:r>
        <w:t xml:space="preserve"> </w:t>
      </w:r>
      <w:hyperlink w:anchor="ref-2">
        <w:r>
          <w:rPr>
            <w:rStyle w:val="Hyperlink"/>
          </w:rPr>
          <w:t xml:space="preserve">[2]</w:t>
        </w:r>
      </w:hyperlink>
      <w:r>
        <w:t xml:space="preserve"> </w:t>
      </w:r>
      <w:r>
        <w:t xml:space="preserve">on a single empirical footing, so that the question of whether planetary instruments learn is settled by measurement rather than by the convenience of the modeler.</w:t>
      </w:r>
    </w:p>
    <w:bookmarkEnd w:id="63"/>
    <w:bookmarkStart w:id="64" w:name="the-single-falsifiable-contribution"/>
    <w:p>
      <w:pPr>
        <w:pStyle w:val="Heading2"/>
        <w:spacing w:line="480" w:lineRule="auto"/>
      </w:pPr>
      <w:r>
        <w:t xml:space="preserve">1.4 The Single Falsifiable Contribution</w:t>
      </w:r>
    </w:p>
    <w:p>
      <w:pPr>
        <w:pStyle w:val="FirstParagraph"/>
        <w:spacing w:line="480" w:lineRule="auto"/>
      </w:pPr>
      <w:r>
        <w:t xml:space="preserve">The contribution of the dissertation is a single estimated parameter, stated precisely so that it can be falsified. Write recurring unit cost as a log-linear function of cumulative production experience in the canonical Wright form,</w:t>
      </w:r>
    </w:p>
    <w:p>
      <w:pPr>
        <w:pStyle w:val="BodyText"/>
        <w:spacing w:line="480" w:lineRule="auto"/>
        <w:ind w:firstLine="720"/>
      </w:pPr>
      <w:r>
        <w:t xml:space="preserve">log(unit cost) = a + b log(cumulative units) + controls,</w:t>
      </w:r>
    </w:p>
    <w:p>
      <w:pPr>
        <w:pStyle w:val="BodyText"/>
        <w:spacing w:line="480" w:lineRule="auto"/>
        <w:ind w:firstLine="720"/>
      </w:pPr>
      <w:r>
        <w:t xml:space="preserve">where the coefficient b on log cumulative units is the production-experience elasticity of recurring planetary instrument cost. The elasticity maps directly to a learning rate through the identity L = 2^b, the factor by which unit cost is multiplied when cumulative production doubles, so that b = 0 implies no learning and b &lt; 0 implies that cost falls with cumulative experience. The contribution is to estimate b for planetary instruments, report it with its standard error and confidence interval, and test it against a sharp null.</w:t>
      </w:r>
    </w:p>
    <w:p>
      <w:pPr>
        <w:pStyle w:val="Compact"/>
        <w:spacing w:line="480" w:lineRule="auto"/>
        <w:numPr>
          <w:ilvl w:val="0"/>
          <w:numId w:val="1001"/>
        </w:numPr>
      </w:pPr>
      <w:r>
        <w:rPr>
          <w:b/>
          <w:bCs/>
        </w:rPr>
        <w:t xml:space="preserve">H0 (null):</w:t>
      </w:r>
      <w:r>
        <w:t xml:space="preserve"> </w:t>
      </w:r>
      <w:r>
        <w:t xml:space="preserve">b = 0. Recurring planetary instrument cost does not decline with cumulative units produced within an instrument family once article-level cost drivers are held fixed. The bespoke-article view</w:t>
      </w:r>
      <w:r>
        <w:t xml:space="preserve"> </w:t>
      </w:r>
      <w:hyperlink w:anchor="ref-1">
        <w:r>
          <w:rPr>
            <w:rStyle w:val="Hyperlink"/>
          </w:rPr>
          <w:t xml:space="preserve">[1]</w:t>
        </w:r>
      </w:hyperlink>
      <w:r>
        <w:t xml:space="preserve"> </w:t>
      </w:r>
      <w:r>
        <w:t xml:space="preserve">generalizes, and the satellite learning curve imported by the architecture literature</w:t>
      </w:r>
      <w:r>
        <w:t xml:space="preserve"> </w:t>
      </w:r>
      <w:hyperlink w:anchor="ref-2">
        <w:r>
          <w:rPr>
            <w:rStyle w:val="Hyperlink"/>
          </w:rPr>
          <w:t xml:space="preserve">[2]</w:t>
        </w:r>
      </w:hyperlink>
      <w:r>
        <w:t xml:space="preserve"> </w:t>
      </w:r>
      <w:r>
        <w:t xml:space="preserve">does not transfer to planetary instruments.</w:t>
      </w:r>
    </w:p>
    <w:p>
      <w:pPr>
        <w:pStyle w:val="Compact"/>
        <w:spacing w:line="480" w:lineRule="auto"/>
        <w:numPr>
          <w:ilvl w:val="0"/>
          <w:numId w:val="1001"/>
        </w:numPr>
      </w:pPr>
      <w:r>
        <w:rPr>
          <w:b/>
          <w:bCs/>
        </w:rPr>
        <w:t xml:space="preserve">H1 (alternative):</w:t>
      </w:r>
      <w:r>
        <w:t xml:space="preserve"> </w:t>
      </w:r>
      <w:r>
        <w:t xml:space="preserve">b &lt; 0. Recurring cost declines measurably with cumulative units, yielding a learning rate L = 2^b &lt; 1 that is statistically distinguishable from unity and stable across reasonable specifications.</w:t>
      </w:r>
    </w:p>
    <w:p>
      <w:pPr>
        <w:pStyle w:val="FirstParagraph"/>
        <w:spacing w:line="480" w:lineRule="auto"/>
      </w:pPr>
      <w:r>
        <w:t xml:space="preserve">The hypothesis is falsifiable in both directions, which is the property that makes it a genuine contribution rather than a foregone conclusion. A precisely estimated b that is indistinguishable from zero falsifies H1 and substantiates the bespoke-article default for the objects it was built to price. A reliably negative b falsifies H0 and supplies the missing slope that the architecture literature currently imports by assumption</w:t>
      </w:r>
      <w:r>
        <w:t xml:space="preserve"> </w:t>
      </w:r>
      <w:hyperlink w:anchor="ref-2">
        <w:r>
          <w:rPr>
            <w:rStyle w:val="Hyperlink"/>
          </w:rPr>
          <w:t xml:space="preserve">[2]</w:t>
        </w:r>
      </w:hyperlink>
      <w:r>
        <w:t xml:space="preserve">. The dissertation does not presuppose which way the test will fall. It commits in advance to the parameter, the null, the data, and the estimator, and it reports whatever the data return, including the case in which the estimate is directionally suggestive but too imprecise to reject the null. That commitment to a single, pre-specified, two-sided-falsifiable parameter is the spine of the work.</w:t>
      </w:r>
    </w:p>
    <w:p>
      <w:pPr>
        <w:pStyle w:val="BodyText"/>
        <w:spacing w:line="480" w:lineRule="auto"/>
        <w:ind w:firstLine="720"/>
      </w:pPr>
      <w:r>
        <w:t xml:space="preserve">The contribution is sharpened by being pursued at two altitudes that interrogate the same parameter from opposite directions. The first study estimates the within-line Wright slope along single instrument lineages, holding the design as nearly fixed as the historical record allows, so that any cost movement is identified from the accumulation of units within a family rather than from comparisons across dissimilar instruments. The second study widens the lens to a cross-family panel of planetary and space-system builds and asks the conditional question that the parametric tradition makes central: once article mass is controlled, does cumulative experience carry any independent cost information at all, Posing the question at both altitudes is itself part of the contribution, because it separates a within-line learning effect, if one exists, from the whole-system regime in which mass dominates and a short production run leaves little room for experience to compound. The single parameter b is the object of inquiry; the two altitudes are the means by which its presence, magnitude, and scope are pinned down rather than asserted.</w:t>
      </w:r>
    </w:p>
    <w:bookmarkEnd w:id="64"/>
    <w:bookmarkStart w:id="65" w:name="identification-and-why-it-is-credible"/>
    <w:p>
      <w:pPr>
        <w:pStyle w:val="Heading2"/>
        <w:spacing w:line="480" w:lineRule="auto"/>
      </w:pPr>
      <w:r>
        <w:t xml:space="preserve">1.5 Identification and Why It Is Credible</w:t>
      </w:r>
    </w:p>
    <w:p>
      <w:pPr>
        <w:pStyle w:val="FirstParagraph"/>
        <w:spacing w:line="480" w:lineRule="auto"/>
      </w:pPr>
      <w:r>
        <w:t xml:space="preserve">A null of zero learning is only worth testing if the estimate that confronts it is credibly identified, and the identification strategy is therefore stated at the outset. The estimand of the within-line study is the slope of log recurring cost on log cumulative units within an instrument family. Identification rests on longitudinal variation in cumulative count within families of related instruments, successive flight units of a spectrometer, imager, or magnetometer line that share a common design lineage, while holding constant the cross-sectional cost drivers that the parametric tradition shows to dominate first-unit cost</w:t>
      </w:r>
      <w:r>
        <w:t xml:space="preserve"> </w:t>
      </w:r>
      <w:hyperlink w:anchor="ref-1">
        <w:r>
          <w:rPr>
            <w:rStyle w:val="Hyperlink"/>
          </w:rPr>
          <w:t xml:space="preserve">[1]</w:t>
        </w:r>
      </w:hyperlink>
      <w:r>
        <w:t xml:space="preserve">,</w:t>
      </w:r>
      <w:r>
        <w:t xml:space="preserve"> </w:t>
      </w:r>
      <w:hyperlink w:anchor="ref-9">
        <w:r>
          <w:rPr>
            <w:rStyle w:val="Hyperlink"/>
          </w:rPr>
          <w:t xml:space="preserve">[9]</w:t>
        </w:r>
      </w:hyperlink>
      <w:r>
        <w:t xml:space="preserve">. Instrument-family structure absorbs time-invariant family characteristics such as instrument class, core technology, and prime builder, so that the elasticity is identified from the change in cost as a family accumulates units rather than from heterogeneity across families. Article-level controls for mass, technology readiness, and design heritage, the same covariates the parametric literature relies on, are entered to prevent the confounding of learning with article-to-article specification change.</w:t>
      </w:r>
    </w:p>
    <w:p>
      <w:pPr>
        <w:pStyle w:val="BodyText"/>
        <w:spacing w:line="480" w:lineRule="auto"/>
        <w:ind w:firstLine="720"/>
      </w:pPr>
      <w:r>
        <w:t xml:space="preserve">The cross-family study confronts the same parameter with a different and equally important threat. There, the central concern is that mass, the gradient the parametric tradition treats as binding</w:t>
      </w:r>
      <w:r>
        <w:t xml:space="preserve"> </w:t>
      </w:r>
      <w:hyperlink w:anchor="ref-1">
        <w:r>
          <w:rPr>
            <w:rStyle w:val="Hyperlink"/>
          </w:rPr>
          <w:t xml:space="preserve">[1]</w:t>
        </w:r>
      </w:hyperlink>
      <w:r>
        <w:t xml:space="preserve">,</w:t>
      </w:r>
      <w:r>
        <w:t xml:space="preserve"> </w:t>
      </w:r>
      <w:hyperlink w:anchor="ref-9">
        <w:r>
          <w:rPr>
            <w:rStyle w:val="Hyperlink"/>
          </w:rPr>
          <w:t xml:space="preserve">[9]</w:t>
        </w:r>
      </w:hyperlink>
      <w:r>
        <w:t xml:space="preserve">, will swamp any experience signal. The identification strategy is to estimate the experience elasticity as a partial coefficient, conditioning explicitly on log mass and on whether the article is a recurring build off an existing design, so that the experience term is asked to carry only the cost information that mass does not already explain. Real mass variation spanning roughly two orders of magnitude across the panel identifies the mass elasticity, while variation in cumulative-unit position across and within families identifies the experience term. The two studies together bound the parameter from above and below: the within-line study looks for learning where the design is held fixed and units accumulate, and the cross-family study tests whether any such learning survives once the dominant mass gradient is partialled out. Several robustness layers guard the estimate in both, including a cumulative-average specification alongside the unit-cost form, an external sanity check against the direction of the sector-level cost-curve trends</w:t>
      </w:r>
      <w:r>
        <w:t xml:space="preserve"> </w:t>
      </w:r>
      <w:hyperlink w:anchor="ref-4">
        <w:r>
          <w:rPr>
            <w:rStyle w:val="Hyperlink"/>
          </w:rPr>
          <w:t xml:space="preserve">[4]</w:t>
        </w:r>
      </w:hyperlink>
      <w:r>
        <w:t xml:space="preserve">, and a frontier-attenuation allowance that respects the technical floors the Earth-observation literature documents</w:t>
      </w:r>
      <w:r>
        <w:t xml:space="preserve"> </w:t>
      </w:r>
      <w:hyperlink w:anchor="ref-5">
        <w:r>
          <w:rPr>
            <w:rStyle w:val="Hyperlink"/>
          </w:rPr>
          <w:t xml:space="preserve">[5]</w:t>
        </w:r>
      </w:hyperlink>
      <w:r>
        <w:t xml:space="preserve">, so that the regression does not attribute an irreducible technical cost to spurious learning.</w:t>
      </w:r>
    </w:p>
    <w:bookmarkEnd w:id="65"/>
    <w:bookmarkStart w:id="66" w:name="data-and-provenance-in-brief"/>
    <w:p>
      <w:pPr>
        <w:pStyle w:val="Heading2"/>
        <w:spacing w:line="480" w:lineRule="auto"/>
      </w:pPr>
      <w:r>
        <w:t xml:space="preserve">1.6 Data and Provenance in Brief</w:t>
      </w:r>
    </w:p>
    <w:p>
      <w:pPr>
        <w:pStyle w:val="FirstParagraph"/>
        <w:spacing w:line="480" w:lineRule="auto"/>
      </w:pPr>
      <w:r>
        <w:t xml:space="preserve">The empirical claims rest on panels that are auditable rather than proprietary, a property that is itself a methodological commitment. The within-line study draws on a panel of planetary instrument flight units reconstructed from public and community-accessible sources: instrument-family lineage and build sequence from the NASA Space Science Data Coordinated Archive and from instrument-team project history and publications, and recurring cost reconstructed transparently from the NASA Instrument Cost Model estimating relationships</w:t>
      </w:r>
      <w:r>
        <w:t xml:space="preserve"> </w:t>
      </w:r>
      <w:hyperlink w:anchor="ref-7">
        <w:r>
          <w:rPr>
            <w:rStyle w:val="Hyperlink"/>
          </w:rPr>
          <w:t xml:space="preserve">[7]</w:t>
        </w:r>
      </w:hyperlink>
      <w:r>
        <w:t xml:space="preserve"> </w:t>
      </w:r>
      <w:r>
        <w:t xml:space="preserve">along the documented class-level dollar-per-kilogram trend reported over thirty years of flight history</w:t>
      </w:r>
      <w:r>
        <w:t xml:space="preserve"> </w:t>
      </w:r>
      <w:hyperlink w:anchor="ref-8">
        <w:r>
          <w:rPr>
            <w:rStyle w:val="Hyperlink"/>
          </w:rPr>
          <w:t xml:space="preserve">[8]</w:t>
        </w:r>
      </w:hyperlink>
      <w:r>
        <w:t xml:space="preserve">, with family anchors taken from public mission and contract records. The reconstruction deliberately embeds no learning slope; the cross-sectional cost model is applied to documented mass and the published trend, so that any experience effect which emerges is identified from real build order rather than imposed by the construction. The cross-family study draws per-unit recurring cost, article mass, and build sequence from mission press kits, independent cost analyses, the NASA Space Science Data Coordinated Archive master catalog, and allied public records, with every per-unit figure either directly reported or derived by transparent division of a documented program envelope by its delivered unit count. No proprietary contractor cost is used in either panel, and each row names its sources, so that any figure on the page is traceable to its origin and the analysis is independently reproducible.</w:t>
      </w:r>
    </w:p>
    <w:bookmarkEnd w:id="66"/>
    <w:bookmarkStart w:id="67" w:name="roadmap-of-the-dissertation"/>
    <w:p>
      <w:pPr>
        <w:pStyle w:val="Heading2"/>
        <w:spacing w:line="480" w:lineRule="auto"/>
      </w:pPr>
      <w:r>
        <w:t xml:space="preserve">1.7 Roadmap of the Dissertation</w:t>
      </w:r>
    </w:p>
    <w:p>
      <w:pPr>
        <w:pStyle w:val="FirstParagraph"/>
        <w:spacing w:line="480" w:lineRule="auto"/>
      </w:pPr>
      <w:r>
        <w:t xml:space="preserve">The remainder of the dissertation proceeds as follows.</w:t>
      </w:r>
    </w:p>
    <w:p>
      <w:pPr>
        <w:pStyle w:val="BodyText"/>
        <w:spacing w:line="480" w:lineRule="auto"/>
        <w:ind w:firstLine="720"/>
      </w:pPr>
      <w:r>
        <w:rPr>
          <w:b/>
          <w:bCs/>
        </w:rPr>
        <w:t xml:space="preserve">Chapter 2</w:t>
      </w:r>
      <w:r>
        <w:t xml:space="preserve"> </w:t>
      </w:r>
      <w:r>
        <w:t xml:space="preserve">situates the work in its two parent literatures and makes the seam between them explicit. It reviews the parametric and instrument cost-estimation tradition, including the NASA Instrument Cost Model and its cost-time trend studies</w:t>
      </w:r>
      <w:r>
        <w:t xml:space="preserve"> </w:t>
      </w:r>
      <w:hyperlink w:anchor="ref-7">
        <w:r>
          <w:rPr>
            <w:rStyle w:val="Hyperlink"/>
          </w:rPr>
          <w:t xml:space="preserve">[7]</w:t>
        </w:r>
      </w:hyperlink>
      <w:r>
        <w:t xml:space="preserve">,</w:t>
      </w:r>
      <w:r>
        <w:t xml:space="preserve"> </w:t>
      </w:r>
      <w:hyperlink w:anchor="ref-8">
        <w:r>
          <w:rPr>
            <w:rStyle w:val="Hyperlink"/>
          </w:rPr>
          <w:t xml:space="preserve">[8]</w:t>
        </w:r>
      </w:hyperlink>
      <w:r>
        <w:t xml:space="preserve"> </w:t>
      </w:r>
      <w:r>
        <w:t xml:space="preserve">and the blind validation of parametric tools for NASA missions</w:t>
      </w:r>
      <w:r>
        <w:t xml:space="preserve"> </w:t>
      </w:r>
      <w:hyperlink w:anchor="ref-9">
        <w:r>
          <w:rPr>
            <w:rStyle w:val="Hyperlink"/>
          </w:rPr>
          <w:t xml:space="preserve">[9]</w:t>
        </w:r>
      </w:hyperlink>
      <w:r>
        <w:t xml:space="preserve">, and it reviews the learning-curve and architecture-optimization tradition that imports a satellite learning slope as a design input</w:t>
      </w:r>
      <w:r>
        <w:t xml:space="preserve"> </w:t>
      </w:r>
      <w:hyperlink w:anchor="ref-2">
        <w:r>
          <w:rPr>
            <w:rStyle w:val="Hyperlink"/>
          </w:rPr>
          <w:t xml:space="preserve">[2]</w:t>
        </w:r>
      </w:hyperlink>
      <w:r>
        <w:t xml:space="preserve">,</w:t>
      </w:r>
      <w:r>
        <w:t xml:space="preserve"> </w:t>
      </w:r>
      <w:hyperlink w:anchor="ref-12">
        <w:r>
          <w:rPr>
            <w:rStyle w:val="Hyperlink"/>
          </w:rPr>
          <w:t xml:space="preserve">[12]</w:t>
        </w:r>
      </w:hyperlink>
      <w:r>
        <w:t xml:space="preserve">. It then locates the sector-level cost-decline evidence</w:t>
      </w:r>
      <w:r>
        <w:t xml:space="preserve"> </w:t>
      </w:r>
      <w:hyperlink w:anchor="ref-3">
        <w:r>
          <w:rPr>
            <w:rStyle w:val="Hyperlink"/>
          </w:rPr>
          <w:t xml:space="preserve">[3]</w:t>
        </w:r>
      </w:hyperlink>
      <w:r>
        <w:t xml:space="preserve">,</w:t>
      </w:r>
      <w:r>
        <w:t xml:space="preserve"> </w:t>
      </w:r>
      <w:hyperlink w:anchor="ref-4">
        <w:r>
          <w:rPr>
            <w:rStyle w:val="Hyperlink"/>
          </w:rPr>
          <w:t xml:space="preserve">[4]</w:t>
        </w:r>
      </w:hyperlink>
      <w:r>
        <w:t xml:space="preserve">,</w:t>
      </w:r>
      <w:r>
        <w:t xml:space="preserve"> </w:t>
      </w:r>
      <w:hyperlink w:anchor="ref-10">
        <w:r>
          <w:rPr>
            <w:rStyle w:val="Hyperlink"/>
          </w:rPr>
          <w:t xml:space="preserve">[10]</w:t>
        </w:r>
      </w:hyperlink>
      <w:r>
        <w:t xml:space="preserve"> </w:t>
      </w:r>
      <w:r>
        <w:t xml:space="preserve">and the technical-floor caveat from Earth observation</w:t>
      </w:r>
      <w:r>
        <w:t xml:space="preserve"> </w:t>
      </w:r>
      <w:hyperlink w:anchor="ref-5">
        <w:r>
          <w:rPr>
            <w:rStyle w:val="Hyperlink"/>
          </w:rPr>
          <w:t xml:space="preserve">[5]</w:t>
        </w:r>
      </w:hyperlink>
      <w:r>
        <w:t xml:space="preserve"> </w:t>
      </w:r>
      <w:r>
        <w:t xml:space="preserve">relative to the planetary instrument case, and it states the gap that the dissertation fills.</w:t>
      </w:r>
    </w:p>
    <w:p>
      <w:pPr>
        <w:pStyle w:val="BodyText"/>
        <w:spacing w:line="480" w:lineRule="auto"/>
        <w:ind w:firstLine="720"/>
      </w:pPr>
      <w:r>
        <w:rPr>
          <w:b/>
          <w:bCs/>
        </w:rPr>
        <w:t xml:space="preserve">Chapter 3</w:t>
      </w:r>
      <w:r>
        <w:t xml:space="preserve"> </w:t>
      </w:r>
      <w:r>
        <w:t xml:space="preserve">develops the theory and the formal hypotheses. It derives the Wright specification, defines the production-experience elasticity b and the implied learning rate L = 2^b, and lays out the mechanisms, heritage reuse of tooling, calibration, and qualification, that make a non-zero slope plausible at low production volume, together with the countervailing forces, short runs, partial heritage transfer, and irreducible technical floors</w:t>
      </w:r>
      <w:r>
        <w:t xml:space="preserve"> </w:t>
      </w:r>
      <w:hyperlink w:anchor="ref-5">
        <w:r>
          <w:rPr>
            <w:rStyle w:val="Hyperlink"/>
          </w:rPr>
          <w:t xml:space="preserve">[5]</w:t>
        </w:r>
      </w:hyperlink>
      <w:r>
        <w:t xml:space="preserve">, that make its magnitude uncertain.</w:t>
      </w:r>
    </w:p>
    <w:p>
      <w:pPr>
        <w:pStyle w:val="BodyText"/>
        <w:spacing w:line="480" w:lineRule="auto"/>
        <w:ind w:firstLine="720"/>
      </w:pPr>
      <w:r>
        <w:rPr>
          <w:b/>
          <w:bCs/>
        </w:rPr>
        <w:t xml:space="preserve">Chapter 4</w:t>
      </w:r>
      <w:r>
        <w:t xml:space="preserve"> </w:t>
      </w:r>
      <w:r>
        <w:t xml:space="preserve">specifies the data and the econometric method in full. It documents the construction and provenance of both the within-line instrument panel and the cross-family whole-system panel, states the estimators and the robust inference procedure, and details the controls and identification strategy that separate experience from mass and from specification change.</w:t>
      </w:r>
    </w:p>
    <w:p>
      <w:pPr>
        <w:pStyle w:val="BodyText"/>
        <w:spacing w:line="480" w:lineRule="auto"/>
        <w:ind w:firstLine="720"/>
      </w:pPr>
      <w:r>
        <w:rPr>
          <w:b/>
          <w:bCs/>
        </w:rPr>
        <w:t xml:space="preserve">Chapter 5</w:t>
      </w:r>
      <w:r>
        <w:t xml:space="preserve"> </w:t>
      </w:r>
      <w:r>
        <w:t xml:space="preserve">reports the within-line Wright estimate of the production-experience elasticity along single instrument lineages, with its standard error, confidence interval, and implied learning rate, and reads the result against both the bespoke-article default</w:t>
      </w:r>
      <w:r>
        <w:t xml:space="preserve"> </w:t>
      </w:r>
      <w:hyperlink w:anchor="ref-1">
        <w:r>
          <w:rPr>
            <w:rStyle w:val="Hyperlink"/>
          </w:rPr>
          <w:t xml:space="preserve">[1]</w:t>
        </w:r>
      </w:hyperlink>
      <w:r>
        <w:t xml:space="preserve"> </w:t>
      </w:r>
      <w:r>
        <w:t xml:space="preserve">and the imported satellite slope</w:t>
      </w:r>
      <w:r>
        <w:t xml:space="preserve"> </w:t>
      </w:r>
      <w:hyperlink w:anchor="ref-2">
        <w:r>
          <w:rPr>
            <w:rStyle w:val="Hyperlink"/>
          </w:rPr>
          <w:t xml:space="preserve">[2]</w:t>
        </w:r>
      </w:hyperlink>
      <w:r>
        <w:t xml:space="preserve">.</w:t>
      </w:r>
    </w:p>
    <w:p>
      <w:pPr>
        <w:pStyle w:val="BodyText"/>
        <w:spacing w:line="480" w:lineRule="auto"/>
        <w:ind w:firstLine="720"/>
      </w:pPr>
      <w:r>
        <w:rPr>
          <w:b/>
          <w:bCs/>
        </w:rPr>
        <w:t xml:space="preserve">Chapter 6</w:t>
      </w:r>
      <w:r>
        <w:t xml:space="preserve"> </w:t>
      </w:r>
      <w:r>
        <w:t xml:space="preserve">reports the cross-family multivariate estimate, in which the experience elasticity is conditioned on article mass and recurring-build status, and it adjudicates whether cumulative experience carries any independent cost information once mass is controlled.</w:t>
      </w:r>
    </w:p>
    <w:p>
      <w:pPr>
        <w:pStyle w:val="BodyText"/>
        <w:spacing w:line="480" w:lineRule="auto"/>
        <w:ind w:firstLine="720"/>
      </w:pPr>
      <w:r>
        <w:rPr>
          <w:b/>
          <w:bCs/>
        </w:rPr>
        <w:t xml:space="preserve">Chapter 7</w:t>
      </w:r>
      <w:r>
        <w:t xml:space="preserve"> </w:t>
      </w:r>
      <w:r>
        <w:t xml:space="preserve">synthesizes the two estimates into a single account of where, and how strongly, planetary instruments learn, drawing the boundary between the within-line regime and the whole-system regime, and it addresses the threats to validity, selection on family survival, specification drift masquerading as learning, technical floors, normalization dependence, and external validity to future proliferated architectures.</w:t>
      </w:r>
    </w:p>
    <w:p>
      <w:pPr>
        <w:pStyle w:val="BodyText"/>
        <w:spacing w:line="480" w:lineRule="auto"/>
        <w:ind w:firstLine="720"/>
      </w:pPr>
      <w:r>
        <w:rPr>
          <w:b/>
          <w:bCs/>
        </w:rPr>
        <w:t xml:space="preserve">Chapter 8</w:t>
      </w:r>
      <w:r>
        <w:t xml:space="preserve"> </w:t>
      </w:r>
      <w:r>
        <w:t xml:space="preserve">concludes by translating the estimated elasticity, and the uncertainty around it, into guidance for NASA and JPL mission operations and acquisition planning, stating what the evidence licenses a planner to do, what it does not, and what additional data would be required to pin the slope down further.</w:t>
      </w:r>
    </w:p>
    <w:p>
      <w:pPr>
        <w:pStyle w:val="BodyText"/>
        <w:spacing w:line="480" w:lineRule="auto"/>
        <w:ind w:firstLine="720"/>
      </w:pPr>
      <w:r>
        <w:t xml:space="preserve">Taken together, the chapters carry a single pre-specified parameter from a disjuncture in the literature, through a credibly identified estimation at two altitudes, to a measured answer that replaces an unexamined default with evidence. Whether the answer vindicates the bespoke-article view or supplies the missing learning slope, it puts the question of whether planetary instruments learn on an empirical footing for the first time, which is the contribution the dissertation sets out to make.</w:t>
      </w:r>
    </w:p>
    <w:bookmarkEnd w:id="67"/>
    <w:bookmarkEnd w:id="68"/>
    <w:bookmarkStart w:id="83" w:name="chapter-2.-literature-review"/>
    <w:p>
      <w:pPr>
        <w:pStyle w:val="Heading1"/>
        <w:spacing w:line="480" w:lineRule="auto"/>
      </w:pPr>
      <w:r>
        <w:t xml:space="preserve">Chapter 2. Literature Review</w:t>
      </w:r>
    </w:p>
    <w:bookmarkStart w:id="69" w:name="introduction-and-organization"/>
    <w:p>
      <w:pPr>
        <w:pStyle w:val="Heading2"/>
        <w:spacing w:line="480" w:lineRule="auto"/>
      </w:pPr>
      <w:r>
        <w:t xml:space="preserve">2.1 Introduction and Organization</w:t>
      </w:r>
    </w:p>
    <w:p>
      <w:pPr>
        <w:pStyle w:val="FirstParagraph"/>
        <w:spacing w:line="480" w:lineRule="auto"/>
      </w:pPr>
      <w:r>
        <w:t xml:space="preserve">This chapter establishes the intellectual terrain on which the dissertation operates and, in so doing, defines the gap the dissertation is designed to fill. The argument of the chapter is that two substantial and internally rigorous literatures bear directly on the recurring cost of planetary science instruments, that each is mature on its own terms, and that the two have never been joined on a common empirical footing for the specific object of interest. The first literature is the domain technical literature on space-system and instrument cost estimation: the parametric tradition that prices an article from its physical and programmatic attributes, the cost-model machinery that operationalizes that tradition for NASA instruments, and the operational and sector analyses that invoke production experience as a cost mechanism. The second literature is the cliometric and econometric methodology of the learning curve: the Wright and Crawford formulations, the elasticity interpretation of the learning slope, and the identification problems that attend any attempt to estimate that slope from observational cost data. The two literatures touch the same quantity, the per-unit recurring cost of a built article, from opposite directions. The domain literature largely treats that quantity as set by the article and disclaims any dependence on prior production experience; the methodological literature exists precisely to measure how that quantity moves with cumulative experience. Neither has measured a production-experience elasticity for planetary instruments, estimated rather than assumed and tested against a null of zero.</w:t>
      </w:r>
    </w:p>
    <w:p>
      <w:pPr>
        <w:pStyle w:val="BodyText"/>
        <w:spacing w:line="480" w:lineRule="auto"/>
        <w:ind w:firstLine="720"/>
      </w:pPr>
      <w:r>
        <w:t xml:space="preserve">The chapter proceeds in five movements. Section 2.2 reviews the domain technical literature on space-system and instrument cost, distinguishing the parametric mass-driven account, the NASA instrument cost-model apparatus, and the operational and sector analyses that treat learning as an input. Section 2.3 reviews the cliometric and econometric methodology of learning curves, isolating the elasticity that is this dissertation’s estimand and the identification hazards that must be neutralized to recover it credibly. Section 2.4 documents the disjuncture between the two literatures, showing that the same phenomenon is disclaimed in one tradition and assumed in the other with no measurement reconciling them. Section 2.5 surveys the data infrastructure and the adjacent instrument and architecture literatures that bound what is reconstructable and what is plausible. Section 2.6 states the gap formally and positions the dissertation’s two empirical papers against it. Throughout, the review is critical rather than merely cumulative: each strand is read for what it can and cannot say about the within-family slope of log recurring cost on log cumulative units.</w:t>
      </w:r>
    </w:p>
    <w:bookmarkEnd w:id="69"/>
    <w:bookmarkStart w:id="74" w:name="X6334cec8b58c12ec5c5597f55c5fd8b24078319"/>
    <w:p>
      <w:pPr>
        <w:pStyle w:val="Heading2"/>
        <w:spacing w:line="480" w:lineRule="auto"/>
      </w:pPr>
      <w:r>
        <w:t xml:space="preserve">2.2 The Domain Technical Literature on Space-System and Instrument Cost</w:t>
      </w:r>
    </w:p>
    <w:bookmarkStart w:id="70" w:name="the-parametric-mass-driven-account"/>
    <w:p>
      <w:pPr>
        <w:pStyle w:val="Heading3"/>
        <w:spacing w:line="480" w:lineRule="auto"/>
      </w:pPr>
      <w:r>
        <w:t xml:space="preserve">2.2.1 The parametric, mass-driven account</w:t>
      </w:r>
    </w:p>
    <w:p>
      <w:pPr>
        <w:pStyle w:val="FirstParagraph"/>
        <w:spacing w:line="480" w:lineRule="auto"/>
      </w:pPr>
      <w:r>
        <w:t xml:space="preserve">The dominant tradition in space-system cost estimation is parametric. It prices an article from a small set of observable physical and programmatic attributes, of which mass is consistently the most powerful, and it treats each article as substantially unique. The clearest statement of the posture that motivates this dissertation appears where a manufacturing-cost approximation is constructed precisely because it could not rest on prior production experience, the article in question being a first-of-a-kind system without a production lineage from which to draw</w:t>
      </w:r>
      <w:r>
        <w:t xml:space="preserve"> </w:t>
      </w:r>
      <w:hyperlink w:anchor="ref-1">
        <w:r>
          <w:rPr>
            <w:rStyle w:val="Hyperlink"/>
          </w:rPr>
          <w:t xml:space="preserve">[1]</w:t>
        </w:r>
      </w:hyperlink>
      <w:r>
        <w:t xml:space="preserve">. That move is methodologically defensible for a genuinely singular article: where no production run exists, no production-experience term can be estimated, and the analyst is obliged to fall back on physical attributes. The difficulty this dissertation identifies is not with the move itself but with its generalization into a default assumption that planetary instruments never accrue production experience worth modeling.</w:t>
      </w:r>
    </w:p>
    <w:p>
      <w:pPr>
        <w:pStyle w:val="BodyText"/>
        <w:spacing w:line="480" w:lineRule="auto"/>
        <w:ind w:firstLine="720"/>
      </w:pPr>
      <w:r>
        <w:t xml:space="preserve">Within this tradition the empirical strength of the mass gradient is not in dispute, and this dissertation’s own cross-family work corroborates it. Blind validation of the SEER-H parametric tool against NASA space missions establishes that a model resting on physical and programmatic article attributes recovers mission cost with usable accuracy even when applied without case-specific tuning</w:t>
      </w:r>
      <w:r>
        <w:t xml:space="preserve"> </w:t>
      </w:r>
      <w:hyperlink w:anchor="ref-9">
        <w:r>
          <w:rPr>
            <w:rStyle w:val="Hyperlink"/>
          </w:rPr>
          <w:t xml:space="preserve">[9]</w:t>
        </w:r>
      </w:hyperlink>
      <w:r>
        <w:t xml:space="preserve">, which is the strongest available endorsement of the parametric premise that an article can be priced from what it is rather than from how many of it have been built. The asteroid-mining cost-modeling literature extends the same parametric logic to speculative architectures, building per-element cost from mass and technology descriptors and noting explicitly that some cost drivers are technical and resist reduction</w:t>
      </w:r>
      <w:r>
        <w:t xml:space="preserve"> </w:t>
      </w:r>
      <w:hyperlink w:anchor="ref-11">
        <w:r>
          <w:rPr>
            <w:rStyle w:val="Hyperlink"/>
          </w:rPr>
          <w:t xml:space="preserve">[11]</w:t>
        </w:r>
      </w:hyperlink>
      <w:r>
        <w:t xml:space="preserve">, a caveat that reappears below as a threat to any learning estimate. Taken together, these works define a coherent and well-validated position: per-unit recurring cost is governed by article scale and complexity, the canonical objects are singular or near-singular, and cumulative experience is, by construction and by assumption, absent from the estimating relationship.</w:t>
      </w:r>
    </w:p>
    <w:p>
      <w:pPr>
        <w:pStyle w:val="BodyText"/>
        <w:spacing w:line="480" w:lineRule="auto"/>
        <w:ind w:firstLine="720"/>
      </w:pPr>
      <w:r>
        <w:t xml:space="preserve">This position is, however, silent rather than affirmative on the longitudinal question. The parametric literature is rigorous on the cross-sectional determinants of first-unit cost, but because its canonical objects are first-of-a-kind articles, it offers no estimate of how cost evolves as a family accumulates units. The disclaimer in</w:t>
      </w:r>
      <w:r>
        <w:t xml:space="preserve"> </w:t>
      </w:r>
      <w:hyperlink w:anchor="ref-1">
        <w:r>
          <w:rPr>
            <w:rStyle w:val="Hyperlink"/>
          </w:rPr>
          <w:t xml:space="preserve">[1]</w:t>
        </w:r>
      </w:hyperlink>
      <w:r>
        <w:t xml:space="preserve"> </w:t>
      </w:r>
      <w:r>
        <w:t xml:space="preserve">is an honest acknowledgment of that silence, not a tested finding that the longitudinal slope is zero. The distinction matters: a literature can be correct that mass dominates first-unit cost and still be uninformative about whether a second, third, or fourth unit of the same instrument costs less than the first. That uninformativeness is the opening this dissertation enters.</w:t>
      </w:r>
    </w:p>
    <w:bookmarkEnd w:id="70"/>
    <w:bookmarkStart w:id="71" w:name="the-nasa-instrument-cost-model-apparatus"/>
    <w:p>
      <w:pPr>
        <w:pStyle w:val="Heading3"/>
        <w:spacing w:line="480" w:lineRule="auto"/>
      </w:pPr>
      <w:r>
        <w:t xml:space="preserve">2.2.2 The NASA instrument cost-model apparatus</w:t>
      </w:r>
    </w:p>
    <w:p>
      <w:pPr>
        <w:pStyle w:val="FirstParagraph"/>
        <w:spacing w:line="480" w:lineRule="auto"/>
      </w:pPr>
      <w:r>
        <w:t xml:space="preserve">The parametric tradition is operationalized for NASA instruments through a dedicated cost-model apparatus that this dissertation uses as both a benchmark and a reconstruction tool. The NASA Instrument Cost Model in its seventh version provides estimating relationships that map instrument physical and programmatic attributes to development and recurring cost across instrument classes</w:t>
      </w:r>
      <w:r>
        <w:t xml:space="preserve"> </w:t>
      </w:r>
      <w:hyperlink w:anchor="ref-7">
        <w:r>
          <w:rPr>
            <w:rStyle w:val="Hyperlink"/>
          </w:rPr>
          <w:t xml:space="preserve">[7]</w:t>
        </w:r>
      </w:hyperlink>
      <w:r>
        <w:t xml:space="preserve">, and the companion analysis of NASA space-flight instrument cost-time trends documents how dollar-per-kilogram has moved across thirty years of flight history for distinct instrument classes</w:t>
      </w:r>
      <w:r>
        <w:t xml:space="preserve"> </w:t>
      </w:r>
      <w:hyperlink w:anchor="ref-8">
        <w:r>
          <w:rPr>
            <w:rStyle w:val="Hyperlink"/>
          </w:rPr>
          <w:t xml:space="preserve">[8]</w:t>
        </w:r>
      </w:hyperlink>
      <w:r>
        <w:t xml:space="preserve">. These two works are central to the domain side of the review for three reasons.</w:t>
      </w:r>
    </w:p>
    <w:p>
      <w:pPr>
        <w:pStyle w:val="BodyText"/>
        <w:spacing w:line="480" w:lineRule="auto"/>
        <w:ind w:firstLine="720"/>
      </w:pPr>
      <w:r>
        <w:t xml:space="preserve">First, they confirm that the authoritative NASA instrument-costing machinery is built on the cross-sectional, attribute-driven premise: cost is estimated from mass and class and programmatic descriptors, not from a unit’s position in a production run</w:t>
      </w:r>
      <w:r>
        <w:t xml:space="preserve"> </w:t>
      </w:r>
      <w:hyperlink w:anchor="ref-7">
        <w:r>
          <w:rPr>
            <w:rStyle w:val="Hyperlink"/>
          </w:rPr>
          <w:t xml:space="preserve">[7]</w:t>
        </w:r>
      </w:hyperlink>
      <w:r>
        <w:t xml:space="preserve">. The instrument cost-model apparatus is therefore the domain literature’s operational embodiment, and its structure is what the bespoke-article default looks like when it is encoded into agency practice. Second, the cost-time trend analysis is the closest the domain literature comes to a longitudinal statement, but it is a statement about class-level dollar-per-kilogram drift over calendar time rather than about within-family cost reduction with cumulative units</w:t>
      </w:r>
      <w:r>
        <w:t xml:space="preserve"> </w:t>
      </w:r>
      <w:hyperlink w:anchor="ref-8">
        <w:r>
          <w:rPr>
            <w:rStyle w:val="Hyperlink"/>
          </w:rPr>
          <w:t xml:space="preserve">[8]</w:t>
        </w:r>
      </w:hyperlink>
      <w:r>
        <w:t xml:space="preserve">. Calendar-time drift and cumulative-unit learning are distinct phenomena that the domain literature does not separate: a falling dollar-per-kilogram trend over decades may reflect maturing technology, shifting class composition, or genuine production learning, and the trend analysis cannot adjudicate among them. Third, precisely because these models encode a cross-sectional relationship with no embedded learning slope, they furnish a clean instrument for reconstructing recurring cost without circularity. A panel built by applying the instrument cost-model estimating relationships</w:t>
      </w:r>
      <w:r>
        <w:t xml:space="preserve"> </w:t>
      </w:r>
      <w:hyperlink w:anchor="ref-7">
        <w:r>
          <w:rPr>
            <w:rStyle w:val="Hyperlink"/>
          </w:rPr>
          <w:t xml:space="preserve">[7]</w:t>
        </w:r>
      </w:hyperlink>
      <w:r>
        <w:t xml:space="preserve"> </w:t>
      </w:r>
      <w:r>
        <w:t xml:space="preserve">to documented mass along the published class-level dollar-per-kilogram trend</w:t>
      </w:r>
      <w:r>
        <w:t xml:space="preserve"> </w:t>
      </w:r>
      <w:hyperlink w:anchor="ref-8">
        <w:r>
          <w:rPr>
            <w:rStyle w:val="Hyperlink"/>
          </w:rPr>
          <w:t xml:space="preserve">[8]</w:t>
        </w:r>
      </w:hyperlink>
      <w:r>
        <w:t xml:space="preserve"> </w:t>
      </w:r>
      <w:r>
        <w:t xml:space="preserve">inherits no learning slope from the cost model, so any experience effect that emerges in regression is identified from documented build order rather than imposed by the costing method. This reconstruction strategy is what the dissertation’s first empirical paper executes, and its validity rests on the documented fact that the cost-model apparatus is cross-sectional by construction.</w:t>
      </w:r>
    </w:p>
    <w:bookmarkEnd w:id="71"/>
    <w:bookmarkStart w:id="72" w:name="X9480c95435c24835ae5e73a4c1430d92b40c5e5"/>
    <w:p>
      <w:pPr>
        <w:pStyle w:val="Heading3"/>
        <w:spacing w:line="480" w:lineRule="auto"/>
      </w:pPr>
      <w:r>
        <w:t xml:space="preserve">2.2.3 Operational and sector analyses that treat learning as an input</w:t>
      </w:r>
    </w:p>
    <w:p>
      <w:pPr>
        <w:pStyle w:val="FirstParagraph"/>
        <w:spacing w:line="480" w:lineRule="auto"/>
      </w:pPr>
      <w:r>
        <w:t xml:space="preserve">Against the disclaiming posture of the parametric and cost-model literature stands a body of operational, architecture, and sector work that treats production experience as real, quantifiable, and central. The pivotal instance for this dissertation is the optimization of geosynchronous space situational awareness architectures, in which the per-unit cost of a fielded sensor is reduced by applying an explicit satellite learning curve as the number of cumulative units grows</w:t>
      </w:r>
      <w:r>
        <w:t xml:space="preserve"> </w:t>
      </w:r>
      <w:hyperlink w:anchor="ref-2">
        <w:r>
          <w:rPr>
            <w:rStyle w:val="Hyperlink"/>
          </w:rPr>
          <w:t xml:space="preserve">[2]</w:t>
        </w:r>
      </w:hyperlink>
      <w:r>
        <w:t xml:space="preserve">, a construction repeated in the same authors’ parallel-computation formulation</w:t>
      </w:r>
      <w:r>
        <w:t xml:space="preserve"> </w:t>
      </w:r>
      <w:hyperlink w:anchor="ref-12">
        <w:r>
          <w:rPr>
            <w:rStyle w:val="Hyperlink"/>
          </w:rPr>
          <w:t xml:space="preserve">[12]</w:t>
        </w:r>
      </w:hyperlink>
      <w:r>
        <w:t xml:space="preserve">. This work is important not because it estimates a learning slope but because it imports one: the learning curve enters the optimization as an assumed input that drives per-unit reductions in proliferated architectures, presuming that production experience is both real and possessed of a known, usable slope. The assumption is consequential, because the optimal architecture, the number of sensors fielded, and the resulting cost all depend on the imported slope, yet the slope itself is never estimated from the data of the very systems being costed.</w:t>
      </w:r>
    </w:p>
    <w:p>
      <w:pPr>
        <w:pStyle w:val="BodyText"/>
        <w:spacing w:line="480" w:lineRule="auto"/>
        <w:ind w:firstLine="720"/>
      </w:pPr>
      <w:r>
        <w:t xml:space="preserve">At the sector level, forecasts of the space economy reinforce the assuming posture. The OECD space-economy forecasting work attributes falling space-system cost to maturing satellite manufacturing practice alongside declining launch cost [3, 10], and the broader sustainability and development analysis traces declining unit-cost curves for heavy launch and communications satellites as those sectors mature</w:t>
      </w:r>
      <w:r>
        <w:t xml:space="preserve"> </w:t>
      </w:r>
      <w:hyperlink w:anchor="ref-4">
        <w:r>
          <w:rPr>
            <w:rStyle w:val="Hyperlink"/>
          </w:rPr>
          <w:t xml:space="preserve">[4]</w:t>
        </w:r>
      </w:hyperlink>
      <w:r>
        <w:t xml:space="preserve">. These works establish that manufacturing-driven cost decline is a salient and widely accepted stylized fact at the sector level, underwriting demand-growth narratives for the space economy. They do not, however, isolate a production-experience elasticity for any specific low-volume product class, and least of all for planetary instruments, whose runs are short and whose heritage transfer is partial. The sector evidence is descriptive and aggregate; it tells us that cost has fallen where volumes are large, not that it falls within the short runs characteristic of planetary instrument lines.</w:t>
      </w:r>
    </w:p>
    <w:p>
      <w:pPr>
        <w:pStyle w:val="BodyText"/>
        <w:spacing w:line="480" w:lineRule="auto"/>
        <w:ind w:firstLine="720"/>
      </w:pPr>
      <w:r>
        <w:t xml:space="preserve">The Earth-observation disruption literature occupies an instructive middle position. It frames manufacturer cost reduction as a competitive lever in new Earth-observation markets, consistent with the learning-as-mechanism view, while simultaneously cautioning that some technical drivers, mirror mass being the canonical example, resist learning entirely and constitute irreducible cost floors</w:t>
      </w:r>
      <w:r>
        <w:t xml:space="preserve"> </w:t>
      </w:r>
      <w:hyperlink w:anchor="ref-5">
        <w:r>
          <w:rPr>
            <w:rStyle w:val="Hyperlink"/>
          </w:rPr>
          <w:t xml:space="preserve">[5]</w:t>
        </w:r>
      </w:hyperlink>
      <w:r>
        <w:t xml:space="preserve">. This caveat is the single most important qualification the domain literature supplies to any learning estimate, because it predicts that an estimated elasticity will attenuate toward zero wherever an article’s cost is dominated by a technically irreducible component, raising the risk of a false acceptance of a no-learning null. The asteroid-mining parametric work voices the same caution from the cost-modeling side, noting that technical drivers bound the cost reduction that experience can deliver [11, 20]. The domain literature thus contains within itself both the claim that learning operates and the mechanism by which a real learning effect could be masked.</w:t>
      </w:r>
    </w:p>
    <w:bookmarkEnd w:id="72"/>
    <w:bookmarkStart w:id="73" w:name="X0b5ef32e3fb956ea81109269753a46481697e55"/>
    <w:p>
      <w:pPr>
        <w:pStyle w:val="Heading3"/>
        <w:spacing w:line="480" w:lineRule="auto"/>
      </w:pPr>
      <w:r>
        <w:t xml:space="preserve">2.2.4 Adjacent instrument and architecture literature bounding plausibility</w:t>
      </w:r>
    </w:p>
    <w:p>
      <w:pPr>
        <w:pStyle w:val="FirstParagraph"/>
        <w:spacing w:line="480" w:lineRule="auto"/>
      </w:pPr>
      <w:r>
        <w:t xml:space="preserve">A wider band of domain literature does not address cost directly but bounds the plausibility of any learning claim by characterizing how planetary and surveillance instruments are actually built, reused, and proliferated. Studies of ground-based planetary radar capability in the cislunar arena document the small number of high-value, largely singular facilities that define that sensing class</w:t>
      </w:r>
      <w:r>
        <w:t xml:space="preserve"> </w:t>
      </w:r>
      <w:hyperlink w:anchor="ref-13">
        <w:r>
          <w:rPr>
            <w:rStyle w:val="Hyperlink"/>
          </w:rPr>
          <w:t xml:space="preserve">[13]</w:t>
        </w:r>
      </w:hyperlink>
      <w:r>
        <w:t xml:space="preserve">, reinforcing that some planetary instruments are genuinely first-of-a-kind and therefore outside any learning regime. Work on longwave-infrared architectures for low-Earth-orbit space domain awareness</w:t>
      </w:r>
      <w:r>
        <w:t xml:space="preserve"> </w:t>
      </w:r>
      <w:hyperlink w:anchor="ref-14">
        <w:r>
          <w:rPr>
            <w:rStyle w:val="Hyperlink"/>
          </w:rPr>
          <w:t xml:space="preserve">[14]</w:t>
        </w:r>
      </w:hyperlink>
      <w:r>
        <w:t xml:space="preserve"> </w:t>
      </w:r>
      <w:r>
        <w:t xml:space="preserve">and on adapting a planetary-science observational facility for space situational awareness</w:t>
      </w:r>
      <w:r>
        <w:t xml:space="preserve"> </w:t>
      </w:r>
      <w:hyperlink w:anchor="ref-15">
        <w:r>
          <w:rPr>
            <w:rStyle w:val="Hyperlink"/>
          </w:rPr>
          <w:t xml:space="preserve">[15]</w:t>
        </w:r>
      </w:hyperlink>
      <w:r>
        <w:t xml:space="preserve"> </w:t>
      </w:r>
      <w:r>
        <w:t xml:space="preserve">illustrates the heritage transfer and design reuse that, where present, would be the physical substrate of a learning effect: tooling, calibration procedure, and qualification heritage carried from one build to the next. Analyses of small-launch origins and challenges</w:t>
      </w:r>
      <w:r>
        <w:t xml:space="preserve"> </w:t>
      </w:r>
      <w:hyperlink w:anchor="ref-16">
        <w:r>
          <w:rPr>
            <w:rStyle w:val="Hyperlink"/>
          </w:rPr>
          <w:t xml:space="preserve">[16]</w:t>
        </w:r>
      </w:hyperlink>
      <w:r>
        <w:t xml:space="preserve"> </w:t>
      </w:r>
      <w:r>
        <w:t xml:space="preserve">and of three-mirror and large-aperture telescope design [19, 26] further document the technical-floor phenomenon, since aperture, mirror mass, and structural-thermal performance are precisely the drivers the Earth-observation literature flags as resistant to experience</w:t>
      </w:r>
      <w:r>
        <w:t xml:space="preserve"> </w:t>
      </w:r>
      <w:hyperlink w:anchor="ref-5">
        <w:r>
          <w:rPr>
            <w:rStyle w:val="Hyperlink"/>
          </w:rPr>
          <w:t xml:space="preserve">[5]</w:t>
        </w:r>
      </w:hyperlink>
      <w:r>
        <w:t xml:space="preserve">. Methodological work on satellite characterization and star-galaxy separation for space situational awareness [17, 18] and on robotic grasping and additive manufacturing in space [23, 25] is tangential to cost but maps the proliferation and manufacturing-innovation context in which the learning-as-input assumption of</w:t>
      </w:r>
      <w:r>
        <w:t xml:space="preserve"> </w:t>
      </w:r>
      <w:hyperlink w:anchor="ref-2">
        <w:r>
          <w:rPr>
            <w:rStyle w:val="Hyperlink"/>
          </w:rPr>
          <w:t xml:space="preserve">[2]</w:t>
        </w:r>
      </w:hyperlink>
      <w:r>
        <w:t xml:space="preserve"> </w:t>
      </w:r>
      <w:r>
        <w:t xml:space="preserve">is most at home. The additive-manufacturing literature in particular</w:t>
      </w:r>
      <w:r>
        <w:t xml:space="preserve"> </w:t>
      </w:r>
      <w:hyperlink w:anchor="ref-25">
        <w:r>
          <w:rPr>
            <w:rStyle w:val="Hyperlink"/>
          </w:rPr>
          <w:t xml:space="preserve">[25]</w:t>
        </w:r>
      </w:hyperlink>
      <w:r>
        <w:t xml:space="preserve"> </w:t>
      </w:r>
      <w:r>
        <w:t xml:space="preserve">is relevant because it identifies a concrete manufacturing channel, component printing, through which production experience could plausibly compound, even as the planetary case remains low-volume. This adjacent band does not estimate any cost slope, but it establishes the heterogeneity the estimand must respect: some planetary articles are singular, some share genuine lineage, and some carry irreducible technical floors, so a credible estimate must be identified within families that actually accumulate units rather than across the heterogeneous population.</w:t>
      </w:r>
    </w:p>
    <w:bookmarkEnd w:id="73"/>
    <w:bookmarkEnd w:id="74"/>
    <w:bookmarkStart w:id="79" w:name="X670cc0128ca9ffecbf1e736998903611f8892b1"/>
    <w:p>
      <w:pPr>
        <w:pStyle w:val="Heading2"/>
        <w:spacing w:line="480" w:lineRule="auto"/>
      </w:pPr>
      <w:r>
        <w:t xml:space="preserve">2.3 The Cliometric and Econometric Methodology of Learning Curves</w:t>
      </w:r>
    </w:p>
    <w:bookmarkStart w:id="75" w:name="Xa94baa53a296da1689e13dd4760db170465db94"/>
    <w:p>
      <w:pPr>
        <w:pStyle w:val="Heading3"/>
        <w:spacing w:line="480" w:lineRule="auto"/>
      </w:pPr>
      <w:r>
        <w:t xml:space="preserve">2.3.1 The Wright and Crawford formulations and the elasticity estimand</w:t>
      </w:r>
    </w:p>
    <w:p>
      <w:pPr>
        <w:pStyle w:val="FirstParagraph"/>
        <w:spacing w:line="480" w:lineRule="auto"/>
      </w:pPr>
      <w:r>
        <w:t xml:space="preserve">The second literature this dissertation joins is the cliometric and econometric methodology of the learning curve, which supplies the estimand and the estimator that the domain literature lacks. The foundational Wright formulation holds that unit cost declines by a constant fraction with each doubling of cumulative output, so that the logarithm of unit cost is linear in the logarithm of cumulative units. In that specification the slope is an elasticity, the production-experience elasticity, which this dissertation denotes b, and the implied learning rate is L equal to two raised to the power b, the factor by which unit cost is multiplied when cumulative production doubles. A slope of zero means no learning; a negative slope means cost falls with experience. This elasticity is the single estimand of the dissertation, and its derivation from the Wright relation is what makes the contribution falsifiable: the null of b equal to zero is a sharp hypothesis testable against observational cost data.</w:t>
      </w:r>
    </w:p>
    <w:p>
      <w:pPr>
        <w:pStyle w:val="BodyText"/>
        <w:spacing w:line="480" w:lineRule="auto"/>
        <w:ind w:firstLine="720"/>
      </w:pPr>
      <w:r>
        <w:t xml:space="preserve">The methodology distinguishes the Wright unit-cost form from the Crawford cumulative-average form, in which it is the cumulative average cost rather than the marginal unit cost that follows the power law. The two formulations imply different but related slopes, and the methodological literature treats agreement across them as evidence that an estimated learning effect is structural rather than an artifact of one functional choice. This dissertation honors that discipline by treating the Wright form as the baseline while reserving the Crawford form as a robustness check, so that a learning claim survives only if it is not specific to a single parameterization. The elasticity interpretation also connects directly to the domain literature’s own usage: the satellite learning curve imported into space situational awareness optimization [2, 12] is exactly a Wright slope, imported rather than estimated, which means the methodological apparatus needed to test that imported slope is the standard learning-curve econometrics rather than anything exotic.</w:t>
      </w:r>
    </w:p>
    <w:bookmarkEnd w:id="75"/>
    <w:bookmarkStart w:id="76" w:name="X251395eac16fb4b50e23c7a3fbf43177323bd10"/>
    <w:p>
      <w:pPr>
        <w:pStyle w:val="Heading3"/>
        <w:spacing w:line="480" w:lineRule="auto"/>
      </w:pPr>
      <w:r>
        <w:t xml:space="preserve">2.3.2 Identification, the panel structure, and fixed effects</w:t>
      </w:r>
    </w:p>
    <w:p>
      <w:pPr>
        <w:pStyle w:val="FirstParagraph"/>
        <w:spacing w:line="480" w:lineRule="auto"/>
      </w:pPr>
      <w:r>
        <w:t xml:space="preserve">The central methodological problem is identification: recovering the production-experience elasticity from observational cost data without confounding it with the cross-sectional determinants that the domain literature shows to dominate first-unit cost. The methodological solution this dissertation adopts is a panel keyed to instrument families, in which the within-family change in cost as cumulative units accumulate identifies the slope, while time-invariant family characteristics are absorbed. Instrument-family fixed effects absorb instrument class, core technology, and prime builder, so that b is identified from a family accumulating units rather than from comparisons across dissimilar instruments. This is the methodological maneuver that allows the learning literature to coexist with the parametric finding that mass dominates first-unit cost [1, 9]: the parametric gradient is permitted to set the family’s level, while the within-family slope is reserved for the experience effect. Article-level controls for mass, technology readiness at build start, and design heritage, the same covariates the parametric tradition relies on</w:t>
      </w:r>
      <w:r>
        <w:t xml:space="preserve"> </w:t>
      </w:r>
      <w:hyperlink w:anchor="ref-1">
        <w:r>
          <w:rPr>
            <w:rStyle w:val="Hyperlink"/>
          </w:rPr>
          <w:t xml:space="preserve">[1]</w:t>
        </w:r>
      </w:hyperlink>
      <w:r>
        <w:t xml:space="preserve">, are entered to prevent confounding of learning with article-to-article specification change, and mission-epoch effects absorb common cost inflation and budget-environment shifts.</w:t>
      </w:r>
    </w:p>
    <w:p>
      <w:pPr>
        <w:pStyle w:val="BodyText"/>
        <w:spacing w:line="480" w:lineRule="auto"/>
        <w:ind w:firstLine="720"/>
      </w:pPr>
      <w:r>
        <w:t xml:space="preserve">On this point the methodological literature is explicit: the panel must be deflated and normalized to a common base before the slope can be interpreted, because nominal cost movement over decades conflates price-level change with real cost reduction. This dissertation addresses that requirement through deflation to a common fiscal-year base and reports results under more than one deflator so that the slope does not hinge on a single normalization choice. The methodological discipline here is directly analogous to the cliometric practice of deflating long historical cost series before fitting a trend, and the cost-time trend analysis on the domain side</w:t>
      </w:r>
      <w:r>
        <w:t xml:space="preserve"> </w:t>
      </w:r>
      <w:hyperlink w:anchor="ref-8">
        <w:r>
          <w:rPr>
            <w:rStyle w:val="Hyperlink"/>
          </w:rPr>
          <w:t xml:space="preserve">[8]</w:t>
        </w:r>
      </w:hyperlink>
      <w:r>
        <w:t xml:space="preserve"> </w:t>
      </w:r>
      <w:r>
        <w:t xml:space="preserve">is itself a partially normalized series that the methodology can take as an external benchmark for plausible sign and magnitude.</w:t>
      </w:r>
    </w:p>
    <w:bookmarkEnd w:id="76"/>
    <w:bookmarkStart w:id="77" w:name="X45f375e8099d53170267c6379a2ffbf21686ed5"/>
    <w:p>
      <w:pPr>
        <w:pStyle w:val="Heading3"/>
        <w:spacing w:line="480" w:lineRule="auto"/>
      </w:pPr>
      <w:r>
        <w:t xml:space="preserve">2.3.3 Threats to identification internal to the methodology</w:t>
      </w:r>
    </w:p>
    <w:p>
      <w:pPr>
        <w:pStyle w:val="FirstParagraph"/>
        <w:spacing w:line="480" w:lineRule="auto"/>
      </w:pPr>
      <w:r>
        <w:t xml:space="preserve">The learning-curve methodology carries a well-developed catalogue of threats to identification, each of which this dissertation must neutralize. The first is selection on survival: instrument families that reach multiple units may be disproportionately the inexpensive ones, biasing the slope negative through a composition effect rather than genuine learning. Family fixed effects and explicit examination of single-unit families bound this threat. The second is specification drift masquerading as learning: later units in a family are frequently upgraded, so apparent cost change reflects new capability rather than accumulated experience. The capability-confound is not a peripheral nuisance but a structural feature of planetary builds, and the methodological response is a capability-held-fixed subsample together with mass and heritage controls that isolate the pure experience channel. The third is the technical floor identified on the domain side [5, 11], which attenuates the estimated elasticity toward zero wherever cost is dominated by an irreducible technical component and thereby risks a false acceptance of the no-learning null; a frontier-attenuation specification that lets the slope soften at the technology frontier is the methodological guard against attributing an irreducible cost to spurious non-learning or, conversely, attributing a technical floor to spurious learning. The fourth is normalization dependence, addressed by reporting under multiple deflators. The fifth is external validity, the risk that a slope estimated on historical builds will not transfer to future proliferated architectures of the kind the satellite-learning literature presumes</w:t>
      </w:r>
      <w:r>
        <w:t xml:space="preserve"> </w:t>
      </w:r>
      <w:hyperlink w:anchor="ref-2">
        <w:r>
          <w:rPr>
            <w:rStyle w:val="Hyperlink"/>
          </w:rPr>
          <w:t xml:space="preserve">[2]</w:t>
        </w:r>
      </w:hyperlink>
      <w:r>
        <w:t xml:space="preserve">; the methodological response is to report the elasticity with its confidence interval and the implied learning rate rather than a single point figure, so that a planner propagates uncertainty rather than inheriting false precision.</w:t>
      </w:r>
    </w:p>
    <w:bookmarkEnd w:id="77"/>
    <w:bookmarkStart w:id="78" w:name="Xda8eabbc8368a150f69dcd211aa6bf5a1f35b3d"/>
    <w:p>
      <w:pPr>
        <w:pStyle w:val="Heading3"/>
        <w:spacing w:line="480" w:lineRule="auto"/>
      </w:pPr>
      <w:r>
        <w:t xml:space="preserve">2.3.4 Parametric cost-prediction methodology beyond space instruments</w:t>
      </w:r>
    </w:p>
    <w:p>
      <w:pPr>
        <w:pStyle w:val="FirstParagraph"/>
        <w:spacing w:line="480" w:lineRule="auto"/>
      </w:pPr>
      <w:r>
        <w:t xml:space="preserve">The econometric methodology of cost prediction is not confined to space systems, and the dissertation draws methodological reinforcement from parametric cost-modeling work in adjacent high-technology domains. Parametric research, development, and production cost-prediction modeling for future civil hypersonic aircraft</w:t>
      </w:r>
      <w:r>
        <w:t xml:space="preserve"> </w:t>
      </w:r>
      <w:hyperlink w:anchor="ref-24">
        <w:r>
          <w:rPr>
            <w:rStyle w:val="Hyperlink"/>
          </w:rPr>
          <w:t xml:space="preserve">[24]</w:t>
        </w:r>
      </w:hyperlink>
      <w:r>
        <w:t xml:space="preserve"> </w:t>
      </w:r>
      <w:r>
        <w:t xml:space="preserve">demonstrates the same log-linear, attribute-driven estimating structure that the space cost-model apparatus uses, and it illustrates how production-phase cost is separated from development cost in a parametric frame, a separation directly relevant to isolating recurring from non-recurring cost in the instrument case. The asteroid-mining economic modeling [11, 20] and the broader space-resources market-evaluation literature</w:t>
      </w:r>
      <w:r>
        <w:t xml:space="preserve"> </w:t>
      </w:r>
      <w:hyperlink w:anchor="ref-22">
        <w:r>
          <w:rPr>
            <w:rStyle w:val="Hyperlink"/>
          </w:rPr>
          <w:t xml:space="preserve">[22]</w:t>
        </w:r>
      </w:hyperlink>
      <w:r>
        <w:t xml:space="preserve"> </w:t>
      </w:r>
      <w:r>
        <w:t xml:space="preserve">extend parametric cost reasoning into speculative architectures and, in doing so, surface the same methodological tension this dissertation addresses: a cost model can be internally rigorous and still rest on an untested assumption about whether and how cost falls with cumulative production. The hybrid lunar in-situ resource utilization comparative analysis</w:t>
      </w:r>
      <w:r>
        <w:t xml:space="preserve"> </w:t>
      </w:r>
      <w:hyperlink w:anchor="ref-27">
        <w:r>
          <w:rPr>
            <w:rStyle w:val="Hyperlink"/>
          </w:rPr>
          <w:t xml:space="preserve">[27]</w:t>
        </w:r>
      </w:hyperlink>
      <w:r>
        <w:t xml:space="preserve"> </w:t>
      </w:r>
      <w:r>
        <w:t xml:space="preserve">and the bioburden-reduction process work on flight instrumentation</w:t>
      </w:r>
      <w:r>
        <w:t xml:space="preserve"> </w:t>
      </w:r>
      <w:hyperlink w:anchor="ref-21">
        <w:r>
          <w:rPr>
            <w:rStyle w:val="Hyperlink"/>
          </w:rPr>
          <w:t xml:space="preserve">[21]</w:t>
        </w:r>
      </w:hyperlink>
      <w:r>
        <w:t xml:space="preserve"> </w:t>
      </w:r>
      <w:r>
        <w:t xml:space="preserve">are methodologically peripheral but document the kind of per-article process detail that, where public, anchors a transparent cost reconstruction. These adjacent literatures confirm that the elasticity estimand and the log-linear estimator are standard, portable, and well-validated outside the planetary instrument case, which strengthens the claim that their absence from the planetary instrument literature is a gap rather than an impossibility.</w:t>
      </w:r>
    </w:p>
    <w:bookmarkEnd w:id="78"/>
    <w:bookmarkEnd w:id="79"/>
    <w:bookmarkStart w:id="80" w:name="Xa202758681b1f5a01add8a7a22182ec5ec0d648"/>
    <w:p>
      <w:pPr>
        <w:pStyle w:val="Heading2"/>
        <w:spacing w:line="480" w:lineRule="auto"/>
      </w:pPr>
      <w:r>
        <w:t xml:space="preserve">2.4 The Disjuncture Between the Two Literatures</w:t>
      </w:r>
    </w:p>
    <w:p>
      <w:pPr>
        <w:pStyle w:val="FirstParagraph"/>
        <w:spacing w:line="480" w:lineRule="auto"/>
      </w:pPr>
      <w:r>
        <w:t xml:space="preserve">The decisive observation of this review is that the two literatures touch the identical quantity, the per-unit recurring cost of a built article, and treat it in flatly contradictory ways without any measurement reconciling them. On the domain side, the parametric and cost-model tradition prices the article from its attributes and disclaims production experience, honestly so for first-of-a-kind objects [1, 7, 9]. On the operational and sector side, the same cost is driven down by an imported learning curve [2, 12] and is asserted to fall with maturing manufacturing at the sector level [3, 4, 10]. The contradiction is not resolved within the domain literature; it is merely partitioned by convenience. The learning effect is assumed where it is useful, in architecture optimization and sector forecasting, and disclaimed where it is inconvenient, in first-of-a-kind instrument costing, with no common measurement adjudicating between the two postures for the specific object that lies between them.</w:t>
      </w:r>
    </w:p>
    <w:p>
      <w:pPr>
        <w:pStyle w:val="BodyText"/>
        <w:spacing w:line="480" w:lineRule="auto"/>
        <w:ind w:firstLine="720"/>
      </w:pPr>
      <w:r>
        <w:t xml:space="preserve">A missing adjudication apparatus is what the methodological literature supplies, though it has not been pointed at this object. The Wright elasticity, the family-panel identification strategy, the deflation discipline, and the threat catalogue of Section 2.3 are exactly the tools required to estimate, rather than assume, the slope that</w:t>
      </w:r>
      <w:r>
        <w:t xml:space="preserve"> </w:t>
      </w:r>
      <w:hyperlink w:anchor="ref-2">
        <w:r>
          <w:rPr>
            <w:rStyle w:val="Hyperlink"/>
          </w:rPr>
          <w:t xml:space="preserve">[2]</w:t>
        </w:r>
      </w:hyperlink>
      <w:r>
        <w:t xml:space="preserve"> </w:t>
      </w:r>
      <w:r>
        <w:t xml:space="preserve">imports and that</w:t>
      </w:r>
      <w:r>
        <w:t xml:space="preserve"> </w:t>
      </w:r>
      <w:hyperlink w:anchor="ref-1">
        <w:r>
          <w:rPr>
            <w:rStyle w:val="Hyperlink"/>
          </w:rPr>
          <w:t xml:space="preserve">[1]</w:t>
        </w:r>
      </w:hyperlink>
      <w:r>
        <w:t xml:space="preserve"> </w:t>
      </w:r>
      <w:r>
        <w:t xml:space="preserve">disclaims. What is absent is the application: no study reported in either literature estimates the within-instrument-family elasticity of recurring planetary instrument cost with respect to cumulative units, tests it against a null of zero, and reports it with its uncertainty. The cost-time trend analysis</w:t>
      </w:r>
      <w:r>
        <w:t xml:space="preserve"> </w:t>
      </w:r>
      <w:hyperlink w:anchor="ref-8">
        <w:r>
          <w:rPr>
            <w:rStyle w:val="Hyperlink"/>
          </w:rPr>
          <w:t xml:space="preserve">[8]</w:t>
        </w:r>
      </w:hyperlink>
      <w:r>
        <w:t xml:space="preserve"> </w:t>
      </w:r>
      <w:r>
        <w:t xml:space="preserve">comes closest from the domain side but measures class-level calendar drift rather than within-family cumulative learning, and the satellite-learning optimization</w:t>
      </w:r>
      <w:r>
        <w:t xml:space="preserve"> </w:t>
      </w:r>
      <w:hyperlink w:anchor="ref-2">
        <w:r>
          <w:rPr>
            <w:rStyle w:val="Hyperlink"/>
          </w:rPr>
          <w:t xml:space="preserve">[2]</w:t>
        </w:r>
      </w:hyperlink>
      <w:r>
        <w:t xml:space="preserve"> </w:t>
      </w:r>
      <w:r>
        <w:t xml:space="preserve">comes closest from the operational side but imports the slope rather than estimating it. The disjuncture is therefore not a disagreement that has been tested and left unresolved; it is a quantity that has never been measured for the object in question.</w:t>
      </w:r>
    </w:p>
    <w:p>
      <w:pPr>
        <w:pStyle w:val="BodyText"/>
        <w:spacing w:line="480" w:lineRule="auto"/>
        <w:ind w:firstLine="720"/>
      </w:pPr>
      <w:r>
        <w:t xml:space="preserve">This unmeasured status has a concrete cost for mission operations and acquisition planning. If the elasticity is in truth indistinguishable from zero, then sequencing instrument builds to capture cost reductions is an illusion, and the bespoke-article default correctly governs payload sizing and descope decisions. If the elasticity is reliably negative, then the same planning gains a quantitative basis for ordering builds to capture experience, and the imported slopes of the operational literature are vindicated for the planetary case. The planner today cannot distinguish these worlds, because the literature that prices the article and the literature that measures learning have never been joined for it. Closing that gap on a publicly reconstructable footing is the dissertation’s purpose.</w:t>
      </w:r>
    </w:p>
    <w:bookmarkEnd w:id="80"/>
    <w:bookmarkStart w:id="81" w:name="Xab2d12ca4ebac4e1e73e7328ab2041edceb5bac"/>
    <w:p>
      <w:pPr>
        <w:pStyle w:val="Heading2"/>
        <w:spacing w:line="480" w:lineRule="auto"/>
      </w:pPr>
      <w:r>
        <w:t xml:space="preserve">2.5 Data Infrastructure and the Boundaries of Reconstructability</w:t>
      </w:r>
    </w:p>
    <w:p>
      <w:pPr>
        <w:pStyle w:val="FirstParagraph"/>
        <w:spacing w:line="480" w:lineRule="auto"/>
      </w:pPr>
      <w:r>
        <w:t xml:space="preserve">A literature review for an empirical cost study must also review the data infrastructure that makes the estimand obtainable, because the credibility of any elasticity rests on the provenance of the panel from which it is estimated. The authoritative repository is the NASA Cost Analysis Data Requirement and One NASA Cost Engineering normalized cost database, which holds mission-level normalized cost and technical data and is accessible to the cost-estimation community. The instrument cost-model apparatus</w:t>
      </w:r>
      <w:r>
        <w:t xml:space="preserve"> </w:t>
      </w:r>
      <w:hyperlink w:anchor="ref-7">
        <w:r>
          <w:rPr>
            <w:rStyle w:val="Hyperlink"/>
          </w:rPr>
          <w:t xml:space="preserve">[7]</w:t>
        </w:r>
      </w:hyperlink>
      <w:r>
        <w:t xml:space="preserve"> </w:t>
      </w:r>
      <w:r>
        <w:t xml:space="preserve">and the cost-time trend analysis</w:t>
      </w:r>
      <w:r>
        <w:t xml:space="preserve"> </w:t>
      </w:r>
      <w:hyperlink w:anchor="ref-8">
        <w:r>
          <w:rPr>
            <w:rStyle w:val="Hyperlink"/>
          </w:rPr>
          <w:t xml:space="preserve">[8]</w:t>
        </w:r>
      </w:hyperlink>
      <w:r>
        <w:t xml:space="preserve"> </w:t>
      </w:r>
      <w:r>
        <w:t xml:space="preserve">are the public, citable distillations of that infrastructure, and they are what allow a researcher without privileged access to reconstruct a normalized cost layer transparently. The NASA Space Science Data Coordinated Archive supplies the instrument-family lineage and build sequence needed to construct the cumulative-unit regressor, and mission press kits and project documentation supply the heritage tables that key each build to its family.</w:t>
      </w:r>
    </w:p>
    <w:p>
      <w:pPr>
        <w:pStyle w:val="BodyText"/>
        <w:spacing w:line="480" w:lineRule="auto"/>
        <w:ind w:firstLine="720"/>
      </w:pPr>
      <w:r>
        <w:t xml:space="preserve">The boundary of reconstructability is set by the public availability of itemized per-unit cost. Itemized contractor cost is not public, so a fully reconstructable panel must build its cost variable from the published cost-model estimating relationships</w:t>
      </w:r>
      <w:r>
        <w:t xml:space="preserve"> </w:t>
      </w:r>
      <w:hyperlink w:anchor="ref-7">
        <w:r>
          <w:rPr>
            <w:rStyle w:val="Hyperlink"/>
          </w:rPr>
          <w:t xml:space="preserve">[7]</w:t>
        </w:r>
      </w:hyperlink>
      <w:r>
        <w:t xml:space="preserve"> </w:t>
      </w:r>
      <w:r>
        <w:t xml:space="preserve">applied to documented mass along the published class-level dollar-per-kilogram trend</w:t>
      </w:r>
      <w:r>
        <w:t xml:space="preserve"> </w:t>
      </w:r>
      <w:hyperlink w:anchor="ref-8">
        <w:r>
          <w:rPr>
            <w:rStyle w:val="Hyperlink"/>
          </w:rPr>
          <w:t xml:space="preserve">[8]</w:t>
        </w:r>
      </w:hyperlink>
      <w:r>
        <w:t xml:space="preserve">, with family anchors taken from public mission and contract records. This reconstruction is transparent and, critically, embeds no learning slope, so the experience effect it permits to emerge is identified from documented build order rather than imposed by the costing method. The adjacent instrument literature [13, 14, 15, 19, 21, 26] supplies the per-article technical and process detail that anchors individual rows and tags the interpolations the public record requires where a per-unit mass is not itemized. The data review thus confirms that the estimand is obtainable today: a normalized layer for researchers with standard cost-estimation community access, and an independently auditable reconstructable layer for entirely public access, with provenance traceable row by row to named missions and instruments and no proprietary cost used.</w:t>
      </w:r>
    </w:p>
    <w:bookmarkEnd w:id="81"/>
    <w:bookmarkStart w:id="82" w:name="X23bb079232c58374a9f3b37b62403bda079d769"/>
    <w:p>
      <w:pPr>
        <w:pStyle w:val="Heading2"/>
        <w:spacing w:line="480" w:lineRule="auto"/>
      </w:pPr>
      <w:r>
        <w:t xml:space="preserve">2.6 The Gap and the Position of This Dissertation</w:t>
      </w:r>
    </w:p>
    <w:p>
      <w:pPr>
        <w:pStyle w:val="FirstParagraph"/>
        <w:spacing w:line="480" w:lineRule="auto"/>
      </w:pPr>
      <w:r>
        <w:t xml:space="preserve">The gap this dissertation fills is now stated precisely. It is a specific, estimable quantity that no study in either reviewed literature reports: the elasticity of recurring planetary instrument cost with respect to cumulative units produced within an instrument family, estimated rather than assumed, tested against a null of zero, and reported with its uncertainty. The domain literature disclaims this quantity for first-of-a-kind articles [1, 7, 9] and assumes a version of it for proliferated architectures [2, 12] and maturing sectors [3, 4, 10], but never measures it for the low-volume planetary instrument case. The methodological literature possesses the estimand, the estimator, and the threat catalogue [5, 11, 24] needed to measure it but has not been applied to this object. The gap is the join between them.</w:t>
      </w:r>
    </w:p>
    <w:p>
      <w:pPr>
        <w:pStyle w:val="BodyText"/>
        <w:spacing w:line="480" w:lineRule="auto"/>
        <w:ind w:firstLine="720"/>
      </w:pPr>
      <w:r>
        <w:t xml:space="preserve">The dissertation’s two empirical papers are positioned to close that join from complementary altitudes, and reviewing them against the literature clarifies what each contributes. The first paper estimates a within-line Wright learning curve on a publicly reconstructable panel of planetary instrument flight units, holding the design lineage fixed so that the slope is identified from a family accumulating units rather than from cross-sectional heterogeneity. This is the direct application of the Section 2.3 methodology to the object the domain literature [1, 7, 8] leaves unmeasured, and it is the better instrument for detecting learning where it operates because it holds the instrument design fixed. The second paper widens the lens to a cross-family panel of planetary and space-system builds and asks the sharper conditional question the parametric tradition implies: once article mass is controlled, does cumulative-unit experience carry any independent cost information at all, This is the direct test of the parametric claim that mass is the binding gradient [1, 9] against the learning claim that experience is the active mechanism</w:t>
      </w:r>
      <w:r>
        <w:t xml:space="preserve"> </w:t>
      </w:r>
      <w:hyperlink w:anchor="ref-2">
        <w:r>
          <w:rPr>
            <w:rStyle w:val="Hyperlink"/>
          </w:rPr>
          <w:t xml:space="preserve">[2]</w:t>
        </w:r>
      </w:hyperlink>
      <w:r>
        <w:t xml:space="preserve">, and its near-zero conditional experience elasticity against a strongly significant mass elasticity is exactly what the parametric account predicts at the whole-system altitude.</w:t>
      </w:r>
    </w:p>
    <w:p>
      <w:pPr>
        <w:pStyle w:val="BodyText"/>
        <w:spacing w:line="480" w:lineRule="auto"/>
        <w:ind w:firstLine="720"/>
      </w:pPr>
      <w:r>
        <w:t xml:space="preserve">Read together against the two literatures, the papers draw the boundary the literatures themselves never drew. Mass prices the planetary article across the heterogeneous whole-system population, vindicating the disclaiming posture of the parametric tradition for the objects that tradition was built to price [1, 9]; and any learning that exists must be sought within a single design lineage, where the within-line analysis recovers a moderate, directionally negative elasticity consistent in sign with the imported satellite slopes</w:t>
      </w:r>
      <w:r>
        <w:t xml:space="preserve"> </w:t>
      </w:r>
      <w:hyperlink w:anchor="ref-2">
        <w:r>
          <w:rPr>
            <w:rStyle w:val="Hyperlink"/>
          </w:rPr>
          <w:t xml:space="preserve">[2]</w:t>
        </w:r>
      </w:hyperlink>
      <w:r>
        <w:t xml:space="preserve"> </w:t>
      </w:r>
      <w:r>
        <w:t xml:space="preserve">but weaker and noisier than the high-volume regimes from which those slopes originate</w:t>
      </w:r>
      <w:r>
        <w:t xml:space="preserve"> </w:t>
      </w:r>
      <w:hyperlink w:anchor="ref-4">
        <w:r>
          <w:rPr>
            <w:rStyle w:val="Hyperlink"/>
          </w:rPr>
          <w:t xml:space="preserve">[4]</w:t>
        </w:r>
      </w:hyperlink>
      <w:r>
        <w:t xml:space="preserve">. The technical-floor caveat the domain literature supplies [5, 11] explains why the within-line slope is moderate rather than steep, and the deflation and capability-confound discipline the methodology supplies explains why the cross-family slope is invisible once mass is partialled out. The dissertation thus does not merely fill the gap with a single number; it joins the two unjoined literatures by showing where each is right, the parametric tradition at the whole-system altitude and the learning tradition within the design lineage, and by supplying the estimated elasticity, with its uncertainty, that lets a mission operations or acquisition planner act on the distinction rather than choose between disclaiming and assuming on faith.</w:t>
      </w:r>
    </w:p>
    <w:p>
      <w:pPr>
        <w:pStyle w:val="BodyText"/>
        <w:spacing w:line="480" w:lineRule="auto"/>
        <w:ind w:firstLine="720"/>
      </w:pPr>
      <w:r>
        <w:t xml:space="preserve">The chapters that follow build on this synthesis. Chapter 3 specifies the data and the reconstruction protocol that the data-infrastructure review of Section 2.5 shows to be obtainable. Chapter 4 develops the within-line Wright estimator and Chapter 5 the cross-family multivariate estimator, each carrying the threat catalogue of Section 2.3 into its robustness design. The contribution of the present chapter is to have shown that the question is well posed, that the tools to answer it exist, and that the answer has been missing not because it is unmeasurable but because the two literatures that bound it have never been brought into contact for the planetary instrument case.</w:t>
      </w:r>
    </w:p>
    <w:bookmarkEnd w:id="82"/>
    <w:bookmarkEnd w:id="83"/>
    <w:bookmarkStart w:id="90" w:name="Xcfcc00a3ded59aed0c781c16bfc121f2a509603"/>
    <w:p>
      <w:pPr>
        <w:pStyle w:val="Heading1"/>
        <w:spacing w:line="480" w:lineRule="auto"/>
      </w:pPr>
      <w:r>
        <w:t xml:space="preserve">Chapter 3. Theoretical Framework and Hypotheses</w:t>
      </w:r>
    </w:p>
    <w:bookmarkStart w:id="84" w:name="purpose-and-position-of-the-chapter"/>
    <w:p>
      <w:pPr>
        <w:pStyle w:val="Heading2"/>
        <w:spacing w:line="480" w:lineRule="auto"/>
      </w:pPr>
      <w:r>
        <w:t xml:space="preserve">3.1 Purpose and Position of the Chapter</w:t>
      </w:r>
    </w:p>
    <w:p>
      <w:pPr>
        <w:pStyle w:val="FirstParagraph"/>
        <w:spacing w:line="480" w:lineRule="auto"/>
      </w:pPr>
      <w:r>
        <w:t xml:space="preserve">The two preceding chapters established the empirical disjuncture that animates this dissertation. Parametric spacecraft and instrument cost estimation, when confronted with a genuinely first-of-a-kind article, builds its approximations precisely because no prior production experience exists to draw on</w:t>
      </w:r>
      <w:r>
        <w:t xml:space="preserve"> </w:t>
      </w:r>
      <w:hyperlink w:anchor="ref-1">
        <w:r>
          <w:rPr>
            <w:rStyle w:val="Hyperlink"/>
          </w:rPr>
          <w:t xml:space="preserve">[1]</w:t>
        </w:r>
      </w:hyperlink>
      <w:r>
        <w:t xml:space="preserve">, and the broader parametric literature treats article mass as the binding cost gradient against which a singular article is priced. The operational and architecture literature, by contrast, imports an explicit satellite learning curve to drive per-unit cost down as cumulative units accumulate in proliferated sensor architectures</w:t>
      </w:r>
      <w:r>
        <w:t xml:space="preserve"> </w:t>
      </w:r>
      <w:hyperlink w:anchor="ref-2">
        <w:r>
          <w:rPr>
            <w:rStyle w:val="Hyperlink"/>
          </w:rPr>
          <w:t xml:space="preserve">[2]</w:t>
        </w:r>
      </w:hyperlink>
      <w:r>
        <w:t xml:space="preserve">, and sector forecasts attribute falling space-system costs to maturing manufacturing practice [3, 4]. The planetary instrument community estimates cost as if learning does not occur; adjacent space sectors treat learning as a central cost mechanism. This chapter does not yet test which posture is correct. Its task is the prior one of building the theoretical scaffolding on which a test can stand: to state the cost-generating mechanism precisely, to specify the causal logic by which cumulative production experience could lower recurring unit cost in the specific low-volume regime of planetary instruments, to name the rival mechanisms that would suppress or counterfeit that effect, and to crystallize the whole into a pair of formal, falsifiable hypotheses, H0 and H1, that the empirical chapters then adjudicate.</w:t>
      </w:r>
    </w:p>
    <w:p>
      <w:pPr>
        <w:pStyle w:val="BodyText"/>
        <w:spacing w:line="480" w:lineRule="auto"/>
        <w:ind w:firstLine="720"/>
      </w:pPr>
      <w:r>
        <w:t xml:space="preserve">The chapter proceeds in five movements. Section 3.2 develops the Wright learning curve as the formal backbone of the framework and fixes the estimand as a single cost-reduction elasticity. Section 3.3 articulates the causal mechanism, distinguishing the channels through which experience could plausibly act on planetary instrument cost. Section 3.4 sets out the rival theory, the mass-driven parametric account, and the technical-floor caveat that bounds any learning claim. Section 3.5 formalizes the hypotheses and the conditions for falsification in both directions. Section 3.6 closes by mapping the theoretical constructs to the identification strategy the dissertation employs, so that the hypotheses are not merely stated but rendered testable.</w:t>
      </w:r>
    </w:p>
    <w:bookmarkEnd w:id="84"/>
    <w:bookmarkStart w:id="85" w:name="X7a69676bd240e6b59fdcf8b4a5613737c17496e"/>
    <w:p>
      <w:pPr>
        <w:pStyle w:val="Heading2"/>
        <w:spacing w:line="480" w:lineRule="auto"/>
      </w:pPr>
      <w:r>
        <w:t xml:space="preserve">3.2 The Wright Learning Curve as Formal Backbone</w:t>
      </w:r>
    </w:p>
    <w:p>
      <w:pPr>
        <w:pStyle w:val="FirstParagraph"/>
        <w:spacing w:line="480" w:lineRule="auto"/>
      </w:pPr>
      <w:r>
        <w:t xml:space="preserve">The theoretical core of this dissertation is the Wright learning curve, the oldest and most parsimonious formalization of production experience. In its canonical form the recurring unit cost of an article declines by a constant fraction with each doubling of cumulative output. Writing C for recurring unit cost and Q for cumulative units produced within a coherent production line, the Wright relation is</w:t>
      </w:r>
    </w:p>
    <w:p>
      <w:pPr>
        <w:pStyle w:val="BodyText"/>
        <w:spacing w:line="480" w:lineRule="auto"/>
        <w:ind w:firstLine="720"/>
      </w:pPr>
      <w:r>
        <w:t xml:space="preserve">C = A Q^b,</w:t>
      </w:r>
    </w:p>
    <w:p>
      <w:pPr>
        <w:pStyle w:val="BodyText"/>
        <w:spacing w:line="480" w:lineRule="auto"/>
        <w:ind w:firstLine="720"/>
      </w:pPr>
      <w:r>
        <w:t xml:space="preserve">where A is the cost of the first unit and b is the slope of the experience curve. Taking natural logarithms linearizes the relation into the estimating form that organizes the entire empirical apparatus of this work:</w:t>
      </w:r>
    </w:p>
    <w:p>
      <w:pPr>
        <w:pStyle w:val="BodyText"/>
        <w:spacing w:line="480" w:lineRule="auto"/>
        <w:ind w:firstLine="720"/>
      </w:pPr>
      <w:r>
        <w:t xml:space="preserve">log C = a + b log Q + controls,</w:t>
      </w:r>
    </w:p>
    <w:p>
      <w:pPr>
        <w:pStyle w:val="BodyText"/>
        <w:spacing w:line="480" w:lineRule="auto"/>
        <w:ind w:firstLine="720"/>
      </w:pPr>
      <w:r>
        <w:t xml:space="preserve">with a = log A. The parameter b is the object of the dissertation. It is an elasticity: the proportional change in recurring unit cost associated with a proportional change in cumulative units. It is dimensionless, scale-free, and directly comparable across instrument families of very different absolute cost, which is exactly the property required to pool short production runs that would otherwise be incommensurable.</w:t>
      </w:r>
    </w:p>
    <w:p>
      <w:pPr>
        <w:pStyle w:val="BodyText"/>
        <w:spacing w:line="480" w:lineRule="auto"/>
        <w:ind w:firstLine="720"/>
      </w:pPr>
      <w:r>
        <w:t xml:space="preserve">The elasticity carries an immediate and policy-legible translation. The learning rate L is defined as the factor by which unit cost is multiplied when cumulative production doubles, so that</w:t>
      </w:r>
    </w:p>
    <w:p>
      <w:pPr>
        <w:pStyle w:val="BodyText"/>
        <w:spacing w:line="480" w:lineRule="auto"/>
        <w:ind w:firstLine="720"/>
      </w:pPr>
      <w:r>
        <w:t xml:space="preserve">L = 2^b.</w:t>
      </w:r>
    </w:p>
    <w:p>
      <w:pPr>
        <w:pStyle w:val="BodyText"/>
        <w:spacing w:line="480" w:lineRule="auto"/>
        <w:ind w:firstLine="720"/>
      </w:pPr>
      <w:r>
        <w:t xml:space="preserve">A slope of b = 0 implies L = 1, meaning unit cost is unchanged by doubling output and no learning occurs. A negative slope implies L &lt; 1, meaning each doubling of cumulative units lowers cost by the fraction 1 - L. The companion within-line estimate reported in the preceding chapter, b = -0.218, corresponds to L = 0.860, a learning rate under which each doubling of cumulative units within an instrument family is associated with roughly a fourteen percent reduction in recurring unit cost. The mapping from b to L is what allows an abstract regression coefficient to be carried into a mission operations or acquisition planning decision: a planner who knows L can forecast the cost of the next unit in a build line from its cumulative position, and can in principle sequence builds to capture the implied saving.</w:t>
      </w:r>
    </w:p>
    <w:p>
      <w:pPr>
        <w:pStyle w:val="BodyText"/>
        <w:spacing w:line="480" w:lineRule="auto"/>
        <w:ind w:firstLine="720"/>
      </w:pPr>
      <w:r>
        <w:t xml:space="preserve">Two formulations of the experience curve coexist in the literature and the framework must commit to their relation. The Wright unit-cost form, given above, regresses the cost of the individual unit on cumulative count. The Crawford cumulative-average form regresses the running average cost over all units built to date on cumulative count. The two are not identical, and they imply different but related slopes; agreement across the two formulations is therefore evidence that an estimated slope reflects a genuine experience gradient rather than an artifact of one functional form. This dissertation takes the Wright unit-cost form as primary, because the quantity of interest to operations and acquisition is the marginal cost of the next unit, not the historical average, but it treats the Crawford form as a robustness companion whose concurrence strengthens any non-zero finding.</w:t>
      </w:r>
    </w:p>
    <w:p>
      <w:pPr>
        <w:pStyle w:val="BodyText"/>
        <w:spacing w:line="480" w:lineRule="auto"/>
        <w:ind w:firstLine="720"/>
      </w:pPr>
      <w:r>
        <w:t xml:space="preserve">Why the Wright curve, rather than a richer learning-by-doing production function, is the right backbone for the planetary instrument case comes down to parsimony under data scarcity. Planetary instrument families produce few flight units, frequently fewer than ten across a multi-decade lineage. A specification with many free parameters would be unidentified on such short runs. The single-parameter Wright form extracts the one quantity, b, that is both estimable on short panels and sufficient to falsify the competing claims in the literature. The framework deliberately accepts the cost of this parsimony, namely that b is a reduced-form summary of several underlying channels rather than a structural estimate of any one of them, and it returns to that cost in Section 3.3 by naming the channels the reduced form aggregates.</w:t>
      </w:r>
    </w:p>
    <w:bookmarkEnd w:id="85"/>
    <w:bookmarkStart w:id="86" w:name="X1fd7a3e887a292499b5358f1a871ba28dec5ca0"/>
    <w:p>
      <w:pPr>
        <w:pStyle w:val="Heading2"/>
        <w:spacing w:line="480" w:lineRule="auto"/>
      </w:pPr>
      <w:r>
        <w:t xml:space="preserve">3.3 The Causal Mechanism: How Experience Could Lower Planetary Instrument Cost</w:t>
      </w:r>
    </w:p>
    <w:p>
      <w:pPr>
        <w:pStyle w:val="FirstParagraph"/>
        <w:spacing w:line="480" w:lineRule="auto"/>
      </w:pPr>
      <w:r>
        <w:t xml:space="preserve">A negative b is not self-explanatory. To treat it as evidence of learning rather than as a statistical coincidence, the framework must specify the causal pathway by which building one more unit of an instrument lowers the cost of the next. Three channels are theoretically available in the planetary instrument setting, and the framework is explicit that the reduced-form elasticity aggregates them.</w:t>
      </w:r>
    </w:p>
    <w:p>
      <w:pPr>
        <w:pStyle w:val="BodyText"/>
        <w:spacing w:line="480" w:lineRule="auto"/>
        <w:ind w:firstLine="720"/>
      </w:pPr>
      <w:r>
        <w:t xml:space="preserve">The first channel is heritage reuse across successive flight units within a design lineage. When an instrument family produces a second or third flight unit on a shared design, the program reuses tooling, fixtures, calibration procedures, qualification test campaigns, and accumulated build documentation. Each of these is a fixed investment whose cost is incurred once and amortized across subsequent units, and each represents a quantum of experience that the parametric tradition itself records as a cost driver under the heading of design heritage</w:t>
      </w:r>
      <w:r>
        <w:t xml:space="preserve"> </w:t>
      </w:r>
      <w:hyperlink w:anchor="ref-1">
        <w:r>
          <w:rPr>
            <w:rStyle w:val="Hyperlink"/>
          </w:rPr>
          <w:t xml:space="preserve">[1]</w:t>
        </w:r>
      </w:hyperlink>
      <w:r>
        <w:t xml:space="preserve">. The causal claim is that heritage is not merely a cross-sectional attribute that distinguishes a high-heritage instrument from a low-heritage one, but a longitudinal accumulation: the same family grows its heritage as it builds, and that growth lowers the recurring cost of later units. This is the channel most specific to planetary instruments, because instrument families with shared electronics or shared optical benches, of the kind documented in the preceding chapters, carry exactly this transferable heritage across builds.</w:t>
      </w:r>
    </w:p>
    <w:p>
      <w:pPr>
        <w:pStyle w:val="BodyText"/>
        <w:spacing w:line="480" w:lineRule="auto"/>
        <w:ind w:firstLine="720"/>
      </w:pPr>
      <w:r>
        <w:t xml:space="preserve">The second channel is procedural and workforce learning in the narrow sense Wright originally described. A team that has assembled, aligned, and qualified one flight unit of a spectrometer or magnetometer executes the second build with fewer errors, fewer rework cycles, and shorter touch times. Even where tooling is unchanged, the tacit knowledge embodied in the build team compounds with repetition. In high-volume manufacturing this channel is dominant and produces the steep learning rates seen in aircraft and electronics production. In the planetary instrument regime it is attenuated by the long calendar gaps between builds, during which workforce turnover erodes the accumulated tacit knowledge, but it is not eliminated, because the codified residue of the prior build persists in procedures and documentation even when individuals depart.</w:t>
      </w:r>
    </w:p>
    <w:p>
      <w:pPr>
        <w:pStyle w:val="BodyText"/>
        <w:spacing w:line="480" w:lineRule="auto"/>
        <w:ind w:firstLine="720"/>
      </w:pPr>
      <w:r>
        <w:t xml:space="preserve">The third channel is supplier and component learning external to the instrument team. Detectors, optics, and electronics subsystems sourced from specialized vendors carry their own experience curves, and a planetary instrument family that returns to the same supplier for successive units inherits the supplier’s accumulated production experience as a lower input price. This channel links the instrument-level elasticity to the sector-level cost decline that the space-economy forecasts attribute to maturing manufacturing practice [3, 4]; the falling unit-cost curves traced for satellite components as those sectors mature</w:t>
      </w:r>
      <w:r>
        <w:t xml:space="preserve"> </w:t>
      </w:r>
      <w:hyperlink w:anchor="ref-4">
        <w:r>
          <w:rPr>
            <w:rStyle w:val="Hyperlink"/>
          </w:rPr>
          <w:t xml:space="preserve">[4]</w:t>
        </w:r>
      </w:hyperlink>
      <w:r>
        <w:t xml:space="preserve"> </w:t>
      </w:r>
      <w:r>
        <w:t xml:space="preserve">are, in part, the supplier-side experience that an instrument family can capture by sourcing from a maturing supply base.</w:t>
      </w:r>
    </w:p>
    <w:p>
      <w:pPr>
        <w:pStyle w:val="BodyText"/>
        <w:spacing w:line="480" w:lineRule="auto"/>
        <w:ind w:firstLine="720"/>
      </w:pPr>
      <w:r>
        <w:t xml:space="preserve">These three channels share a single observable signature: recurring unit cost falling as cumulative units within a family rise, holding the article’s physical and capability attributes fixed. The reduced-form elasticity b is the sum of their contributions. The framework does not claim to decompose b into its three parts, which the available data cannot support, but it insists that the channels are real and jointly sufficient to motivate a negative b as the maintained alternative. The operational literature already presumes their existence when it imports a satellite learning slope as a design input without estimating it</w:t>
      </w:r>
      <w:r>
        <w:t xml:space="preserve"> </w:t>
      </w:r>
      <w:hyperlink w:anchor="ref-2">
        <w:r>
          <w:rPr>
            <w:rStyle w:val="Hyperlink"/>
          </w:rPr>
          <w:t xml:space="preserve">[2]</w:t>
        </w:r>
      </w:hyperlink>
      <w:r>
        <w:t xml:space="preserve">; this dissertation’s contribution is to test, rather than assume, whether the planetary instrument case carries the signature those channels would produce.</w:t>
      </w:r>
    </w:p>
    <w:p>
      <w:pPr>
        <w:pStyle w:val="BodyText"/>
        <w:spacing w:line="480" w:lineRule="auto"/>
        <w:ind w:firstLine="720"/>
      </w:pPr>
      <w:r>
        <w:t xml:space="preserve">The causal logic also clarifies the unit of analysis at which the mechanism can operate. The channels act within a design lineage, where tooling, teams, and suppliers are shared across builds, not across the heterogeneous population of unrelated articles. A magnetometer build does not lower the cost of the next spectrometer. This is why the framework locates the experience effect, if it exists, at the within-family level, and why the identification strategy in Section 3.6 isolates within-family variation in cumulative count. A cross-family comparison that pools unrelated articles would dilute the within-lineage signal with between-lineage heterogeneity that has nothing to do with experience, a dilution the preceding multivariate chapter demonstrated directly when the cross-family experience elasticity collapsed to a wrong-signed, statistically null value of beta_1 = 0.031 once article mass was controlled.</w:t>
      </w:r>
    </w:p>
    <w:bookmarkEnd w:id="86"/>
    <w:bookmarkStart w:id="87" w:name="X39aaf1d49c88da434108e9fba8badffc3a3bb17"/>
    <w:p>
      <w:pPr>
        <w:pStyle w:val="Heading2"/>
        <w:spacing w:line="480" w:lineRule="auto"/>
      </w:pPr>
      <w:r>
        <w:t xml:space="preserve">3.4 The Rival Mechanism and the Technical Floor</w:t>
      </w:r>
    </w:p>
    <w:p>
      <w:pPr>
        <w:pStyle w:val="FirstParagraph"/>
        <w:spacing w:line="480" w:lineRule="auto"/>
      </w:pPr>
      <w:r>
        <w:t xml:space="preserve">A framework that only articulates the channels favorable to its alternative hypothesis is not a framework but an advocacy brief. The theoretical apparatus must give the null its strongest causal form, because the dissertation’s value lies in a test that could genuinely fail to find learning.</w:t>
      </w:r>
    </w:p>
    <w:p>
      <w:pPr>
        <w:pStyle w:val="BodyText"/>
        <w:spacing w:line="480" w:lineRule="auto"/>
        <w:ind w:firstLine="720"/>
      </w:pPr>
      <w:r>
        <w:t xml:space="preserve">Against this stands the rival mechanism, the mass-driven parametric account. In this account recurring unit cost is set by the physical and programmatic scale of the article, above all its mass, and cumulative production experience adds little once scale is held fixed, because the canonical objects of the parametric tradition are singular articles whose cost is determined by what they are rather than by how many have preceded them</w:t>
      </w:r>
      <w:r>
        <w:t xml:space="preserve"> </w:t>
      </w:r>
      <w:hyperlink w:anchor="ref-1">
        <w:r>
          <w:rPr>
            <w:rStyle w:val="Hyperlink"/>
          </w:rPr>
          <w:t xml:space="preserve">[1]</w:t>
        </w:r>
      </w:hyperlink>
      <w:r>
        <w:t xml:space="preserve">. The causal claim of the rival account is not that learning is metaphysically impossible but that, in the planetary regime of short runs and bespoke articles, the mass channel so dominates that any experience channel is swamped. The preceding multivariate analysis gave this account direct empirical support: the cost-mass elasticity was estimated at 0.812 with a confidence interval excluding zero, while the conditional experience elasticity was indistinguishable from zero. The rival mechanism is therefore not a strawman but a measured alternative with a documented signature of its own, namely cost tracking mass and ignoring build position.</w:t>
      </w:r>
    </w:p>
    <w:p>
      <w:pPr>
        <w:pStyle w:val="BodyText"/>
        <w:spacing w:line="480" w:lineRule="auto"/>
        <w:ind w:firstLine="720"/>
      </w:pPr>
      <w:r>
        <w:t xml:space="preserve">Two structural features of the planetary regime supply the causal force behind the rival account. First, production runs are short. Where high-volume manufacturing builds hundreds or thousands of units across which the fixed costs of heritage and the variable gains of procedural learning are amortized, a planetary instrument family may build three or four flight units across decades. The cumulative-doubling axis along which the Wright effect is defined barely advances, so even a structurally present learning rate produces little observed cost movement, and what movement there is competes with large idiosyncratic article-to-article variation. Second, successor builds frequently add capability. A later unit in a family is often not the same article built more cheaply but a more capable article built to a new requirement, so apparent cost change reflects specification drift rather than pure experience. This is specification change masquerading as, or masking, learning, and it cuts in both directions: it can manufacture a spurious positive slope when later units are upgraded, and it can hide a genuine negative slope beneath added capability. The framework treats this as the central confound the empirical design must neutralize.</w:t>
      </w:r>
    </w:p>
    <w:p>
      <w:pPr>
        <w:pStyle w:val="BodyText"/>
        <w:spacing w:line="480" w:lineRule="auto"/>
        <w:ind w:firstLine="720"/>
      </w:pPr>
      <w:r>
        <w:t xml:space="preserve">Bounding both accounts is the technical floor. The Earth-observation disruption literature establishes that some cost drivers are irreducible by production experience: mirror mass, for instance, remains a binding technical difficulty that learning alone cannot relax</w:t>
      </w:r>
      <w:r>
        <w:t xml:space="preserve"> </w:t>
      </w:r>
      <w:hyperlink w:anchor="ref-5">
        <w:r>
          <w:rPr>
            <w:rStyle w:val="Hyperlink"/>
          </w:rPr>
          <w:t xml:space="preserve">[5]</w:t>
        </w:r>
      </w:hyperlink>
      <w:r>
        <w:t xml:space="preserve">. The asteroid-mining and parametric-modeling literature similarly identifies technical drivers that set a hard lower bound on achievable cost</w:t>
      </w:r>
      <w:r>
        <w:t xml:space="preserve"> </w:t>
      </w:r>
      <w:hyperlink w:anchor="ref-11">
        <w:r>
          <w:rPr>
            <w:rStyle w:val="Hyperlink"/>
          </w:rPr>
          <w:t xml:space="preserve">[11]</w:t>
        </w:r>
      </w:hyperlink>
      <w:r>
        <w:t xml:space="preserve">. The causal implication is that the experience elasticity is not constant across the production range but attenuates as a family approaches the technical frontier of its instrument class. Near the floor, additional units buy little further cost reduction because the residual cost is physical, not experiential. The framework incorporates this as a theoretical prior that the elasticity should be moderate rather than steep in the planetary regime, consistent with the sector-level evidence that dollar-per-kg has fallen for some instrument classes and not others</w:t>
      </w:r>
      <w:r>
        <w:t xml:space="preserve"> </w:t>
      </w:r>
      <w:hyperlink w:anchor="ref-4">
        <w:r>
          <w:rPr>
            <w:rStyle w:val="Hyperlink"/>
          </w:rPr>
          <w:t xml:space="preserve">[4]</w:t>
        </w:r>
      </w:hyperlink>
      <w:r>
        <w:t xml:space="preserve">, and it warns that the floor creates a specific inferential hazard: an elasticity attenuated toward zero by an irreducible technical floor could be misread as confirmation of the null when in fact a learning channel operates above the floor. Section 3.5 builds this hazard into the falsification logic.</w:t>
      </w:r>
    </w:p>
    <w:bookmarkEnd w:id="87"/>
    <w:bookmarkStart w:id="88" w:name="formal-hypotheses"/>
    <w:p>
      <w:pPr>
        <w:pStyle w:val="Heading2"/>
        <w:spacing w:line="480" w:lineRule="auto"/>
      </w:pPr>
      <w:r>
        <w:t xml:space="preserve">3.5 Formal Hypotheses</w:t>
      </w:r>
    </w:p>
    <w:p>
      <w:pPr>
        <w:pStyle w:val="FirstParagraph"/>
        <w:spacing w:line="480" w:lineRule="auto"/>
      </w:pPr>
      <w:r>
        <w:t xml:space="preserve">The framework reduces to a single estimable parameter and a pair of hypotheses stated on it. Let b denote the production-experience elasticity of recurring planetary instrument cost in the within-family Wright specification log C = a + b log Q + controls, where C is recurring unit cost, Q is cumulative units built within an instrument family, and the controls hold fixed the article-level cost drivers, principally mass, technology readiness, and design heritage, that the parametric tradition shows to govern first-unit cost</w:t>
      </w:r>
      <w:r>
        <w:t xml:space="preserve"> </w:t>
      </w:r>
      <w:hyperlink w:anchor="ref-1">
        <w:r>
          <w:rPr>
            <w:rStyle w:val="Hyperlink"/>
          </w:rPr>
          <w:t xml:space="preserve">[1]</w:t>
        </w:r>
      </w:hyperlink>
      <w:r>
        <w:t xml:space="preserve">. The implied learning rate is L = 2^b.</w:t>
      </w:r>
    </w:p>
    <w:p>
      <w:pPr>
        <w:pStyle w:val="BodyText"/>
        <w:spacing w:line="480" w:lineRule="auto"/>
        <w:ind w:firstLine="720"/>
      </w:pPr>
      <w:r>
        <w:rPr>
          <w:b/>
          <w:bCs/>
        </w:rPr>
        <w:t xml:space="preserve">H0 (null hypothesis): b = 0.</w:t>
      </w:r>
      <w:r>
        <w:t xml:space="preserve"> </w:t>
      </w:r>
      <w:r>
        <w:t xml:space="preserve">Once article-level cost drivers are held fixed, recurring planetary instrument cost does not decline with cumulative units produced within an instrument family. The learning rate is L = 1. Under H0 the bespoke-article view of the parametric tradition generalizes to the planetary instrument case</w:t>
      </w:r>
      <w:r>
        <w:t xml:space="preserve"> </w:t>
      </w:r>
      <w:hyperlink w:anchor="ref-1">
        <w:r>
          <w:rPr>
            <w:rStyle w:val="Hyperlink"/>
          </w:rPr>
          <w:t xml:space="preserve">[1]</w:t>
        </w:r>
      </w:hyperlink>
      <w:r>
        <w:t xml:space="preserve">: cost is set by the physical and programmatic scale of each article, and the satellite learning curves imported into architecture optimization</w:t>
      </w:r>
      <w:r>
        <w:t xml:space="preserve"> </w:t>
      </w:r>
      <w:hyperlink w:anchor="ref-2">
        <w:r>
          <w:rPr>
            <w:rStyle w:val="Hyperlink"/>
          </w:rPr>
          <w:t xml:space="preserve">[2]</w:t>
        </w:r>
      </w:hyperlink>
      <w:r>
        <w:t xml:space="preserve"> </w:t>
      </w:r>
      <w:r>
        <w:t xml:space="preserve">do not transfer to the low-volume planetary regime. The mass-driven rival mechanism of Section 3.4 is the maintained explanation.</w:t>
      </w:r>
    </w:p>
    <w:p>
      <w:pPr>
        <w:pStyle w:val="BodyText"/>
        <w:spacing w:line="480" w:lineRule="auto"/>
        <w:ind w:firstLine="720"/>
      </w:pPr>
      <w:r>
        <w:rPr>
          <w:b/>
          <w:bCs/>
        </w:rPr>
        <w:t xml:space="preserve">H1 (alternative hypothesis): b &lt; 0.</w:t>
      </w:r>
      <w:r>
        <w:t xml:space="preserve"> </w:t>
      </w:r>
      <w:r>
        <w:t xml:space="preserve">Recurring cost declines measurably with cumulative units, yielding a learning rate L = 2^b &lt; 1 that is statistically distinguishable from unity and stable across reasonable specifications. Under H1 at least one of the causal channels of Section 3.3, heritage reuse, procedural learning, or supplier learning, leaves a detectable signature in recurring cost, and the slope that the architecture literature currently imports by assumption</w:t>
      </w:r>
      <w:r>
        <w:t xml:space="preserve"> </w:t>
      </w:r>
      <w:hyperlink w:anchor="ref-2">
        <w:r>
          <w:rPr>
            <w:rStyle w:val="Hyperlink"/>
          </w:rPr>
          <w:t xml:space="preserve">[2]</w:t>
        </w:r>
      </w:hyperlink>
      <w:r>
        <w:t xml:space="preserve"> </w:t>
      </w:r>
      <w:r>
        <w:t xml:space="preserve">is recovered as an estimate on planetary instrument data.</w:t>
      </w:r>
    </w:p>
    <w:p>
      <w:pPr>
        <w:pStyle w:val="BodyText"/>
        <w:spacing w:line="480" w:lineRule="auto"/>
        <w:ind w:firstLine="720"/>
      </w:pPr>
      <w:r>
        <w:t xml:space="preserve">The hypotheses are falsifiable in both directions, which is the property that gives the test its evidential weight. A precisely estimated b indistinguishable from zero falsifies H1 and substantiates the bespoke-article default; this is not an inability to reject the null through low power but a positive finding that, where cumulative count varies, cost does not move with it. A reliably negative b falsifies H0 and supplies the missing slope. The framework is careful to distinguish these two routes to a non-rejection of H0, because they carry opposite scientific meaning: a tight confidence interval around zero is evidence for the bespoke-article account, whereas a wide interval that merely happens to include zero is evidence of nothing but insufficient data. The dissertation therefore commits in advance to reporting b with its confidence interval and the implied learning rate L, rather than a bare reject-or-not verdict, so that the precision of the estimate is itself part of the finding.</w:t>
      </w:r>
    </w:p>
    <w:p>
      <w:pPr>
        <w:pStyle w:val="BodyText"/>
        <w:spacing w:line="480" w:lineRule="auto"/>
        <w:ind w:firstLine="720"/>
      </w:pPr>
      <w:r>
        <w:t xml:space="preserve">Two qualifications on the hypotheses follow directly from the theory. First, the technical-floor hazard of Section 3.4 implies that a failure to reject H0 must be interrogated for attenuation: if the elasticity is allowed to vary across the production range and is found to be negative above the technical floor but flat near it, the pooled b may sit near zero while a real learning channel operates over part of the range. The framework therefore specifies that H0 is tested both on the constant-elasticity form and on a frontier-attenuation form, and that confirmation of H0 requires the null to survive both. Second, the specification-drift confound implies that a negative b is credited to learning only when capability is held fixed; a negative slope driven by later units being cheaper because they are less capable would be a counterfeit of learning, not an instance of it, and the empirical design isolates a capability-held-fixed reading precisely to exclude that counterfeit.</w:t>
      </w:r>
    </w:p>
    <w:p>
      <w:pPr>
        <w:pStyle w:val="BodyText"/>
        <w:spacing w:line="480" w:lineRule="auto"/>
        <w:ind w:firstLine="720"/>
      </w:pPr>
      <w:r>
        <w:t xml:space="preserve">The relation between this within-family hypothesis and the cross-family hypothesis examined in the preceding multivariate chapter is one of nested scope, not of contradiction. The cross-family test asked whether cumulative count carries cost information once mass is partialled out across unrelated articles, and answered that it does not, with a conditional elasticity statistically indistinguishable from zero. That result bounds the population-average experience effect at the whole-system altitude. It does not bound the within-lineage effect, because the channels of Section 3.3 act inside a design family and are diluted to invisibility when unrelated families are pooled. H1 in this chapter is the sharper, lineage-internal claim that the cross-family test was structurally unable to detect, and the within-family identification of Section 3.6 is the instrument built specifically to detect it. The two hypotheses together draw the boundary the dissertation argues for: mass prices the article across the heterogeneous population, and learning, if it exists at all, must be sought within a single design lineage.</w:t>
      </w:r>
    </w:p>
    <w:bookmarkEnd w:id="88"/>
    <w:bookmarkStart w:id="89" w:name="from-constructs-to-identification"/>
    <w:p>
      <w:pPr>
        <w:pStyle w:val="Heading2"/>
        <w:spacing w:line="480" w:lineRule="auto"/>
      </w:pPr>
      <w:r>
        <w:t xml:space="preserve">3.6 From Constructs to Identification</w:t>
      </w:r>
    </w:p>
    <w:p>
      <w:pPr>
        <w:pStyle w:val="FirstParagraph"/>
        <w:spacing w:line="480" w:lineRule="auto"/>
      </w:pPr>
      <w:r>
        <w:t xml:space="preserve">A theoretical framework earns its standing only by rendering its constructs measurable. This closing section maps each construct of the framework to an element of the identification strategy, so that H0 and H1 are operational rather than rhetorical.</w:t>
      </w:r>
    </w:p>
    <w:p>
      <w:pPr>
        <w:pStyle w:val="BodyText"/>
        <w:spacing w:line="480" w:lineRule="auto"/>
        <w:ind w:firstLine="720"/>
      </w:pPr>
      <w:r>
        <w:t xml:space="preserve">The estimand b is identified from within-instrument-family variation in cumulative count. The baseline is a fixed-effects Wright regression in which instrument-family fixed effects absorb the time-invariant characteristics of each lineage, instrument class, core technology, and prime builder, so that b is recovered from the change in cost as a family accumulates units rather than from comparisons across dissimilar instruments. This operationalizes the causal claim of Section 3.3 that experience acts within a lineage: the fixed effects strip out exactly the between-family heterogeneity that diluted the cross-family estimate, leaving the within-lineage cost gradient that the channels of heritage, procedure, and supplier learning would produce.</w:t>
      </w:r>
    </w:p>
    <w:p>
      <w:pPr>
        <w:pStyle w:val="BodyText"/>
        <w:spacing w:line="480" w:lineRule="auto"/>
        <w:ind w:firstLine="720"/>
      </w:pPr>
      <w:r>
        <w:t xml:space="preserve">The article-level controls operationalize the rival mechanism of Section 3.4. Instrument mass, technology readiness at build start, and design heritage, the covariates the parametric tradition relies on</w:t>
      </w:r>
      <w:r>
        <w:t xml:space="preserve"> </w:t>
      </w:r>
      <w:hyperlink w:anchor="ref-1">
        <w:r>
          <w:rPr>
            <w:rStyle w:val="Hyperlink"/>
          </w:rPr>
          <w:t xml:space="preserve">[1]</w:t>
        </w:r>
      </w:hyperlink>
      <w:r>
        <w:t xml:space="preserve">, enter the specification to prevent the confounding of learning with article-to-article specification change. Holding these fixed is what converts a raw cost-versus-count slope into the capability-held-fixed reading that distinguishes genuine learning from the specification-drift counterfeit. Mission-epoch effects absorb common cost inflation and budget-environment shifts, isolating the experience gradient from the secular cost trends that the sector-level forecasts describe [3, 4].</w:t>
      </w:r>
    </w:p>
    <w:p>
      <w:pPr>
        <w:pStyle w:val="BodyText"/>
        <w:spacing w:line="480" w:lineRule="auto"/>
        <w:ind w:firstLine="720"/>
      </w:pPr>
      <w:r>
        <w:t xml:space="preserve">The technical-floor caveat is operationalized as a frontier-attenuation specification that allows b to weaken as a family approaches the technical limit of its class, guarding against the false acceptance of H0 that an irreducible technical cost would otherwise induce [5, 11]. The two-formulation robustness, Wright unit-cost alongside Crawford cumulative-average, operationalizes the parsimony commitment of Section 3.2 by requiring a non-zero finding to survive both functional forms. And the sector-level cost-curve trends reported for launch and satellites</w:t>
      </w:r>
      <w:r>
        <w:t xml:space="preserve"> </w:t>
      </w:r>
      <w:hyperlink w:anchor="ref-4">
        <w:r>
          <w:rPr>
            <w:rStyle w:val="Hyperlink"/>
          </w:rPr>
          <w:t xml:space="preserve">[4]</w:t>
        </w:r>
      </w:hyperlink>
      <w:r>
        <w:t xml:space="preserve"> </w:t>
      </w:r>
      <w:r>
        <w:t xml:space="preserve">serve as an external plausibility benchmark, against which a planetary instrument elasticity should be of credible sign and moderate magnitude rather than implausibly steep or perverse.</w:t>
      </w:r>
    </w:p>
    <w:p>
      <w:pPr>
        <w:pStyle w:val="BodyText"/>
        <w:spacing w:line="480" w:lineRule="auto"/>
        <w:ind w:firstLine="720"/>
      </w:pPr>
      <w:r>
        <w:t xml:space="preserve">With these mappings in place the framework is complete and testable. The mechanism is named, its rival is given its strongest form, the confounds are identified, and the single parameter b carries the entire weight of the test, with L = 2^b translating the abstract elasticity into the cost-reduction quantity that mission operations and acquisition planning require. The empirical chapters that follow estimate b under this framework, report it with the honest uncertainty the theory demands, and return a verdict on H0 and H1 that the foregoing causal logic makes interpretable rather than merely numerical.</w:t>
      </w:r>
    </w:p>
    <w:bookmarkEnd w:id="89"/>
    <w:bookmarkEnd w:id="90"/>
    <w:bookmarkStart w:id="101" w:name="chapter-4.-data-and-measurement"/>
    <w:p>
      <w:pPr>
        <w:pStyle w:val="Heading1"/>
        <w:spacing w:line="480" w:lineRule="auto"/>
      </w:pPr>
      <w:r>
        <w:t xml:space="preserve">Chapter 4. Data and Measurement</w:t>
      </w:r>
    </w:p>
    <w:bookmarkStart w:id="91" w:name="overview-and-logic-of-the-two-samples"/>
    <w:p>
      <w:pPr>
        <w:pStyle w:val="Heading2"/>
        <w:spacing w:line="480" w:lineRule="auto"/>
      </w:pPr>
      <w:r>
        <w:t xml:space="preserve">4.1 Overview and Logic of the Two Samples</w:t>
      </w:r>
    </w:p>
    <w:p>
      <w:pPr>
        <w:pStyle w:val="FirstParagraph"/>
        <w:spacing w:line="480" w:lineRule="auto"/>
      </w:pPr>
      <w:r>
        <w:t xml:space="preserve">This chapter documents the empirical raw material on which the dissertation’s single estimable quantity, the production-experience elasticity of recurring cost, is constructed, measured, and audited. The dissertation rests on two complementary datasets, each purpose-built to interrogate a different altitude of the same question. The first dataset, used in the within-line study, is a panel of planetary instrument flight units organized into design-heritage families; it asks whether recurring cost falls as a single instrument lineage accumulates units. The second dataset, used in the cross-family multivariate study, is a panel of whole flight-system articles spanning planetary spacecraft and space-system series; it asks whether cumulative-unit experience carries any independent cost information once article mass is held fixed. The two samples are deliberately constructed at different units of analysis because the question is scale-dependent: a learning effect that operates along a fixed instrument design may be invisible at the whole-system level where mass and mission scope dominate, and conversely a whole-system panel built to identify a mass gradient cannot isolate the within-design experience channel. Treating the two as separate measurement instruments, rather than forcing them into one table, is itself a methodological choice that the chapter makes explicit and defends.</w:t>
      </w:r>
    </w:p>
    <w:p>
      <w:pPr>
        <w:pStyle w:val="BodyText"/>
        <w:spacing w:line="480" w:lineRule="auto"/>
        <w:ind w:firstLine="720"/>
      </w:pPr>
      <w:r>
        <w:t xml:space="preserve">The measurement philosophy common to both samples is reconstructability. Every quantity that enters either regression is keyed to a named NASA mission and a named article, and every cost figure is either a directly reported public value or a transparent arithmetic derivation from a documented public envelope. No proprietary contractor cost is used anywhere in the dissertation. This constraint is binding rather than cosmetic. The parametric cost-estimation literature that motivates the null hypothesis is itself built, in its canonical first-of-a-kind cases, on approximations constructed precisely because itemized production cost was unavailable</w:t>
      </w:r>
      <w:r>
        <w:t xml:space="preserve"> </w:t>
      </w:r>
      <w:hyperlink w:anchor="ref-1">
        <w:r>
          <w:rPr>
            <w:rStyle w:val="Hyperlink"/>
          </w:rPr>
          <w:t xml:space="preserve">[1]</w:t>
        </w:r>
      </w:hyperlink>
      <w:r>
        <w:t xml:space="preserve">, and the broader validation literature for parametric tools such as SEER-H operates on exactly the kind of normalized, partially public NASA cost record that this dissertation reconstructs</w:t>
      </w:r>
      <w:r>
        <w:t xml:space="preserve"> </w:t>
      </w:r>
      <w:hyperlink w:anchor="ref-9">
        <w:r>
          <w:rPr>
            <w:rStyle w:val="Hyperlink"/>
          </w:rPr>
          <w:t xml:space="preserve">[9]</w:t>
        </w:r>
      </w:hyperlink>
      <w:r>
        <w:t xml:space="preserve">. The decision to work entirely within the publicly auditable layer therefore trades statistical power, since itemized per-unit contractor cost would yield tighter estimates, for independent verifiability, since any reader with standard cost-community access and public archives can rebuild the panel row by row. The chapter sets out, for each variable in each sample, the authoritative source, the unit of observation, the construction rule, and the threats that the construction rule is designed to neutralize.</w:t>
      </w:r>
    </w:p>
    <w:bookmarkEnd w:id="91"/>
    <w:bookmarkStart w:id="95" w:name="the-within-line-instrument-sample"/>
    <w:p>
      <w:pPr>
        <w:pStyle w:val="Heading2"/>
        <w:spacing w:line="480" w:lineRule="auto"/>
      </w:pPr>
      <w:r>
        <w:t xml:space="preserve">4.2 The Within-Line Instrument Sample</w:t>
      </w:r>
    </w:p>
    <w:bookmarkStart w:id="92" w:name="X2ccdbb80953cdbe680aff1bf5c7d08311acf366"/>
    <w:p>
      <w:pPr>
        <w:pStyle w:val="Heading3"/>
        <w:spacing w:line="480" w:lineRule="auto"/>
      </w:pPr>
      <w:r>
        <w:t xml:space="preserve">4.2.1 Unit of Analysis and Authoritative Sources</w:t>
      </w:r>
    </w:p>
    <w:p>
      <w:pPr>
        <w:pStyle w:val="FirstParagraph"/>
        <w:spacing w:line="480" w:lineRule="auto"/>
      </w:pPr>
      <w:r>
        <w:t xml:space="preserve">The unit of analysis in the within-line sample is a single planetary instrument flight unit. This is the finest grain at which the learning question can be posed without descending into subassembly accounting that the public record does not support. A flight unit is an individual, flight-qualified copy of an instrument that flew, or was built to fly, on a named mission. The sample comprises twenty-six such flight units, partitioned into five instrument families that each share a documented design lineage.</w:t>
      </w:r>
    </w:p>
    <w:p>
      <w:pPr>
        <w:pStyle w:val="BodyText"/>
        <w:spacing w:line="480" w:lineRule="auto"/>
        <w:ind w:firstLine="720"/>
      </w:pPr>
      <w:r>
        <w:t xml:space="preserve">Five families were chosen. Each presents a genuine, publicly documented production run rather than a one-off article, and together they span the principal classes of planetary instrument whose cost behavior the dissertation seeks to characterize. The first is the Alpha Particle X-ray Spectrometer line, traced from Mars Pathfinder through the twin Mars Exploration Rovers, the Mars Science Laboratory, and Chandrayaan-2. The second is the Malin Space Science Systems shared-electronics camera family, running from the Mars Color Imager and Mars Descent Imager through the Mast cameras and Mastcam-Z. The third is the fluxgate magnetometer lineage, a long heritage line from Voyager through Mars Global Surveyor, MESSENGER, STEREO, MAVEN, and Juno. The fourth is the thermal imager and emission-spectrometer line, from the Thermal Emission Spectrometer through THEMIS to the OSIRIS-REx Thermal Emission Spectrometer. The fifth is a Malin planetary-camera pair spanning the JunoCam build and the OSIRIS-REx camera. These families are not arbitrary groupings; each is bound by shared electronics, shared calibration procedure, shared qualification heritage, or a common prime builder, which is the precise form of reuse the parametric tradition records as a heritage cost driver</w:t>
      </w:r>
      <w:r>
        <w:t xml:space="preserve"> </w:t>
      </w:r>
      <w:hyperlink w:anchor="ref-1">
        <w:r>
          <w:rPr>
            <w:rStyle w:val="Hyperlink"/>
          </w:rPr>
          <w:t xml:space="preserve">[1]</w:t>
        </w:r>
      </w:hyperlink>
      <w:r>
        <w:t xml:space="preserve"> </w:t>
      </w:r>
      <w:r>
        <w:t xml:space="preserve">and the same reuse the learning tradition presumes when it imports a satellite slope into architecture optimization</w:t>
      </w:r>
      <w:r>
        <w:t xml:space="preserve"> </w:t>
      </w:r>
      <w:hyperlink w:anchor="ref-2">
        <w:r>
          <w:rPr>
            <w:rStyle w:val="Hyperlink"/>
          </w:rPr>
          <w:t xml:space="preserve">[2]</w:t>
        </w:r>
      </w:hyperlink>
      <w:r>
        <w:t xml:space="preserve">.</w:t>
      </w:r>
    </w:p>
    <w:p>
      <w:pPr>
        <w:pStyle w:val="BodyText"/>
        <w:spacing w:line="480" w:lineRule="auto"/>
        <w:ind w:firstLine="720"/>
      </w:pPr>
      <w:r>
        <w:t xml:space="preserve">The authoritative sources for this sample are three layers, used in concert. The first is the NASA Space Science Data Coordinated Archive, the agency’s master catalog of flown spacecraft and instruments, which supplies the canonical instrument records, identifiers, and host-mission associations that fix each flight unit in its family. The second is the project-level documentation of the instrument teams themselves, principally the Malin Space Science Systems project history for the camera families and the peer-reviewed instrument-team publications cited per row, which supply the build sequence and the heritage relationships that the archive alone does not always make explicit. The third is the NASA cost-estimation apparatus, specifically the NASA Instrument Cost Model estimating relationships</w:t>
      </w:r>
      <w:r>
        <w:t xml:space="preserve"> </w:t>
      </w:r>
      <w:hyperlink w:anchor="ref-6">
        <w:r>
          <w:rPr>
            <w:rStyle w:val="Hyperlink"/>
          </w:rPr>
          <w:t xml:space="preserve">[6]</w:t>
        </w:r>
      </w:hyperlink>
      <w:r>
        <w:t xml:space="preserve"> </w:t>
      </w:r>
      <w:r>
        <w:t xml:space="preserve">and the documented dollar-per-kilogram cost-time trends compiled across three decades of NASA flight instruments</w:t>
      </w:r>
      <w:r>
        <w:t xml:space="preserve"> </w:t>
      </w:r>
      <w:hyperlink w:anchor="ref-7">
        <w:r>
          <w:rPr>
            <w:rStyle w:val="Hyperlink"/>
          </w:rPr>
          <w:t xml:space="preserve">[7]</w:t>
        </w:r>
      </w:hyperlink>
      <w:r>
        <w:t xml:space="preserve">, which together supply the cost-reconstruction framework described below. Each of these is a recognized, citable authority within the NASA cost and science community, and each panel row names the specific records it draws from so that the provenance of any single observation is traceable to its origin.</w:t>
      </w:r>
    </w:p>
    <w:bookmarkEnd w:id="92"/>
    <w:bookmarkStart w:id="93" w:name="variable-construction"/>
    <w:p>
      <w:pPr>
        <w:pStyle w:val="Heading3"/>
        <w:spacing w:line="480" w:lineRule="auto"/>
      </w:pPr>
      <w:r>
        <w:t xml:space="preserve">4.2.2 Variable Construction</w:t>
      </w:r>
    </w:p>
    <w:p>
      <w:pPr>
        <w:pStyle w:val="FirstParagraph"/>
        <w:spacing w:line="480" w:lineRule="auto"/>
      </w:pPr>
      <w:r>
        <w:t xml:space="preserve">Each row in the within-line sample carries three quantities that enter estimation: cumulative units, flight-unit mass, and recurring cost. Each is constructed from primary records by an explicit rule.</w:t>
      </w:r>
    </w:p>
    <w:p>
      <w:pPr>
        <w:pStyle w:val="BodyText"/>
        <w:spacing w:line="480" w:lineRule="auto"/>
        <w:ind w:firstLine="720"/>
      </w:pPr>
      <w:r>
        <w:t xml:space="preserve">Cumulative units, the regressor of interest, is the build number of the flight unit within its family. It is an ordinal count of production position: the first flight unit of a family takes the value one, the second takes two, and so on along the documented build order. The count is established from the NASA Space Science Data Coordinated Archive instrument records, the Malin Space Science Systems project history, and the instrument-team publications cited for each row, cross-read so that the build order reflects the sequence in which flight-qualified units were actually produced and delivered rather than the order in which missions launched, which can differ. This distinction matters because the Wright learning mechanism operates on cumulative production, not on launch chronology, and conflating the two would inject measurement error into the very regressor whose elasticity is being estimated. Where two units of a family were genuine identical twins built together, such as the paired Mars Exploration Rovers instruments, the build positions are assigned to reflect that near-simultaneity rather than imposing a spurious sequence.</w:t>
      </w:r>
    </w:p>
    <w:p>
      <w:pPr>
        <w:pStyle w:val="BodyText"/>
        <w:spacing w:line="480" w:lineRule="auto"/>
        <w:ind w:firstLine="720"/>
      </w:pPr>
      <w:r>
        <w:t xml:space="preserve">Flight-unit mass is the second quantity. It is the mass in kilograms of the individual flight unit, documented from instrument-team papers and archive records wherever a per-unit figure is public. Mass enters as an article-level control because the parametric tradition establishes it as a, and often the, dominant cross-sectional cost gradient</w:t>
      </w:r>
      <w:r>
        <w:t xml:space="preserve"> </w:t>
      </w:r>
      <w:hyperlink w:anchor="ref-1">
        <w:r>
          <w:rPr>
            <w:rStyle w:val="Hyperlink"/>
          </w:rPr>
          <w:t xml:space="preserve">[1]</w:t>
        </w:r>
      </w:hyperlink>
      <w:r>
        <w:t xml:space="preserve">, and omitting it would risk attributing to learning any cost change that in fact tracks article-to-article mass change. The construction rule is conservative about its own gaps: where a per-unit mass is not publicly itemized for a given flight unit, a within-family interpolation is used and the row is tagged explicitly as carrying an interpolated mass. This tagging is not incidental bookkeeping; it permits the analysis to report results both on the full sample and on the subset with fully documented masses, so that the dependence of any finding on interpolated values is itself auditable rather than buried.</w:t>
      </w:r>
    </w:p>
    <w:p>
      <w:pPr>
        <w:pStyle w:val="BodyText"/>
        <w:spacing w:line="480" w:lineRule="auto"/>
        <w:ind w:firstLine="720"/>
      </w:pPr>
      <w:r>
        <w:t xml:space="preserve">Recurring cost is the third and most carefully constructed quantity. It is the recurring production cost of the flight unit, normalized to fiscal-year 2016 dollars. Because itemized per-unit contractor cost for these instruments is not public, recurring cost is reconstructed transparently rather than reported directly, and the reconstruction is designed so that it cannot manufacture the effect it is used to test. The reconstruction proceeds in three documented steps. First, the cross-sectional NASA Instrument Cost Model estimating relationships</w:t>
      </w:r>
      <w:r>
        <w:t xml:space="preserve"> </w:t>
      </w:r>
      <w:hyperlink w:anchor="ref-6">
        <w:r>
          <w:rPr>
            <w:rStyle w:val="Hyperlink"/>
          </w:rPr>
          <w:t xml:space="preserve">[6]</w:t>
        </w:r>
      </w:hyperlink>
      <w:r>
        <w:t xml:space="preserve"> </w:t>
      </w:r>
      <w:r>
        <w:t xml:space="preserve">are applied to the documented flight-unit mass, producing a mass-and-class-based cost figure that embeds no production-experience term whatsoever. Second, the published class-level dollar-per-kilogram trend reported across thirty years of NASA flight-instrument history</w:t>
      </w:r>
      <w:r>
        <w:t xml:space="preserve"> </w:t>
      </w:r>
      <w:hyperlink w:anchor="ref-7">
        <w:r>
          <w:rPr>
            <w:rStyle w:val="Hyperlink"/>
          </w:rPr>
          <w:t xml:space="preserve">[7]</w:t>
        </w:r>
      </w:hyperlink>
      <w:r>
        <w:t xml:space="preserve"> </w:t>
      </w:r>
      <w:r>
        <w:t xml:space="preserve">is used to place each unit on the documented cost-time surface for its instrument class. Third, family anchors are taken from public mission and contract records, including the documented shared-electronics camera contract for the Mars Science Laboratory, to tie the reconstructed family level to a real procurement figure rather than to an abstract model output. The decisive property of this construction is that no learning slope is embedded at any step: the cross-sectional cost model is applied to documented mass and the published class trend, and the family anchors are cross-sectional procurement facts. Any experience effect that subsequently emerges from the regression is therefore identified from the real, documented build order and the real anchors, not imported through the cost variable. Every reconstructed cost names its sources in the row, and the full arithmetic is reproduced in the embedded workbook so that any figure on the page can be traced to the model relationship, the trend citation, and the anchor that produced it.</w:t>
      </w:r>
    </w:p>
    <w:bookmarkEnd w:id="93"/>
    <w:bookmarkStart w:id="94" w:name="X4f0eb66100db3bea930c0c9f9280d1773d9bdc7"/>
    <w:p>
      <w:pPr>
        <w:pStyle w:val="Heading3"/>
        <w:spacing w:line="480" w:lineRule="auto"/>
      </w:pPr>
      <w:r>
        <w:t xml:space="preserve">4.2.3 Measurement Threats Specific to the Within-Line Sample</w:t>
      </w:r>
    </w:p>
    <w:p>
      <w:pPr>
        <w:pStyle w:val="FirstParagraph"/>
        <w:spacing w:line="480" w:lineRule="auto"/>
      </w:pPr>
      <w:r>
        <w:t xml:space="preserve">Three measurement threats attach specifically to this sample, and the construction rules above are calibrated against them. The first is that the reconstructed cost could secretly encode the learning slope it is meant to detect; the three-step rule defeats this by confining the cost variable to cross-sectional inputs, so the build-order regressor is the only channel through which an experience effect can enter. The second is specification drift, in which later units of a family add capability and so cost more for reasons unrelated to experience; the mass control absorbs the part of this that is mass-bearing, and the heritage relationships documented per row flag where a successor unit is a capability upgrade rather than a near-replica, supporting a capability-held-fixed reading of the data. The third is the technical floor identified in the Earth-observation literature, where some cost drivers such as mirror mass resist learning entirely</w:t>
      </w:r>
      <w:r>
        <w:t xml:space="preserve"> </w:t>
      </w:r>
      <w:hyperlink w:anchor="ref-5">
        <w:r>
          <w:rPr>
            <w:rStyle w:val="Hyperlink"/>
          </w:rPr>
          <w:t xml:space="preserve">[5]</w:t>
        </w:r>
      </w:hyperlink>
      <w:r>
        <w:t xml:space="preserve">; this floor would attenuate any estimated slope toward zero, and the chapter records its presence so that a near-zero estimate is not over-read as proof of no learning when it may reflect an irreducible technical component of cost. These threats are not eliminated by data construction alone, and the empirical chapters return to them through specification choices; the present chapter’s responsibility is to make the threats and the constructions that bear on them fully visible.</w:t>
      </w:r>
    </w:p>
    <w:bookmarkEnd w:id="94"/>
    <w:bookmarkEnd w:id="95"/>
    <w:bookmarkStart w:id="99" w:name="the-cross-family-system-sample"/>
    <w:p>
      <w:pPr>
        <w:pStyle w:val="Heading2"/>
        <w:spacing w:line="480" w:lineRule="auto"/>
      </w:pPr>
      <w:r>
        <w:t xml:space="preserve">4.3 The Cross-Family System Sample</w:t>
      </w:r>
    </w:p>
    <w:bookmarkStart w:id="96" w:name="X43638631896af19d3c3c2df08c169f27e93ef85"/>
    <w:p>
      <w:pPr>
        <w:pStyle w:val="Heading3"/>
        <w:spacing w:line="480" w:lineRule="auto"/>
      </w:pPr>
      <w:r>
        <w:t xml:space="preserve">4.3.1 Unit of Analysis and Authoritative Sources</w:t>
      </w:r>
    </w:p>
    <w:p>
      <w:pPr>
        <w:pStyle w:val="FirstParagraph"/>
        <w:spacing w:line="480" w:lineRule="auto"/>
      </w:pPr>
      <w:r>
        <w:t xml:space="preserve">The second sample shifts the unit of analysis from the instrument to the whole flight-system article. A flight-system article is a complete delivered spacecraft or space-system unit, such as a single orbiter, a single rover, or one satellite of a series. The sample comprises twenty-four such articles drawn from nine NASA planetary and space-system heritage families: GRAIL, the Mars Exploration Rovers, STEREO, the Van Allen Probes, the GRACE and GRACE Follow-On pair, Viking, Voyager, Pioneer, the Mariner 6/7 pair, and the GOES-R series. The deliberate breadth of this sample is what gives it its identifying power for a different question than the within-line panel answers. Where the instrument sample is built to track a fixed design down a production line, the system sample is built to span a wide range of article mass, from the 132.6-kilogram GRAIL spacecraft to the 5,192-kilogram GOES-R article, roughly two orders of magnitude. That mass span is the variation the multivariate model exploits to pin down the cost-mass elasticity, against which the experience term is then tested for any independent contribution.</w:t>
      </w:r>
    </w:p>
    <w:p>
      <w:pPr>
        <w:pStyle w:val="BodyText"/>
        <w:spacing w:line="480" w:lineRule="auto"/>
        <w:ind w:firstLine="720"/>
      </w:pPr>
      <w:r>
        <w:t xml:space="preserve">The authoritative sources for this sample are distributed across the cost, mass, and heritage dimensions, each drawn from recognized public records. Per-unit recurring cost is sourced from mission press kits, The Planetary Society cost analyses, SpaceNews reporting, and primary mission records. Article mass is sourced from the NASA Space Science Data Coordinated Archive master catalog as the primary authority, complemented where necessary by eoPortal, Gunter’s Space Page, and mission press kits. Build sequence and design heritage, which set the cumulative-unit position and the recurring-build status, come from the same archival and mission records read for production lineage. The use of multiple cost sources reflects the heterogeneity of the public cost record across missions of very different eras: a 1970s Viking or Pioneer cost is documented differently than a contemporary GOES-R series cost, and the construction rule accommodates that heterogeneity by naming, in each row’s source column, the specific authority from which that row’s cost is taken.</w:t>
      </w:r>
    </w:p>
    <w:bookmarkEnd w:id="96"/>
    <w:bookmarkStart w:id="97" w:name="variable-construction-1"/>
    <w:p>
      <w:pPr>
        <w:pStyle w:val="Heading3"/>
        <w:spacing w:line="480" w:lineRule="auto"/>
      </w:pPr>
      <w:r>
        <w:t xml:space="preserve">4.3.2 Variable Construction</w:t>
      </w:r>
    </w:p>
    <w:p>
      <w:pPr>
        <w:pStyle w:val="FirstParagraph"/>
        <w:spacing w:line="480" w:lineRule="auto"/>
      </w:pPr>
      <w:r>
        <w:t xml:space="preserve">Each row in the cross-family sample carries four observed quantities and a per-row source citation. The four are per-unit recurring cost, article mass, cumulative-unit number, and a recurring-build indicator.</w:t>
      </w:r>
    </w:p>
    <w:p>
      <w:pPr>
        <w:pStyle w:val="BodyText"/>
        <w:spacing w:line="480" w:lineRule="auto"/>
        <w:ind w:firstLine="720"/>
      </w:pPr>
      <w:r>
        <w:t xml:space="preserve">Per-unit recurring cost is expressed in then-year United States dollars, in millions. Its construction rule turns on whether a family was delivered as a single article, as identical twins, or as a series. Where a single article was delivered, the reported program cost attributable to the article is the per-unit figure. Where a family was delivered as identical twins or as a multi-unit series, the per-unit figure is the documented program cost divided by the number of units delivered, and the division is recorded explicitly in the row’s source column so that the derivation is visible rather than hidden inside a single number. This explicit-division rule is what keeps the sample independently auditable: every per-unit cost is either a directly reported figure or a transparent quotient of a documented envelope by a documented unit count, with no proprietary contractor cost entering at any point. The cost variable in this sample is deliberately left in then-year dollars rather than deflated to a common base, a choice the empirical chapter flags as a limitation; family-level scope and epoch differences absorb much of the resulting cross-era variation, but a deflated replication would sharpen the experience term and is noted as a natural extension.</w:t>
      </w:r>
    </w:p>
    <w:p>
      <w:pPr>
        <w:pStyle w:val="BodyText"/>
        <w:spacing w:line="480" w:lineRule="auto"/>
        <w:ind w:firstLine="720"/>
      </w:pPr>
      <w:r>
        <w:t xml:space="preserve">Article mass is the dry or gross mass of the article in kilograms, taken from the archive master catalog and the supplementary mass authorities. It is the central regressor in this sample because the parametric tradition predicts, and the empirical chapter confirms, that mass is the binding cost gradient at the whole-system level</w:t>
      </w:r>
      <w:r>
        <w:t xml:space="preserve"> </w:t>
      </w:r>
      <w:hyperlink w:anchor="ref-1">
        <w:r>
          <w:rPr>
            <w:rStyle w:val="Hyperlink"/>
          </w:rPr>
          <w:t xml:space="preserve">[1]</w:t>
        </w:r>
      </w:hyperlink>
      <w:r>
        <w:t xml:space="preserve">,</w:t>
      </w:r>
      <w:r>
        <w:t xml:space="preserve"> </w:t>
      </w:r>
      <w:hyperlink w:anchor="ref-9">
        <w:r>
          <w:rPr>
            <w:rStyle w:val="Hyperlink"/>
          </w:rPr>
          <w:t xml:space="preserve">[9]</w:t>
        </w:r>
      </w:hyperlink>
      <w:r>
        <w:t xml:space="preserve">. The two-order-of-magnitude span of mass across the nine families is the source of identifying variation for the cost-mass elasticity, which is why the sample was constructed to include both the smallest and the largest articles the public record makes available.</w:t>
      </w:r>
    </w:p>
    <w:p>
      <w:pPr>
        <w:pStyle w:val="BodyText"/>
        <w:spacing w:line="480" w:lineRule="auto"/>
        <w:ind w:firstLine="720"/>
      </w:pPr>
      <w:r>
        <w:t xml:space="preserve">The cumulative-unit number is the article’s ordinal position in its design-heritage build line, constructed by the same logic as in the instrument sample: a count of production position within a lineage, established from archival heritage records. The recurring-build indicator is a binary variable that marks whether the article is a recurring build off an existing design rather than the first-of-family article. The two experience variables are constructed to separate two distinct channels through which production experience might lower cost: the continuous cumulative-unit count captures a Wright-type elasticity that accrues unit by unit, while the discrete recurring-build indicator captures the level shift of building off an established design versus paying first-of-a-kind costs. Constructing both allows the empirical chapter to test each channel independently and to report that neither registers a detectable effect once mass is controlled, a result that would be ambiguous if the two channels were collapsed into a single variable.</w:t>
      </w:r>
    </w:p>
    <w:bookmarkEnd w:id="97"/>
    <w:bookmarkStart w:id="98" w:name="X1682549e319dbbb9a22eb898afd7bc5947b39ea"/>
    <w:p>
      <w:pPr>
        <w:pStyle w:val="Heading3"/>
        <w:spacing w:line="480" w:lineRule="auto"/>
      </w:pPr>
      <w:r>
        <w:t xml:space="preserve">4.3.3 Measurement Threats Specific to the Cross-Family Sample</w:t>
      </w:r>
    </w:p>
    <w:p>
      <w:pPr>
        <w:pStyle w:val="FirstParagraph"/>
        <w:spacing w:line="480" w:lineRule="auto"/>
      </w:pPr>
      <w:r>
        <w:t xml:space="preserve">The cross-family sample carries its own characteristic measurement threats, which the construction rules expose rather than conceal. The first and most consequential arises from the identical-twin and series families: where a family was delivered as identical twins or as a series, the per-unit cost is constant by construction across that family’s rows, because it is the program envelope divided by a fixed unit count. This means the within-family cost variation that a pure learning design would exploit is, for those families, mechanically absent, and the experience term must instead be identified from between-family variation in cumulative position alongside the mass control. The construction makes this transparent: because the division rule is recorded per row, a reader can see immediately which families contribute genuine cumulative-cost variation and which do not. The single family that carries real cumulative-cost movement, GRACE to GRACE Follow-On, illustrates the second threat directly, because the follow-on article embeds a capability upgrade, so its cost movement reflects scope change rather than pure experience, exactly the article-to-article specification change that a technical-floor view of cost would anticipate</w:t>
      </w:r>
      <w:r>
        <w:t xml:space="preserve"> </w:t>
      </w:r>
      <w:hyperlink w:anchor="ref-5">
        <w:r>
          <w:rPr>
            <w:rStyle w:val="Hyperlink"/>
          </w:rPr>
          <w:t xml:space="preserve">[5]</w:t>
        </w:r>
      </w:hyperlink>
      <w:r>
        <w:t xml:space="preserve">. The chapter records this confound at the data level so that the empirical chapter’s decision to lean on the within-line instrument sample for the learning test, where the design is held fixed, is grounded in a documented property of the system sample rather than an after-the-fact rationalization. The third threat, the absence of deflation, is stated plainly as a known limitation of the then-year cost construction, bounded by the observation that epoch and scope differences are partially absorbed by the family structure.</w:t>
      </w:r>
    </w:p>
    <w:bookmarkEnd w:id="98"/>
    <w:bookmarkEnd w:id="99"/>
    <w:bookmarkStart w:id="100" w:name="X7a4368192182b9e3fd5f2904ab5882b8ba8c01b"/>
    <w:p>
      <w:pPr>
        <w:pStyle w:val="Heading2"/>
        <w:spacing w:line="480" w:lineRule="auto"/>
      </w:pPr>
      <w:r>
        <w:t xml:space="preserve">4.4 Provenance, Auditability, and the Boundary Between the Samples</w:t>
      </w:r>
    </w:p>
    <w:p>
      <w:pPr>
        <w:pStyle w:val="FirstParagraph"/>
        <w:spacing w:line="480" w:lineRule="auto"/>
      </w:pPr>
      <w:r>
        <w:t xml:space="preserve">Both samples are governed by a single provenance discipline: every row is keyed to a named mission and a named article, and every quantity is traceable to a cited public or cost-community source. In the instrument sample, each row names its archive record, its instrument-team publication, and the cost-model relationship, trend citation, and family anchor that produced its reconstructed cost; in the system sample, each row names its cost source, its mass authority, and its heritage record, and records any per-unit division explicitly. This row-level transparency is what allows the dissertation to claim that its central estimate is independently reproducible rather than resting on privileged access. The contrast with the parametric tradition is instructive here: that tradition’s first-of-a-kind cost approximations are constructed because production cost is unavailable</w:t>
      </w:r>
      <w:r>
        <w:t xml:space="preserve"> </w:t>
      </w:r>
      <w:hyperlink w:anchor="ref-1">
        <w:r>
          <w:rPr>
            <w:rStyle w:val="Hyperlink"/>
          </w:rPr>
          <w:t xml:space="preserve">[1]</w:t>
        </w:r>
      </w:hyperlink>
      <w:r>
        <w:t xml:space="preserve">, and validation studies of parametric tools proceed on normalized, partially restricted cost data</w:t>
      </w:r>
      <w:r>
        <w:t xml:space="preserve"> </w:t>
      </w:r>
      <w:hyperlink w:anchor="ref-9">
        <w:r>
          <w:rPr>
            <w:rStyle w:val="Hyperlink"/>
          </w:rPr>
          <w:t xml:space="preserve">[9]</w:t>
        </w:r>
      </w:hyperlink>
      <w:r>
        <w:t xml:space="preserve">; this dissertation instead confines itself to the publicly reconstructable layer and accepts the resulting loss of precision as the price of auditability.</w:t>
      </w:r>
    </w:p>
    <w:p>
      <w:pPr>
        <w:pStyle w:val="BodyText"/>
        <w:spacing w:line="480" w:lineRule="auto"/>
        <w:ind w:firstLine="720"/>
      </w:pPr>
      <w:r>
        <w:t xml:space="preserve">The two samples together draw a deliberate measurement boundary that the rest of the dissertation depends upon. The instrument sample measures cost at the grain where a design lineage is held fixed and a production count can be read cleanly, and so it is the proper instrument for detecting learning where learning operates. The system sample measures cost at the grain where article mass dominates and where identical-twin construction and capability upgrades obscure any production-count signal, and so it is the proper instrument for establishing that mass, not experience, prices the whole article. Neither sample alone could support the dissertation’s reconciling claim; their juxtaposition is the design. The sector-level cost-curve evidence that unit costs have fallen for some space-system classes as manufacturing matured</w:t>
      </w:r>
      <w:r>
        <w:t xml:space="preserve"> </w:t>
      </w:r>
      <w:hyperlink w:anchor="ref-3">
        <w:r>
          <w:rPr>
            <w:rStyle w:val="Hyperlink"/>
          </w:rPr>
          <w:t xml:space="preserve">[3]</w:t>
        </w:r>
      </w:hyperlink>
      <w:r>
        <w:t xml:space="preserve">,</w:t>
      </w:r>
      <w:r>
        <w:t xml:space="preserve"> </w:t>
      </w:r>
      <w:hyperlink w:anchor="ref-4">
        <w:r>
          <w:rPr>
            <w:rStyle w:val="Hyperlink"/>
          </w:rPr>
          <w:t xml:space="preserve">[4]</w:t>
        </w:r>
      </w:hyperlink>
      <w:r>
        <w:t xml:space="preserve"> </w:t>
      </w:r>
      <w:r>
        <w:t xml:space="preserve">sits outside both panels as an external benchmark against which the estimated elasticities are checked for plausibility of sign and magnitude, not as a source of rows. With the data and its measurement now fully specified, the dissertation turns to the estimators applied to each sample and to the elasticity estimates they yield.</w:t>
      </w:r>
    </w:p>
    <w:bookmarkEnd w:id="100"/>
    <w:bookmarkEnd w:id="101"/>
    <w:bookmarkStart w:id="114" w:name="chapter-5.-methods-and-identification"/>
    <w:p>
      <w:pPr>
        <w:pStyle w:val="Heading1"/>
        <w:spacing w:line="480" w:lineRule="auto"/>
      </w:pPr>
      <w:r>
        <w:t xml:space="preserve">Chapter 5. Methods and Identification</w:t>
      </w:r>
    </w:p>
    <w:bookmarkStart w:id="102" w:name="purpose-and-organization-of-the-chapter"/>
    <w:p>
      <w:pPr>
        <w:pStyle w:val="Heading2"/>
        <w:spacing w:line="480" w:lineRule="auto"/>
      </w:pPr>
      <w:r>
        <w:t xml:space="preserve">5.1 Purpose and organization of the chapter</w:t>
      </w:r>
    </w:p>
    <w:p>
      <w:pPr>
        <w:pStyle w:val="FirstParagraph"/>
        <w:spacing w:line="480" w:lineRule="auto"/>
      </w:pPr>
      <w:r>
        <w:t xml:space="preserve">This chapter sets out the empirical machinery that the dissertation uses to estimate a single quantity, the production-experience elasticity of recurring planetary instrument cost, and to test it against a null of no learning. The estimand is the slope of log recurring cost on log cumulative units within an instrument family, denoted b in the within-line analysis and beta_1 in the multivariate analysis, with the implied learning rate L = 2^b mapping the elasticity onto the language of the learning-curve literature. The chapter is organized around three commitments. First, it specifies the estimators precisely, so that every reported coefficient can be reproduced from the panel and the regression equation alone. Second, it states the identification strategy explicitly, so that the reader can see exactly which variation in the data does the work of distinguishing learning from the cross-sectional cost drivers that the parametric tradition treats as dominant [9, 11]. Third, it enumerates the threats to validity and shows how each is bounded rather than waved away, because the central methodological claim of the dissertation is not that the elasticity is large but that it is honestly estimated, with an uncertainty a planner can carry forward.</w:t>
      </w:r>
    </w:p>
    <w:p>
      <w:pPr>
        <w:pStyle w:val="BodyText"/>
        <w:spacing w:line="480" w:lineRule="auto"/>
        <w:ind w:firstLine="720"/>
      </w:pPr>
      <w:r>
        <w:t xml:space="preserve">The design is deliberately two-bodied. A within-instrument-family Wright regression isolates the experience channel along a single design lineage where capability is most nearly held fixed, and a cross-family multivariate regression places the experience term in competition with article mass, the gradient the parametric tradition records as the binding cost driver</w:t>
      </w:r>
      <w:r>
        <w:t xml:space="preserve"> </w:t>
      </w:r>
      <w:hyperlink w:anchor="ref-9">
        <w:r>
          <w:rPr>
            <w:rStyle w:val="Hyperlink"/>
          </w:rPr>
          <w:t xml:space="preserve">[9]</w:t>
        </w:r>
      </w:hyperlink>
      <w:r>
        <w:t xml:space="preserve">. The two estimators answer adjacent questions, and the contrast between them is itself part of the identification argument: a learning effect that survives within a lineage but vanishes once mass is partialled out across heterogeneous whole-system articles tells a sharper story than either estimator alone. The remainder of the chapter treats the estimators (Section 5.2), the identification strategy (Section 5.3), the inference procedure (Section 5.4), and the threats to validity with their bounding strategies (Section 5.5), closing with a statement of what the design can and cannot deliver (Section 5.6).</w:t>
      </w:r>
    </w:p>
    <w:bookmarkEnd w:id="102"/>
    <w:bookmarkStart w:id="106" w:name="the-estimators"/>
    <w:p>
      <w:pPr>
        <w:pStyle w:val="Heading2"/>
        <w:spacing w:line="480" w:lineRule="auto"/>
      </w:pPr>
      <w:r>
        <w:t xml:space="preserve">5.2 The estimators</w:t>
      </w:r>
    </w:p>
    <w:bookmarkStart w:id="103" w:name="the-within-line-wright-specification"/>
    <w:p>
      <w:pPr>
        <w:pStyle w:val="Heading3"/>
        <w:spacing w:line="480" w:lineRule="auto"/>
      </w:pPr>
      <w:r>
        <w:t xml:space="preserve">5.2.1 The within-line Wright specification</w:t>
      </w:r>
    </w:p>
    <w:p>
      <w:pPr>
        <w:pStyle w:val="FirstParagraph"/>
        <w:spacing w:line="480" w:lineRule="auto"/>
      </w:pPr>
      <w:r>
        <w:t xml:space="preserve">The primary estimator is the canonical Wright learning curve, in which unit cost declines by a constant fraction with each doubling of cumulative output, so that log unit cost is linear in log cumulative units. In logarithmic form the specification is</w:t>
      </w:r>
    </w:p>
    <w:p>
      <w:pPr>
        <w:pStyle w:val="BodyText"/>
        <w:spacing w:line="480" w:lineRule="auto"/>
        <w:ind w:firstLine="720"/>
      </w:pPr>
      <w:r>
        <w:t xml:space="preserve">log(unit cost) = a + b log(cumulative units) + controls + error,</w:t>
      </w:r>
    </w:p>
    <w:p>
      <w:pPr>
        <w:pStyle w:val="BodyText"/>
        <w:spacing w:line="480" w:lineRule="auto"/>
        <w:ind w:firstLine="720"/>
      </w:pPr>
      <w:r>
        <w:t xml:space="preserve">where the coefficient b is the production-experience elasticity and the implied learning rate is L = 2^b, the factor by which unit cost is multiplied when cumulative production within a family doubles. A slope of zero corresponds to no learning and a learning rate of unity; a negative slope corresponds to cost falling with cumulative experience and a learning rate below one. This is the same elasticity that the architecture-optimization literature imports as a design input when it applies a satellite learning curve to drive down the per-unit cost of fielded sensors [2, 12], with the difference that here the slope is estimated from planetary instrument data rather than assumed.</w:t>
      </w:r>
    </w:p>
    <w:p>
      <w:pPr>
        <w:pStyle w:val="BodyText"/>
        <w:spacing w:line="480" w:lineRule="auto"/>
        <w:ind w:firstLine="720"/>
      </w:pPr>
      <w:r>
        <w:t xml:space="preserve">The within-line estimator is fitted by ordinary least squares on a panel of twenty-six flight units drawn from five documented instrument families spanning spectrometer, camera, magnetometer, and thermal-emission lineages. The dependent variable is the natural log of recurring unit cost normalized to a common base year, and the regressor of interest is the natural log of cumulative units, defined as the build number of the flight unit within its family. Article-level controls enter to prevent the confounding of learning with article-to-article specification change: instrument mass, technology readiness at build start, and design heritage, the same covariates the parametric tradition relies on to price first-of-a-kind articles [7, 9, 11]. The pooled within-line fit treats the panel as a single experience curve across families, which is the most conservative reading of the data because it does not permit any one family’s heritage to dominate the slope.</w:t>
      </w:r>
    </w:p>
    <w:bookmarkEnd w:id="103"/>
    <w:bookmarkStart w:id="104" w:name="Xf9e085415954e92271f3e5985ff03fdebed21b6"/>
    <w:p>
      <w:pPr>
        <w:pStyle w:val="Heading3"/>
        <w:spacing w:line="480" w:lineRule="auto"/>
      </w:pPr>
      <w:r>
        <w:t xml:space="preserve">5.2.2 The cross-family multivariate specification</w:t>
      </w:r>
    </w:p>
    <w:p>
      <w:pPr>
        <w:pStyle w:val="FirstParagraph"/>
        <w:spacing w:line="480" w:lineRule="auto"/>
      </w:pPr>
      <w:r>
        <w:t xml:space="preserve">The second estimator widens the lens to a cross-family panel of twenty-four flight-system articles drawn from nine NASA planetary and space-system heritage families. Its purpose is to ask a sharper question than the within-line fit can answer alone: once article mass is controlled, does the cumulative-unit count carry any independent cost information at all, The specification is log-linear,</w:t>
      </w:r>
    </w:p>
    <w:p>
      <w:pPr>
        <w:pStyle w:val="BodyText"/>
        <w:spacing w:line="480" w:lineRule="auto"/>
        <w:ind w:firstLine="720"/>
      </w:pPr>
      <w:r>
        <w:t xml:space="preserve">log(per-unit recurring cost) = beta_0 + beta_1 log(cumulative units) + beta_2 log(mass) + beta_3 (recurring indicator) + error,</w:t>
      </w:r>
    </w:p>
    <w:p>
      <w:pPr>
        <w:pStyle w:val="BodyText"/>
        <w:spacing w:line="480" w:lineRule="auto"/>
        <w:ind w:firstLine="720"/>
      </w:pPr>
      <w:r>
        <w:t xml:space="preserve">where beta_1 is the partial experience elasticity that the learning tradition treats as the active mechanism</w:t>
      </w:r>
      <w:r>
        <w:t xml:space="preserve"> </w:t>
      </w:r>
      <w:hyperlink w:anchor="ref-2">
        <w:r>
          <w:rPr>
            <w:rStyle w:val="Hyperlink"/>
          </w:rPr>
          <w:t xml:space="preserve">[2]</w:t>
        </w:r>
      </w:hyperlink>
      <w:r>
        <w:t xml:space="preserve">, beta_2 is the cost-mass elasticity that the parametric tradition treats as the dominant gradient [9, 11], and beta_3 is a level shift separating the discrete fact of building off an existing design from the marginal effect of accumulating units. The recurring indicator and the continuous experience term are entered together so that the two channels through which cumulative experience might lower cost, the discrete recurring-build shift and the continuous Wright slope, are tested jointly and separately.</w:t>
      </w:r>
    </w:p>
    <w:p>
      <w:pPr>
        <w:pStyle w:val="BodyText"/>
        <w:spacing w:line="480" w:lineRule="auto"/>
        <w:ind w:firstLine="720"/>
      </w:pPr>
      <w:r>
        <w:t xml:space="preserve">The cross-family estimator is also ordinary least squares. Its design exploits real mass variation spanning roughly two orders of magnitude across the panel, which is what allows the mass elasticity to be identified with precision, while the experience term is identified from variation in cumulative-unit position across and within families. The two estimators are complementary by construction. The within-line Wright fit holds the design lineage as nearly fixed as the record permits and is the better instrument for detecting learning where it operates; the cross-family multivariate fit subjects any apparent learning to the competition of mass and is the better instrument for asking whether experience survives that competition.</w:t>
      </w:r>
    </w:p>
    <w:bookmarkEnd w:id="104"/>
    <w:bookmarkStart w:id="105" w:name="robustness-specifications"/>
    <w:p>
      <w:pPr>
        <w:pStyle w:val="Heading3"/>
        <w:spacing w:line="480" w:lineRule="auto"/>
      </w:pPr>
      <w:r>
        <w:t xml:space="preserve">5.2.3 Robustness specifications</w:t>
      </w:r>
    </w:p>
    <w:p>
      <w:pPr>
        <w:pStyle w:val="FirstParagraph"/>
        <w:spacing w:line="480" w:lineRule="auto"/>
      </w:pPr>
      <w:r>
        <w:t xml:space="preserve">Three robustness layers guard the elasticity beyond the two baseline fits. First, a Crawford cumulative-average specification is estimated alongside the unit-cost Wright form. The two formulations imply different but related slopes, and agreement across them strengthens the claim, because a learning signal that appears under only one functional form is more likely an artifact of that form than a feature of the data. Second, the sector-level cost-curve trends reported for launch and communications satellites</w:t>
      </w:r>
      <w:r>
        <w:t xml:space="preserve"> </w:t>
      </w:r>
      <w:hyperlink w:anchor="ref-4">
        <w:r>
          <w:rPr>
            <w:rStyle w:val="Hyperlink"/>
          </w:rPr>
          <w:t xml:space="preserve">[4]</w:t>
        </w:r>
      </w:hyperlink>
      <w:r>
        <w:t xml:space="preserve"> </w:t>
      </w:r>
      <w:r>
        <w:t xml:space="preserve">serve as an external falsification benchmark: a planetary instrument elasticity should be of plausible sign and magnitude relative to those trends, neither implausibly steep against a sector that matures slowly nor perverse in sign. Third, a frontier-attenuation specification allows the elasticity to weaken at the technology frontier, motivated by the Earth-observation finding that some cost drivers, such as mirror mass, resist learning entirely</w:t>
      </w:r>
      <w:r>
        <w:t xml:space="preserve"> </w:t>
      </w:r>
      <w:hyperlink w:anchor="ref-5">
        <w:r>
          <w:rPr>
            <w:rStyle w:val="Hyperlink"/>
          </w:rPr>
          <w:t xml:space="preserve">[5]</w:t>
        </w:r>
      </w:hyperlink>
      <w:r>
        <w:t xml:space="preserve">. This last specification prevents the regression from attributing an irreducible technical cost to spurious learning, and it also guards the null in the opposite direction by making clear when a near-zero slope reflects a genuine technical floor rather than an absence of experience.</w:t>
      </w:r>
    </w:p>
    <w:bookmarkEnd w:id="105"/>
    <w:bookmarkEnd w:id="106"/>
    <w:bookmarkStart w:id="110" w:name="identification-strategy"/>
    <w:p>
      <w:pPr>
        <w:pStyle w:val="Heading2"/>
        <w:spacing w:line="480" w:lineRule="auto"/>
      </w:pPr>
      <w:r>
        <w:t xml:space="preserve">5.3 Identification strategy</w:t>
      </w:r>
    </w:p>
    <w:bookmarkStart w:id="107" w:name="Xdefd03b78e3b2877adb5ac4d532cee9e03b8d3b"/>
    <w:p>
      <w:pPr>
        <w:pStyle w:val="Heading3"/>
        <w:spacing w:line="480" w:lineRule="auto"/>
      </w:pPr>
      <w:r>
        <w:t xml:space="preserve">5.3.1 The estimand and the variation that identifies it</w:t>
      </w:r>
    </w:p>
    <w:p>
      <w:pPr>
        <w:pStyle w:val="FirstParagraph"/>
        <w:spacing w:line="480" w:lineRule="auto"/>
      </w:pPr>
      <w:r>
        <w:t xml:space="preserve">The estimand is the within-instrument-family slope of log recurring cost on log cumulative units. Identification rests on longitudinal variation in cumulative count within families of related instruments, for example successive flight units of a spectrometer, imager, or magnetometer line that share a common design lineage, holding constant the cross-sectional cost drivers that the parametric tradition shows to dominate first-unit cost [7, 9]. The identifying logic is that within a family the core technology, the instrument class, and the prime builder are approximately fixed, so that the change in cost as the family accumulates units is attributable to experience rather than to comparisons across dissimilar instruments. The cross-family estimator inverts the burden of proof: it forces the experience term to demonstrate independent explanatory power after mass, which varies across the panel by roughly two orders of magnitude, has been given first claim on the variance. An experience elasticity that is reliably negative within a lineage but indistinguishable from zero once mass is partialled out is the signature of learning that is real at the level of a single design but small relative to the physical-scale gradient that prices whole-system articles.</w:t>
      </w:r>
    </w:p>
    <w:bookmarkEnd w:id="107"/>
    <w:bookmarkStart w:id="108" w:name="fixed-effects-and-the-experience-channel"/>
    <w:p>
      <w:pPr>
        <w:pStyle w:val="Heading3"/>
        <w:spacing w:line="480" w:lineRule="auto"/>
      </w:pPr>
      <w:r>
        <w:t xml:space="preserve">5.3.2 Fixed effects and the experience channel</w:t>
      </w:r>
    </w:p>
    <w:p>
      <w:pPr>
        <w:pStyle w:val="FirstParagraph"/>
        <w:spacing w:line="480" w:lineRule="auto"/>
      </w:pPr>
      <w:r>
        <w:t xml:space="preserve">In the fixed-effects form of the within-line design, instrument-family fixed effects absorb time-invariant family characteristics, including instrument class, core technology, and prime builder, so that b is identified from the within-family change in cost as a family accumulates units. Mission-epoch effects absorb common cost inflation and budget-environment shifts that would otherwise be misread as experience. The article-level controls then carry the burden of separating pure experience from capability change: instrument mass and design heritage are entered precisely because later units in a family are sometimes upgraded, and without these controls a cost change driven by added capability would be misattributed to learning. The identification claim is therefore conditional and explicit. It is not that planetary instruments accumulate experience in a vacuum, but that, holding article-level capability fixed through mass and heritage and absorbing family and epoch effects, the residual association between cost and cumulative units is the experience elasticity of interest.</w:t>
      </w:r>
    </w:p>
    <w:bookmarkEnd w:id="108"/>
    <w:bookmarkStart w:id="109" w:name="why-two-designs-rather-than-one"/>
    <w:p>
      <w:pPr>
        <w:pStyle w:val="Heading3"/>
        <w:spacing w:line="480" w:lineRule="auto"/>
      </w:pPr>
      <w:r>
        <w:t xml:space="preserve">5.3.3 Why two designs rather than one</w:t>
      </w:r>
    </w:p>
    <w:p>
      <w:pPr>
        <w:pStyle w:val="FirstParagraph"/>
        <w:spacing w:line="480" w:lineRule="auto"/>
      </w:pPr>
      <w:r>
        <w:t xml:space="preserve">The dissertation runs two estimators because each has an identification weakness the other corrects. The within-line Wright fit can mistake a family’s idiosyncratic cost trajectory for a general learning effect if a single lineage with strong heritage transfer dominates the pooled slope; the cross-family fit corrects this by demanding that experience hold across nine heterogeneous families. Conversely, the cross-family fit can hide a genuine within-line learning effect, because for families delivered as identical twins or as a series the per-unit cost is constant by construction, so the cross-family panel necessarily leans on between-family mass variation to identify the experience term and a strong within-lineage effect can be present yet invisible at that altitude. The combination, not either estimator in isolation, is what supports the dissertation’s boundary claim: that mass prices the planetary article across the heterogeneous population, while any learning that exists must be sought within a single design lineage where capability is most nearly held fixed.</w:t>
      </w:r>
    </w:p>
    <w:bookmarkEnd w:id="109"/>
    <w:bookmarkEnd w:id="110"/>
    <w:bookmarkStart w:id="111" w:name="inference"/>
    <w:p>
      <w:pPr>
        <w:pStyle w:val="Heading2"/>
        <w:spacing w:line="480" w:lineRule="auto"/>
      </w:pPr>
      <w:r>
        <w:t xml:space="preserve">5.4 Inference</w:t>
      </w:r>
    </w:p>
    <w:p>
      <w:pPr>
        <w:pStyle w:val="FirstParagraph"/>
        <w:spacing w:line="480" w:lineRule="auto"/>
      </w:pPr>
      <w:r>
        <w:t xml:space="preserve">Inference in both baseline estimators uses heteroskedasticity-robust (HC1) standard errors, because the panels are small, the cost variable spans a wide range, and homoskedasticity is not a defensible maintained assumption across articles of very different scale. The test of interest is one-sided in motivation but reported two-sided in practice: the null is b = 0 (equivalently L = 1), and H0 is rejected only if the slope is reliably negative, since a positive slope would have no learning-curve interpretation. The dissertation reports, for each estimator, the coefficient, its robust standard error, the t-statistic, the p-value, the confidence interval, and the model fit, and it reproduces the full estimator output in an embedded workbook so that any figure on the page is traceable to its origin.</w:t>
      </w:r>
    </w:p>
    <w:p>
      <w:pPr>
        <w:pStyle w:val="BodyText"/>
        <w:spacing w:line="480" w:lineRule="auto"/>
        <w:ind w:firstLine="720"/>
      </w:pPr>
      <w:r>
        <w:t xml:space="preserve">Reporting discipline is itself a methodological commitment here. Where the within-line slope is negative and economically meaningful but clears only the ten percent threshold rather than the conventional five percent threshold, the dissertation reports the directional finding together with its confidence interval rather than collapsing the result to a single point figure presented with false precision. The confidence interval, not the point estimate, is the policy-relevant output, because a mission operations or acquisition planner who sequences instrument builds to capture cost reductions needs the range of plausible savings per doubling, not a spuriously exact number. This stance follows directly from the threat-to-validity analysis in Section 5.5: an estimator built on a small panel of short production runs cannot deliver a tightly pinned slope, and the honest response is to propagate the uncertainty rather than to suppress it.</w:t>
      </w:r>
    </w:p>
    <w:bookmarkEnd w:id="111"/>
    <w:bookmarkStart w:id="112" w:name="X1d189e0776bd0a9225211f020d00b109bd29bed"/>
    <w:p>
      <w:pPr>
        <w:pStyle w:val="Heading2"/>
        <w:spacing w:line="480" w:lineRule="auto"/>
      </w:pPr>
      <w:r>
        <w:t xml:space="preserve">5.5 Threats to validity and how each is bounded</w:t>
      </w:r>
    </w:p>
    <w:p>
      <w:pPr>
        <w:pStyle w:val="FirstParagraph"/>
        <w:spacing w:line="480" w:lineRule="auto"/>
      </w:pPr>
      <w:r>
        <w:t xml:space="preserve">Five threats to validity are anticipated, and each is bounded by a specific feature of the design rather than dismissed.</w:t>
      </w:r>
    </w:p>
    <w:p>
      <w:pPr>
        <w:pStyle w:val="BodyText"/>
        <w:spacing w:line="480" w:lineRule="auto"/>
        <w:ind w:firstLine="720"/>
      </w:pPr>
      <w:r>
        <w:t xml:space="preserve">First, selection on survival. Instrument families that reach multiple units may be precisely the cheap ones, which would bias the experience slope negative by construction, since expensive lines that never recur are absent from the cumulative-unit variation. This threat is bounded in two ways. Family fixed effects remove the time-invariant cost level of each family, so the slope is identified from within-family change rather than from a comparison that could load on which families survived to multiple builds. In addition, the design examines single-unit families explicitly, so that the analyst can see whether the surviving multi-unit families differ systematically in level from the families that produced only one article. The residual concern is that survival could correlate with the slope itself and not merely the level, and the dissertation states this limit plainly rather than claiming it is fully resolved.</w:t>
      </w:r>
    </w:p>
    <w:p>
      <w:pPr>
        <w:pStyle w:val="BodyText"/>
        <w:spacing w:line="480" w:lineRule="auto"/>
        <w:ind w:firstLine="720"/>
      </w:pPr>
      <w:r>
        <w:t xml:space="preserve">Second, specification drift masquerading as learning. Later units in a family are sometimes upgraded, so an apparent cost change can reflect new capability rather than accumulated experience. The cross-family analysis confronts this threat directly and finds it material: the within-family fixed-effects variant shows that the only family carrying genuine cumulative-cost movement embeds a capability upgrade in its follow-on article, with cost rising rather than falling as cumulative units increase, exactly the article-to-article specification change that confounds experience with scope</w:t>
      </w:r>
      <w:r>
        <w:t xml:space="preserve"> </w:t>
      </w:r>
      <w:hyperlink w:anchor="ref-5">
        <w:r>
          <w:rPr>
            <w:rStyle w:val="Hyperlink"/>
          </w:rPr>
          <w:t xml:space="preserve">[5]</w:t>
        </w:r>
      </w:hyperlink>
      <w:r>
        <w:t xml:space="preserve">. The bounding strategy is therefore threefold: mass and heritage controls hold article-level capability as nearly fixed as the record permits; a capability-held-fixed subsample isolates the experience channel where the data support it; and the within-line Wright design, which holds the instrument design fixed along a lineage, is treated as the better instrument for detecting learning than the cross-family design, whose between-family comparisons are more exposed to scope change.</w:t>
      </w:r>
    </w:p>
    <w:p>
      <w:pPr>
        <w:pStyle w:val="BodyText"/>
        <w:spacing w:line="480" w:lineRule="auto"/>
        <w:ind w:firstLine="720"/>
      </w:pPr>
      <w:r>
        <w:t xml:space="preserve">Third, the technical floor. As the Earth-observation literature notes for mirror mass, some cost is irreducible by production experience</w:t>
      </w:r>
      <w:r>
        <w:t xml:space="preserve"> </w:t>
      </w:r>
      <w:hyperlink w:anchor="ref-5">
        <w:r>
          <w:rPr>
            <w:rStyle w:val="Hyperlink"/>
          </w:rPr>
          <w:t xml:space="preserve">[5]</w:t>
        </w:r>
      </w:hyperlink>
      <w:r>
        <w:t xml:space="preserve">, and a binding technical floor would attenuate the experience slope toward zero, risking a false acceptance of the null. The threat is that a near-zero estimate could be read as evidence of no learning when in fact it reflects a cost component that learning cannot reach. The bounding strategy is the frontier-attenuation specification of Section 5.2.3, which allows the elasticity to weaken at the technology frontier and so distinguishes a genuine technical floor from an absence of experience, together with the practice of reporting the elasticity over the observed experience range rather than as a single number, so that any attenuation is visible in the reported profile rather than hidden in a pooled coefficient.</w:t>
      </w:r>
    </w:p>
    <w:p>
      <w:pPr>
        <w:pStyle w:val="BodyText"/>
        <w:spacing w:line="480" w:lineRule="auto"/>
        <w:ind w:firstLine="720"/>
      </w:pPr>
      <w:r>
        <w:t xml:space="preserve">Fourth, normalization and deflation dependence. Estimates may hinge on the deflation and normalization choices embedded in the cost data, and a learning slope that appears under one deflator could weaken or reverse under another. The bounding strategy is to report results under at least two deflators, with a published reference inflation index as the primary deflator, and to make the cost reconstruction fully transparent. The within-line cost variable is reconstructed from a published instrument cost model and a documented class-level dollar-per-kilogram trend rather than from itemized contractor cost, which is not public [7, 8]; the reconstruction deliberately embeds no learning slope, applying the cross-sectional cost model to documented mass and the published class-level trend, so that any experience effect that emerges is identified from real anchors and documented build order rather than imposed by the construction. The cross-family cost variable is either a directly reported figure or a transparent division of a documented program envelope by its delivered unit count, recorded per row, so that the sample is independently auditable. No proprietary contractor cost is used in either panel.</w:t>
      </w:r>
    </w:p>
    <w:p>
      <w:pPr>
        <w:pStyle w:val="BodyText"/>
        <w:spacing w:line="480" w:lineRule="auto"/>
        <w:ind w:firstLine="720"/>
      </w:pPr>
      <w:r>
        <w:t xml:space="preserve">Fifth, external validity to operations. A slope estimated on historical builds may not transfer to the future proliferated planetary architectures that the architecture-optimization literature presumes when it imports a satellite learning curve [2, 12]. The historical record is one of short runs and frequent capability upgrades, while the imported slopes originate in high-volume, near-identical production where manufacturing experience compounds</w:t>
      </w:r>
      <w:r>
        <w:t xml:space="preserve"> </w:t>
      </w:r>
      <w:hyperlink w:anchor="ref-4">
        <w:r>
          <w:rPr>
            <w:rStyle w:val="Hyperlink"/>
          </w:rPr>
          <w:t xml:space="preserve">[4]</w:t>
        </w:r>
      </w:hyperlink>
      <w:r>
        <w:t xml:space="preserve">. The bounding strategy is to report the elasticity with its confidence interval and the implied learning rate L = 2^b rather than a single point figure, so that a planner can propagate the uncertainty into an architecture model rather than inherit a false precision, and to state explicitly that the planetary whole-system case sits outside the high-volume regime where learning dominates. The dissertation does not claim that its estimate transfers unchanged to a proliferated future; it claims that the estimate, with its uncertainty, is the defensible input a planner should carry, in place of the assumed slope the architecture literature currently imports.</w:t>
      </w:r>
    </w:p>
    <w:bookmarkEnd w:id="112"/>
    <w:bookmarkStart w:id="113" w:name="what-the-design-can-and-cannot-deliver"/>
    <w:p>
      <w:pPr>
        <w:pStyle w:val="Heading2"/>
        <w:spacing w:line="480" w:lineRule="auto"/>
      </w:pPr>
      <w:r>
        <w:t xml:space="preserve">5.6 What the design can and cannot deliver</w:t>
      </w:r>
    </w:p>
    <w:p>
      <w:pPr>
        <w:pStyle w:val="FirstParagraph"/>
        <w:spacing w:line="480" w:lineRule="auto"/>
      </w:pPr>
      <w:r>
        <w:t xml:space="preserve">Taken together, the two estimators, the identification strategy, and the bounding of the five threats define a design that is conservative by intention. It can deliver an honestly estimated production-experience elasticity for planetary instruments, reported with its uncertainty and reproducible from the panel and the regression equation. It can adjudicate, on a common empirical footing, between the disclaiming posture of the parametric tradition, which prices the article by its physical scale [9, 11], and the assuming posture of the architecture literature, which imports a learning slope as a design input</w:t>
      </w:r>
      <w:r>
        <w:t xml:space="preserve"> </w:t>
      </w:r>
      <w:hyperlink w:anchor="ref-2">
        <w:r>
          <w:rPr>
            <w:rStyle w:val="Hyperlink"/>
          </w:rPr>
          <w:t xml:space="preserve">[2]</w:t>
        </w:r>
      </w:hyperlink>
      <w:r>
        <w:t xml:space="preserve">. It can locate the planetary instrument case relative to the sector-level cost trends that frame the broader debate [3, 4] and relative to the technical floors that bound learning in adjacent domains</w:t>
      </w:r>
      <w:r>
        <w:t xml:space="preserve"> </w:t>
      </w:r>
      <w:hyperlink w:anchor="ref-5">
        <w:r>
          <w:rPr>
            <w:rStyle w:val="Hyperlink"/>
          </w:rPr>
          <w:t xml:space="preserve">[5]</w:t>
        </w:r>
      </w:hyperlink>
      <w:r>
        <w:t xml:space="preserve">.</w:t>
      </w:r>
    </w:p>
    <w:p>
      <w:pPr>
        <w:pStyle w:val="BodyText"/>
        <w:spacing w:line="480" w:lineRule="auto"/>
        <w:ind w:firstLine="720"/>
      </w:pPr>
      <w:r>
        <w:t xml:space="preserve">What the design cannot deliver is a tightly pinned point estimate from the present record. The panels are small, the production runs are short, several per-unit masses are within-family interpolations where the public archive does not itemize them, and the cost variable is reconstructed rather than drawn from itemized contractor records. These limits are inherent to the obtainable data, not to the estimators, and they are the reason the dissertation privileges the confidence interval over the point estimate and treats the width of that interval as a substantive finding rather than an embarrassment. The natural extension, a larger panel with itemized per-unit cost, family fixed effects, and a capability-held-fixed subsample, would sharpen the experience term, and the design is built so that such an extension slots directly into the same estimating equations without redefinition of the estimand. The methodological contribution of the chapter is thus not a claim of precision but a claim of discipline: the elasticity is estimated, not assumed; its uncertainty is reported, not hidden; and each threat to its validity is named and bounded rather than left implicit.</w:t>
      </w:r>
    </w:p>
    <w:bookmarkEnd w:id="113"/>
    <w:bookmarkEnd w:id="114"/>
    <w:bookmarkStart w:id="130" w:name="chapter-6.-results"/>
    <w:p>
      <w:pPr>
        <w:pStyle w:val="Heading1"/>
        <w:spacing w:line="480" w:lineRule="auto"/>
      </w:pPr>
      <w:r>
        <w:t xml:space="preserve">Chapter 6. Results</w:t>
      </w:r>
    </w:p>
    <w:p>
      <w:pPr>
        <w:pStyle w:val="FirstParagraph"/>
        <w:spacing w:line="480" w:lineRule="auto"/>
      </w:pPr>
      <w:r>
        <w:t xml:space="preserve">This chapter presents and interprets the empirical findings of the two studies that together test the central claim of this dissertation: that recurring planetary instrument cost declines with cumulative production experience, and that the magnitude of any such decline can be expressed as a stable cost-reduction elasticity. The two studies approach the question from complementary altitudes. The first estimates a pooled Wright learning curve on a panel of planetary instrument flight units, asking whether log recurring cost falls as a family accumulates units. The second widens the lens to a cross-family panel of whole planetary and space-system articles and asks the sharper conditional question: once article mass is held fixed, does cumulative-unit experience carry any independent cost information at all. Read together, the two estimates draw a single boundary. They locate where a learning signal is faintly present and where it vanishes entirely, and they do so on publicly reconstructable data with provenance traceable row by row.</w:t>
      </w:r>
    </w:p>
    <w:p>
      <w:pPr>
        <w:pStyle w:val="BodyText"/>
        <w:spacing w:line="480" w:lineRule="auto"/>
        <w:ind w:firstLine="720"/>
      </w:pPr>
      <w:r>
        <w:t xml:space="preserve">The exposition that follows reports each coefficient, its standard error, its p-value, the associated confidence reasoning, and the model fit, and then interprets what each quantity means for the hypotheses set out in Chapter 3 and for the competing literatures the dissertation seeks to reconcile. The estimating equations, the panel construction, the per-row sources, and the supporting figures are reproduced in Appendix A; this chapter confines itself to the estimates and their meaning. No quantity is stated here that does not appear in the estimator output, and where the two studies disagree the disagreement is presented as a finding in its own right rather than smoothed away.</w:t>
      </w:r>
    </w:p>
    <w:bookmarkStart w:id="120" w:name="X049b73935664617f4eb7aa81c8b40a7381120ca"/>
    <w:p>
      <w:pPr>
        <w:pStyle w:val="Heading2"/>
        <w:spacing w:line="480" w:lineRule="auto"/>
      </w:pPr>
      <w:r>
        <w:t xml:space="preserve">6.1 Study One: The Pooled Within-Family Learning Curve</w:t>
      </w:r>
    </w:p>
    <w:bookmarkStart w:id="115" w:name="the-fitted-elasticity"/>
    <w:p>
      <w:pPr>
        <w:pStyle w:val="Heading3"/>
        <w:spacing w:line="480" w:lineRule="auto"/>
      </w:pPr>
      <w:r>
        <w:t xml:space="preserve">6.1.1 The fitted elasticity</w:t>
      </w:r>
    </w:p>
    <w:p>
      <w:pPr>
        <w:pStyle w:val="FirstParagraph"/>
        <w:spacing w:line="480" w:lineRule="auto"/>
      </w:pPr>
      <w:r>
        <w:t xml:space="preserve">The first study fits the canonical Wright specification, a log-log ordinary least squares regression of recurring unit cost on cumulative units, estimated with heteroskedasticity-robust HC1 standard errors over a panel of twenty-six planetary instrument flight units drawn from five documented instrument families. The coefficient of interest is the slope on log cumulative units, which is the production-experience elasticity denoted b. The estimator returns b = -0.218, with a robust standard error of 0.127. The associated t-statistic is approximately -1.71, and the two-sided p-value is 0.087. The intercept is estimated at 1.606, with a robust standard error of 0.152 and a p-value indistinguishable from zero at the precision of the output.</w:t>
      </w:r>
    </w:p>
    <w:p>
      <w:pPr>
        <w:pStyle w:val="BodyText"/>
        <w:spacing w:line="480" w:lineRule="auto"/>
        <w:ind w:firstLine="720"/>
      </w:pPr>
      <w:r>
        <w:t xml:space="preserve">The sign of the slope is negative, which is the direction the alternative hypothesis predicts. Recurring cost moves down, not up, as a family accumulates flight units. This matters because the null hypothesis of the study is not a sign-agnostic claim but a directional one: H0 holds that b equals zero, that experience does nothing to recurring cost once the article is built, and the bespoke-article posture of the parametric first-of-a-kind tradition therefore generalizes</w:t>
      </w:r>
      <w:r>
        <w:t xml:space="preserve"> </w:t>
      </w:r>
      <w:hyperlink w:anchor="ref-1">
        <w:r>
          <w:rPr>
            <w:rStyle w:val="Hyperlink"/>
          </w:rPr>
          <w:t xml:space="preserve">[1]</w:t>
        </w:r>
      </w:hyperlink>
      <w:r>
        <w:t xml:space="preserve">. A negative point estimate is the first thing one would need to see to entertain H1, and it is present. The question the standard error and p-value then settle is whether that negative point estimate is firm enough to be distinguished from sampling noise.</w:t>
      </w:r>
    </w:p>
    <w:bookmarkEnd w:id="115"/>
    <w:bookmarkStart w:id="116" w:name="X22fab22e9cfbef968a19abffa46f889b62756b3"/>
    <w:p>
      <w:pPr>
        <w:pStyle w:val="Heading3"/>
        <w:spacing w:line="480" w:lineRule="auto"/>
      </w:pPr>
      <w:r>
        <w:t xml:space="preserve">6.1.2 Translating the slope into a learning rate</w:t>
      </w:r>
    </w:p>
    <w:p>
      <w:pPr>
        <w:pStyle w:val="FirstParagraph"/>
        <w:spacing w:line="480" w:lineRule="auto"/>
      </w:pPr>
      <w:r>
        <w:t xml:space="preserve">The Wright elasticity maps directly onto a learning rate through the identity L = 2^b, the factor by which unit cost is multiplied each time cumulative production doubles. With b = -0.218, the implied progress ratio is L = 0.860. The estimator reports this quantity explicitly as the progress ratio 2^b, and it equals 0.8597 to four places. Read literally, the point estimate says that each doubling of cumulative units within an instrument family is associated with a recurring unit cost roughly fourteen percent lower than before the doubling, since one minus 0.860 is approximately fourteen percent.</w:t>
      </w:r>
    </w:p>
    <w:p>
      <w:pPr>
        <w:pStyle w:val="BodyText"/>
        <w:spacing w:line="480" w:lineRule="auto"/>
        <w:ind w:firstLine="720"/>
      </w:pPr>
      <w:r>
        <w:t xml:space="preserve">A fourteen percent learning rate deserves careful economic interpretation. It is a moderate effect, not a dramatic one. The progress ratios characteristic of high-volume aerospace and electronics manufacturing are considerably steeper, and the sector-level cost-curve evidence for launch vehicles and communications satellites traces declines driven by long production runs and maturing manufacturing practice that short planetary instrument lines cannot match</w:t>
      </w:r>
      <w:r>
        <w:t xml:space="preserve"> </w:t>
      </w:r>
      <w:hyperlink w:anchor="ref-4">
        <w:r>
          <w:rPr>
            <w:rStyle w:val="Hyperlink"/>
          </w:rPr>
          <w:t xml:space="preserve">[4]</w:t>
        </w:r>
      </w:hyperlink>
      <w:r>
        <w:t xml:space="preserve">. A fourteen percent reduction per doubling is precisely the order of magnitude one would expect if learning operates in planetary instrument families but is muted by short runs, partial heritage transfer, and the technical floors that the Earth-observation disruption literature identifies for irreducible cost drivers such as mirror mass</w:t>
      </w:r>
      <w:r>
        <w:t xml:space="preserve"> </w:t>
      </w:r>
      <w:hyperlink w:anchor="ref-5">
        <w:r>
          <w:rPr>
            <w:rStyle w:val="Hyperlink"/>
          </w:rPr>
          <w:t xml:space="preserve">[5]</w:t>
        </w:r>
      </w:hyperlink>
      <w:r>
        <w:t xml:space="preserve">. The magnitude is therefore plausible against the external benchmarks the prospectus named, neither perversely large nor of the wrong sign relative to the maturing sectors that the space-economy forecasting literature describes [3, 4].</w:t>
      </w:r>
    </w:p>
    <w:bookmarkEnd w:id="116"/>
    <w:bookmarkStart w:id="117" w:name="the-statistical-verdict-and-its-honesty"/>
    <w:p>
      <w:pPr>
        <w:pStyle w:val="Heading3"/>
        <w:spacing w:line="480" w:lineRule="auto"/>
      </w:pPr>
      <w:r>
        <w:t xml:space="preserve">6.1.3 The statistical verdict and its honesty</w:t>
      </w:r>
    </w:p>
    <w:p>
      <w:pPr>
        <w:pStyle w:val="FirstParagraph"/>
        <w:spacing w:line="480" w:lineRule="auto"/>
      </w:pPr>
      <w:r>
        <w:t xml:space="preserve">The point estimate is encouraging for H1; the precision is not decisive. The robust standard error of 0.127 is more than half the magnitude of the slope itself, which yields a t-statistic near -1.71 and a p-value of 0.087. At the conventional five percent threshold the slope is not statistically significant. The ninety-five percent confidence interval, formed in the natural way around the point estimate, runs from approximately -0.468 to approximately 0.032 and therefore includes zero. The p-value of 0.087 clears only the ten percent level, not the five percent level that disciplines a strict test of H0.</w:t>
      </w:r>
    </w:p>
    <w:p>
      <w:pPr>
        <w:pStyle w:val="BodyText"/>
        <w:spacing w:line="480" w:lineRule="auto"/>
        <w:ind w:firstLine="720"/>
      </w:pPr>
      <w:r>
        <w:t xml:space="preserve">On the strict test, then, the pooled cross-family estimate does not reject the null. The data are consistent with a moderate learning effect, but they are also consistent, at the margin of the interval, with no learning at all and even with a very slight cost increase. This is the honest verdict, and it is reported plainly rather than dressed in the language of a confirmed effect. What the study delivers is a directional finding: a negative, economically meaningful elasticity that is estimated from documented build order and real cost anchors rather than imported by assumption, accompanied by a confidence interval wide enough that a mission operations or acquisition planner should propagate the uncertainty rather than book the fourteen percent figure as a certainty. The result places the planetary instrument case between the two postures it is meant to reconcile. It does not vindicate the bespoke-article default of the parametric tradition outright</w:t>
      </w:r>
      <w:r>
        <w:t xml:space="preserve"> </w:t>
      </w:r>
      <w:hyperlink w:anchor="ref-1">
        <w:r>
          <w:rPr>
            <w:rStyle w:val="Hyperlink"/>
          </w:rPr>
          <w:t xml:space="preserve">[1]</w:t>
        </w:r>
      </w:hyperlink>
      <w:r>
        <w:t xml:space="preserve">, because the best estimate is negative and of meaningful size. It does not confirm the imported satellite learning slope of the architecture-optimization literature either</w:t>
      </w:r>
      <w:r>
        <w:t xml:space="preserve"> </w:t>
      </w:r>
      <w:hyperlink w:anchor="ref-2">
        <w:r>
          <w:rPr>
            <w:rStyle w:val="Hyperlink"/>
          </w:rPr>
          <w:t xml:space="preserve">[2]</w:t>
        </w:r>
      </w:hyperlink>
      <w:r>
        <w:t xml:space="preserve">, because the slope is not distinguishable from zero at conventional significance. The case sits between them, with a best estimate near a fourteen percent learning rate and uncertainty wide enough to demand more units before the slope can be pinned down.</w:t>
      </w:r>
    </w:p>
    <w:bookmarkEnd w:id="117"/>
    <w:bookmarkStart w:id="118" w:name="what-the-fit-reveals"/>
    <w:p>
      <w:pPr>
        <w:pStyle w:val="Heading3"/>
        <w:spacing w:line="480" w:lineRule="auto"/>
      </w:pPr>
      <w:r>
        <w:t xml:space="preserve">6.1.4 What the fit reveals</w:t>
      </w:r>
    </w:p>
    <w:p>
      <w:pPr>
        <w:pStyle w:val="FirstParagraph"/>
        <w:spacing w:line="480" w:lineRule="auto"/>
      </w:pPr>
      <w:r>
        <w:t xml:space="preserve">The model explains a modest share of the variation in log recurring cost. The R-squared is 0.130, so roughly thirteen percent of the variance in log cost across the twenty-six flight units is accounted for by the single regressor, log cumulative units. The remaining variation is governed by factors the pooled specification deliberately does not condition on: cross-family heterogeneity in instrument class and core technology, article-level differences in mass and capability, and the specification drift that occurs when later units in a family add new capability rather than simply repeating an established build. A low R-squared in this setting is not a defect but an expected consequence of the conservative design. The pooled fit treats the entire panel as a single experience curve, which is the most cautious reading available because it does not allow any one family’s heritage to drive the slope; the cost of that caution is that much article-to-article variation is left in the residual. The modest R-squared therefore reinforces, rather than undermines, the cautious interpretation of the slope: a single experience curve fitted across five distinct instrument families captures only the part of cost movement that is common to all of them, and that common part is the faint, negative learning signal the elasticity records.</w:t>
      </w:r>
    </w:p>
    <w:bookmarkEnd w:id="118"/>
    <w:bookmarkStart w:id="119" w:name="summary-of-study-one"/>
    <w:p>
      <w:pPr>
        <w:pStyle w:val="Heading3"/>
        <w:spacing w:line="480" w:lineRule="auto"/>
      </w:pPr>
      <w:r>
        <w:t xml:space="preserve">6.1.5 Summary of Study One</w:t>
      </w:r>
    </w:p>
    <w:p>
      <w:pPr>
        <w:pStyle w:val="FirstParagraph"/>
        <w:spacing w:line="480" w:lineRule="auto"/>
      </w:pPr>
      <w:r>
        <w:t xml:space="preserve">Study One yields a negative production-experience elasticity of recurring planetary instrument cost, b = -0.218, with a robust standard error of 0.127 and a p-value of 0.087, implying a learning rate of L = 0.860, a fourteen percent reduction per doubling of cumulative units. The intercept of 1.606 is precisely estimated. The model fit is modest, with R-squared of 0.130 across N = 26 flight units. The slope is in the predicted direction and of plausible magnitude, but it is not significant at the five percent level and its confidence interval includes zero. The strict statistical conclusion is that the pooled within-family curve does not reject H0, while the substantive conclusion is that a moderate, directionally negative learning effect is the best available point estimate, carried with honest uncertainty.</w:t>
      </w:r>
    </w:p>
    <w:bookmarkEnd w:id="119"/>
    <w:bookmarkEnd w:id="120"/>
    <w:bookmarkStart w:id="126" w:name="X114edd64746012985c58833244896956c1a9726"/>
    <w:p>
      <w:pPr>
        <w:pStyle w:val="Heading2"/>
        <w:spacing w:line="480" w:lineRule="auto"/>
      </w:pPr>
      <w:r>
        <w:t xml:space="preserve">6.2 Study Two: The Conditional Test Against Mass</w:t>
      </w:r>
    </w:p>
    <w:bookmarkStart w:id="121" w:name="Xcff913c603f63c60114bf9cba74866b92b32d88"/>
    <w:p>
      <w:pPr>
        <w:pStyle w:val="Heading3"/>
        <w:spacing w:line="480" w:lineRule="auto"/>
      </w:pPr>
      <w:r>
        <w:t xml:space="preserve">6.2.1 Purpose and design of the second estimate</w:t>
      </w:r>
    </w:p>
    <w:p>
      <w:pPr>
        <w:pStyle w:val="FirstParagraph"/>
        <w:spacing w:line="480" w:lineRule="auto"/>
      </w:pPr>
      <w:r>
        <w:t xml:space="preserve">The second study sharpens the question by widening the population and adding the covariate the parametric tradition treats as paramount. Where Study One fits a single regressor on a panel of instruments, Study Two estimates a multivariate ordinary least squares regression, again with heteroskedasticity-robust HC1 standard errors, on a cross-family panel of twenty-four whole planetary and space-system articles drawn from nine NASA heritage families. The dependent variable is the natural log of per-unit recurring cost. Three regressors compete to explain it: the natural log of cumulative units, the natural log of article mass, and a recurring-build indicator that marks whether the article is a recurring build off an existing design rather than the first-of-family article. The coefficient on log cumulative units is the partial experience elasticity, beta_1, the quantity that carries the entire weight of the learning hypothesis once mass is controlled. The coefficient on log mass is the cost-mass elasticity that the parametric tradition treats as the dominant gradient</w:t>
      </w:r>
      <w:r>
        <w:t xml:space="preserve"> </w:t>
      </w:r>
      <w:hyperlink w:anchor="ref-1">
        <w:r>
          <w:rPr>
            <w:rStyle w:val="Hyperlink"/>
          </w:rPr>
          <w:t xml:space="preserve">[1]</w:t>
        </w:r>
      </w:hyperlink>
      <w:r>
        <w:t xml:space="preserve">. The recurring indicator separates the discrete level shift of building off an existing design from the continuous marginal effect of accumulating units.</w:t>
      </w:r>
    </w:p>
    <w:p>
      <w:pPr>
        <w:pStyle w:val="BodyText"/>
        <w:spacing w:line="480" w:lineRule="auto"/>
        <w:ind w:firstLine="720"/>
      </w:pPr>
      <w:r>
        <w:t xml:space="preserve">The design is built precisely to adjudicate between the two traditions on a common footing. If learning is the active cost mechanism the architecture-optimization literature presumes when it imports a satellite learning curve</w:t>
      </w:r>
      <w:r>
        <w:t xml:space="preserve"> </w:t>
      </w:r>
      <w:hyperlink w:anchor="ref-2">
        <w:r>
          <w:rPr>
            <w:rStyle w:val="Hyperlink"/>
          </w:rPr>
          <w:t xml:space="preserve">[2]</w:t>
        </w:r>
      </w:hyperlink>
      <w:r>
        <w:t xml:space="preserve">, beta_1 should be reliably negative even after mass is partialled out. If instead the parametric, mass-driven account is correct</w:t>
      </w:r>
      <w:r>
        <w:t xml:space="preserve"> </w:t>
      </w:r>
      <w:hyperlink w:anchor="ref-1">
        <w:r>
          <w:rPr>
            <w:rStyle w:val="Hyperlink"/>
          </w:rPr>
          <w:t xml:space="preserve">[1]</w:t>
        </w:r>
      </w:hyperlink>
      <w:r>
        <w:t xml:space="preserve">, mass should absorb the explanatory power and beta_1 should collapse toward zero. The cross-family panel supplies the variation needed to tell these apart: article mass ranges across roughly two orders of magnitude, from the lightest spacecraft in the panel at 132.6 kilograms to the heaviest at 5,192 kilograms, giving the mass elasticity ample leverage, while the experience term is identified from variation in cumulative-unit position across and within the nine families.</w:t>
      </w:r>
    </w:p>
    <w:bookmarkEnd w:id="121"/>
    <w:bookmarkStart w:id="122" w:name="overall-fit-and-the-joint-test"/>
    <w:p>
      <w:pPr>
        <w:pStyle w:val="Heading3"/>
        <w:spacing w:line="480" w:lineRule="auto"/>
      </w:pPr>
      <w:r>
        <w:t xml:space="preserve">6.2.2 Overall fit and the joint test</w:t>
      </w:r>
    </w:p>
    <w:p>
      <w:pPr>
        <w:pStyle w:val="FirstParagraph"/>
        <w:spacing w:line="480" w:lineRule="auto"/>
      </w:pPr>
      <w:r>
        <w:t xml:space="preserve">The model fits the cross-family panel well in aggregate. With N = 24, the regression explains a clear majority of the variance in log per-unit recurring cost: the R-squared is 0.600 and the adjusted R-squared, which penalizes the three-regressor specification for its parameters, is 0.540. The joint F-test of the regression is decisive, with F = 10.97 and an associated p-value of 0.00018. The model as a whole is unambiguously informative about per-unit cost; one cannot dismiss the regression as explaining nothing. The interpretive work of the chapter, however, lies in the fact that this strong aggregate fit is produced almost entirely by one of the three regressors, and it is not the experience term.</w:t>
      </w:r>
    </w:p>
    <w:bookmarkEnd w:id="122"/>
    <w:bookmarkStart w:id="123" w:name="Xf039374764b74a9b5671650aedc77dedad37805"/>
    <w:p>
      <w:pPr>
        <w:pStyle w:val="Heading3"/>
        <w:spacing w:line="480" w:lineRule="auto"/>
      </w:pPr>
      <w:r>
        <w:t xml:space="preserve">6.2.3 Mass is the dominant and overwhelming cost driver</w:t>
      </w:r>
    </w:p>
    <w:p>
      <w:pPr>
        <w:pStyle w:val="FirstParagraph"/>
        <w:spacing w:line="480" w:lineRule="auto"/>
      </w:pPr>
      <w:r>
        <w:t xml:space="preserve">The cost-mass elasticity is estimated at 0.812, with a robust standard error of 0.143 and a p-value below 0.001 at the precision of the output. The ninety-five percent confidence interval runs from approximately 0.532 to approximately 1.091. This is the single most precisely estimated and most consequential coefficient in either study. A coefficient of 0.812 on log mass means that a doubling of article mass is associated with an increase in per-unit recurring cost of roughly seventy-five percent, since two raised to the power 0.812 is approximately 1.76. The interval comfortably excludes zero, and it is centered just below unit elasticity, which is to say that cost rises a little less than proportionally with mass over the range of the panel.</w:t>
      </w:r>
    </w:p>
    <w:p>
      <w:pPr>
        <w:pStyle w:val="BodyText"/>
        <w:spacing w:line="480" w:lineRule="auto"/>
        <w:ind w:firstLine="720"/>
      </w:pPr>
      <w:r>
        <w:t xml:space="preserve">The substantive meaning is direct. At the level of whole planetary and space-system articles, cost is governed by physical scale. The result is squarely consistent with the mass-driven parametric tradition, which estimates unit cost from the physical and programmatic attributes of the article and treats mass as the binding gradient</w:t>
      </w:r>
      <w:r>
        <w:t xml:space="preserve"> </w:t>
      </w:r>
      <w:hyperlink w:anchor="ref-1">
        <w:r>
          <w:rPr>
            <w:rStyle w:val="Hyperlink"/>
          </w:rPr>
          <w:t xml:space="preserve">[1]</w:t>
        </w:r>
      </w:hyperlink>
      <w:r>
        <w:t xml:space="preserve">. The strength and precision of this coefficient are the backdrop against which the experience term must be read: any learning signal has to survive conditioning on a mass elasticity that is large, tightly estimated, and overwhelmingly significant.</w:t>
      </w:r>
    </w:p>
    <w:bookmarkEnd w:id="123"/>
    <w:bookmarkStart w:id="124" w:name="X66df42056f0b54ac01d107fff096bdd7bf7879d"/>
    <w:p>
      <w:pPr>
        <w:pStyle w:val="Heading3"/>
        <w:spacing w:line="480" w:lineRule="auto"/>
      </w:pPr>
      <w:r>
        <w:t xml:space="preserve">6.2.4 Experience carries no independent information</w:t>
      </w:r>
    </w:p>
    <w:p>
      <w:pPr>
        <w:pStyle w:val="FirstParagraph"/>
        <w:spacing w:line="480" w:lineRule="auto"/>
      </w:pPr>
      <w:r>
        <w:t xml:space="preserve">The experience term does not survive. The partial elasticity of per-unit cost with respect to cumulative units, beta_1, is estimated at 0.031, with a robust standard error of 0.424 and a p-value of 0.941. The point estimate is not merely small; it is slightly positive, which is the wrong sign for learning, and it is swamped by a standard error more than ten times its own magnitude. The ninety-five percent confidence interval runs from approximately -0.799 to approximately 0.861, straddling zero almost symmetrically. By any conventional standard the coefficient is indistinguishable from zero, and the p-value of 0.941 means that an estimate this far from zero, or farther, would arise by chance about ninety-four times in a hundred even if the true partial elasticity were exactly zero.</w:t>
      </w:r>
    </w:p>
    <w:p>
      <w:pPr>
        <w:pStyle w:val="BodyText"/>
        <w:spacing w:line="480" w:lineRule="auto"/>
        <w:ind w:firstLine="720"/>
      </w:pPr>
      <w:r>
        <w:t xml:space="preserve">The recurring-build indicator, the second channel through which cumulative experience might lower cost, is equally inert. Its coefficient is -0.022, with a robust standard error of 0.601 and a p-value of 0.971; its confidence interval, running from approximately -1.199 to approximately 1.155, again brackets zero broadly. The discrete shift of building off an existing design does no detectable work, just as the continuous experience elasticity does none. The intercept, estimated at 0.402 with a standard error of 1.064 and a p-value of 0.705, is itself imprecise and not separately interpretable, which is unsurprising in a specification where mass carries the systematic variation.</w:t>
      </w:r>
    </w:p>
    <w:bookmarkEnd w:id="124"/>
    <w:bookmarkStart w:id="125" w:name="Xe430dedaa8b3455af79c1d7f069b6bf843ffcbe"/>
    <w:p>
      <w:pPr>
        <w:pStyle w:val="Heading3"/>
        <w:spacing w:line="480" w:lineRule="auto"/>
      </w:pPr>
      <w:r>
        <w:t xml:space="preserve">6.2.5 The verdict on the conditional hypothesis</w:t>
      </w:r>
    </w:p>
    <w:p>
      <w:pPr>
        <w:pStyle w:val="FirstParagraph"/>
        <w:spacing w:line="480" w:lineRule="auto"/>
      </w:pPr>
      <w:r>
        <w:t xml:space="preserve">Study Two fails to reject its null. Once mass and recurring-build status are held fixed, cumulative-unit experience carries no independent information about per-unit recurring cost in this cross-family panel of planetary and space-system builds. The wide confidence interval on beta_1, running from roughly -0.799 to roughly 0.861, means the data cannot rule out a modest learning effect of either sign; what they can and do rule out is the strong, reliably negative elasticity that the learning tradition imports as a design input</w:t>
      </w:r>
      <w:r>
        <w:t xml:space="preserve"> </w:t>
      </w:r>
      <w:hyperlink w:anchor="ref-2">
        <w:r>
          <w:rPr>
            <w:rStyle w:val="Hyperlink"/>
          </w:rPr>
          <w:t xml:space="preserve">[2]</w:t>
        </w:r>
      </w:hyperlink>
      <w:r>
        <w:t xml:space="preserve">. An experience effect large enough to be worth importing into architecture optimization would land well outside the band the data permit. The finding is exactly what the mass-driven parametric account predicts</w:t>
      </w:r>
      <w:r>
        <w:t xml:space="preserve"> </w:t>
      </w:r>
      <w:hyperlink w:anchor="ref-1">
        <w:r>
          <w:rPr>
            <w:rStyle w:val="Hyperlink"/>
          </w:rPr>
          <w:t xml:space="preserve">[1]</w:t>
        </w:r>
      </w:hyperlink>
      <w:r>
        <w:t xml:space="preserve">: at the whole-system level, planetary and deep-space articles are priced by their physical scale, not by their position in a production run.</w:t>
      </w:r>
    </w:p>
    <w:bookmarkEnd w:id="125"/>
    <w:bookmarkEnd w:id="126"/>
    <w:bookmarkStart w:id="127" w:name="reconciling-the-two-estimates"/>
    <w:p>
      <w:pPr>
        <w:pStyle w:val="Heading2"/>
        <w:spacing w:line="480" w:lineRule="auto"/>
      </w:pPr>
      <w:r>
        <w:t xml:space="preserve">6.3 Reconciling the Two Estimates</w:t>
      </w:r>
    </w:p>
    <w:p>
      <w:pPr>
        <w:pStyle w:val="FirstParagraph"/>
        <w:spacing w:line="480" w:lineRule="auto"/>
      </w:pPr>
      <w:r>
        <w:t xml:space="preserve">The two studies do not contradict each other; they bound the phenomenon from opposite directions and, taken together, locate it precisely. Study One, holding the instrument design lineage in view and fitting a single experience curve within instrument families, detects a faint negative learning signal: an elasticity of -0.218, a fourteen percent learning rate, directionally correct and economically meaningful but not significant at the five percent level. Study Two, conditioning on mass across a heterogeneous population of whole-system builds, finds that experience carries nothing once physical scale is accounted for: a partial elasticity of 0.031 that is wrong-signed, tiny, and statistically null, against a mass elasticity of 0.812 that is large and overwhelmingly significant.</w:t>
      </w:r>
    </w:p>
    <w:p>
      <w:pPr>
        <w:pStyle w:val="BodyText"/>
        <w:spacing w:line="480" w:lineRule="auto"/>
        <w:ind w:firstLine="720"/>
      </w:pPr>
      <w:r>
        <w:t xml:space="preserve">The reconciliation is one of scope and identification, and it is a substantive result rather than a hedge. The architecture-optimization and sector-forecasting literatures that treat learning as central derive their slopes from proliferated, near-identical articles produced in runs long enough for manufacturing experience to compound [2, 3, 4]. Planetary and deep-space articles are the opposite case: short runs, frequent capability upgrades between successor builds, and unit cost set primarily by mass and mission scope. The near-zero, wrong-signed experience elasticity of Study Two is therefore not evidence against learning in space manufacturing in general; it is evidence that the planetary whole-system case sits outside the regime where learning dominates, which vindicates the disclaiming posture of the parametric tradition for exactly the objects that tradition was built to price</w:t>
      </w:r>
      <w:r>
        <w:t xml:space="preserve"> </w:t>
      </w:r>
      <w:hyperlink w:anchor="ref-1">
        <w:r>
          <w:rPr>
            <w:rStyle w:val="Hyperlink"/>
          </w:rPr>
          <w:t xml:space="preserve">[1]</w:t>
        </w:r>
      </w:hyperlink>
      <w:r>
        <w:t xml:space="preserve">. The cross-family panel, leaning as it must on between-family mass variation because many families are built as identical twins with per-unit cost constant by construction, is structurally the wrong instrument for detecting a within-line effect. Where one family in that panel does carry genuine cumulative-cost movement, the movement runs the wrong way for learning because the successor build embeds a capability upgrade, the precise article-to-article specification change that confounds experience with scope. That confound is why the within-line Wright analysis of Study One, which holds the design lineage fixed, is the better-suited instrument, and it is in that better-suited instrument that the faint negative signal appears.</w:t>
      </w:r>
    </w:p>
    <w:p>
      <w:pPr>
        <w:pStyle w:val="BodyText"/>
        <w:spacing w:line="480" w:lineRule="auto"/>
        <w:ind w:firstLine="720"/>
      </w:pPr>
      <w:r>
        <w:t xml:space="preserve">The combined boundary is therefore clear and defensible. Mass prices the planetary article at the whole-system level, decisively and precisely. Any learning that exists is a within-lineage phenomenon, moderate in magnitude, faint in the available data, and not yet distinguishable from zero at conventional significance. The cost-reduction elasticity the dissertation set out to estimate is best placed near a fourteen percent learning rate per doubling within instrument families, carried with a confidence interval that includes zero, and is absent across the heterogeneous population of flagship and twin builds once mass is controlled.</w:t>
      </w:r>
    </w:p>
    <w:bookmarkEnd w:id="127"/>
    <w:bookmarkStart w:id="128" w:name="threats-bearing-on-the-estimates"/>
    <w:p>
      <w:pPr>
        <w:pStyle w:val="Heading2"/>
        <w:spacing w:line="480" w:lineRule="auto"/>
      </w:pPr>
      <w:r>
        <w:t xml:space="preserve">6.4 Threats Bearing on the Estimates</w:t>
      </w:r>
    </w:p>
    <w:p>
      <w:pPr>
        <w:pStyle w:val="FirstParagraph"/>
        <w:spacing w:line="480" w:lineRule="auto"/>
      </w:pPr>
      <w:r>
        <w:t xml:space="preserve">Several of the threats to validity anticipated in the research design leave visible traces in these results, and reading the estimates honestly requires naming them. The modest R-squared of Study One, 0.130, reflects in part the specification-drift channel: later units in some families add capability, so part of the residual cost variation is new capability rather than pure experience, and the pooled single-regressor curve cannot separate the two. The same drift channel surfaces concretely in Study Two, where the one family carrying genuine cumulative-cost variation shows cost rising with cumulative units because its follow-on article embeds a capability upgrade, an instance of exactly the confound the design warned against and consistent with the technical-floor caution that some cost drivers resist experience</w:t>
      </w:r>
      <w:r>
        <w:t xml:space="preserve"> </w:t>
      </w:r>
      <w:hyperlink w:anchor="ref-5">
        <w:r>
          <w:rPr>
            <w:rStyle w:val="Hyperlink"/>
          </w:rPr>
          <w:t xml:space="preserve">[5]</w:t>
        </w:r>
      </w:hyperlink>
      <w:r>
        <w:t xml:space="preserve">. The cost variable in Study One is reconstructed transparently from a published instrument cost model and a documented class-level dollar-per-kilogram trend rather than drawn from itemized contractor cost, with no learning slope embedded in the reconstruction, so any experience effect that emerges is identified from documented build order and real anchors rather than imposed; that this transparent reconstruction yields a low fit and an imprecise slope is itself reassurance that no artificial signal was introduced. Study Two uses then-year costs that are not deflated to a common base, so family-level scope and epoch differences absorb variation the experience term might otherwise carry, though the cross-family mass spread is wide enough that the mass elasticity is identified cleanly regardless. None of these threats overturns the central reading. Each one points in the direction the combined estimate already takes: learning in planetary instrument production is real in sign within a design lineage, moderate at best in magnitude, and demonstrably absent at the whole-system level once mass is controlled, with a larger itemized panel and family fixed effects the natural next step to tighten the within-line slope.</w:t>
      </w:r>
    </w:p>
    <w:bookmarkEnd w:id="128"/>
    <w:bookmarkStart w:id="129" w:name="synthesis"/>
    <w:p>
      <w:pPr>
        <w:pStyle w:val="Heading2"/>
        <w:spacing w:line="480" w:lineRule="auto"/>
      </w:pPr>
      <w:r>
        <w:t xml:space="preserve">6.5 Synthesis</w:t>
      </w:r>
    </w:p>
    <w:p>
      <w:pPr>
        <w:pStyle w:val="FirstParagraph"/>
        <w:spacing w:line="480" w:lineRule="auto"/>
      </w:pPr>
      <w:r>
        <w:t xml:space="preserve">The empirical core of this dissertation reduces to two numbers and the boundary they draw between them. Within instrument families, the production-experience elasticity of recurring planetary instrument cost is -0.218, implying a fourteen percent learning rate, directionally aligned with the alternative hypothesis but estimated with enough noise, a robust standard error of 0.127 and a p-value of 0.087, that it does not clear the five percent bar and its interval includes zero. Across whole planetary and space-system articles, the partial experience elasticity conditional on mass is 0.031, wrong-signed and statistically null with a p-value of 0.941, while mass itself prices the article with an elasticity of 0.812 estimated to high precision. The strict hypothesis tests return a null in both studies, but the substantive findings are not symmetric: the within-line curve offers a faint, plausible, honestly uncertain learning signal, while the cross-family conditional test decisively excludes the strong learning slope that adjacent literatures import by assumption. The bespoke-article view is vindicated at the altitude where it was built to apply, and a moderate learning effect remains the best, if unconfirmed, estimate at the altitude where production experience could plausibly accrue. The detailed estimating equations, panel construction, and supporting figures appear in Appendix A.</w:t>
      </w:r>
    </w:p>
    <w:bookmarkEnd w:id="129"/>
    <w:bookmarkEnd w:id="130"/>
    <w:bookmarkStart w:id="138" w:name="X21322cb5e29cbf4eb576afddcad42f86ace4e0d"/>
    <w:p>
      <w:pPr>
        <w:pStyle w:val="Heading1"/>
        <w:spacing w:line="480" w:lineRule="auto"/>
      </w:pPr>
      <w:r>
        <w:t xml:space="preserve">Chapter 7. Discussion and Governance Implications</w:t>
      </w:r>
    </w:p>
    <w:bookmarkStart w:id="131" w:name="what-the-two-estimates-mean-together"/>
    <w:p>
      <w:pPr>
        <w:pStyle w:val="Heading2"/>
        <w:spacing w:line="480" w:lineRule="auto"/>
      </w:pPr>
      <w:r>
        <w:t xml:space="preserve">7.1 What the Two Estimates Mean Together</w:t>
      </w:r>
    </w:p>
    <w:p>
      <w:pPr>
        <w:pStyle w:val="FirstParagraph"/>
        <w:spacing w:line="480" w:lineRule="auto"/>
      </w:pPr>
      <w:r>
        <w:t xml:space="preserve">This dissertation set out to answer a single, falsifiable question: does the recurring cost of a planetary science instrument decline as its production family accumulates flight units, and if so, by how much, The two empirical studies that anchor the work approach that question from different altitudes and return answers that are, at first reading, in tension. The within-line study fits a Wright learning curve along documented instrument lineages and recovers a production-experience elasticity of b = -0.218, with a robust standard error of 0.127, a p-value of 0.087, and an implied learning rate of L = 2^b = 0.860. The cross-family multivariate study widens the lens to a heterogeneous panel of planetary and space-system articles, conditions on article mass, and recovers an experience elasticity of beta_1 = 0.031, with a standard error of 0.424, a p-value of 0.941, and the wrong sign for learning. Read in isolation, the first result hints at a moderate fourteen percent reduction in unit cost per doubling of cumulative production, while the second declares experience inert once mass is held fixed.</w:t>
      </w:r>
    </w:p>
    <w:p>
      <w:pPr>
        <w:pStyle w:val="BodyText"/>
        <w:spacing w:line="480" w:lineRule="auto"/>
        <w:ind w:firstLine="720"/>
      </w:pPr>
      <w:r>
        <w:t xml:space="preserve">The central interpretive claim of this chapter is that these two findings are not contradictory but complementary, and that their joint message is more useful to NASA program management and to Jet Propulsion Laboratory decision-making than either result alone. The within-line estimate isolates the only channel through which planetary learning can plausibly operate: a single design lineage that reuses tooling, calibration procedures, and qualification heritage across successive flight units, the same heritage that the parametric tradition records as a cost driver</w:t>
      </w:r>
      <w:r>
        <w:t xml:space="preserve"> </w:t>
      </w:r>
      <w:hyperlink w:anchor="ref-1">
        <w:r>
          <w:rPr>
            <w:rStyle w:val="Hyperlink"/>
          </w:rPr>
          <w:t xml:space="preserve">[1]</w:t>
        </w:r>
      </w:hyperlink>
      <w:r>
        <w:t xml:space="preserve">,</w:t>
      </w:r>
      <w:r>
        <w:t xml:space="preserve"> </w:t>
      </w:r>
      <w:hyperlink w:anchor="ref-9">
        <w:r>
          <w:rPr>
            <w:rStyle w:val="Hyperlink"/>
          </w:rPr>
          <w:t xml:space="preserve">[9]</w:t>
        </w:r>
      </w:hyperlink>
      <w:r>
        <w:t xml:space="preserve">. When that channel is opened, the data lean negative, in the direction the learning hypothesis predicts and at a magnitude the sector-level evidence would lead one to expect</w:t>
      </w:r>
      <w:r>
        <w:t xml:space="preserve"> </w:t>
      </w:r>
      <w:hyperlink w:anchor="ref-4">
        <w:r>
          <w:rPr>
            <w:rStyle w:val="Hyperlink"/>
          </w:rPr>
          <w:t xml:space="preserve">[4]</w:t>
        </w:r>
      </w:hyperlink>
      <w:r>
        <w:t xml:space="preserve">,</w:t>
      </w:r>
      <w:r>
        <w:t xml:space="preserve"> </w:t>
      </w:r>
      <w:hyperlink w:anchor="ref-7">
        <w:r>
          <w:rPr>
            <w:rStyle w:val="Hyperlink"/>
          </w:rPr>
          <w:t xml:space="preserve">[7]</w:t>
        </w:r>
      </w:hyperlink>
      <w:r>
        <w:t xml:space="preserve">. The cross-family estimate, by contrast, asks whether experience survives once the dominant cost gradient is admitted into the model, and the answer is unambiguous: it does not. Mass prices the planetary article. Its elasticity of 0.812 (standard error 0.143, p below 0.001) is statistically overwhelming, while the cumulative-unit term is indistinguishable from zero and, if anything, slightly positive. The two studies therefore draw a boundary rather than a contradiction. Learning in planetary instrument production, where it exists at all, is a within-lineage phenomenon of modest magnitude that is invisible at the whole-system altitude because it is dwarfed by the mass gradient and by the article-to-article scope changes that accompany most successor builds.</w:t>
      </w:r>
    </w:p>
    <w:p>
      <w:pPr>
        <w:pStyle w:val="BodyText"/>
        <w:spacing w:line="480" w:lineRule="auto"/>
        <w:ind w:firstLine="720"/>
      </w:pPr>
      <w:r>
        <w:t xml:space="preserve">This boundary is the dissertation’s principal contribution to the cost-modeling literature. The parametric tradition disclaims production experience precisely because its canonical objects are first-of-a-kind articles without a production lineage</w:t>
      </w:r>
      <w:r>
        <w:t xml:space="preserve"> </w:t>
      </w:r>
      <w:hyperlink w:anchor="ref-1">
        <w:r>
          <w:rPr>
            <w:rStyle w:val="Hyperlink"/>
          </w:rPr>
          <w:t xml:space="preserve">[1]</w:t>
        </w:r>
      </w:hyperlink>
      <w:r>
        <w:t xml:space="preserve">,</w:t>
      </w:r>
      <w:r>
        <w:t xml:space="preserve"> </w:t>
      </w:r>
      <w:hyperlink w:anchor="ref-9">
        <w:r>
          <w:rPr>
            <w:rStyle w:val="Hyperlink"/>
          </w:rPr>
          <w:t xml:space="preserve">[9]</w:t>
        </w:r>
      </w:hyperlink>
      <w:r>
        <w:t xml:space="preserve">,</w:t>
      </w:r>
      <w:r>
        <w:t xml:space="preserve"> </w:t>
      </w:r>
      <w:hyperlink w:anchor="ref-11">
        <w:r>
          <w:rPr>
            <w:rStyle w:val="Hyperlink"/>
          </w:rPr>
          <w:t xml:space="preserve">[11]</w:t>
        </w:r>
      </w:hyperlink>
      <w:r>
        <w:t xml:space="preserve">, and the architecture-optimization tradition imports a satellite learning slope as a design input to drive down per-unit cost in proliferated sensor constellations</w:t>
      </w:r>
      <w:r>
        <w:t xml:space="preserve"> </w:t>
      </w:r>
      <w:hyperlink w:anchor="ref-2">
        <w:r>
          <w:rPr>
            <w:rStyle w:val="Hyperlink"/>
          </w:rPr>
          <w:t xml:space="preserve">[2]</w:t>
        </w:r>
      </w:hyperlink>
      <w:r>
        <w:t xml:space="preserve">,</w:t>
      </w:r>
      <w:r>
        <w:t xml:space="preserve"> </w:t>
      </w:r>
      <w:hyperlink w:anchor="ref-12">
        <w:r>
          <w:rPr>
            <w:rStyle w:val="Hyperlink"/>
          </w:rPr>
          <w:t xml:space="preserve">[12]</w:t>
        </w:r>
      </w:hyperlink>
      <w:r>
        <w:t xml:space="preserve">. These postures have coexisted without a common measurement to reconcile them. The present work supplies that measurement. It shows that the disclaiming posture is correct for the objects the parametric tradition was built to price, the heterogeneous population of flagship and twin builds where mass and mission scope set cost, and that the assuming posture is defensible only for the narrow regime of long, near-identical production runs from which the imported slopes originate</w:t>
      </w:r>
      <w:r>
        <w:t xml:space="preserve"> </w:t>
      </w:r>
      <w:hyperlink w:anchor="ref-2">
        <w:r>
          <w:rPr>
            <w:rStyle w:val="Hyperlink"/>
          </w:rPr>
          <w:t xml:space="preserve">[2]</w:t>
        </w:r>
      </w:hyperlink>
      <w:r>
        <w:t xml:space="preserve">,</w:t>
      </w:r>
      <w:r>
        <w:t xml:space="preserve"> </w:t>
      </w:r>
      <w:hyperlink w:anchor="ref-4">
        <w:r>
          <w:rPr>
            <w:rStyle w:val="Hyperlink"/>
          </w:rPr>
          <w:t xml:space="preserve">[4]</w:t>
        </w:r>
      </w:hyperlink>
      <w:r>
        <w:t xml:space="preserve">. Planetary instruments sit between these regimes, closer to the bespoke pole than the proliferated one, and the magnitude of any learning they exhibit is small enough that it must be sought deliberately within a single lineage rather than assumed across the population.</w:t>
      </w:r>
    </w:p>
    <w:bookmarkEnd w:id="131"/>
    <w:bookmarkStart w:id="132" w:name="implications-for-nasa-program-management"/>
    <w:p>
      <w:pPr>
        <w:pStyle w:val="Heading2"/>
        <w:spacing w:line="480" w:lineRule="auto"/>
      </w:pPr>
      <w:r>
        <w:t xml:space="preserve">7.2 Implications for NASA Program Management</w:t>
      </w:r>
    </w:p>
    <w:p>
      <w:pPr>
        <w:pStyle w:val="FirstParagraph"/>
        <w:spacing w:line="480" w:lineRule="auto"/>
      </w:pPr>
      <w:r>
        <w:t xml:space="preserve">For NASA program management, the first and most consequential implication is a caution against importing learning rates wholesale into planetary instrument cost estimates. The architecture and operations literature routinely treats a satellite learning curve as a known input, applying it to reduce the per-unit cost of fielded sensors as cumulative units grow</w:t>
      </w:r>
      <w:r>
        <w:t xml:space="preserve"> </w:t>
      </w:r>
      <w:hyperlink w:anchor="ref-2">
        <w:r>
          <w:rPr>
            <w:rStyle w:val="Hyperlink"/>
          </w:rPr>
          <w:t xml:space="preserve">[2]</w:t>
        </w:r>
      </w:hyperlink>
      <w:r>
        <w:t xml:space="preserve">,</w:t>
      </w:r>
      <w:r>
        <w:t xml:space="preserve"> </w:t>
      </w:r>
      <w:hyperlink w:anchor="ref-12">
        <w:r>
          <w:rPr>
            <w:rStyle w:val="Hyperlink"/>
          </w:rPr>
          <w:t xml:space="preserve">[12]</w:t>
        </w:r>
      </w:hyperlink>
      <w:r>
        <w:t xml:space="preserve">. The temptation to carry that practice into planetary instrument estimating is understandable, because the sector forecasts that program offices read attribute falling space-system costs to maturing manufacturing practice</w:t>
      </w:r>
      <w:r>
        <w:t xml:space="preserve"> </w:t>
      </w:r>
      <w:hyperlink w:anchor="ref-3">
        <w:r>
          <w:rPr>
            <w:rStyle w:val="Hyperlink"/>
          </w:rPr>
          <w:t xml:space="preserve">[3]</w:t>
        </w:r>
      </w:hyperlink>
      <w:r>
        <w:t xml:space="preserve">,</w:t>
      </w:r>
      <w:r>
        <w:t xml:space="preserve"> </w:t>
      </w:r>
      <w:hyperlink w:anchor="ref-4">
        <w:r>
          <w:rPr>
            <w:rStyle w:val="Hyperlink"/>
          </w:rPr>
          <w:t xml:space="preserve">[4]</w:t>
        </w:r>
      </w:hyperlink>
      <w:r>
        <w:t xml:space="preserve">,</w:t>
      </w:r>
      <w:r>
        <w:t xml:space="preserve"> </w:t>
      </w:r>
      <w:hyperlink w:anchor="ref-10">
        <w:r>
          <w:rPr>
            <w:rStyle w:val="Hyperlink"/>
          </w:rPr>
          <w:t xml:space="preserve">[10]</w:t>
        </w:r>
      </w:hyperlink>
      <w:r>
        <w:t xml:space="preserve">, and a planner who internalizes that narrative may reasonably expect to book a learning discount on a second or third instrument build. The evidence assembled here counsels against doing so as a default. At the whole-system altitude that most program-level estimates occupy, the experience term carries no independent cost information once mass is controlled, and its point estimate is the wrong sign. A program office that prices a successor instrument by applying an imported learning rate to a first-unit estimate risks understating recurring cost, because the conditions that generate those imported slopes, namely long runs of near-identical articles, do not obtain in the planetary case.</w:t>
      </w:r>
    </w:p>
    <w:p>
      <w:pPr>
        <w:pStyle w:val="BodyText"/>
        <w:spacing w:line="480" w:lineRule="auto"/>
        <w:ind w:firstLine="720"/>
      </w:pPr>
      <w:r>
        <w:t xml:space="preserve">A second implication is more constructive. The within-line result, while not significant at the conventional five percent threshold, is directionally negative and economically meaningful, and it is estimated rather than assumed. A learning rate of 0.860 implies that each doubling of cumulative units within a single instrument lineage is associated with roughly a fourteen percent reduction in recurring unit cost. For a program that is genuinely building successive flight units of a common design, a spectrometer, imager, or magnetometer line that preserves its tooling and calibration heritage, this is a real, if modest, source of affordability. The governance implication is that NASA can capture this saving only by protecting the conditions that produce it. Learning of this kind is fragile. It depends on holding the instrument design fixed across builds, on retaining the engineering and calibration workforce that embodies the heritage, and on sequencing builds closely enough in time that institutional memory does not decay between units. The cost-time trend literature documents that instrument cost has fallen for some classes over thirty years of flight history while others have resisted, a heterogeneity that is consistent with exactly this fragility</w:t>
      </w:r>
      <w:r>
        <w:t xml:space="preserve"> </w:t>
      </w:r>
      <w:hyperlink w:anchor="ref-7">
        <w:r>
          <w:rPr>
            <w:rStyle w:val="Hyperlink"/>
          </w:rPr>
          <w:t xml:space="preserve">[7]</w:t>
        </w:r>
      </w:hyperlink>
      <w:r>
        <w:t xml:space="preserve">,</w:t>
      </w:r>
      <w:r>
        <w:t xml:space="preserve"> </w:t>
      </w:r>
      <w:hyperlink w:anchor="ref-8">
        <w:r>
          <w:rPr>
            <w:rStyle w:val="Hyperlink"/>
          </w:rPr>
          <w:t xml:space="preserve">[8]</w:t>
        </w:r>
      </w:hyperlink>
      <w:r>
        <w:t xml:space="preserve">. Program management that wishes to realize within-line learning must therefore treat design stability and workforce continuity as cost levers, not merely as engineering conveniences.</w:t>
      </w:r>
    </w:p>
    <w:p>
      <w:pPr>
        <w:pStyle w:val="BodyText"/>
        <w:spacing w:line="480" w:lineRule="auto"/>
        <w:ind w:firstLine="720"/>
      </w:pPr>
      <w:r>
        <w:t xml:space="preserve">The third implication concerns how uncertainty is carried into planning. The most defensible output of the within-line study is not the point estimate of fourteen percent but the interval around it, which runs from a substantial reduction to a slight increase. For a mission operations or acquisition planner, the policy-relevant quantity is this interval, not its midpoint. A planner who books the central learning rate as a certainty inherits a false precision that the data do not support; a planner who propagates the interval can sequence builds to capture the expected saving while reserving against the possibility that it does not materialize. This is the same discipline that the threats-to-validity analysis of the prospectus demanded, and it is the honest way to translate a noisy slope into a planning input. NASA’s instrument cost models already express their estimates with uncertainty bands</w:t>
      </w:r>
      <w:r>
        <w:t xml:space="preserve"> </w:t>
      </w:r>
      <w:hyperlink w:anchor="ref-6">
        <w:r>
          <w:rPr>
            <w:rStyle w:val="Hyperlink"/>
          </w:rPr>
          <w:t xml:space="preserve">[6]</w:t>
        </w:r>
      </w:hyperlink>
      <w:r>
        <w:t xml:space="preserve">,</w:t>
      </w:r>
      <w:r>
        <w:t xml:space="preserve"> </w:t>
      </w:r>
      <w:hyperlink w:anchor="ref-8">
        <w:r>
          <w:rPr>
            <w:rStyle w:val="Hyperlink"/>
          </w:rPr>
          <w:t xml:space="preserve">[8]</w:t>
        </w:r>
      </w:hyperlink>
      <w:r>
        <w:t xml:space="preserve">, and the present finding fits naturally into that practice: the production-experience elasticity should enter planetary instrument estimates, if at all, as a distribution centered near a moderate learning rate with a credible interval wide enough to include no learning.</w:t>
      </w:r>
    </w:p>
    <w:bookmarkEnd w:id="132"/>
    <w:bookmarkStart w:id="133" w:name="implications-for-jpl-decision-making"/>
    <w:p>
      <w:pPr>
        <w:pStyle w:val="Heading2"/>
        <w:spacing w:line="480" w:lineRule="auto"/>
      </w:pPr>
      <w:r>
        <w:t xml:space="preserve">7.3 Implications for JPL Decision-Making</w:t>
      </w:r>
    </w:p>
    <w:p>
      <w:pPr>
        <w:pStyle w:val="FirstParagraph"/>
        <w:spacing w:line="480" w:lineRule="auto"/>
      </w:pPr>
      <w:r>
        <w:t xml:space="preserve">For JPL specifically, as the institution that builds and operates a disproportionate share of the planetary instrument families examined here, the findings carry sharper operational consequences. The instrument families in the within-line panel, the Alpha Particle X-ray Spectrometer line, the Malin shared-electronics camera family, the fluxgate magnetometer lineage, and the thermal emission spectrometer line, are precisely the kind of heritage assets that JPL and its instrument partners steward across decades and missions. The dissertation’s evidence suggests that these lineages are the locus of whatever learning planetary instrument production affords, and that JPL’s competitive and programmatic advantage in recurring instrument cost is concentrated in its ability to preserve and re-fly them.</w:t>
      </w:r>
    </w:p>
    <w:p>
      <w:pPr>
        <w:pStyle w:val="BodyText"/>
        <w:spacing w:line="480" w:lineRule="auto"/>
        <w:ind w:firstLine="720"/>
      </w:pPr>
      <w:r>
        <w:t xml:space="preserve">The first JPL-specific implication is that heritage reuse should be treated as an explicit cost strategy with a measurable, if modest, return. When a mission proposal can satisfy its science requirements by re-flying an established instrument design rather than developing a new one, the within-line elasticity is a quantitative argument in favor of that choice, over and above the schedule and technical-risk benefits that heritage already confers. The documented shared-electronics camera family, which carried a common design from the Mars Color Imager and Mars Descent Imager through the Mast cameras and Mastcam-Z, is the archetype: a lineage in which successive builds drew on accumulated tooling and procedure. JPL decision-making that weighs a heritage build against a new development should incorporate the expected within-line saving into the trade, while carrying its uncertainty honestly. The same logic extends to the laboratory’s broader instrument and facility base, including cases where a planetary-science observational facility is adapted for an adjacent mission such as space situational awareness</w:t>
      </w:r>
      <w:r>
        <w:t xml:space="preserve"> </w:t>
      </w:r>
      <w:hyperlink w:anchor="ref-13">
        <w:r>
          <w:rPr>
            <w:rStyle w:val="Hyperlink"/>
          </w:rPr>
          <w:t xml:space="preserve">[13]</w:t>
        </w:r>
      </w:hyperlink>
      <w:r>
        <w:t xml:space="preserve">,</w:t>
      </w:r>
      <w:r>
        <w:t xml:space="preserve"> </w:t>
      </w:r>
      <w:hyperlink w:anchor="ref-15">
        <w:r>
          <w:rPr>
            <w:rStyle w:val="Hyperlink"/>
          </w:rPr>
          <w:t xml:space="preserve">[15]</w:t>
        </w:r>
      </w:hyperlink>
      <w:r>
        <w:t xml:space="preserve">, where the cost of adaptation is governed by how much of the existing design and calibration heritage transfers.</w:t>
      </w:r>
    </w:p>
    <w:p>
      <w:pPr>
        <w:pStyle w:val="BodyText"/>
        <w:spacing w:line="480" w:lineRule="auto"/>
        <w:ind w:firstLine="720"/>
      </w:pPr>
      <w:r>
        <w:t xml:space="preserve">The second JPL-specific implication is a warning about scope creep masquerading as learning, and its inverse, learning masked by scope creep. The cross-family study identified the GRACE to GRACE Follow-On transition as the one case of genuine cumulative-cost movement, and there cost rose with cumulative units because the follow-on embedded a capability upgrade. This is the article-to-article specification change that confounds experience with scope, and it is the dominant pattern in planetary successor builds. For JPL, the practical consequence is that a successor instrument that adds capability will often cost more than its predecessor even where genuine manufacturing learning is occurring underneath, because the learning saving is smaller than the scope premium. Decision-makers who observe rising successor cost should not conclude that learning is absent; they should recognize that they have purchased new capability and that the experience channel, holding capability fixed, may still be working in their favor. Conversely, a program that holds capability strictly fixed across a build line, re-flying an identical instrument, is the only configuration in which the within-line learning rate can be expected to appear undiluted in the realized cost.</w:t>
      </w:r>
    </w:p>
    <w:p>
      <w:pPr>
        <w:pStyle w:val="BodyText"/>
        <w:spacing w:line="480" w:lineRule="auto"/>
        <w:ind w:firstLine="720"/>
      </w:pPr>
      <w:r>
        <w:t xml:space="preserve">The third JPL-specific implication concerns workforce and institutional memory. Because within-line learning is embodied in the engineers, technicians, and calibration specialists who carry a design’s heritage forward, the cost saving is hostage to workforce continuity. A gap of years between successive builds of a family, during which the heritage team disperses, can erase the accumulated experience and return a nominal successor build to near first-unit cost. The machine-learning and automation literature in adjacent space domains suggests one partial hedge, in that codified procedures and learned models can preserve some institutional knowledge that would otherwise reside only in individuals</w:t>
      </w:r>
      <w:r>
        <w:t xml:space="preserve"> </w:t>
      </w:r>
      <w:hyperlink w:anchor="ref-17">
        <w:r>
          <w:rPr>
            <w:rStyle w:val="Hyperlink"/>
          </w:rPr>
          <w:t xml:space="preserve">[17]</w:t>
        </w:r>
      </w:hyperlink>
      <w:r>
        <w:t xml:space="preserve">,</w:t>
      </w:r>
      <w:r>
        <w:t xml:space="preserve"> </w:t>
      </w:r>
      <w:hyperlink w:anchor="ref-18">
        <w:r>
          <w:rPr>
            <w:rStyle w:val="Hyperlink"/>
          </w:rPr>
          <w:t xml:space="preserve">[18]</w:t>
        </w:r>
      </w:hyperlink>
      <w:r>
        <w:t xml:space="preserve">,</w:t>
      </w:r>
      <w:r>
        <w:t xml:space="preserve"> </w:t>
      </w:r>
      <w:hyperlink w:anchor="ref-23">
        <w:r>
          <w:rPr>
            <w:rStyle w:val="Hyperlink"/>
          </w:rPr>
          <w:t xml:space="preserve">[23]</w:t>
        </w:r>
      </w:hyperlink>
      <w:r>
        <w:t xml:space="preserve">, but the dissertation’s evidence is that the human-embodied component remains large. JPL’s governance of its instrument heritage, the documentation of build procedures, the retention of calibration datasets, and the deliberate sequencing of builds to maintain continuity, is therefore a direct determinant of whether the modest within-line learning rate is realized or forfeited.</w:t>
      </w:r>
    </w:p>
    <w:bookmarkEnd w:id="133"/>
    <w:bookmarkStart w:id="134" w:name="Xfcc5ed0a5bcbd2ab36fcd063cff7f19ec79c76b"/>
    <w:p>
      <w:pPr>
        <w:pStyle w:val="Heading2"/>
        <w:spacing w:line="480" w:lineRule="auto"/>
      </w:pPr>
      <w:r>
        <w:t xml:space="preserve">7.4 Reconciliation with the Broader Cost Literature</w:t>
      </w:r>
    </w:p>
    <w:p>
      <w:pPr>
        <w:pStyle w:val="FirstParagraph"/>
        <w:spacing w:line="480" w:lineRule="auto"/>
      </w:pPr>
      <w:r>
        <w:t xml:space="preserve">The dissertation’s findings sit comfortably within the broader space-system cost literature once the regime boundary is respected. The parametric tradition, which prices articles by mass and treats each as substantially unique</w:t>
      </w:r>
      <w:r>
        <w:t xml:space="preserve"> </w:t>
      </w:r>
      <w:hyperlink w:anchor="ref-1">
        <w:r>
          <w:rPr>
            <w:rStyle w:val="Hyperlink"/>
          </w:rPr>
          <w:t xml:space="preserve">[1]</w:t>
        </w:r>
      </w:hyperlink>
      <w:r>
        <w:t xml:space="preserve">,</w:t>
      </w:r>
      <w:r>
        <w:t xml:space="preserve"> </w:t>
      </w:r>
      <w:hyperlink w:anchor="ref-9">
        <w:r>
          <w:rPr>
            <w:rStyle w:val="Hyperlink"/>
          </w:rPr>
          <w:t xml:space="preserve">[9]</w:t>
        </w:r>
      </w:hyperlink>
      <w:r>
        <w:t xml:space="preserve">,</w:t>
      </w:r>
      <w:r>
        <w:t xml:space="preserve"> </w:t>
      </w:r>
      <w:hyperlink w:anchor="ref-11">
        <w:r>
          <w:rPr>
            <w:rStyle w:val="Hyperlink"/>
          </w:rPr>
          <w:t xml:space="preserve">[11]</w:t>
        </w:r>
      </w:hyperlink>
      <w:r>
        <w:t xml:space="preserve">, is vindicated for the whole-system population: the cross-family study’s mass elasticity of 0.812 is squarely consistent with that tradition, and the inert experience term confirms that, at that altitude, mass is the binding gradient. The learning tradition, which imports a satellite slope to optimize proliferated architectures</w:t>
      </w:r>
      <w:r>
        <w:t xml:space="preserve"> </w:t>
      </w:r>
      <w:hyperlink w:anchor="ref-2">
        <w:r>
          <w:rPr>
            <w:rStyle w:val="Hyperlink"/>
          </w:rPr>
          <w:t xml:space="preserve">[2]</w:t>
        </w:r>
      </w:hyperlink>
      <w:r>
        <w:t xml:space="preserve">,</w:t>
      </w:r>
      <w:r>
        <w:t xml:space="preserve"> </w:t>
      </w:r>
      <w:hyperlink w:anchor="ref-12">
        <w:r>
          <w:rPr>
            <w:rStyle w:val="Hyperlink"/>
          </w:rPr>
          <w:t xml:space="preserve">[12]</w:t>
        </w:r>
      </w:hyperlink>
      <w:r>
        <w:t xml:space="preserve">, is not refuted but bounded: its slopes are real in the long-run, near-identical regime from which they are drawn, and the present work simply shows that planetary whole-system builds lie outside that regime. The sector-level forecasts that attribute cost decline to manufacturing maturity</w:t>
      </w:r>
      <w:r>
        <w:t xml:space="preserve"> </w:t>
      </w:r>
      <w:hyperlink w:anchor="ref-3">
        <w:r>
          <w:rPr>
            <w:rStyle w:val="Hyperlink"/>
          </w:rPr>
          <w:t xml:space="preserve">[3]</w:t>
        </w:r>
      </w:hyperlink>
      <w:r>
        <w:t xml:space="preserve">,</w:t>
      </w:r>
      <w:r>
        <w:t xml:space="preserve"> </w:t>
      </w:r>
      <w:hyperlink w:anchor="ref-4">
        <w:r>
          <w:rPr>
            <w:rStyle w:val="Hyperlink"/>
          </w:rPr>
          <w:t xml:space="preserve">[4]</w:t>
        </w:r>
      </w:hyperlink>
      <w:r>
        <w:t xml:space="preserve">,</w:t>
      </w:r>
      <w:r>
        <w:t xml:space="preserve"> </w:t>
      </w:r>
      <w:hyperlink w:anchor="ref-10">
        <w:r>
          <w:rPr>
            <w:rStyle w:val="Hyperlink"/>
          </w:rPr>
          <w:t xml:space="preserve">[10]</w:t>
        </w:r>
      </w:hyperlink>
      <w:r>
        <w:t xml:space="preserve"> </w:t>
      </w:r>
      <w:r>
        <w:t xml:space="preserve">describe aggregates dominated by high-volume product lines, and the moderate, noisy within-line elasticity recovered here is precisely what one would expect to find when the same mechanism is sought in the short-run, heritage-driven planetary case rather than the high-volume one.</w:t>
      </w:r>
    </w:p>
    <w:p>
      <w:pPr>
        <w:pStyle w:val="BodyText"/>
        <w:spacing w:line="480" w:lineRule="auto"/>
        <w:ind w:firstLine="720"/>
      </w:pPr>
      <w:r>
        <w:t xml:space="preserve">The technical-floor caveat that recurs in the literature is also borne out. The Earth-observation disruption analysis warns that some cost drivers, such as mirror mass, resist learning entirely</w:t>
      </w:r>
      <w:r>
        <w:t xml:space="preserve"> </w:t>
      </w:r>
      <w:hyperlink w:anchor="ref-5">
        <w:r>
          <w:rPr>
            <w:rStyle w:val="Hyperlink"/>
          </w:rPr>
          <w:t xml:space="preserve">[5]</w:t>
        </w:r>
      </w:hyperlink>
      <w:r>
        <w:t xml:space="preserve">, and the asteroid-mining and parametric modeling literature similarly identifies technical drivers that bound cost reduction</w:t>
      </w:r>
      <w:r>
        <w:t xml:space="preserve"> </w:t>
      </w:r>
      <w:hyperlink w:anchor="ref-11">
        <w:r>
          <w:rPr>
            <w:rStyle w:val="Hyperlink"/>
          </w:rPr>
          <w:t xml:space="preserve">[11]</w:t>
        </w:r>
      </w:hyperlink>
      <w:r>
        <w:t xml:space="preserve">,</w:t>
      </w:r>
      <w:r>
        <w:t xml:space="preserve"> </w:t>
      </w:r>
      <w:hyperlink w:anchor="ref-20">
        <w:r>
          <w:rPr>
            <w:rStyle w:val="Hyperlink"/>
          </w:rPr>
          <w:t xml:space="preserve">[20]</w:t>
        </w:r>
      </w:hyperlink>
      <w:r>
        <w:t xml:space="preserve">. The thermo-elastic and structural constraints on space telescopes</w:t>
      </w:r>
      <w:r>
        <w:t xml:space="preserve"> </w:t>
      </w:r>
      <w:hyperlink w:anchor="ref-26">
        <w:r>
          <w:rPr>
            <w:rStyle w:val="Hyperlink"/>
          </w:rPr>
          <w:t xml:space="preserve">[26]</w:t>
        </w:r>
      </w:hyperlink>
      <w:r>
        <w:t xml:space="preserve">, the bioburden and planetary-protection requirements on landed instruments</w:t>
      </w:r>
      <w:r>
        <w:t xml:space="preserve"> </w:t>
      </w:r>
      <w:hyperlink w:anchor="ref-21">
        <w:r>
          <w:rPr>
            <w:rStyle w:val="Hyperlink"/>
          </w:rPr>
          <w:t xml:space="preserve">[21]</w:t>
        </w:r>
      </w:hyperlink>
      <w:r>
        <w:t xml:space="preserve">, and the irreducible mass of optical apertures</w:t>
      </w:r>
      <w:r>
        <w:t xml:space="preserve"> </w:t>
      </w:r>
      <w:hyperlink w:anchor="ref-19">
        <w:r>
          <w:rPr>
            <w:rStyle w:val="Hyperlink"/>
          </w:rPr>
          <w:t xml:space="preserve">[19]</w:t>
        </w:r>
      </w:hyperlink>
      <w:r>
        <w:t xml:space="preserve"> </w:t>
      </w:r>
      <w:r>
        <w:t xml:space="preserve">are all cost components that production experience cannot relax. In a whole-system sample dominated by mass, these floors leave no detectable experience signal once mass is partialled out, which is exactly the cross-family result. The within-line study, by holding the design fixed, comes closer to isolating the experience channel from these floors, which is why it recovers a negative slope where the cross-family study does not. The convergence of the two studies on a regime boundary, rather than a flat denial or a confident affirmation of learning, is the reading most consistent with the full body of evidence.</w:t>
      </w:r>
    </w:p>
    <w:p>
      <w:pPr>
        <w:pStyle w:val="BodyText"/>
        <w:spacing w:line="480" w:lineRule="auto"/>
        <w:ind w:firstLine="720"/>
      </w:pPr>
      <w:r>
        <w:t xml:space="preserve">A further point of reconciliation concerns the emerging manufacturing technologies that the sector literature increasingly emphasizes. Additive manufacturing of spacecraft components is presented as a lever that could shift the cost structure of space builds</w:t>
      </w:r>
      <w:r>
        <w:t xml:space="preserve"> </w:t>
      </w:r>
      <w:hyperlink w:anchor="ref-25">
        <w:r>
          <w:rPr>
            <w:rStyle w:val="Hyperlink"/>
          </w:rPr>
          <w:t xml:space="preserve">[25]</w:t>
        </w:r>
      </w:hyperlink>
      <w:r>
        <w:t xml:space="preserve">, and the cost-prediction literature for advanced aerospace systems treats research, development, and production cost as parametrically tractable</w:t>
      </w:r>
      <w:r>
        <w:t xml:space="preserve"> </w:t>
      </w:r>
      <w:hyperlink w:anchor="ref-24">
        <w:r>
          <w:rPr>
            <w:rStyle w:val="Hyperlink"/>
          </w:rPr>
          <w:t xml:space="preserve">[24]</w:t>
        </w:r>
      </w:hyperlink>
      <w:r>
        <w:t xml:space="preserve">. These developments do not overturn the dissertation’s conclusion; they suggest that the regime boundary it identifies is not fixed. If planetary instrument production were to move toward longer runs of more standardized, additively manufactured articles, the conditions that generate learning would strengthen, and the within-line elasticity might both grow in magnitude and become detectable at conventional significance. The present finding is a measurement of the current regime, not a law of nature, and the governance implication is that NASA and JPL should revisit it as manufacturing practice evolves.</w:t>
      </w:r>
    </w:p>
    <w:bookmarkEnd w:id="134"/>
    <w:bookmarkStart w:id="135" w:name="limitations"/>
    <w:p>
      <w:pPr>
        <w:pStyle w:val="Heading2"/>
        <w:spacing w:line="480" w:lineRule="auto"/>
      </w:pPr>
      <w:r>
        <w:t xml:space="preserve">7.5 Limitations</w:t>
      </w:r>
    </w:p>
    <w:p>
      <w:pPr>
        <w:pStyle w:val="FirstParagraph"/>
        <w:spacing w:line="480" w:lineRule="auto"/>
      </w:pPr>
      <w:r>
        <w:t xml:space="preserve">The limitations of this work are inherent to the available record and are stated plainly, because their honest acknowledgment is part of what distinguishes an estimated elasticity from an assumed one. The first and most consequential limitation is the cost variable itself. In the within-line study, recurring cost is not drawn from itemized per-unit contractor cost, which is not public, but reconstructed transparently from the NASA Instrument Cost Model estimating relationships</w:t>
      </w:r>
      <w:r>
        <w:t xml:space="preserve"> </w:t>
      </w:r>
      <w:hyperlink w:anchor="ref-6">
        <w:r>
          <w:rPr>
            <w:rStyle w:val="Hyperlink"/>
          </w:rPr>
          <w:t xml:space="preserve">[6]</w:t>
        </w:r>
      </w:hyperlink>
      <w:r>
        <w:t xml:space="preserve"> </w:t>
      </w:r>
      <w:r>
        <w:t xml:space="preserve">along the documented dollar-per-kg trend reported for instrument classes</w:t>
      </w:r>
      <w:r>
        <w:t xml:space="preserve"> </w:t>
      </w:r>
      <w:hyperlink w:anchor="ref-7">
        <w:r>
          <w:rPr>
            <w:rStyle w:val="Hyperlink"/>
          </w:rPr>
          <w:t xml:space="preserve">[7]</w:t>
        </w:r>
      </w:hyperlink>
      <w:r>
        <w:t xml:space="preserve">,</w:t>
      </w:r>
      <w:r>
        <w:t xml:space="preserve"> </w:t>
      </w:r>
      <w:hyperlink w:anchor="ref-8">
        <w:r>
          <w:rPr>
            <w:rStyle w:val="Hyperlink"/>
          </w:rPr>
          <w:t xml:space="preserve">[8]</w:t>
        </w:r>
      </w:hyperlink>
      <w:r>
        <w:t xml:space="preserve">, with family anchors taken from public mission and contract records. The reconstruction deliberately embeds no learning slope, so any experience effect that emerges is identified from documented build order and real anchors rather than imposed; but it remains a reconstruction, and a panel built from itemized contractor cost would be more authoritative. In the cross-family study, per-unit cost is either a directly reported figure or a transparent division of a documented program envelope by its delivered unit count, which is auditable but coarse for families delivered as identical twins.</w:t>
      </w:r>
    </w:p>
    <w:p>
      <w:pPr>
        <w:pStyle w:val="BodyText"/>
        <w:spacing w:line="480" w:lineRule="auto"/>
        <w:ind w:firstLine="720"/>
      </w:pPr>
      <w:r>
        <w:t xml:space="preserve">A second limitation is statistical power. The within-line panel comprises twenty-six flight units and the cross-family panel twenty-four articles, samples that are small by the standards of regression inference. The within-line slope, though directionally negative, clears only the ten percent significance level, and its confidence interval includes zero. The cross-family experience term has a confidence interval wide enough to admit a modest learning effect of either sign even as it rules out the strong negative slope the architecture literature imports. Neither study can pin the elasticity down to the precision a planner would ideally want, and the honest statement is that more units are required before the within-line slope can be distinguished from zero with confidence. This is a limitation of the historical record, not of the method: the population of documented planetary instrument families with multiple flight units and traceable cost is genuinely small.</w:t>
      </w:r>
    </w:p>
    <w:p>
      <w:pPr>
        <w:pStyle w:val="BodyText"/>
        <w:spacing w:line="480" w:lineRule="auto"/>
        <w:ind w:firstLine="720"/>
      </w:pPr>
      <w:r>
        <w:t xml:space="preserve">The third limitation is the confounding of experience with capability change. Later units in several families add capability, so part of the residual variation reflects specification change rather than pure experience. The within-line study controls for mass and heritage to isolate the experience channel, and the cross-family study’s treatment of the GRACE to GRACE Follow-On case documents the confound directly, but neither fully separates family-specific learning from cross-family heterogeneity and scope drift. A capability-held-fixed subsample, restricted to builds that re-fly an identical design, would isolate the experience channel more cleanly, but the historical record yields too few such cases to support a separate regression.</w:t>
      </w:r>
    </w:p>
    <w:p>
      <w:pPr>
        <w:pStyle w:val="BodyText"/>
        <w:spacing w:line="480" w:lineRule="auto"/>
        <w:ind w:firstLine="720"/>
      </w:pPr>
      <w:r>
        <w:t xml:space="preserve">The fourth limitation is normalization and deflation. The within-line study normalizes cost to FY2016 dollars, but the cross-family study uses then-year costs that are not deflated to a common base, relying on family-level scope and epoch differences to absorb much of the temporal variation. A deflated replication of the cross-family panel, and a within-line replication under at least two deflators, would sharpen both experience terms. The fifth limitation is the use of within-family interpolation for several per-unit masses where the archive does not itemize them; these are tagged explicitly, but they introduce measurement error into a regressor that the cross-family study shows to be the dominant cost gradient, so any error in mass propagates directly into the estimates. Finally, external validity to future proliferated planetary architectures is bounded: a slope estimated on historical, short-run builds may not transfer to the longer, more standardized runs that emerging manufacturing practice may produce, which is why the elasticity is reported with its interval rather than as a single transferable figure.</w:t>
      </w:r>
    </w:p>
    <w:bookmarkEnd w:id="135"/>
    <w:bookmarkStart w:id="136" w:name="future-research"/>
    <w:p>
      <w:pPr>
        <w:pStyle w:val="Heading2"/>
        <w:spacing w:line="480" w:lineRule="auto"/>
      </w:pPr>
      <w:r>
        <w:t xml:space="preserve">7.6 Future Research</w:t>
      </w:r>
    </w:p>
    <w:p>
      <w:pPr>
        <w:pStyle w:val="FirstParagraph"/>
        <w:spacing w:line="480" w:lineRule="auto"/>
      </w:pPr>
      <w:r>
        <w:t xml:space="preserve">The limitations map directly onto a future research agenda. The most valuable single advance would be access to itemized per-unit contractor cost for a set of instrument families, which would replace the reconstructed cost variable with a measured one and allow the within-line elasticity to be re-estimated without the reconstruction caveat. Such a panel exists in principle within the NASA Cost Analysis Data Requirement and ONCE repositories, and a study conducted with full access to the normalized layer, rather than the publicly reconstructable subset, could both tighten the slope and test whether the reconstruction introduced any systematic bias. A blind validation of the reconstructed estimates against itemized cost, in the spirit of the parametric tool validation literature</w:t>
      </w:r>
      <w:r>
        <w:t xml:space="preserve"> </w:t>
      </w:r>
      <w:hyperlink w:anchor="ref-9">
        <w:r>
          <w:rPr>
            <w:rStyle w:val="Hyperlink"/>
          </w:rPr>
          <w:t xml:space="preserve">[9]</w:t>
        </w:r>
      </w:hyperlink>
      <w:r>
        <w:t xml:space="preserve">, would establish how far the public reconstruction can be trusted.</w:t>
      </w:r>
    </w:p>
    <w:p>
      <w:pPr>
        <w:pStyle w:val="BodyText"/>
        <w:spacing w:line="480" w:lineRule="auto"/>
        <w:ind w:firstLine="720"/>
      </w:pPr>
      <w:r>
        <w:t xml:space="preserve">The second priority is to enlarge the panel. The power limitation is binding, and the natural remedy is more units. Two routes are available. The first is to extend the existing families forward as new flight units are built and their cost becomes documentable, turning the present cross-section into a genuine longitudinal accumulation. The second is to add families that meet the lineage and traceability criteria but were excluded for want of public cost data, which may become available as mission cost reports are released. A panel of fifty or more flight units across a dozen families would likely be sufficient to distinguish a fourteen percent learning rate from zero at conventional significance, if the effect is genuine.</w:t>
      </w:r>
    </w:p>
    <w:p>
      <w:pPr>
        <w:pStyle w:val="BodyText"/>
        <w:spacing w:line="480" w:lineRule="auto"/>
        <w:ind w:firstLine="720"/>
      </w:pPr>
      <w:r>
        <w:t xml:space="preserve">The third priority is to build the capability-held-fixed subsample that both studies identify as the cleanest test of the experience channel. This requires cataloguing planetary instrument builds that re-fly an identical design without scope change, separating them from successor builds that add capability, and estimating the within-line slope on the held-fixed subsample alone. Where capability change is unavoidable, a structured decomposition that prices the scope premium separately from the experience saving, drawing on the parametric capability-cost relationships</w:t>
      </w:r>
      <w:r>
        <w:t xml:space="preserve"> </w:t>
      </w:r>
      <w:hyperlink w:anchor="ref-1">
        <w:r>
          <w:rPr>
            <w:rStyle w:val="Hyperlink"/>
          </w:rPr>
          <w:t xml:space="preserve">[1]</w:t>
        </w:r>
      </w:hyperlink>
      <w:r>
        <w:t xml:space="preserve">,</w:t>
      </w:r>
      <w:r>
        <w:t xml:space="preserve"> </w:t>
      </w:r>
      <w:hyperlink w:anchor="ref-9">
        <w:r>
          <w:rPr>
            <w:rStyle w:val="Hyperlink"/>
          </w:rPr>
          <w:t xml:space="preserve">[9]</w:t>
        </w:r>
      </w:hyperlink>
      <w:r>
        <w:t xml:space="preserve">,</w:t>
      </w:r>
      <w:r>
        <w:t xml:space="preserve"> </w:t>
      </w:r>
      <w:hyperlink w:anchor="ref-11">
        <w:r>
          <w:rPr>
            <w:rStyle w:val="Hyperlink"/>
          </w:rPr>
          <w:t xml:space="preserve">[11]</w:t>
        </w:r>
      </w:hyperlink>
      <w:r>
        <w:t xml:space="preserve">, would allow the two to be disentangled rather than confounded. The GRACE to GRACE Follow-On case is the template for what such a decomposition must accomplish.</w:t>
      </w:r>
    </w:p>
    <w:p>
      <w:pPr>
        <w:pStyle w:val="BodyText"/>
        <w:spacing w:line="480" w:lineRule="auto"/>
        <w:ind w:firstLine="720"/>
      </w:pPr>
      <w:r>
        <w:t xml:space="preserve">The fourth priority is to track the evolving manufacturing regime. As additive manufacturing and more standardized production enter planetary instrument builds</w:t>
      </w:r>
      <w:r>
        <w:t xml:space="preserve"> </w:t>
      </w:r>
      <w:hyperlink w:anchor="ref-25">
        <w:r>
          <w:rPr>
            <w:rStyle w:val="Hyperlink"/>
          </w:rPr>
          <w:t xml:space="preserve">[25]</w:t>
        </w:r>
      </w:hyperlink>
      <w:r>
        <w:t xml:space="preserve">, and as cost-prediction methods for advanced systems mature</w:t>
      </w:r>
      <w:r>
        <w:t xml:space="preserve"> </w:t>
      </w:r>
      <w:hyperlink w:anchor="ref-24">
        <w:r>
          <w:rPr>
            <w:rStyle w:val="Hyperlink"/>
          </w:rPr>
          <w:t xml:space="preserve">[24]</w:t>
        </w:r>
      </w:hyperlink>
      <w:r>
        <w:t xml:space="preserve">, the regime boundary this dissertation identifies may shift. A periodic re-estimation of the within-line elasticity, conducted as production practice changes, would detect whether planetary instrument production is migrating toward the longer-run regime where learning dominates. This matters directly for NASA and JPL planning, because a strengthening learning effect would change the economics of heritage reuse and build sequencing. The fifth and final priority is to extend the analysis to adjacent domains where planetary instrument heritage is being repurposed, including the adaptation of planetary-science facilities for space situational awareness</w:t>
      </w:r>
      <w:r>
        <w:t xml:space="preserve"> </w:t>
      </w:r>
      <w:hyperlink w:anchor="ref-13">
        <w:r>
          <w:rPr>
            <w:rStyle w:val="Hyperlink"/>
          </w:rPr>
          <w:t xml:space="preserve">[13]</w:t>
        </w:r>
      </w:hyperlink>
      <w:r>
        <w:t xml:space="preserve">,</w:t>
      </w:r>
      <w:r>
        <w:t xml:space="preserve"> </w:t>
      </w:r>
      <w:hyperlink w:anchor="ref-15">
        <w:r>
          <w:rPr>
            <w:rStyle w:val="Hyperlink"/>
          </w:rPr>
          <w:t xml:space="preserve">[15]</w:t>
        </w:r>
      </w:hyperlink>
      <w:r>
        <w:t xml:space="preserve"> </w:t>
      </w:r>
      <w:r>
        <w:t xml:space="preserve">and the transfer of imaging and sensing designs across mission classes</w:t>
      </w:r>
      <w:r>
        <w:t xml:space="preserve"> </w:t>
      </w:r>
      <w:hyperlink w:anchor="ref-14">
        <w:r>
          <w:rPr>
            <w:rStyle w:val="Hyperlink"/>
          </w:rPr>
          <w:t xml:space="preserve">[14]</w:t>
        </w:r>
      </w:hyperlink>
      <w:r>
        <w:t xml:space="preserve">,</w:t>
      </w:r>
      <w:r>
        <w:t xml:space="preserve"> </w:t>
      </w:r>
      <w:hyperlink w:anchor="ref-17">
        <w:r>
          <w:rPr>
            <w:rStyle w:val="Hyperlink"/>
          </w:rPr>
          <w:t xml:space="preserve">[17]</w:t>
        </w:r>
      </w:hyperlink>
      <w:r>
        <w:t xml:space="preserve">, so that the cost economics of heritage transfer, as distinct from within-line repetition, can be characterized in its own right.</w:t>
      </w:r>
    </w:p>
    <w:bookmarkEnd w:id="136"/>
    <w:bookmarkStart w:id="137" w:name="conclusion-of-the-discussion"/>
    <w:p>
      <w:pPr>
        <w:pStyle w:val="Heading2"/>
        <w:spacing w:line="480" w:lineRule="auto"/>
      </w:pPr>
      <w:r>
        <w:t xml:space="preserve">7.7 Conclusion of the Discussion</w:t>
      </w:r>
    </w:p>
    <w:p>
      <w:pPr>
        <w:pStyle w:val="FirstParagraph"/>
        <w:spacing w:line="480" w:lineRule="auto"/>
      </w:pPr>
      <w:r>
        <w:t xml:space="preserve">The dissertation’s answer to its motivating question is therefore neither the bespoke-article default nor the imported satellite slope, but a regime-conditioned synthesis of the two. At the whole-system altitude, planetary articles are priced by mass, and cumulative experience carries no independent cost information once mass is held fixed</w:t>
      </w:r>
      <w:r>
        <w:t xml:space="preserve"> </w:t>
      </w:r>
      <w:hyperlink w:anchor="ref-1">
        <w:r>
          <w:rPr>
            <w:rStyle w:val="Hyperlink"/>
          </w:rPr>
          <w:t xml:space="preserve">[1]</w:t>
        </w:r>
      </w:hyperlink>
      <w:r>
        <w:t xml:space="preserve">. Within a single instrument lineage that holds its design and heritage stable, recurring cost leans downward with cumulative units at a moderate rate near fourteen percent per doubling, a slope that is directionally consistent with the learning hypothesis and the sector evidence</w:t>
      </w:r>
      <w:r>
        <w:t xml:space="preserve"> </w:t>
      </w:r>
      <w:hyperlink w:anchor="ref-4">
        <w:r>
          <w:rPr>
            <w:rStyle w:val="Hyperlink"/>
          </w:rPr>
          <w:t xml:space="preserve">[4]</w:t>
        </w:r>
      </w:hyperlink>
      <w:r>
        <w:t xml:space="preserve">,</w:t>
      </w:r>
      <w:r>
        <w:t xml:space="preserve"> </w:t>
      </w:r>
      <w:hyperlink w:anchor="ref-7">
        <w:r>
          <w:rPr>
            <w:rStyle w:val="Hyperlink"/>
          </w:rPr>
          <w:t xml:space="preserve">[7]</w:t>
        </w:r>
      </w:hyperlink>
      <w:r>
        <w:t xml:space="preserve"> </w:t>
      </w:r>
      <w:r>
        <w:t xml:space="preserve">but not yet statistically distinguishable from zero on the available record. For NASA program management, the actionable message is to resist importing high-volume learning rates into planetary estimates by default, to treat within-line learning as a real but fragile saving contingent on design stability and workforce continuity, and to carry the elasticity as an interval rather than a point. For JPL decision-making, the message is sharper still: the laboratory’s instrument heritage is the locus of whatever learning planetary production affords, and its governance of that heritage, through design stability, workforce continuity, and the deliberate sequencing of builds, determines whether the modest learning the data hint at is captured or forfeited. The single estimated parameter this dissertation contributes is small and imprecise, but it is honest, it is auditable, and it replaces an assumption that the planetary community has carried in both directions with a measurement that program offices and acquisition planners can propagate with their eyes open.</w:t>
      </w:r>
    </w:p>
    <w:bookmarkEnd w:id="137"/>
    <w:bookmarkEnd w:id="138"/>
    <w:bookmarkStart w:id="184" w:name="chapter-8.-conclusion"/>
    <w:p>
      <w:pPr>
        <w:pStyle w:val="Heading1"/>
        <w:spacing w:line="480" w:lineRule="auto"/>
      </w:pPr>
      <w:r>
        <w:t xml:space="preserve">Chapter 8. Conclusion</w:t>
      </w:r>
    </w:p>
    <w:bookmarkStart w:id="139" w:name="the-argument-restated"/>
    <w:p>
      <w:pPr>
        <w:pStyle w:val="Heading2"/>
        <w:spacing w:line="480" w:lineRule="auto"/>
      </w:pPr>
      <w:r>
        <w:t xml:space="preserve">8.1 The Argument Restated</w:t>
      </w:r>
    </w:p>
    <w:p>
      <w:pPr>
        <w:pStyle w:val="FirstParagraph"/>
        <w:spacing w:line="480" w:lineRule="auto"/>
      </w:pPr>
      <w:r>
        <w:t xml:space="preserve">This dissertation began with a disjuncture rather than a discovery. The planetary instrument community estimates recurring cost as though production experience does not exist, treating each article as a bespoke, first-of-a-kind object whose price is set by mass, technology readiness, and design heritage</w:t>
      </w:r>
      <w:r>
        <w:t xml:space="preserve"> </w:t>
      </w:r>
      <w:hyperlink w:anchor="ref-1">
        <w:r>
          <w:rPr>
            <w:rStyle w:val="Hyperlink"/>
          </w:rPr>
          <w:t xml:space="preserve">[1]</w:t>
        </w:r>
      </w:hyperlink>
      <w:r>
        <w:t xml:space="preserve">. Adjacent space sectors do the opposite. Architecture optimizations for proliferated sensor constellations import an explicit satellite learning curve to drive per-unit cost downward as cumulative fielded units grow</w:t>
      </w:r>
      <w:r>
        <w:t xml:space="preserve"> </w:t>
      </w:r>
      <w:hyperlink w:anchor="ref-2">
        <w:r>
          <w:rPr>
            <w:rStyle w:val="Hyperlink"/>
          </w:rPr>
          <w:t xml:space="preserve">[2]</w:t>
        </w:r>
      </w:hyperlink>
      <w:r>
        <w:t xml:space="preserve">, and sector forecasts treat manufacturing-driven cost decline as a stylized fact underwriting demand growth [3, 4]. One literature disclaims learning; the next assumes it; and no study reconciled the two on a common empirical footing for the specific, low-volume case of planetary instruments. The task of this work was to convert that disjuncture into an estimable parameter and to test it against a null of zero, so that the question of whether planetary instruments learn could be settled by measurement rather than by disciplinary convention.</w:t>
      </w:r>
    </w:p>
    <w:p>
      <w:pPr>
        <w:pStyle w:val="BodyText"/>
        <w:spacing w:line="480" w:lineRule="auto"/>
        <w:ind w:firstLine="720"/>
      </w:pPr>
      <w:r>
        <w:t xml:space="preserve">The estimand chosen for that purpose was a cost-reduction elasticity, the slope of log recurring cost on log cumulative units in a Wright specification, mapped to an interpretable learning rate through L = 2^b. The null hypothesis was b = 0, the bespoke-article view; the alternative was b &lt; 0, a measurable decline in cost with accumulated production experience. The contribution was deliberately singular and falsifiable in both directions. A precisely estimated slope indistinguishable from zero would vindicate the parametric default and deny that the imported satellite slope transfers to planetary instruments; a reliably negative slope would supply the missing quantity that the architecture literature currently borrows by assumption</w:t>
      </w:r>
      <w:r>
        <w:t xml:space="preserve"> </w:t>
      </w:r>
      <w:hyperlink w:anchor="ref-2">
        <w:r>
          <w:rPr>
            <w:rStyle w:val="Hyperlink"/>
          </w:rPr>
          <w:t xml:space="preserve">[2]</w:t>
        </w:r>
      </w:hyperlink>
      <w:r>
        <w:t xml:space="preserve">. The dissertation pursued that single parameter through two complementary empirical designs, holding throughout to publicly reconstructable data, fully traceable provenance, and no proprietary contractor cost.</w:t>
      </w:r>
    </w:p>
    <w:bookmarkEnd w:id="139"/>
    <w:bookmarkStart w:id="140" w:name="synthesis-of-the-two-empirical-studies"/>
    <w:p>
      <w:pPr>
        <w:pStyle w:val="Heading2"/>
        <w:spacing w:line="480" w:lineRule="auto"/>
      </w:pPr>
      <w:r>
        <w:t xml:space="preserve">8.2 Synthesis of the Two Empirical Studies</w:t>
      </w:r>
    </w:p>
    <w:p>
      <w:pPr>
        <w:pStyle w:val="FirstParagraph"/>
        <w:spacing w:line="480" w:lineRule="auto"/>
      </w:pPr>
      <w:r>
        <w:t xml:space="preserve">The two empirical chapters of this dissertation are not redundant tests of one claim. They are two altitudes of observation, and their joint reading is the central result of the work. The first study held design lineage fixed and looked within instrument families. The second relaxed that constraint, widened the lens to a cross-family panel of planetary and space-system articles, and asked whether cumulative experience carries any cost information at all once article mass is controlled. The two studies disagree, and that disagreement is itself the finding; the reconciliation of it is the argument the dissertation closes on.</w:t>
      </w:r>
    </w:p>
    <w:p>
      <w:pPr>
        <w:pStyle w:val="BodyText"/>
        <w:spacing w:line="480" w:lineRule="auto"/>
        <w:ind w:firstLine="720"/>
      </w:pPr>
      <w:r>
        <w:t xml:space="preserve">The within-line study estimated the Wright elasticity along single instrument lineages, pooling twenty-six flight units across five documented families that share design heritage: a particle spectrometer line, two shared-electronics camera families, a fluxgate magnetometer lineage spanning decades of flight history, and a thermal imaging and emission-spectrometer line. The fitted elasticity was b = -0.218, with a robust standard error of 0.127 and a p-value of 0.087, implying a learning rate of L = 0.860, or roughly a fourteen percent reduction in recurring unit cost per doubling of cumulative units. The sign was the one the learning hypothesis predicts and the magnitude was moderate, consistent with the sector-level evidence that dollar-per-kg has fallen for some instrument classes without collapsing as it does in high-volume manufacturing</w:t>
      </w:r>
      <w:r>
        <w:t xml:space="preserve"> </w:t>
      </w:r>
      <w:hyperlink w:anchor="ref-4">
        <w:r>
          <w:rPr>
            <w:rStyle w:val="Hyperlink"/>
          </w:rPr>
          <w:t xml:space="preserve">[4]</w:t>
        </w:r>
      </w:hyperlink>
      <w:r>
        <w:t xml:space="preserve">. But the statistical verdict was cautious by design. The confidence interval ran from -0.468 to 0.032 and therefore included zero, and the slope cleared only the ten percent threshold. On the strict test, the within-line study did not reject the null. What it produced was a directional finding, an estimated rather than assumed slope, carried with an honest interval that a planner can propagate rather than a point figure presented with false precision.</w:t>
      </w:r>
    </w:p>
    <w:p>
      <w:pPr>
        <w:pStyle w:val="BodyText"/>
        <w:spacing w:line="480" w:lineRule="auto"/>
        <w:ind w:firstLine="720"/>
      </w:pPr>
      <w:r>
        <w:t xml:space="preserve">The cross-family study reached a sharper and, on its own terms, cleaner verdict. On a panel of twenty-four flight-system articles drawn from nine NASA heritage families, spanning roughly two orders of magnitude in mass, a multivariate regression partialled cumulative-unit experience against article mass and a recurring-build indicator. Mass was the dominant and statistically overwhelming cost gradient, with an elasticity of 0.812 and a confidence interval comfortably excluding zero, squarely consistent with the mass-driven parametric tradition</w:t>
      </w:r>
      <w:r>
        <w:t xml:space="preserve"> </w:t>
      </w:r>
      <w:hyperlink w:anchor="ref-1">
        <w:r>
          <w:rPr>
            <w:rStyle w:val="Hyperlink"/>
          </w:rPr>
          <w:t xml:space="preserve">[1]</w:t>
        </w:r>
      </w:hyperlink>
      <w:r>
        <w:t xml:space="preserve">. The experience term, by contrast, was inert. Its partial elasticity was 0.031, slightly positive and therefore the wrong sign for learning, with a p-value of 0.941 and a confidence interval straddling zero almost symmetrically. The discrete recurring-build channel was equally silent. The cross-family study decisively failed to reject the null: once mass is held fixed, cumulative-unit position carries no detectable independent information about per-unit recurring cost. At the whole-system level, the planetary article is priced by its physical scale, not by its place in a production run.</w:t>
      </w:r>
    </w:p>
    <w:p>
      <w:pPr>
        <w:pStyle w:val="BodyText"/>
        <w:spacing w:line="480" w:lineRule="auto"/>
        <w:ind w:firstLine="720"/>
      </w:pPr>
      <w:r>
        <w:t xml:space="preserve">Reconciling the two results means not averaging them but reading them as a statement about regime and scope. The cross-family panel is dominated by mass variation and populated heavily by identical twins and singular flagships, articles for which per-unit cost is either constant by construction or set by mission scope, and within which the only family carrying genuine cumulative-cost movement embeds a capability upgrade that confounds experience with scope change. That confound is precisely the article-to-article specification drift that a technical-floor view of cost would predict</w:t>
      </w:r>
      <w:r>
        <w:t xml:space="preserve"> </w:t>
      </w:r>
      <w:hyperlink w:anchor="ref-5">
        <w:r>
          <w:rPr>
            <w:rStyle w:val="Hyperlink"/>
          </w:rPr>
          <w:t xml:space="preserve">[5]</w:t>
        </w:r>
      </w:hyperlink>
      <w:r>
        <w:t xml:space="preserve">, and it is why the whole-system altitude is the wrong instrument for detecting learning where learning operates. The within-line design, holding the instrument lineage fixed, is the better instrument, and it is the design that recovers a negative slope. The synthesis, then, is a bounded claim rather than a sweeping one. Across the heterogeneous population of planetary and deep-space builds, mass prices the article and experience does not register. Within a single design lineage, a moderate and directionally negative learning effect appears, best estimated near a fourteen percent learning rate, but with uncertainty wide enough that it cannot yet be distinguished from zero at conventional significance. Any learning that exists must be sought within the lineage, never across the population.</w:t>
      </w:r>
    </w:p>
    <w:bookmarkEnd w:id="140"/>
    <w:bookmarkStart w:id="141" w:name="contribution-to-knowledge"/>
    <w:p>
      <w:pPr>
        <w:pStyle w:val="Heading2"/>
        <w:spacing w:line="480" w:lineRule="auto"/>
      </w:pPr>
      <w:r>
        <w:t xml:space="preserve">8.3 Contribution to Knowledge</w:t>
      </w:r>
    </w:p>
    <w:p>
      <w:pPr>
        <w:pStyle w:val="FirstParagraph"/>
        <w:spacing w:line="480" w:lineRule="auto"/>
      </w:pPr>
      <w:r>
        <w:t xml:space="preserve">The contribution of this dissertation is best stated as the resolution of a measurement gap that two mature literatures had left open by talking past one another. The parametric tradition was rigorous on the cross-sectional determinants of cost but silent by construction on the longitudinal effect of cumulative units, because its canonical objects are singular</w:t>
      </w:r>
      <w:r>
        <w:t xml:space="preserve"> </w:t>
      </w:r>
      <w:hyperlink w:anchor="ref-1">
        <w:r>
          <w:rPr>
            <w:rStyle w:val="Hyperlink"/>
          </w:rPr>
          <w:t xml:space="preserve">[1]</w:t>
        </w:r>
      </w:hyperlink>
      <w:r>
        <w:t xml:space="preserve">. The architecture and operations tradition was specific about the cost-reducing power of cumulative experience but imported the slope as an assumption to drive an optimization rather than estimating it from planetary data and testing it against a null</w:t>
      </w:r>
      <w:r>
        <w:t xml:space="preserve"> </w:t>
      </w:r>
      <w:hyperlink w:anchor="ref-2">
        <w:r>
          <w:rPr>
            <w:rStyle w:val="Hyperlink"/>
          </w:rPr>
          <w:t xml:space="preserve">[2]</w:t>
        </w:r>
      </w:hyperlink>
      <w:r>
        <w:t xml:space="preserve">. The sector-forecasting tradition established that manufacturing-driven cost decline is salient in the aggregate but did not isolate an elasticity for the short-run, partial-heritage case of planetary instruments [3, 4]. This work occupies exactly the space those three traditions left vacant. It reports an estimated production-experience elasticity, with its standard error, its confidence interval, and its implied learning rate, for the planetary instrument case, and it does so at two altitudes that together draw a boundary none of the prior literatures had drawn.</w:t>
      </w:r>
    </w:p>
    <w:p>
      <w:pPr>
        <w:pStyle w:val="BodyText"/>
        <w:spacing w:line="480" w:lineRule="auto"/>
        <w:ind w:firstLine="720"/>
      </w:pPr>
      <w:r>
        <w:t xml:space="preserve">That boundary is the substantive knowledge the dissertation adds. Stated plainly, the contribution is the finding that the planetary case is regime-dependent: the bespoke-article view is correct at the whole-system altitude, where mass dominates and experience is inert, and it is incomplete at the within-lineage altitude, where a moderate learning effect emerges from holding the design fixed. This reconciles the disclaiming posture of the parametric literature with the assuming posture of the architecture literature without declaring either wrong. The parametric default is vindicated for the objects it was built to price, the singular flagship and the identical twin, and the imported satellite slope is shown to be inapplicable in its strong form to whole planetary systems while being directionally plausible, though weaker and noisier, along a single instrument line. The strong, reliably negative elasticity that the learning tradition treats as a design input is the one result the data most clearly exclude at the system level. The weaker, lineage-specific slope is the one result the data most plausibly support. Neither of those statements was available in the literature before this work, and the pairing of the two is the dissertation’s distinctive claim.</w:t>
      </w:r>
    </w:p>
    <w:p>
      <w:pPr>
        <w:pStyle w:val="BodyText"/>
        <w:spacing w:line="480" w:lineRule="auto"/>
        <w:ind w:firstLine="720"/>
      </w:pPr>
      <w:r>
        <w:t xml:space="preserve">A second contribution is methodological and evidentiary rather than substantive. The two studies demonstrate that a defensible cost-learning elasticity for planetary instruments can be reconstructed entirely from public records, with every panel row keyed to a named mission and instrument, every cost figure either directly reported or transparently derived from a documented program envelope and a published cost model, and every mass and build-sequence anchor traceable to archival sources. The within-line cost variable was reconstructed from documented mass and a published class-level dollar-per-kg trend without embedding any learning slope, so that whatever experience effect emerged was identified from real anchors and documented build order rather than imposed by the construction. This auditability matters because the proprietary, itemized per-unit contractor costs that would settle the question definitively are not public, and the dissertation shows that a community researcher can nonetheless build an independently checkable panel and recover an honest, uncertainty-bearing estimate. The demonstration that the question is tractable on public data, and the explicit cataloguing of the threats to validity that such a reconstruction must confront, are a usable inheritance for the next study.</w:t>
      </w:r>
    </w:p>
    <w:p>
      <w:pPr>
        <w:pStyle w:val="BodyText"/>
        <w:spacing w:line="480" w:lineRule="auto"/>
        <w:ind w:firstLine="720"/>
      </w:pPr>
      <w:r>
        <w:t xml:space="preserve">A third contribution is the form of the result rather than its content. The dissertation refuses to convert a wide interval into a false point. The policy-relevant output of the within-line study is not the fourteen percent figure in isolation but the interval around it, because the honest width of that interval is what a mission operations or acquisition planner must carry. Sequencing instrument builds to capture cost reductions is defensible in direction, but the expected saving per doubling should be propagated as a distribution, not booked as a certainty. Presenting the estimate this way, with its sign, its magnitude, and its imprecision held together, is a small contribution to how cost-learning evidence ought to be reported in a domain where the temptation to import a convenient slope and present it with unearned confidence is exactly the practice this dissertation set out to discipline.</w:t>
      </w:r>
    </w:p>
    <w:bookmarkEnd w:id="141"/>
    <w:bookmarkStart w:id="142" w:name="limitations-and-future-work"/>
    <w:p>
      <w:pPr>
        <w:pStyle w:val="Heading2"/>
        <w:spacing w:line="480" w:lineRule="auto"/>
      </w:pPr>
      <w:r>
        <w:t xml:space="preserve">8.4 Limitations and Future Work</w:t>
      </w:r>
    </w:p>
    <w:p>
      <w:pPr>
        <w:pStyle w:val="FirstParagraph"/>
        <w:spacing w:line="480" w:lineRule="auto"/>
      </w:pPr>
      <w:r>
        <w:t xml:space="preserve">The limitations of this work are inherent to the available record and were stated plainly throughout. The within-line cost variable is a transparent reconstruction from a published cost model and a documented class-level trend rather than a draw from itemized per-unit contractor cost, which is not public; several per-unit masses are within-family interpolations where the archive does not itemize them; and the pooled within-line specification does not fully separate family-specific learning from cross-family heterogeneity. In the cross-family panel, then-year costs are not deflated to a common base, families built as identical twins have per-unit cost constant by construction, and the single family with genuine cumulative-cost movement embeds a capability upgrade that confounds experience with scope. None of these limitations is fatal, and none was concealed, but each bounds the confidence the estimates can carry.</w:t>
      </w:r>
    </w:p>
    <w:p>
      <w:pPr>
        <w:pStyle w:val="BodyText"/>
        <w:spacing w:line="480" w:lineRule="auto"/>
        <w:ind w:firstLine="720"/>
      </w:pPr>
      <w:r>
        <w:t xml:space="preserve">The natural next step follows directly from the boundary the two studies drew. The within-lineage altitude is where the signal lives, so the decisive future study is a larger within-line panel with itemized per-unit cost, family fixed effects, a capability-held-fixed subsample that strips out specification drift, and consistent deflation to a common base. Such a design would let the lineage-specific slope be pinned down rather than merely signed, and would test directly whether the moderate effect recovered here survives the controls that the present data could only approximate. A complementary line of work would extend the panel toward the proliferated, near-identical planetary architectures that future programs may field, the regime in which the imported satellite slope was originally derived</w:t>
      </w:r>
      <w:r>
        <w:t xml:space="preserve"> </w:t>
      </w:r>
      <w:hyperlink w:anchor="ref-2">
        <w:r>
          <w:rPr>
            <w:rStyle w:val="Hyperlink"/>
          </w:rPr>
          <w:t xml:space="preserve">[2]</w:t>
        </w:r>
      </w:hyperlink>
      <w:r>
        <w:t xml:space="preserve">, to ask whether planetary builds migrate toward the high-volume learning regime as production runs lengthen. Until such evidence exists, the honest position is the one this dissertation reports.</w:t>
      </w:r>
    </w:p>
    <w:bookmarkEnd w:id="142"/>
    <w:bookmarkStart w:id="143" w:name="closing-statement"/>
    <w:p>
      <w:pPr>
        <w:pStyle w:val="Heading2"/>
        <w:spacing w:line="480" w:lineRule="auto"/>
      </w:pPr>
      <w:r>
        <w:t xml:space="preserve">8.5 Closing Statement</w:t>
      </w:r>
    </w:p>
    <w:p>
      <w:pPr>
        <w:pStyle w:val="FirstParagraph"/>
        <w:spacing w:line="480" w:lineRule="auto"/>
      </w:pPr>
      <w:r>
        <w:t xml:space="preserve">The question this dissertation posed was whether planetary instruments learn, and the answer it returns is conditional, bounded, and honest. They do not learn in any detectable way at the altitude of the whole system, where the bespoke-article view is right and mass alone prices the article</w:t>
      </w:r>
      <w:r>
        <w:t xml:space="preserve"> </w:t>
      </w:r>
      <w:hyperlink w:anchor="ref-1">
        <w:r>
          <w:rPr>
            <w:rStyle w:val="Hyperlink"/>
          </w:rPr>
          <w:t xml:space="preserve">[1]</w:t>
        </w:r>
      </w:hyperlink>
      <w:r>
        <w:t xml:space="preserve">. They appear to learn, moderately and noisily, along a single design lineage, where holding the instrument fixed recovers a fourteen percent learning rate that points in the direction the operational literature assumes but lands short of the strength that literature imports</w:t>
      </w:r>
      <w:r>
        <w:t xml:space="preserve"> </w:t>
      </w:r>
      <w:hyperlink w:anchor="ref-2">
        <w:r>
          <w:rPr>
            <w:rStyle w:val="Hyperlink"/>
          </w:rPr>
          <w:t xml:space="preserve">[2]</w:t>
        </w:r>
      </w:hyperlink>
      <w:r>
        <w:t xml:space="preserve">. The disjuncture that motivated the work, between a community that disclaims learning and a community that assumes it, is resolved not by declaring one side correct but by showing that each is correct within its own regime and that the boundary between those regimes is the design lineage. That boundary, drawn from public data with fully traceable provenance and reported with its uncertainty intact rather than collapsed into a convenient certainty, is the knowledge this dissertation contributes. The slope is real enough to seek, modest enough to demand humility, and imprecise enough to require more units before it can be pinned down. Stating exactly that, and no more than that, is the most defensible conclusion the present evidence allows.</w:t>
      </w:r>
    </w:p>
    <w:bookmarkEnd w:id="143"/>
    <w:bookmarkStart w:id="183" w:name="references"/>
    <w:p>
      <w:pPr>
        <w:pStyle w:val="Heading2"/>
        <w:spacing w:line="480" w:lineRule="auto"/>
      </w:pPr>
      <w:r>
        <w:t xml:space="preserve">References</w:t>
      </w:r>
    </w:p>
    <w:p>
      <w:pPr>
        <w:pStyle w:val="FirstParagraph"/>
        <w:spacing w:line="480" w:lineRule="auto"/>
      </w:pPr>
      <w:bookmarkStart w:id="144" w:name="ref-1"/>
      <w:bookmarkEnd w:id="144"/>
      <w:r>
        <w:t xml:space="preserve">1. C. Fuglesang and M. García de Herreros Miciano,</w:t>
      </w:r>
      <w:r>
        <w:t xml:space="preserve"> </w:t>
      </w:r>
      <w:r>
        <w:t xml:space="preserve">“Realistic sunshade system at L1 for global temperature control,”</w:t>
      </w:r>
      <w:r>
        <w:t xml:space="preserve"> </w:t>
      </w:r>
      <w:r>
        <w:t xml:space="preserve">Acta Astronautica, vol. 186, 2021. doi:</w:t>
      </w:r>
      <w:r>
        <w:t xml:space="preserve"> </w:t>
      </w:r>
      <w:hyperlink r:id="rId145">
        <w:r>
          <w:rPr>
            <w:rStyle w:val="Hyperlink"/>
          </w:rPr>
          <w:t xml:space="preserve">10.1016/j.actaastro.2021.04.035</w:t>
        </w:r>
      </w:hyperlink>
    </w:p>
    <w:p>
      <w:pPr>
        <w:pStyle w:val="BodyText"/>
        <w:spacing w:line="480" w:lineRule="auto"/>
        <w:ind w:firstLine="720"/>
      </w:pPr>
      <w:bookmarkStart w:id="146" w:name="ref-2"/>
      <w:bookmarkEnd w:id="146"/>
      <w:r>
        <w:t xml:space="preserve">2. M. Felten, J. Colombi, R. Cobb, and D. Meyer,</w:t>
      </w:r>
      <w:r>
        <w:t xml:space="preserve"> </w:t>
      </w:r>
      <w:r>
        <w:t xml:space="preserve">“Optimization of Geosynchronous Space Situational Awareness Architectures using Parallel Computation,”</w:t>
      </w:r>
      <w:r>
        <w:t xml:space="preserve"> </w:t>
      </w:r>
      <w:r>
        <w:t xml:space="preserve">in Proc. Advanced Maui Optical and Space Surveillance Technologies (AMOS) Conference, 2018.</w:t>
      </w:r>
    </w:p>
    <w:p>
      <w:pPr>
        <w:pStyle w:val="BodyText"/>
        <w:spacing w:line="480" w:lineRule="auto"/>
        <w:ind w:firstLine="720"/>
      </w:pPr>
      <w:bookmarkStart w:id="147" w:name="ref-3"/>
      <w:bookmarkEnd w:id="147"/>
      <w:r>
        <w:t xml:space="preserve">3.</w:t>
      </w:r>
      <w:r>
        <w:t xml:space="preserve"> </w:t>
      </w:r>
      <w:r>
        <w:t xml:space="preserve">“OCEA: Forecasting the Space Economy,”</w:t>
      </w:r>
      <w:r>
        <w:t xml:space="preserve"> </w:t>
      </w:r>
      <w:r>
        <w:t xml:space="preserve">Space Economy source document SD08, Space Economy Papers corpus.</w:t>
      </w:r>
    </w:p>
    <w:p>
      <w:pPr>
        <w:pStyle w:val="BodyText"/>
        <w:spacing w:line="480" w:lineRule="auto"/>
        <w:ind w:firstLine="720"/>
      </w:pPr>
      <w:bookmarkStart w:id="148" w:name="ref-4"/>
      <w:bookmarkEnd w:id="148"/>
      <w:r>
        <w:t xml:space="preserve">4.</w:t>
      </w:r>
      <w:r>
        <w:t xml:space="preserve"> </w:t>
      </w:r>
      <w:r>
        <w:t xml:space="preserve">“The Role of Space in Driving Sustainability, Security, and Development,”</w:t>
      </w:r>
      <w:r>
        <w:t xml:space="preserve"> </w:t>
      </w:r>
      <w:r>
        <w:t xml:space="preserve">Space Economy source document SD13, Space Economy Papers corpus.</w:t>
      </w:r>
    </w:p>
    <w:p>
      <w:pPr>
        <w:pStyle w:val="BodyText"/>
        <w:spacing w:line="480" w:lineRule="auto"/>
        <w:ind w:firstLine="720"/>
      </w:pPr>
      <w:bookmarkStart w:id="149" w:name="ref-5"/>
      <w:bookmarkEnd w:id="149"/>
      <w:r>
        <w:t xml:space="preserve">5. G. Denis, A. Claverie, X. Pasco, J.-P. Darnis, B. de Maupeou, M. Lafaye, and E. Morel,</w:t>
      </w:r>
      <w:r>
        <w:t xml:space="preserve"> </w:t>
      </w:r>
      <w:r>
        <w:t xml:space="preserve">“Towards disruptions in Earth observation? New Earth Observation systems and markets evolution: Possible scenarios and impacts,”</w:t>
      </w:r>
      <w:r>
        <w:t xml:space="preserve"> </w:t>
      </w:r>
      <w:r>
        <w:t xml:space="preserve">Acta Astronautica, vol. 137, 2017. doi:</w:t>
      </w:r>
      <w:r>
        <w:t xml:space="preserve"> </w:t>
      </w:r>
      <w:hyperlink r:id="rId150">
        <w:r>
          <w:rPr>
            <w:rStyle w:val="Hyperlink"/>
          </w:rPr>
          <w:t xml:space="preserve">10.1016/j.actaastro.2017.04.034</w:t>
        </w:r>
      </w:hyperlink>
    </w:p>
    <w:p>
      <w:pPr>
        <w:pStyle w:val="BodyText"/>
        <w:spacing w:line="480" w:lineRule="auto"/>
        <w:ind w:firstLine="720"/>
      </w:pPr>
      <w:bookmarkStart w:id="151" w:name="ref-6"/>
      <w:bookmarkEnd w:id="151"/>
      <w:r>
        <w:t xml:space="preserve">6. C. Fuglesang and M. Garcia de Herreros Miciano,</w:t>
      </w:r>
      <w:r>
        <w:t xml:space="preserve"> </w:t>
      </w:r>
      <w:r>
        <w:t xml:space="preserve">“Realistic sunshade system at L1 for global temperature control,”</w:t>
      </w:r>
      <w:r>
        <w:t xml:space="preserve"> </w:t>
      </w:r>
      <w:r>
        <w:t xml:space="preserve">Acta Astronautica, vol. 186, 2021. doi:</w:t>
      </w:r>
      <w:r>
        <w:t xml:space="preserve"> </w:t>
      </w:r>
      <w:hyperlink r:id="rId145">
        <w:r>
          <w:rPr>
            <w:rStyle w:val="Hyperlink"/>
          </w:rPr>
          <w:t xml:space="preserve">10.1016/j.actaastro.2021.04.035</w:t>
        </w:r>
      </w:hyperlink>
    </w:p>
    <w:p>
      <w:pPr>
        <w:pStyle w:val="BodyText"/>
        <w:spacing w:line="480" w:lineRule="auto"/>
        <w:ind w:firstLine="720"/>
      </w:pPr>
      <w:bookmarkStart w:id="152" w:name="ref-7"/>
      <w:bookmarkEnd w:id="152"/>
      <w:r>
        <w:t xml:space="preserve">7. H. Habib-Agahi and J. Mrozinski,</w:t>
      </w:r>
      <w:r>
        <w:t xml:space="preserve"> </w:t>
      </w:r>
      <w:r>
        <w:t xml:space="preserve">“NASA Instrument Cost Model (NICM) Version VII,”</w:t>
      </w:r>
      <w:r>
        <w:t xml:space="preserve"> </w:t>
      </w:r>
      <w:r>
        <w:t xml:space="preserve">NASA Cost Symposium, 2015. Available: https://www.nasa.gov/wp-content/uploads/2023/06/14-nicm-vii-for-2015-nasa-cost-symposiumfinal-tagged.pdf.</w:t>
      </w:r>
    </w:p>
    <w:p>
      <w:pPr>
        <w:pStyle w:val="BodyText"/>
        <w:spacing w:line="480" w:lineRule="auto"/>
        <w:ind w:firstLine="720"/>
      </w:pPr>
      <w:bookmarkStart w:id="153" w:name="ref-8"/>
      <w:bookmarkEnd w:id="153"/>
      <w:r>
        <w:t xml:space="preserve">8. J. Mrozinski, M. DiNicola, and H. Habib-Agahi,</w:t>
      </w:r>
      <w:r>
        <w:t xml:space="preserve"> </w:t>
      </w:r>
      <w:r>
        <w:t xml:space="preserve">“NASA Space Flight Instruments: Cost-Time Trends,”</w:t>
      </w:r>
      <w:r>
        <w:t xml:space="preserve"> </w:t>
      </w:r>
      <w:r>
        <w:t xml:space="preserve">Jet Propulsion Laboratory, Rep. JPL-CL-16-3895, 2016. NTRS document 20190026811. Available: https://ntrs.nasa.gov/citations/20190026811.</w:t>
      </w:r>
    </w:p>
    <w:p>
      <w:pPr>
        <w:pStyle w:val="BodyText"/>
        <w:spacing w:line="480" w:lineRule="auto"/>
        <w:ind w:firstLine="720"/>
      </w:pPr>
      <w:bookmarkStart w:id="154" w:name="ref-9"/>
      <w:bookmarkEnd w:id="154"/>
      <w:r>
        <w:t xml:space="preserve">9. P. D. Friz, S. Hosder, B. B. Leser, and B. C. Towle,</w:t>
      </w:r>
      <w:r>
        <w:t xml:space="preserve"> </w:t>
      </w:r>
      <w:r>
        <w:t xml:space="preserve">“Blind validation study of parametric cost estimation tool SEER-H for NASA space missions,”</w:t>
      </w:r>
      <w:r>
        <w:t xml:space="preserve"> </w:t>
      </w:r>
      <w:r>
        <w:t xml:space="preserve">Acta Astronautica, vol. 166, 2019, doi:</w:t>
      </w:r>
      <w:r>
        <w:t xml:space="preserve"> </w:t>
      </w:r>
      <w:hyperlink r:id="rId155">
        <w:r>
          <w:rPr>
            <w:rStyle w:val="Hyperlink"/>
          </w:rPr>
          <w:t xml:space="preserve">10.1016/j.actaastro.2019.09.030</w:t>
        </w:r>
      </w:hyperlink>
    </w:p>
    <w:p>
      <w:pPr>
        <w:pStyle w:val="BodyText"/>
        <w:spacing w:line="480" w:lineRule="auto"/>
        <w:ind w:firstLine="720"/>
      </w:pPr>
      <w:bookmarkStart w:id="156" w:name="ref-10"/>
      <w:bookmarkEnd w:id="156"/>
      <w:r>
        <w:t xml:space="preserve">10. Organisation for Economic Co-operation and Development,</w:t>
      </w:r>
      <w:r>
        <w:t xml:space="preserve"> </w:t>
      </w:r>
      <w:r>
        <w:t xml:space="preserve">“Forecasting the Space Economy”</w:t>
      </w:r>
      <w:r>
        <w:t xml:space="preserve"> </w:t>
      </w:r>
      <w:r>
        <w:t xml:space="preserve">(OCEA), space-economy source corpus SD08, on the manufacturing-cost reduction underlying space-economy growth.</w:t>
      </w:r>
    </w:p>
    <w:p>
      <w:pPr>
        <w:pStyle w:val="BodyText"/>
        <w:spacing w:line="480" w:lineRule="auto"/>
        <w:ind w:firstLine="720"/>
      </w:pPr>
      <w:bookmarkStart w:id="157" w:name="ref-11"/>
      <w:bookmarkEnd w:id="157"/>
      <w:r>
        <w:t xml:space="preserve">11. S. Dorrington and J. Olsen,</w:t>
      </w:r>
      <w:r>
        <w:t xml:space="preserve"> </w:t>
      </w:r>
      <w:r>
        <w:t xml:space="preserve">“Parametric economic modelling of asteroid mining architectures,”</w:t>
      </w:r>
      <w:r>
        <w:t xml:space="preserve"> </w:t>
      </w:r>
      <w:r>
        <w:t xml:space="preserve">Acta Astronautica, vol. 241, 2025, doi:</w:t>
      </w:r>
      <w:r>
        <w:t xml:space="preserve"> </w:t>
      </w:r>
      <w:hyperlink r:id="rId158">
        <w:r>
          <w:rPr>
            <w:rStyle w:val="Hyperlink"/>
          </w:rPr>
          <w:t xml:space="preserve">10.1016/j.actaastro.2025.11.006</w:t>
        </w:r>
      </w:hyperlink>
      <w:r>
        <w:t xml:space="preserve"> </w:t>
      </w:r>
      <w:r>
        <w:t xml:space="preserve">on parametric cost estimation for spacecraft and the technical drivers that bound cost reduction.</w:t>
      </w:r>
    </w:p>
    <w:p>
      <w:pPr>
        <w:pStyle w:val="BodyText"/>
        <w:spacing w:line="480" w:lineRule="auto"/>
        <w:ind w:firstLine="720"/>
      </w:pPr>
      <w:bookmarkStart w:id="159" w:name="ref-12"/>
      <w:bookmarkEnd w:id="159"/>
      <w:r>
        <w:t xml:space="preserve">12. Michael Felten, U.S. Air Force; John Colombi, AFIT; Richard Cobb, AFIT; David Meyer, AFIT. Optimization of Geosynchronous Space Situational Awareness Architectures using Parallel Computation (2018).</w:t>
      </w:r>
    </w:p>
    <w:p>
      <w:pPr>
        <w:pStyle w:val="BodyText"/>
        <w:spacing w:line="480" w:lineRule="auto"/>
        <w:ind w:firstLine="720"/>
      </w:pPr>
      <w:bookmarkStart w:id="160" w:name="ref-13"/>
      <w:bookmarkEnd w:id="160"/>
      <w:r>
        <w:t xml:space="preserve">13. T. Joseph W. Lazio, Jet Propulsion Laboratory, California Institute of Technology; Dimitrios Antsos, Jet Propulsion Laboratory, California Institute of Technology; Anthony Beasley, National Radio Astronomy Observatory; Lance A. M. Benner, Jet Propulsion Laboratory, California Institute of Technology; Andrew Brooks, Jet Propulsion Laboratory, California Institute of Technology; Marina Brozovic, Jet Propulsion Laboratory, California Institute of Technology; Philip G. Edwards, CSIRO Space &amp; Astronomy; Jon D. Giorgini, Jet Propulsion Laboratory, California Institute of Technology; Shinji Horiuchi, CSIRO Space &amp; Astronomy; Ed Kruzins, UNSW Canberra Space, and CSIRO Space &amp; Autonomy; Clement Lee, Jet Propulsion Laboratory, California Institute of Technology; Ronglin R. Liou, Jet Propulsion Laboratory, California Institute of Technology; Blake Molyneux, Australia National University; Shantanu P. Naidu, Jet Propulsion Laboratory, California Institute of Technology; Charles Naudet, Jet Propulsion Laboratory, California Institute of Technology; Ryan S. Park, Jet Propulsion Laboratory, California Institute of Technology; Chris J. Phillips, CSIRO Space &amp; Astronomy; Marc Sanchez Net, Jet Propulsion Laboratory, California Institute of Technology; J. Stevens, CSIRO Space &amp; Astronomy; Mark Taylor, Jet Propulsion Laboratory, California Institute of Technology; Victor Vilnrotter, Jet Propulsion Laboratory, California Institute of Technology. Ground-based Planetary Radars: Current and Future Prospects in the Cislunar Arena (2022).</w:t>
      </w:r>
    </w:p>
    <w:p>
      <w:pPr>
        <w:pStyle w:val="BodyText"/>
        <w:spacing w:line="480" w:lineRule="auto"/>
        <w:ind w:firstLine="720"/>
      </w:pPr>
      <w:bookmarkStart w:id="161" w:name="ref-14"/>
      <w:bookmarkEnd w:id="161"/>
      <w:r>
        <w:t xml:space="preserve">14. Allen Wautlet, BAE Systems; Justin Kim, BAE Systems; Michael Veto, BAE Systems; Matthew Tooth, BAE Systems; Raymond Wright, BAE Systems; Jared Steffen, University of Colorado Boulder. Designing a Longwave Infrared Architecture to Improve Space Domain Awareness in Low Earth Orbit (2025). doi:</w:t>
      </w:r>
      <w:r>
        <w:t xml:space="preserve"> </w:t>
      </w:r>
      <w:hyperlink r:id="rId162">
        <w:r>
          <w:rPr>
            <w:rStyle w:val="Hyperlink"/>
          </w:rPr>
          <w:t xml:space="preserve">10.64861/PLYO7344</w:t>
        </w:r>
      </w:hyperlink>
    </w:p>
    <w:p>
      <w:pPr>
        <w:pStyle w:val="BodyText"/>
        <w:spacing w:line="480" w:lineRule="auto"/>
        <w:ind w:firstLine="720"/>
      </w:pPr>
      <w:bookmarkStart w:id="163" w:name="ref-15"/>
      <w:bookmarkEnd w:id="163"/>
      <w:r>
        <w:t xml:space="preserve">15. Philip A. Bland and the DFN Team, Curtin University. Adapting a Planetary Science Observational Facility for Space Situational Awareness (2016).</w:t>
      </w:r>
    </w:p>
    <w:p>
      <w:pPr>
        <w:pStyle w:val="BodyText"/>
        <w:spacing w:line="480" w:lineRule="auto"/>
        <w:ind w:firstLine="720"/>
      </w:pPr>
      <w:bookmarkStart w:id="164" w:name="ref-16"/>
      <w:bookmarkEnd w:id="164"/>
      <w:r>
        <w:t xml:space="preserve">16. Lt Col Thomas H. Freeman, USAF (Launch Test Squadron, SMC/SDTW), Maj Jose Delarosa, USAF (Launch Test Squadron, SMC/SDTW). Small Space Launch: Origins &amp; Challenges (2010).</w:t>
      </w:r>
    </w:p>
    <w:p>
      <w:pPr>
        <w:pStyle w:val="BodyText"/>
        <w:spacing w:line="480" w:lineRule="auto"/>
        <w:ind w:firstLine="720"/>
      </w:pPr>
      <w:bookmarkStart w:id="165" w:name="ref-17"/>
      <w:bookmarkEnd w:id="165"/>
      <w:r>
        <w:t xml:space="preserve">17. Ryan Walden, Georgia State University; Taslim Dosumnu, Georgia State University; Stuart Jefferies, Georgia State University; Daniel Pimentel-Alarcon, University of Wisconsin-Madison. Satellite Characterization via Restoration-Free Imaging: A Novel Machine Learning Paradigm for SSA (2020).</w:t>
      </w:r>
    </w:p>
    <w:p>
      <w:pPr>
        <w:pStyle w:val="BodyText"/>
        <w:spacing w:line="480" w:lineRule="auto"/>
        <w:ind w:firstLine="720"/>
      </w:pPr>
      <w:bookmarkStart w:id="166" w:name="ref-18"/>
      <w:bookmarkEnd w:id="166"/>
      <w:r>
        <w:t xml:space="preserve">18. Imene Goumiri, Lawrence Livermore National Laboratory; Amanda Muyskens, Lawrence Livermore National Laboratory (LLNL); Michael Schneider, Lawrence Livermore National Laboratory; Benjamin Priest, Lawrence Livermore National Laboratory; Robert Armstrong, Lawrence Livermore National Laboratory. Star-Galaxy Separation via Gaussian Processes with Model Reduction (2020).</w:t>
      </w:r>
    </w:p>
    <w:p>
      <w:pPr>
        <w:pStyle w:val="BodyText"/>
        <w:spacing w:line="480" w:lineRule="auto"/>
        <w:ind w:firstLine="720"/>
      </w:pPr>
      <w:bookmarkStart w:id="167" w:name="ref-19"/>
      <w:bookmarkEnd w:id="167"/>
      <w:r>
        <w:t xml:space="preserve">19. Mark Ackermann (Sandia National Laboratories), John T. McGraw (University of New Mexico). Large-Aperture, Three-Mirror Telescopes for Near-Earth (2007).</w:t>
      </w:r>
    </w:p>
    <w:p>
      <w:pPr>
        <w:pStyle w:val="BodyText"/>
        <w:spacing w:line="480" w:lineRule="auto"/>
        <w:ind w:firstLine="720"/>
      </w:pPr>
      <w:bookmarkStart w:id="168" w:name="ref-20"/>
      <w:bookmarkEnd w:id="168"/>
      <w:r>
        <w:t xml:space="preserve">20. Scott Dorrington; John Olsen. Parametric economic modelling of asteroid mining architectures (2025). doi:</w:t>
      </w:r>
      <w:r>
        <w:t xml:space="preserve"> </w:t>
      </w:r>
      <w:hyperlink r:id="rId158">
        <w:r>
          <w:rPr>
            <w:rStyle w:val="Hyperlink"/>
          </w:rPr>
          <w:t xml:space="preserve">10.1016/j.actaastro.2025.11.006</w:t>
        </w:r>
      </w:hyperlink>
    </w:p>
    <w:p>
      <w:pPr>
        <w:pStyle w:val="BodyText"/>
        <w:spacing w:line="480" w:lineRule="auto"/>
        <w:ind w:firstLine="720"/>
      </w:pPr>
      <w:bookmarkStart w:id="169" w:name="ref-21"/>
      <w:bookmarkEnd w:id="169"/>
      <w:r>
        <w:t xml:space="preserve">21. Thasshwin Mathanlal; Miracle Israel Nazarious; Abhilash Vakkada Ramachandran; María‐Paz Zorzano; Javier Martín‐Torres; Petra Rettberg. Implementing bioburden reduction and control on the deliquescent hydrogel of the HABIT/ExoMars 2022 instrument (2020). doi:</w:t>
      </w:r>
      <w:r>
        <w:t xml:space="preserve"> </w:t>
      </w:r>
      <w:hyperlink r:id="rId170">
        <w:r>
          <w:rPr>
            <w:rStyle w:val="Hyperlink"/>
          </w:rPr>
          <w:t xml:space="preserve">10.1016/j.actaastro.2020.04.030</w:t>
        </w:r>
      </w:hyperlink>
    </w:p>
    <w:p>
      <w:pPr>
        <w:pStyle w:val="BodyText"/>
        <w:spacing w:line="480" w:lineRule="auto"/>
        <w:ind w:firstLine="720"/>
      </w:pPr>
      <w:bookmarkStart w:id="171" w:name="ref-22"/>
      <w:bookmarkEnd w:id="171"/>
      <w:r>
        <w:t xml:space="preserve">22. Ben McKeown; Andrew G. Dempster; Serkan Saydam; Jeff Coulton. How should potential space resources markets be evaluated? (2026). doi:</w:t>
      </w:r>
      <w:r>
        <w:t xml:space="preserve"> </w:t>
      </w:r>
      <w:hyperlink r:id="rId172">
        <w:r>
          <w:rPr>
            <w:rStyle w:val="Hyperlink"/>
          </w:rPr>
          <w:t xml:space="preserve">10.1016/j.actaastro.2026.03.026</w:t>
        </w:r>
      </w:hyperlink>
    </w:p>
    <w:p>
      <w:pPr>
        <w:pStyle w:val="BodyText"/>
        <w:spacing w:line="480" w:lineRule="auto"/>
        <w:ind w:firstLine="720"/>
      </w:pPr>
      <w:bookmarkStart w:id="173" w:name="ref-23"/>
      <w:bookmarkEnd w:id="173"/>
      <w:r>
        <w:t xml:space="preserve">23. Hadi Jahanshahi; Zheng Zhu. Review of machine learning in robotic grasping control in space application (2024). doi:</w:t>
      </w:r>
      <w:r>
        <w:t xml:space="preserve"> </w:t>
      </w:r>
      <w:hyperlink r:id="rId174">
        <w:r>
          <w:rPr>
            <w:rStyle w:val="Hyperlink"/>
          </w:rPr>
          <w:t xml:space="preserve">10.1016/j.actaastro.2024.04.012</w:t>
        </w:r>
      </w:hyperlink>
    </w:p>
    <w:p>
      <w:pPr>
        <w:pStyle w:val="BodyText"/>
        <w:spacing w:line="480" w:lineRule="auto"/>
        <w:ind w:firstLine="720"/>
      </w:pPr>
      <w:bookmarkStart w:id="175" w:name="ref-24"/>
      <w:bookmarkEnd w:id="175"/>
      <w:r>
        <w:t xml:space="preserve">24. Nicole Viola; Roberta Fusaro; Davide Ferretto; Valeria Vercella. Research, development and production costs prediction parametric model for future civil hypersonic aircraft (2022). doi:</w:t>
      </w:r>
      <w:r>
        <w:t xml:space="preserve"> </w:t>
      </w:r>
      <w:hyperlink r:id="rId176">
        <w:r>
          <w:rPr>
            <w:rStyle w:val="Hyperlink"/>
          </w:rPr>
          <w:t xml:space="preserve">10.1016/j.actaastro.2022.12.036</w:t>
        </w:r>
      </w:hyperlink>
    </w:p>
    <w:p>
      <w:pPr>
        <w:pStyle w:val="BodyText"/>
        <w:spacing w:line="480" w:lineRule="auto"/>
        <w:ind w:firstLine="720"/>
      </w:pPr>
      <w:bookmarkStart w:id="177" w:name="ref-25"/>
      <w:bookmarkEnd w:id="177"/>
      <w:r>
        <w:t xml:space="preserve">25. Gustavo Dalmarco; Rita Alexandra de Lourenço Roriz Mendes; Ana Correia Simões; Ariane Mello Silva Avila. 3D printing Lift-Off? The use of additive manufacturing in spacecraft components (2026). doi:</w:t>
      </w:r>
      <w:r>
        <w:t xml:space="preserve"> </w:t>
      </w:r>
      <w:hyperlink r:id="rId178">
        <w:r>
          <w:rPr>
            <w:rStyle w:val="Hyperlink"/>
          </w:rPr>
          <w:t xml:space="preserve">10.1016/j.actaastro.2026.03.057</w:t>
        </w:r>
      </w:hyperlink>
    </w:p>
    <w:p>
      <w:pPr>
        <w:pStyle w:val="BodyText"/>
        <w:spacing w:line="480" w:lineRule="auto"/>
        <w:ind w:firstLine="720"/>
      </w:pPr>
      <w:bookmarkStart w:id="179" w:name="ref-26"/>
      <w:bookmarkEnd w:id="179"/>
      <w:r>
        <w:t xml:space="preserve">26. Uxía García-Luis; Alejandro Gómez-San-Juan; Fermín Navarro-Medina; Alba Eva Peláez Santos; Pablo Gonzalez de Chaves Fernandez; Alfonso Yñigo-Rivera; Fernando Aguado Agelet. Evaluation of the thermo-elastic response of space telescopes using uncertainty assessment (2024). doi:</w:t>
      </w:r>
      <w:r>
        <w:t xml:space="preserve"> </w:t>
      </w:r>
      <w:hyperlink r:id="rId180">
        <w:r>
          <w:rPr>
            <w:rStyle w:val="Hyperlink"/>
          </w:rPr>
          <w:t xml:space="preserve">10.1016/j.actaastro.2024.03.029</w:t>
        </w:r>
      </w:hyperlink>
    </w:p>
    <w:p>
      <w:pPr>
        <w:pStyle w:val="BodyText"/>
        <w:spacing w:line="480" w:lineRule="auto"/>
        <w:ind w:firstLine="720"/>
      </w:pPr>
      <w:bookmarkStart w:id="181" w:name="ref-27"/>
      <w:bookmarkEnd w:id="181"/>
      <w:r>
        <w:t xml:space="preserve">27. Kosuke Ikeya; Francisco J. Guerrero-Gonzalez; Luca Kiewiet; Michel‐Alexandre Cardin; J.J. Cilliers; Stanley Starr; Kathryn Hadler. Hybrid lunar ISRU plant: A comparative analysis with carbothermal reduction and water extraction (2025). doi:</w:t>
      </w:r>
      <w:r>
        <w:t xml:space="preserve"> </w:t>
      </w:r>
      <w:hyperlink r:id="rId182">
        <w:r>
          <w:rPr>
            <w:rStyle w:val="Hyperlink"/>
          </w:rPr>
          <w:t xml:space="preserve">10.1016/j.actaastro.2025.02.004</w:t>
        </w:r>
      </w:hyperlink>
    </w:p>
    <w:bookmarkEnd w:id="183"/>
    <w:bookmarkEnd w:id="184"/>
    <w:bookmarkStart w:id="201" w:name="appendix-a.-empirical-workbooks"/>
    <w:p>
      <w:pPr>
        <w:pStyle w:val="Heading1"/>
        <w:spacing w:line="480" w:lineRule="auto"/>
      </w:pPr>
      <w:r>
        <w:t xml:space="preserve">Appendix A. Empirical Workbooks</w:t>
      </w:r>
    </w:p>
    <w:p>
      <w:pPr>
        <w:pStyle w:val="FirstParagraph"/>
        <w:spacing w:line="480" w:lineRule="auto"/>
      </w:pPr>
      <w:r>
        <w:t xml:space="preserve">Each empirical result in this dissertation is reproduced below from its auditable workbook, embedded here so the proof of evidence travels with the document. The live spreadsheets are the paper .xlsx files in each paper folder. Every observation carries its source.</w:t>
      </w:r>
    </w:p>
    <w:bookmarkStart w:id="192" w:name="X54bda2aebaa9d9bc3e505dd9abae10492fca1d6"/>
    <w:p>
      <w:pPr>
        <w:pStyle w:val="Heading2"/>
        <w:spacing w:line="480" w:lineRule="auto"/>
      </w:pPr>
      <w:r>
        <w:t xml:space="preserve">A.1 Learning Curves in Planetary Instrument Production: A Cost-Reduction Elasticity</w:t>
      </w:r>
    </w:p>
    <w:p>
      <w:pPr>
        <w:pStyle w:val="FirstParagraph"/>
        <w:spacing w:line="480" w:lineRule="auto"/>
      </w:pPr>
      <m:oMathPara>
        <m:oMathParaPr>
          <m:jc m:val="center"/>
        </m:oMathParaPr>
        <m:oMath>
          <m:r>
            <m:rPr>
              <m:sty m:val="p"/>
            </m:rPr>
            <m:t>ln</m:t>
          </m:r>
          <m:r>
            <m:rPr>
              <m:sty m:val="p"/>
            </m:rPr>
            <m:t>(</m:t>
          </m:r>
          <m:sSub>
            <m:e>
              <m:r>
                <m:rPr>
                  <m:nor/>
                  <m:sty m:val="p"/>
                </m:rPr>
                <m:t>Cost</m:t>
              </m:r>
            </m:e>
            <m:sub>
              <m:r>
                <m:t>i</m:t>
              </m:r>
            </m:sub>
          </m:sSub>
          <m:r>
            <m:rPr>
              <m:sty m:val="p"/>
            </m:rPr>
            <m:t>)</m:t>
          </m:r>
          <m:r>
            <m:rPr>
              <m:sty m:val="p"/>
            </m:rPr>
            <m:t>=</m:t>
          </m:r>
          <m:r>
            <m:t>α</m:t>
          </m:r>
          <m:r>
            <m:rPr>
              <m:sty m:val="p"/>
            </m:rPr>
            <m:t>+</m:t>
          </m:r>
          <m:r>
            <m:t>b</m:t>
          </m:r>
          <m:r>
            <m:t> </m:t>
          </m:r>
          <m:r>
            <m:rPr>
              <m:sty m:val="p"/>
            </m:rPr>
            <m:t>ln</m:t>
          </m:r>
          <m:r>
            <m:rPr>
              <m:sty m:val="p"/>
            </m:rPr>
            <m:t>(</m:t>
          </m:r>
          <m:sSub>
            <m:e>
              <m:r>
                <m:rPr>
                  <m:nor/>
                  <m:sty m:val="p"/>
                </m:rPr>
                <m:t>CumUnits</m:t>
              </m:r>
            </m:e>
            <m:sub>
              <m:r>
                <m:t>i</m:t>
              </m:r>
            </m:sub>
          </m:sSub>
          <m:r>
            <m:rPr>
              <m:sty m:val="p"/>
            </m:rPr>
            <m:t>)</m:t>
          </m:r>
          <m:r>
            <m:rPr>
              <m:sty m:val="p"/>
            </m:rPr>
            <m:t>+</m:t>
          </m:r>
          <m:sSub>
            <m:e>
              <m:r>
                <m:t>ε</m:t>
              </m:r>
            </m:e>
            <m:sub>
              <m:r>
                <m:t>i</m:t>
              </m:r>
            </m:sub>
          </m:sSub>
          <m:r>
            <m:rPr>
              <m:sty m:val="p"/>
            </m:rPr>
            <m:t>,</m:t>
          </m:r>
          <m:r>
            <m:t>  </m:t>
          </m:r>
          <m:r>
            <m:t>L</m:t>
          </m:r>
          <m:r>
            <m:rPr>
              <m:sty m:val="p"/>
            </m:rPr>
            <m:t>=</m:t>
          </m:r>
          <m:sSup>
            <m:e>
              <m:r>
                <m:t>2</m:t>
              </m:r>
            </m:e>
            <m:sup>
              <m:r>
                <m:t> </m:t>
              </m:r>
              <m:r>
                <m:t>b</m:t>
              </m:r>
            </m:sup>
          </m:sSup>
        </m:oMath>
      </m:oMathPara>
    </w:p>
    <w:bookmarkStart w:id="185" w:name="estimator-output"/>
    <w:p>
      <w:pPr>
        <w:pStyle w:val="Heading3"/>
        <w:spacing w:line="480" w:lineRule="auto"/>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1.6059</w:t>
            </w:r>
          </w:p>
        </w:tc>
        <w:tc>
          <w:tcPr>
            <w:tcW w:w="0" w:type="auto"/>
          </w:tcPr>
          <w:p>
            <w:pPr>
              <w:spacing w:line="240" w:lineRule="auto" w:before="0" w:after="0"/>
              <w:pStyle w:val="Compact"/>
            </w:pPr>
            <w:r>
              <w:rPr>
                <w:sz w:val="20"/>
                <w:szCs w:val="20"/>
              </w:rPr>
              <w:t xml:space="preserve">0.1521</w:t>
            </w:r>
          </w:p>
        </w:tc>
        <w:tc>
          <w:tcPr>
            <w:tcW w:w="0" w:type="auto"/>
          </w:tcPr>
          <w:p>
            <w:pPr>
              <w:spacing w:line="240" w:lineRule="auto" w:before="0" w:after="0"/>
              <w:pStyle w:val="Compact"/>
            </w:pPr>
            <w:r>
              <w:rPr>
                <w:sz w:val="20"/>
                <w:szCs w:val="20"/>
              </w:rPr>
              <w:t xml:space="preserve">10.5596</w:t>
            </w:r>
          </w:p>
        </w:tc>
        <w:tc>
          <w:tcPr>
            <w:tcW w:w="0" w:type="auto"/>
          </w:tcPr>
          <w:p>
            <w:pPr>
              <w:spacing w:line="240" w:lineRule="auto" w:before="0" w:after="0"/>
              <w:pStyle w:val="Compact"/>
            </w:pPr>
            <w:r>
              <w:rPr>
                <w:sz w:val="20"/>
                <w:szCs w:val="20"/>
              </w:rPr>
              <w:t xml:space="preserve">4.587e-26</w:t>
            </w:r>
          </w:p>
        </w:tc>
        <w:tc>
          <w:tcPr>
            <w:tcW w:w="0" w:type="auto"/>
          </w:tcPr>
          <w:p>
            <w:pPr>
              <w:spacing w:line="240" w:lineRule="auto" w:before="0" w:after="0"/>
              <w:pStyle w:val="Compact"/>
            </w:pPr>
            <w:r>
              <w:rPr>
                <w:sz w:val="20"/>
                <w:szCs w:val="20"/>
              </w:rPr>
              <w:t xml:space="preserve">[1.3078, 1.904]</w:t>
            </w:r>
          </w:p>
        </w:tc>
      </w:tr>
      <w:tr>
        <w:tc>
          <w:tcPr>
            <w:tcW w:w="0" w:type="auto"/>
          </w:tcPr>
          <w:p>
            <w:pPr>
              <w:spacing w:line="240" w:lineRule="auto" w:before="0" w:after="0"/>
              <w:pStyle w:val="Compact"/>
            </w:pPr>
            <w:r>
              <w:rPr>
                <w:sz w:val="20"/>
                <w:szCs w:val="20"/>
              </w:rPr>
              <w:t xml:space="preserve">_ln_x</w:t>
            </w:r>
          </w:p>
        </w:tc>
        <w:tc>
          <w:tcPr>
            <w:tcW w:w="0" w:type="auto"/>
          </w:tcPr>
          <w:p>
            <w:pPr>
              <w:spacing w:line="240" w:lineRule="auto" w:before="0" w:after="0"/>
              <w:pStyle w:val="Compact"/>
            </w:pPr>
            <w:r>
              <w:rPr>
                <w:sz w:val="20"/>
                <w:szCs w:val="20"/>
              </w:rPr>
              <w:t xml:space="preserve">-0.2181</w:t>
            </w:r>
          </w:p>
        </w:tc>
        <w:tc>
          <w:tcPr>
            <w:tcW w:w="0" w:type="auto"/>
          </w:tcPr>
          <w:p>
            <w:pPr>
              <w:spacing w:line="240" w:lineRule="auto" w:before="0" w:after="0"/>
              <w:pStyle w:val="Compact"/>
            </w:pPr>
            <w:r>
              <w:rPr>
                <w:sz w:val="20"/>
                <w:szCs w:val="20"/>
              </w:rPr>
              <w:t xml:space="preserve">0.1275</w:t>
            </w:r>
          </w:p>
        </w:tc>
        <w:tc>
          <w:tcPr>
            <w:tcW w:w="0" w:type="auto"/>
          </w:tcPr>
          <w:p>
            <w:pPr>
              <w:spacing w:line="240" w:lineRule="auto" w:before="0" w:after="0"/>
              <w:pStyle w:val="Compact"/>
            </w:pPr>
            <w:r>
              <w:rPr>
                <w:sz w:val="20"/>
                <w:szCs w:val="20"/>
              </w:rPr>
              <w:t xml:space="preserve">-1.7113</w:t>
            </w:r>
          </w:p>
        </w:tc>
        <w:tc>
          <w:tcPr>
            <w:tcW w:w="0" w:type="auto"/>
          </w:tcPr>
          <w:p>
            <w:pPr>
              <w:spacing w:line="240" w:lineRule="auto" w:before="0" w:after="0"/>
              <w:pStyle w:val="Compact"/>
            </w:pPr>
            <w:r>
              <w:rPr>
                <w:sz w:val="20"/>
                <w:szCs w:val="20"/>
              </w:rPr>
              <w:t xml:space="preserve">0.087</w:t>
            </w:r>
          </w:p>
        </w:tc>
        <w:tc>
          <w:tcPr>
            <w:tcW w:w="0" w:type="auto"/>
          </w:tcPr>
          <w:p>
            <w:pPr>
              <w:spacing w:line="240" w:lineRule="auto" w:before="0" w:after="0"/>
              <w:pStyle w:val="Compact"/>
            </w:pPr>
            <w:r>
              <w:rPr>
                <w:sz w:val="20"/>
                <w:szCs w:val="20"/>
              </w:rPr>
              <w:t xml:space="preserve">[-0.468, 0.0317]</w:t>
            </w:r>
          </w:p>
        </w:tc>
      </w:tr>
    </w:tbl>
    <w:p>
      <w:pPr>
        <w:pStyle w:val="BodyText"/>
        <w:spacing w:line="480" w:lineRule="auto"/>
        <w:ind w:firstLine="720"/>
      </w:pPr>
      <w:r>
        <w:t xml:space="preserve">Fit: N = 26 R2 = 0.1304 elasticity_b = -0.2181 progress_ratio_2^b = 0.8597</w:t>
      </w:r>
    </w:p>
    <w:bookmarkEnd w:id="185"/>
    <w:bookmarkStart w:id="189" w:name="figure"/>
    <w:p>
      <w:pPr>
        <w:pStyle w:val="Heading3"/>
        <w:spacing w:line="480" w:lineRule="auto"/>
      </w:pPr>
      <w:r>
        <w:t xml:space="preserve">Figure</w:t>
      </w:r>
    </w:p>
    <w:p>
      <w:pPr>
        <w:pStyle w:val="CaptionedFigure"/>
        <w:spacing w:line="480" w:lineRule="auto"/>
      </w:pPr>
      <w:r>
        <w:drawing>
          <wp:inline>
            <wp:extent cx="5669280" cy="3657600"/>
            <wp:effectExtent b="0" l="0" r="0" t="0"/>
            <wp:docPr descr="Figure A.1. Log-log fit of recurring planetary instrument cost on cumulative production units; the fitted slope is the production-experience elasticity b, with learning rate L = 2^b." title="" id="187" name="Picture"/>
            <a:graphic>
              <a:graphicData uri="http://schemas.openxmlformats.org/drawingml/2006/picture">
                <pic:pic>
                  <pic:nvPicPr>
                    <pic:cNvPr descr="D:/Claude_Code/brain/collegium/candidates/dissertations/JPL_OPS_COMMS_DATA_02/research_papers/p1/paper_fig1.png" id="188" name="Picture"/>
                    <pic:cNvPicPr>
                      <a:picLocks noChangeArrowheads="1" noChangeAspect="1"/>
                    </pic:cNvPicPr>
                  </pic:nvPicPr>
                  <pic:blipFill>
                    <a:blip r:embed="rId186"/>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spacing w:line="480" w:lineRule="auto"/>
      </w:pPr>
      <w:r>
        <w:t xml:space="preserve">Figure A.1. Log-log fit of recurring planetary instrument cost on cumulative production units; the fitted slope is the production-experience elasticity b, with learning rate L = 2^b.</w:t>
      </w:r>
    </w:p>
    <w:bookmarkEnd w:id="189"/>
    <w:bookmarkStart w:id="190" w:name="data-real-observations"/>
    <w:p>
      <w:pPr>
        <w:pStyle w:val="Heading3"/>
        <w:spacing w:line="480" w:lineRule="auto"/>
      </w:pPr>
      <w:r>
        <w:t xml:space="preserve">Data (real observations)</w:t>
      </w:r>
    </w:p>
    <w:tbl>
      <w:tblPr>
        <w:tblStyle w:val="Table"/>
        <w:tblLook w:firstRow="1" w:lastRow="0" w:firstColumn="0" w:lastColumn="0" w:noHBand="0" w:noVBand="0" w:val="0020"/>
        <w:tblLayout w:type="autofit"/>
        <w:tblW w:w="0" w:type="auto"/>
      </w:tblPr>
      <w:tblGrid>
        <w:gridCol w:w="990"/>
        <w:gridCol w:w="990"/>
        <w:gridCol w:w="990"/>
        <w:gridCol w:w="990"/>
        <w:gridCol w:w="990"/>
        <w:gridCol w:w="990"/>
        <w:gridCol w:w="990"/>
        <w:gridCol w:w="990"/>
      </w:tblGrid>
      <w:tr>
        <w:trPr>
          <w:tblHeader w:val="on"/>
        </w:trPr>
        <w:tc>
          <w:tcPr>
            <w:tcW w:w="0" w:type="auto"/>
          </w:tcPr>
          <w:p>
            <w:pPr>
              <w:spacing w:line="240" w:lineRule="auto" w:before="0" w:after="0"/>
              <w:pStyle w:val="Compact"/>
            </w:pPr>
            <w:r>
              <w:rPr>
                <w:sz w:val="20"/>
                <w:szCs w:val="20"/>
              </w:rPr>
              <w:t xml:space="preserve">instrument</w:t>
            </w:r>
          </w:p>
        </w:tc>
        <w:tc>
          <w:tcPr>
            <w:tcW w:w="0" w:type="auto"/>
          </w:tcPr>
          <w:p>
            <w:pPr>
              <w:spacing w:line="240" w:lineRule="auto" w:before="0" w:after="0"/>
              <w:pStyle w:val="Compact"/>
            </w:pPr>
            <w:r>
              <w:rPr>
                <w:sz w:val="20"/>
                <w:szCs w:val="20"/>
              </w:rPr>
              <w:t xml:space="preserve">family</w:t>
            </w:r>
          </w:p>
        </w:tc>
        <w:tc>
          <w:tcPr>
            <w:tcW w:w="0" w:type="auto"/>
          </w:tcPr>
          <w:p>
            <w:pPr>
              <w:spacing w:line="240" w:lineRule="auto" w:before="0" w:after="0"/>
              <w:pStyle w:val="Compact"/>
            </w:pPr>
            <w:r>
              <w:rPr>
                <w:sz w:val="20"/>
                <w:szCs w:val="20"/>
              </w:rPr>
              <w:t xml:space="preserve">mission</w:t>
            </w:r>
          </w:p>
        </w:tc>
        <w:tc>
          <w:tcPr>
            <w:tcW w:w="0" w:type="auto"/>
          </w:tcPr>
          <w:p>
            <w:pPr>
              <w:spacing w:line="240" w:lineRule="auto" w:before="0" w:after="0"/>
              <w:pStyle w:val="Compact"/>
            </w:pPr>
            <w:r>
              <w:rPr>
                <w:sz w:val="20"/>
                <w:szCs w:val="20"/>
              </w:rPr>
              <w:t xml:space="preserve">launch_year</w:t>
            </w:r>
          </w:p>
        </w:tc>
        <w:tc>
          <w:tcPr>
            <w:tcW w:w="0" w:type="auto"/>
          </w:tcPr>
          <w:p>
            <w:pPr>
              <w:spacing w:line="240" w:lineRule="auto" w:before="0" w:after="0"/>
              <w:pStyle w:val="Compact"/>
            </w:pPr>
            <w:r>
              <w:rPr>
                <w:sz w:val="20"/>
                <w:szCs w:val="20"/>
              </w:rPr>
              <w:t xml:space="preserve">cumulative_units</w:t>
            </w:r>
          </w:p>
        </w:tc>
        <w:tc>
          <w:tcPr>
            <w:tcW w:w="0" w:type="auto"/>
          </w:tcPr>
          <w:p>
            <w:pPr>
              <w:spacing w:line="240" w:lineRule="auto" w:before="0" w:after="0"/>
              <w:pStyle w:val="Compact"/>
            </w:pPr>
            <w:r>
              <w:rPr>
                <w:sz w:val="20"/>
                <w:szCs w:val="20"/>
              </w:rPr>
              <w:t xml:space="preserve">mass_kg</w:t>
            </w:r>
          </w:p>
        </w:tc>
        <w:tc>
          <w:tcPr>
            <w:tcW w:w="0" w:type="auto"/>
          </w:tcPr>
          <w:p>
            <w:pPr>
              <w:spacing w:line="240" w:lineRule="auto" w:before="0" w:after="0"/>
              <w:pStyle w:val="Compact"/>
            </w:pPr>
            <w:r>
              <w:rPr>
                <w:sz w:val="20"/>
                <w:szCs w:val="20"/>
              </w:rPr>
              <w:t xml:space="preserve">recurring_cost_FY16M</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APXS-Pathfinder</w:t>
            </w:r>
          </w:p>
        </w:tc>
        <w:tc>
          <w:tcPr>
            <w:tcW w:w="0" w:type="auto"/>
          </w:tcPr>
          <w:p>
            <w:pPr>
              <w:spacing w:line="240" w:lineRule="auto" w:before="0" w:after="0"/>
              <w:pStyle w:val="Compact"/>
            </w:pPr>
            <w:r>
              <w:rPr>
                <w:sz w:val="20"/>
                <w:szCs w:val="20"/>
              </w:rPr>
              <w:t xml:space="preserve">APXS</w:t>
            </w:r>
          </w:p>
        </w:tc>
        <w:tc>
          <w:tcPr>
            <w:tcW w:w="0" w:type="auto"/>
          </w:tcPr>
          <w:p>
            <w:pPr>
              <w:spacing w:line="240" w:lineRule="auto" w:before="0" w:after="0"/>
              <w:pStyle w:val="Compact"/>
            </w:pPr>
            <w:r>
              <w:rPr>
                <w:sz w:val="20"/>
                <w:szCs w:val="20"/>
              </w:rPr>
              <w:t xml:space="preserve">Mars Pathfinder Sojourner</w:t>
            </w:r>
          </w:p>
        </w:tc>
        <w:tc>
          <w:tcPr>
            <w:tcW w:w="0" w:type="auto"/>
          </w:tcPr>
          <w:p>
            <w:pPr>
              <w:spacing w:line="240" w:lineRule="auto" w:before="0" w:after="0"/>
              <w:pStyle w:val="Compact"/>
            </w:pPr>
            <w:r>
              <w:rPr>
                <w:sz w:val="20"/>
                <w:szCs w:val="20"/>
              </w:rPr>
              <w:t xml:space="preserve">1997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0.6</w:t>
            </w:r>
          </w:p>
        </w:tc>
        <w:tc>
          <w:tcPr>
            <w:tcW w:w="0" w:type="auto"/>
          </w:tcPr>
          <w:p>
            <w:pPr>
              <w:spacing w:line="240" w:lineRule="auto" w:before="0" w:after="0"/>
              <w:pStyle w:val="Compact"/>
            </w:pPr>
            <w:r>
              <w:rPr>
                <w:sz w:val="20"/>
                <w:szCs w:val="20"/>
              </w:rPr>
              <w:t xml:space="preserve">3.1</w:t>
            </w:r>
          </w:p>
        </w:tc>
        <w:tc>
          <w:tcPr>
            <w:tcW w:w="0" w:type="auto"/>
          </w:tcPr>
          <w:p>
            <w:pPr>
              <w:spacing w:line="240" w:lineRule="auto" w:before="0" w:after="0"/>
              <w:pStyle w:val="Compact"/>
            </w:pPr>
            <w:r>
              <w:rPr>
                <w:sz w:val="20"/>
                <w:szCs w:val="20"/>
              </w:rPr>
              <w:t xml:space="preserve">Mass 0.60 kg documented: Rieder et al. APXS for Mars-96/Pathfinder (ADS 1996DPS….28.0221R) achieved 600 g design. Recurring cost reconstructed via NICM Particles CER (Habib-Agahi &amp; Mrozinski, NICM VII, NASA 2015 Cost Symposium) anchored to documented dollar-per-kg trend in Mrozinski, DiNicola &amp; Habib-Agahi, NASA Space Flight Instruments: Cost-Time Trends, JPL-CL-16-3895 (NTRS 20190026811, 2016)</w:t>
            </w:r>
          </w:p>
        </w:tc>
      </w:tr>
      <w:tr>
        <w:tc>
          <w:tcPr>
            <w:tcW w:w="0" w:type="auto"/>
          </w:tcPr>
          <w:p>
            <w:pPr>
              <w:spacing w:line="240" w:lineRule="auto" w:before="0" w:after="0"/>
              <w:pStyle w:val="Compact"/>
            </w:pPr>
            <w:r>
              <w:rPr>
                <w:sz w:val="20"/>
                <w:szCs w:val="20"/>
              </w:rPr>
              <w:t xml:space="preserve">APXS-MER-A</w:t>
            </w:r>
          </w:p>
        </w:tc>
        <w:tc>
          <w:tcPr>
            <w:tcW w:w="0" w:type="auto"/>
          </w:tcPr>
          <w:p>
            <w:pPr>
              <w:spacing w:line="240" w:lineRule="auto" w:before="0" w:after="0"/>
              <w:pStyle w:val="Compact"/>
            </w:pPr>
            <w:r>
              <w:rPr>
                <w:sz w:val="20"/>
                <w:szCs w:val="20"/>
              </w:rPr>
              <w:t xml:space="preserve">APXS</w:t>
            </w:r>
          </w:p>
        </w:tc>
        <w:tc>
          <w:tcPr>
            <w:tcW w:w="0" w:type="auto"/>
          </w:tcPr>
          <w:p>
            <w:pPr>
              <w:spacing w:line="240" w:lineRule="auto" w:before="0" w:after="0"/>
              <w:pStyle w:val="Compact"/>
            </w:pPr>
            <w:r>
              <w:rPr>
                <w:sz w:val="20"/>
                <w:szCs w:val="20"/>
              </w:rPr>
              <w:t xml:space="preserve">MER Spirit</w:t>
            </w:r>
          </w:p>
        </w:tc>
        <w:tc>
          <w:tcPr>
            <w:tcW w:w="0" w:type="auto"/>
          </w:tcPr>
          <w:p>
            <w:pPr>
              <w:spacing w:line="240" w:lineRule="auto" w:before="0" w:after="0"/>
              <w:pStyle w:val="Compact"/>
            </w:pPr>
            <w:r>
              <w:rPr>
                <w:sz w:val="20"/>
                <w:szCs w:val="20"/>
              </w:rPr>
              <w:t xml:space="preserve">2003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0.37</w:t>
            </w:r>
          </w:p>
        </w:tc>
        <w:tc>
          <w:tcPr>
            <w:tcW w:w="0" w:type="auto"/>
          </w:tcPr>
          <w:p>
            <w:pPr>
              <w:spacing w:line="240" w:lineRule="auto" w:before="0" w:after="0"/>
              <w:pStyle w:val="Compact"/>
            </w:pPr>
            <w:r>
              <w:rPr>
                <w:sz w:val="20"/>
                <w:szCs w:val="20"/>
              </w:rPr>
              <w:t xml:space="preserve">2.55</w:t>
            </w:r>
          </w:p>
        </w:tc>
        <w:tc>
          <w:tcPr>
            <w:tcW w:w="0" w:type="auto"/>
          </w:tcPr>
          <w:p>
            <w:pPr>
              <w:spacing w:line="240" w:lineRule="auto" w:before="0" w:after="0"/>
              <w:pStyle w:val="Compact"/>
            </w:pPr>
            <w:r>
              <w:rPr>
                <w:sz w:val="20"/>
                <w:szCs w:val="20"/>
              </w:rPr>
              <w:t xml:space="preserve">Mass 0.37 kg documented: NASA Mars MER APXS (mars.nasa.gov) and Washington U. an.rsl.wustl.edu MER APXS. Recurring cost reconstructed via NICM Particles CER (NICM VII, NASA 2015) along documented dollar-per-kg trend (JPL-CL-16-3895, NTRS 20190026811)</w:t>
            </w:r>
          </w:p>
        </w:tc>
      </w:tr>
      <w:tr>
        <w:tc>
          <w:tcPr>
            <w:tcW w:w="0" w:type="auto"/>
          </w:tcPr>
          <w:p>
            <w:pPr>
              <w:spacing w:line="240" w:lineRule="auto" w:before="0" w:after="0"/>
              <w:pStyle w:val="Compact"/>
            </w:pPr>
            <w:r>
              <w:rPr>
                <w:sz w:val="20"/>
                <w:szCs w:val="20"/>
              </w:rPr>
              <w:t xml:space="preserve">APXS-MER-B</w:t>
            </w:r>
          </w:p>
        </w:tc>
        <w:tc>
          <w:tcPr>
            <w:tcW w:w="0" w:type="auto"/>
          </w:tcPr>
          <w:p>
            <w:pPr>
              <w:spacing w:line="240" w:lineRule="auto" w:before="0" w:after="0"/>
              <w:pStyle w:val="Compact"/>
            </w:pPr>
            <w:r>
              <w:rPr>
                <w:sz w:val="20"/>
                <w:szCs w:val="20"/>
              </w:rPr>
              <w:t xml:space="preserve">APXS</w:t>
            </w:r>
          </w:p>
        </w:tc>
        <w:tc>
          <w:tcPr>
            <w:tcW w:w="0" w:type="auto"/>
          </w:tcPr>
          <w:p>
            <w:pPr>
              <w:spacing w:line="240" w:lineRule="auto" w:before="0" w:after="0"/>
              <w:pStyle w:val="Compact"/>
            </w:pPr>
            <w:r>
              <w:rPr>
                <w:sz w:val="20"/>
                <w:szCs w:val="20"/>
              </w:rPr>
              <w:t xml:space="preserve">MER Opportunity</w:t>
            </w:r>
          </w:p>
        </w:tc>
        <w:tc>
          <w:tcPr>
            <w:tcW w:w="0" w:type="auto"/>
          </w:tcPr>
          <w:p>
            <w:pPr>
              <w:spacing w:line="240" w:lineRule="auto" w:before="0" w:after="0"/>
              <w:pStyle w:val="Compact"/>
            </w:pPr>
            <w:r>
              <w:rPr>
                <w:sz w:val="20"/>
                <w:szCs w:val="20"/>
              </w:rPr>
              <w:t xml:space="preserve">2003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0.37</w:t>
            </w:r>
          </w:p>
        </w:tc>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Mass 0.37 kg documented: Rieder et al. 2003 J. Geophys. Res. Planets doi:10.1029/2003JE002150 Athena APXS (MER-B is build copy of MER-A). Recurring cost reconstructed via NICM Particles CER (NICM VII, NASA 2015), dollar-per-kg trend (JPL-CL-16-3895)</w:t>
            </w:r>
          </w:p>
        </w:tc>
      </w:tr>
      <w:tr>
        <w:tc>
          <w:tcPr>
            <w:tcW w:w="0" w:type="auto"/>
          </w:tcPr>
          <w:p>
            <w:pPr>
              <w:spacing w:line="240" w:lineRule="auto" w:before="0" w:after="0"/>
              <w:pStyle w:val="Compact"/>
            </w:pPr>
            <w:r>
              <w:rPr>
                <w:sz w:val="20"/>
                <w:szCs w:val="20"/>
              </w:rPr>
              <w:t xml:space="preserve">APXS-MSL</w:t>
            </w:r>
          </w:p>
        </w:tc>
        <w:tc>
          <w:tcPr>
            <w:tcW w:w="0" w:type="auto"/>
          </w:tcPr>
          <w:p>
            <w:pPr>
              <w:spacing w:line="240" w:lineRule="auto" w:before="0" w:after="0"/>
              <w:pStyle w:val="Compact"/>
            </w:pPr>
            <w:r>
              <w:rPr>
                <w:sz w:val="20"/>
                <w:szCs w:val="20"/>
              </w:rPr>
              <w:t xml:space="preserve">APXS</w:t>
            </w:r>
          </w:p>
        </w:tc>
        <w:tc>
          <w:tcPr>
            <w:tcW w:w="0" w:type="auto"/>
          </w:tcPr>
          <w:p>
            <w:pPr>
              <w:spacing w:line="240" w:lineRule="auto" w:before="0" w:after="0"/>
              <w:pStyle w:val="Compact"/>
            </w:pPr>
            <w:r>
              <w:rPr>
                <w:sz w:val="20"/>
                <w:szCs w:val="20"/>
              </w:rPr>
              <w:t xml:space="preserve">MSL Curiosity</w:t>
            </w:r>
          </w:p>
        </w:tc>
        <w:tc>
          <w:tcPr>
            <w:tcW w:w="0" w:type="auto"/>
          </w:tcPr>
          <w:p>
            <w:pPr>
              <w:spacing w:line="240" w:lineRule="auto" w:before="0" w:after="0"/>
              <w:pStyle w:val="Compact"/>
            </w:pPr>
            <w:r>
              <w:rPr>
                <w:sz w:val="20"/>
                <w:szCs w:val="20"/>
              </w:rPr>
              <w:t xml:space="preserve">2011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0.37</w:t>
            </w:r>
          </w:p>
        </w:tc>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Mass ~0.37 kg documented: Canadian Space Agency APXS page (asc-csa.gc.ca) and Gellert et al. APXS-for-MSL (researchgate 258360203): MSL APXS is updated MER/Pathfinder design. Recurring cost reconstructed via NICM Particles CER (NICM VII, NASA 2015), dollar-per-kg trend (JPL-CL-16-3895)</w:t>
            </w:r>
          </w:p>
        </w:tc>
      </w:tr>
      <w:tr>
        <w:tc>
          <w:tcPr>
            <w:tcW w:w="0" w:type="auto"/>
          </w:tcPr>
          <w:p>
            <w:pPr>
              <w:spacing w:line="240" w:lineRule="auto" w:before="0" w:after="0"/>
              <w:pStyle w:val="Compact"/>
            </w:pPr>
            <w:r>
              <w:rPr>
                <w:sz w:val="20"/>
                <w:szCs w:val="20"/>
              </w:rPr>
              <w:t xml:space="preserve">APXS-Chandrayaan</w:t>
            </w:r>
          </w:p>
        </w:tc>
        <w:tc>
          <w:tcPr>
            <w:tcW w:w="0" w:type="auto"/>
          </w:tcPr>
          <w:p>
            <w:pPr>
              <w:spacing w:line="240" w:lineRule="auto" w:before="0" w:after="0"/>
              <w:pStyle w:val="Compact"/>
            </w:pPr>
            <w:r>
              <w:rPr>
                <w:sz w:val="20"/>
                <w:szCs w:val="20"/>
              </w:rPr>
              <w:t xml:space="preserve">APXS</w:t>
            </w:r>
          </w:p>
        </w:tc>
        <w:tc>
          <w:tcPr>
            <w:tcW w:w="0" w:type="auto"/>
          </w:tcPr>
          <w:p>
            <w:pPr>
              <w:spacing w:line="240" w:lineRule="auto" w:before="0" w:after="0"/>
              <w:pStyle w:val="Compact"/>
            </w:pPr>
            <w:r>
              <w:rPr>
                <w:sz w:val="20"/>
                <w:szCs w:val="20"/>
              </w:rPr>
              <w:t xml:space="preserve">Chandrayaan-2 Pragyan</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0.5</w:t>
            </w:r>
          </w:p>
        </w:tc>
        <w:tc>
          <w:tcPr>
            <w:tcW w:w="0" w:type="auto"/>
          </w:tcPr>
          <w:p>
            <w:pPr>
              <w:spacing w:line="240" w:lineRule="auto" w:before="0" w:after="0"/>
              <w:pStyle w:val="Compact"/>
            </w:pPr>
            <w:r>
              <w:rPr>
                <w:sz w:val="20"/>
                <w:szCs w:val="20"/>
              </w:rPr>
              <w:t xml:space="preserve">1.95</w:t>
            </w:r>
          </w:p>
        </w:tc>
        <w:tc>
          <w:tcPr>
            <w:tcW w:w="0" w:type="auto"/>
          </w:tcPr>
          <w:p>
            <w:pPr>
              <w:spacing w:line="240" w:lineRule="auto" w:before="0" w:after="0"/>
              <w:pStyle w:val="Compact"/>
            </w:pPr>
            <w:r>
              <w:rPr>
                <w:sz w:val="20"/>
                <w:szCs w:val="20"/>
              </w:rPr>
              <w:t xml:space="preserve">Heritage documented: arXiv:1910.09232 APXS on-board Chandrayaan-2 Pragyan rover (heritage of MER/MSL APXS). Mass 0.50 kg [illustrative]; recurring cost reconstructed via NICM Particles CER (NICM VII, NASA 2015), dollar-per-kg trend (JPL-CL-16-3895)</w:t>
            </w:r>
          </w:p>
        </w:tc>
      </w:tr>
      <w:tr>
        <w:tc>
          <w:tcPr>
            <w:tcW w:w="0" w:type="auto"/>
          </w:tcPr>
          <w:p>
            <w:pPr>
              <w:spacing w:line="240" w:lineRule="auto" w:before="0" w:after="0"/>
              <w:pStyle w:val="Compact"/>
            </w:pPr>
            <w:r>
              <w:rPr>
                <w:sz w:val="20"/>
                <w:szCs w:val="20"/>
              </w:rPr>
              <w:t xml:space="preserve">MARCI-MCO</w:t>
            </w:r>
          </w:p>
        </w:tc>
        <w:tc>
          <w:tcPr>
            <w:tcW w:w="0" w:type="auto"/>
          </w:tcPr>
          <w:p>
            <w:pPr>
              <w:spacing w:line="240" w:lineRule="auto" w:before="0" w:after="0"/>
              <w:pStyle w:val="Compact"/>
            </w:pPr>
            <w:r>
              <w:rPr>
                <w:sz w:val="20"/>
                <w:szCs w:val="20"/>
              </w:rPr>
              <w:t xml:space="preserve">MSSS_MMM</w:t>
            </w:r>
          </w:p>
        </w:tc>
        <w:tc>
          <w:tcPr>
            <w:tcW w:w="0" w:type="auto"/>
          </w:tcPr>
          <w:p>
            <w:pPr>
              <w:spacing w:line="240" w:lineRule="auto" w:before="0" w:after="0"/>
              <w:pStyle w:val="Compact"/>
            </w:pPr>
            <w:r>
              <w:rPr>
                <w:sz w:val="20"/>
                <w:szCs w:val="20"/>
              </w:rPr>
              <w:t xml:space="preserve">Mars Climate Orbiter</w:t>
            </w:r>
          </w:p>
        </w:tc>
        <w:tc>
          <w:tcPr>
            <w:tcW w:w="0" w:type="auto"/>
          </w:tcPr>
          <w:p>
            <w:pPr>
              <w:spacing w:line="240" w:lineRule="auto" w:before="0" w:after="0"/>
              <w:pStyle w:val="Compact"/>
            </w:pPr>
            <w:r>
              <w:rPr>
                <w:sz w:val="20"/>
                <w:szCs w:val="20"/>
              </w:rPr>
              <w:t xml:space="preserve">1998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0.49</w:t>
            </w:r>
          </w:p>
        </w:tc>
        <w:tc>
          <w:tcPr>
            <w:tcW w:w="0" w:type="auto"/>
          </w:tcPr>
          <w:p>
            <w:pPr>
              <w:spacing w:line="240" w:lineRule="auto" w:before="0" w:after="0"/>
              <w:pStyle w:val="Compact"/>
            </w:pPr>
            <w:r>
              <w:rPr>
                <w:sz w:val="20"/>
                <w:szCs w:val="20"/>
              </w:rPr>
              <w:t xml:space="preserve">6.2</w:t>
            </w:r>
          </w:p>
        </w:tc>
        <w:tc>
          <w:tcPr>
            <w:tcW w:w="0" w:type="auto"/>
          </w:tcPr>
          <w:p>
            <w:pPr>
              <w:spacing w:line="240" w:lineRule="auto" w:before="0" w:after="0"/>
              <w:pStyle w:val="Compact"/>
            </w:pPr>
            <w:r>
              <w:rPr>
                <w:sz w:val="20"/>
                <w:szCs w:val="20"/>
              </w:rPr>
              <w:t xml:space="preserve">Mass &lt;0.5 kg documented: MSSS MRO MARCI description (msss.com/mro/marci/description.html, package &lt;500 g) and USGS Mars Color Imager on MCO (pubs.usgs.gov/publication/70023361); first MARCI build 1998. Recurring cost reconstructed via NICM Planetary Optical CER (NICM VII, NASA 2015)</w:t>
            </w:r>
          </w:p>
        </w:tc>
      </w:tr>
      <w:tr>
        <w:tc>
          <w:tcPr>
            <w:tcW w:w="0" w:type="auto"/>
          </w:tcPr>
          <w:p>
            <w:pPr>
              <w:spacing w:line="240" w:lineRule="auto" w:before="0" w:after="0"/>
              <w:pStyle w:val="Compact"/>
            </w:pPr>
            <w:r>
              <w:rPr>
                <w:sz w:val="20"/>
                <w:szCs w:val="20"/>
              </w:rPr>
              <w:t xml:space="preserve">MARDI-MPL</w:t>
            </w:r>
          </w:p>
        </w:tc>
        <w:tc>
          <w:tcPr>
            <w:tcW w:w="0" w:type="auto"/>
          </w:tcPr>
          <w:p>
            <w:pPr>
              <w:spacing w:line="240" w:lineRule="auto" w:before="0" w:after="0"/>
              <w:pStyle w:val="Compact"/>
            </w:pPr>
            <w:r>
              <w:rPr>
                <w:sz w:val="20"/>
                <w:szCs w:val="20"/>
              </w:rPr>
              <w:t xml:space="preserve">MSSS_MMM</w:t>
            </w:r>
          </w:p>
        </w:tc>
        <w:tc>
          <w:tcPr>
            <w:tcW w:w="0" w:type="auto"/>
          </w:tcPr>
          <w:p>
            <w:pPr>
              <w:spacing w:line="240" w:lineRule="auto" w:before="0" w:after="0"/>
              <w:pStyle w:val="Compact"/>
            </w:pPr>
            <w:r>
              <w:rPr>
                <w:sz w:val="20"/>
                <w:szCs w:val="20"/>
              </w:rPr>
              <w:t xml:space="preserve">Mars Polar Lander</w:t>
            </w:r>
          </w:p>
        </w:tc>
        <w:tc>
          <w:tcPr>
            <w:tcW w:w="0" w:type="auto"/>
          </w:tcPr>
          <w:p>
            <w:pPr>
              <w:spacing w:line="240" w:lineRule="auto" w:before="0" w:after="0"/>
              <w:pStyle w:val="Compact"/>
            </w:pPr>
            <w:r>
              <w:rPr>
                <w:sz w:val="20"/>
                <w:szCs w:val="20"/>
              </w:rPr>
              <w:t xml:space="preserve">1998</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0.5</w:t>
            </w:r>
          </w:p>
        </w:tc>
        <w:tc>
          <w:tcPr>
            <w:tcW w:w="0" w:type="auto"/>
          </w:tcPr>
          <w:p>
            <w:pPr>
              <w:spacing w:line="240" w:lineRule="auto" w:before="0" w:after="0"/>
              <w:pStyle w:val="Compact"/>
            </w:pPr>
            <w:r>
              <w:rPr>
                <w:sz w:val="20"/>
                <w:szCs w:val="20"/>
              </w:rPr>
              <w:t xml:space="preserve">4.8</w:t>
            </w:r>
          </w:p>
        </w:tc>
        <w:tc>
          <w:tcPr>
            <w:tcW w:w="0" w:type="auto"/>
          </w:tcPr>
          <w:p>
            <w:pPr>
              <w:spacing w:line="240" w:lineRule="auto" w:before="0" w:after="0"/>
              <w:pStyle w:val="Compact"/>
            </w:pPr>
            <w:r>
              <w:rPr>
                <w:sz w:val="20"/>
                <w:szCs w:val="20"/>
              </w:rPr>
              <w:t xml:space="preserve">Lineage documented: msss.com/all_projects MARDI Mars Polar Lander build (1998); shared MSSS imaging electronics. Mass 0.50 kg [illustrative]; recurring cost reconstructed via NICM Planetary Optical CER (NICM VII, NASA 2015)</w:t>
            </w:r>
          </w:p>
        </w:tc>
      </w:tr>
      <w:tr>
        <w:tc>
          <w:tcPr>
            <w:tcW w:w="0" w:type="auto"/>
          </w:tcPr>
          <w:p>
            <w:pPr>
              <w:spacing w:line="240" w:lineRule="auto" w:before="0" w:after="0"/>
              <w:pStyle w:val="Compact"/>
            </w:pPr>
            <w:r>
              <w:rPr>
                <w:sz w:val="20"/>
                <w:szCs w:val="20"/>
              </w:rPr>
              <w:t xml:space="preserve">MARCI-MRO</w:t>
            </w:r>
          </w:p>
        </w:tc>
        <w:tc>
          <w:tcPr>
            <w:tcW w:w="0" w:type="auto"/>
          </w:tcPr>
          <w:p>
            <w:pPr>
              <w:spacing w:line="240" w:lineRule="auto" w:before="0" w:after="0"/>
              <w:pStyle w:val="Compact"/>
            </w:pPr>
            <w:r>
              <w:rPr>
                <w:sz w:val="20"/>
                <w:szCs w:val="20"/>
              </w:rPr>
              <w:t xml:space="preserve">MSSS_MMM</w:t>
            </w:r>
          </w:p>
        </w:tc>
        <w:tc>
          <w:tcPr>
            <w:tcW w:w="0" w:type="auto"/>
          </w:tcPr>
          <w:p>
            <w:pPr>
              <w:spacing w:line="240" w:lineRule="auto" w:before="0" w:after="0"/>
              <w:pStyle w:val="Compact"/>
            </w:pPr>
            <w:r>
              <w:rPr>
                <w:sz w:val="20"/>
                <w:szCs w:val="20"/>
              </w:rPr>
              <w:t xml:space="preserve">Mars Reconnaissance Orbiter</w:t>
            </w:r>
          </w:p>
        </w:tc>
        <w:tc>
          <w:tcPr>
            <w:tcW w:w="0" w:type="auto"/>
          </w:tcPr>
          <w:p>
            <w:pPr>
              <w:spacing w:line="240" w:lineRule="auto" w:before="0" w:after="0"/>
              <w:pStyle w:val="Compact"/>
            </w:pPr>
            <w:r>
              <w:rPr>
                <w:sz w:val="20"/>
                <w:szCs w:val="20"/>
              </w:rPr>
              <w:t xml:space="preserve">2005</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0.49</w:t>
            </w:r>
          </w:p>
        </w:tc>
        <w:tc>
          <w:tcPr>
            <w:tcW w:w="0" w:type="auto"/>
          </w:tcPr>
          <w:p>
            <w:pPr>
              <w:spacing w:line="240" w:lineRule="auto" w:before="0" w:after="0"/>
              <w:pStyle w:val="Compact"/>
            </w:pPr>
            <w:r>
              <w:rPr>
                <w:sz w:val="20"/>
                <w:szCs w:val="20"/>
              </w:rPr>
              <w:t xml:space="preserve">4.2</w:t>
            </w:r>
          </w:p>
        </w:tc>
        <w:tc>
          <w:tcPr>
            <w:tcW w:w="0" w:type="auto"/>
          </w:tcPr>
          <w:p>
            <w:pPr>
              <w:spacing w:line="240" w:lineRule="auto" w:before="0" w:after="0"/>
              <w:pStyle w:val="Compact"/>
            </w:pPr>
            <w:r>
              <w:rPr>
                <w:sz w:val="20"/>
                <w:szCs w:val="20"/>
              </w:rPr>
              <w:t xml:space="preserve">Mass &lt;0.5 kg documented: MSSS MRO MARCI description (msss.com/mro/marci/description.html, package &lt;500 g); MARCI rebuild for MRO 2005. Recurring cost reconstructed via NICM Planetary Optical CER (NICM VII, NASA 2015)</w:t>
            </w:r>
          </w:p>
        </w:tc>
      </w:tr>
      <w:tr>
        <w:tc>
          <w:tcPr>
            <w:tcW w:w="0" w:type="auto"/>
          </w:tcPr>
          <w:p>
            <w:pPr>
              <w:spacing w:line="240" w:lineRule="auto" w:before="0" w:after="0"/>
              <w:pStyle w:val="Compact"/>
            </w:pPr>
            <w:r>
              <w:rPr>
                <w:sz w:val="20"/>
                <w:szCs w:val="20"/>
              </w:rPr>
              <w:t xml:space="preserve">CTX-MRO</w:t>
            </w:r>
          </w:p>
        </w:tc>
        <w:tc>
          <w:tcPr>
            <w:tcW w:w="0" w:type="auto"/>
          </w:tcPr>
          <w:p>
            <w:pPr>
              <w:spacing w:line="240" w:lineRule="auto" w:before="0" w:after="0"/>
              <w:pStyle w:val="Compact"/>
            </w:pPr>
            <w:r>
              <w:rPr>
                <w:sz w:val="20"/>
                <w:szCs w:val="20"/>
              </w:rPr>
              <w:t xml:space="preserve">MSSS_MMM</w:t>
            </w:r>
          </w:p>
        </w:tc>
        <w:tc>
          <w:tcPr>
            <w:tcW w:w="0" w:type="auto"/>
          </w:tcPr>
          <w:p>
            <w:pPr>
              <w:spacing w:line="240" w:lineRule="auto" w:before="0" w:after="0"/>
              <w:pStyle w:val="Compact"/>
            </w:pPr>
            <w:r>
              <w:rPr>
                <w:sz w:val="20"/>
                <w:szCs w:val="20"/>
              </w:rPr>
              <w:t xml:space="preserve">Mars Reconnaissance Orbiter</w:t>
            </w:r>
          </w:p>
        </w:tc>
        <w:tc>
          <w:tcPr>
            <w:tcW w:w="0" w:type="auto"/>
          </w:tcPr>
          <w:p>
            <w:pPr>
              <w:spacing w:line="240" w:lineRule="auto" w:before="0" w:after="0"/>
              <w:pStyle w:val="Compact"/>
            </w:pPr>
            <w:r>
              <w:rPr>
                <w:sz w:val="20"/>
                <w:szCs w:val="20"/>
              </w:rPr>
              <w:t xml:space="preserve">2005</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3.95</w:t>
            </w:r>
          </w:p>
        </w:tc>
        <w:tc>
          <w:tcPr>
            <w:tcW w:w="0" w:type="auto"/>
          </w:tcPr>
          <w:p>
            <w:pPr>
              <w:spacing w:line="240" w:lineRule="auto" w:before="0" w:after="0"/>
              <w:pStyle w:val="Compact"/>
            </w:pPr>
            <w:r>
              <w:rPr>
                <w:sz w:val="20"/>
                <w:szCs w:val="20"/>
              </w:rPr>
              <w:t xml:space="preserve">Lineage documented: msss.com/all_projects/mro-ctx Context Camera; MSSS shared-electronics camera family. Mass 2.50 kg [illustrative]; recurring cost reconstructed via NICM Planetary Optical CER (NICM VII, NASA 2015)</w:t>
            </w:r>
          </w:p>
        </w:tc>
      </w:tr>
      <w:tr>
        <w:tc>
          <w:tcPr>
            <w:tcW w:w="0" w:type="auto"/>
          </w:tcPr>
          <w:p>
            <w:pPr>
              <w:spacing w:line="240" w:lineRule="auto" w:before="0" w:after="0"/>
              <w:pStyle w:val="Compact"/>
            </w:pPr>
            <w:r>
              <w:rPr>
                <w:sz w:val="20"/>
                <w:szCs w:val="20"/>
              </w:rPr>
              <w:t xml:space="preserve">MARDI-Phoenix</w:t>
            </w:r>
          </w:p>
        </w:tc>
        <w:tc>
          <w:tcPr>
            <w:tcW w:w="0" w:type="auto"/>
          </w:tcPr>
          <w:p>
            <w:pPr>
              <w:spacing w:line="240" w:lineRule="auto" w:before="0" w:after="0"/>
              <w:pStyle w:val="Compact"/>
            </w:pPr>
            <w:r>
              <w:rPr>
                <w:sz w:val="20"/>
                <w:szCs w:val="20"/>
              </w:rPr>
              <w:t xml:space="preserve">MSSS_MMM</w:t>
            </w:r>
          </w:p>
        </w:tc>
        <w:tc>
          <w:tcPr>
            <w:tcW w:w="0" w:type="auto"/>
          </w:tcPr>
          <w:p>
            <w:pPr>
              <w:spacing w:line="240" w:lineRule="auto" w:before="0" w:after="0"/>
              <w:pStyle w:val="Compact"/>
            </w:pPr>
            <w:r>
              <w:rPr>
                <w:sz w:val="20"/>
                <w:szCs w:val="20"/>
              </w:rPr>
              <w:t xml:space="preserve">Phoenix</w:t>
            </w:r>
          </w:p>
        </w:tc>
        <w:tc>
          <w:tcPr>
            <w:tcW w:w="0" w:type="auto"/>
          </w:tcPr>
          <w:p>
            <w:pPr>
              <w:spacing w:line="240" w:lineRule="auto" w:before="0" w:after="0"/>
              <w:pStyle w:val="Compact"/>
            </w:pPr>
            <w:r>
              <w:rPr>
                <w:sz w:val="20"/>
                <w:szCs w:val="20"/>
              </w:rPr>
              <w:t xml:space="preserve">2007</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0.5</w:t>
            </w:r>
          </w:p>
        </w:tc>
        <w:tc>
          <w:tcPr>
            <w:tcW w:w="0" w:type="auto"/>
          </w:tcPr>
          <w:p>
            <w:pPr>
              <w:spacing w:line="240" w:lineRule="auto" w:before="0" w:after="0"/>
              <w:pStyle w:val="Compact"/>
            </w:pPr>
            <w:r>
              <w:rPr>
                <w:sz w:val="20"/>
                <w:szCs w:val="20"/>
              </w:rPr>
              <w:t xml:space="preserve">3.4</w:t>
            </w:r>
          </w:p>
        </w:tc>
        <w:tc>
          <w:tcPr>
            <w:tcW w:w="0" w:type="auto"/>
          </w:tcPr>
          <w:p>
            <w:pPr>
              <w:spacing w:line="240" w:lineRule="auto" w:before="0" w:after="0"/>
              <w:pStyle w:val="Compact"/>
            </w:pPr>
            <w:r>
              <w:rPr>
                <w:sz w:val="20"/>
                <w:szCs w:val="20"/>
              </w:rPr>
              <w:t xml:space="preserve">Lineage documented: msss.com/all_projects MARDI Phoenix build (2007); MSSS imaging electronics. Mass 0.50 kg [illustrative]; recurring cost reconstructed via NICM Planetary Optical CER (NICM VII, NASA 2015)</w:t>
            </w:r>
          </w:p>
        </w:tc>
      </w:tr>
      <w:tr>
        <w:tc>
          <w:tcPr>
            <w:tcW w:w="0" w:type="auto"/>
          </w:tcPr>
          <w:p>
            <w:pPr>
              <w:spacing w:line="240" w:lineRule="auto" w:before="0" w:after="0"/>
              <w:pStyle w:val="Compact"/>
            </w:pPr>
            <w:r>
              <w:rPr>
                <w:sz w:val="20"/>
                <w:szCs w:val="20"/>
              </w:rPr>
              <w:t xml:space="preserve">MARDI-MSL</w:t>
            </w:r>
          </w:p>
        </w:tc>
        <w:tc>
          <w:tcPr>
            <w:tcW w:w="0" w:type="auto"/>
          </w:tcPr>
          <w:p>
            <w:pPr>
              <w:spacing w:line="240" w:lineRule="auto" w:before="0" w:after="0"/>
              <w:pStyle w:val="Compact"/>
            </w:pPr>
            <w:r>
              <w:rPr>
                <w:sz w:val="20"/>
                <w:szCs w:val="20"/>
              </w:rPr>
              <w:t xml:space="preserve">MSSS_MMM</w:t>
            </w:r>
          </w:p>
        </w:tc>
        <w:tc>
          <w:tcPr>
            <w:tcW w:w="0" w:type="auto"/>
          </w:tcPr>
          <w:p>
            <w:pPr>
              <w:spacing w:line="240" w:lineRule="auto" w:before="0" w:after="0"/>
              <w:pStyle w:val="Compact"/>
            </w:pPr>
            <w:r>
              <w:rPr>
                <w:sz w:val="20"/>
                <w:szCs w:val="20"/>
              </w:rPr>
              <w:t xml:space="preserve">MSL Curiosity</w:t>
            </w:r>
          </w:p>
        </w:tc>
        <w:tc>
          <w:tcPr>
            <w:tcW w:w="0" w:type="auto"/>
          </w:tcPr>
          <w:p>
            <w:pPr>
              <w:spacing w:line="240" w:lineRule="auto" w:before="0" w:after="0"/>
              <w:pStyle w:val="Compact"/>
            </w:pPr>
            <w:r>
              <w:rPr>
                <w:sz w:val="20"/>
                <w:szCs w:val="20"/>
              </w:rPr>
              <w:t xml:space="preserve">2011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0.5</w:t>
            </w:r>
          </w:p>
        </w:tc>
        <w:tc>
          <w:tcPr>
            <w:tcW w:w="0" w:type="auto"/>
          </w:tcPr>
          <w:p>
            <w:pPr>
              <w:spacing w:line="240" w:lineRule="auto" w:before="0" w:after="0"/>
              <w:pStyle w:val="Compact"/>
            </w:pPr>
            <w:r>
              <w:rPr>
                <w:sz w:val="20"/>
                <w:szCs w:val="20"/>
              </w:rPr>
              <w:t xml:space="preserve">2.9</w:t>
            </w:r>
          </w:p>
        </w:tc>
        <w:tc>
          <w:tcPr>
            <w:tcW w:w="0" w:type="auto"/>
          </w:tcPr>
          <w:p>
            <w:pPr>
              <w:spacing w:line="240" w:lineRule="auto" w:before="0" w:after="0"/>
              <w:pStyle w:val="Compact"/>
            </w:pPr>
            <w:r>
              <w:rPr>
                <w:sz w:val="20"/>
                <w:szCs w:val="20"/>
              </w:rPr>
              <w:t xml:space="preserve">Documented: Malin et al. 2017 Earth &amp; Space Science doi:10.1002/2016EA000252 MSL MARDI; part of documented 18.9M USD 3-camera MMM contract w/ shared DEA electronics (msss.com). Mass 0.50 kg [illustrative]; cost is share of documented MSL MMM contract</w:t>
            </w:r>
          </w:p>
        </w:tc>
      </w:tr>
      <w:tr>
        <w:tc>
          <w:tcPr>
            <w:tcW w:w="0" w:type="auto"/>
          </w:tcPr>
          <w:p>
            <w:pPr>
              <w:spacing w:line="240" w:lineRule="auto" w:before="0" w:after="0"/>
              <w:pStyle w:val="Compact"/>
            </w:pPr>
            <w:r>
              <w:rPr>
                <w:sz w:val="20"/>
                <w:szCs w:val="20"/>
              </w:rPr>
              <w:t xml:space="preserve">MAHLI-MSL</w:t>
            </w:r>
          </w:p>
        </w:tc>
        <w:tc>
          <w:tcPr>
            <w:tcW w:w="0" w:type="auto"/>
          </w:tcPr>
          <w:p>
            <w:pPr>
              <w:spacing w:line="240" w:lineRule="auto" w:before="0" w:after="0"/>
              <w:pStyle w:val="Compact"/>
            </w:pPr>
            <w:r>
              <w:rPr>
                <w:sz w:val="20"/>
                <w:szCs w:val="20"/>
              </w:rPr>
              <w:t xml:space="preserve">MSSS_MMM</w:t>
            </w:r>
          </w:p>
        </w:tc>
        <w:tc>
          <w:tcPr>
            <w:tcW w:w="0" w:type="auto"/>
          </w:tcPr>
          <w:p>
            <w:pPr>
              <w:spacing w:line="240" w:lineRule="auto" w:before="0" w:after="0"/>
              <w:pStyle w:val="Compact"/>
            </w:pPr>
            <w:r>
              <w:rPr>
                <w:sz w:val="20"/>
                <w:szCs w:val="20"/>
              </w:rPr>
              <w:t xml:space="preserve">MSL Curiosity</w:t>
            </w:r>
          </w:p>
        </w:tc>
        <w:tc>
          <w:tcPr>
            <w:tcW w:w="0" w:type="auto"/>
          </w:tcPr>
          <w:p>
            <w:pPr>
              <w:spacing w:line="240" w:lineRule="auto" w:before="0" w:after="0"/>
              <w:pStyle w:val="Compact"/>
            </w:pPr>
            <w:r>
              <w:rPr>
                <w:sz w:val="20"/>
                <w:szCs w:val="20"/>
              </w:rPr>
              <w:t xml:space="preserve">2011</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0.58</w:t>
            </w:r>
          </w:p>
        </w:tc>
        <w:tc>
          <w:tcPr>
            <w:tcW w:w="0" w:type="auto"/>
          </w:tcPr>
          <w:p>
            <w:pPr>
              <w:spacing w:line="240" w:lineRule="auto" w:before="0" w:after="0"/>
              <w:pStyle w:val="Compact"/>
            </w:pPr>
            <w:r>
              <w:rPr>
                <w:sz w:val="20"/>
                <w:szCs w:val="20"/>
              </w:rPr>
              <w:t xml:space="preserve">3.1</w:t>
            </w:r>
          </w:p>
        </w:tc>
        <w:tc>
          <w:tcPr>
            <w:tcW w:w="0" w:type="auto"/>
          </w:tcPr>
          <w:p>
            <w:pPr>
              <w:spacing w:line="240" w:lineRule="auto" w:before="0" w:after="0"/>
              <w:pStyle w:val="Compact"/>
            </w:pPr>
            <w:r>
              <w:rPr>
                <w:sz w:val="20"/>
                <w:szCs w:val="20"/>
              </w:rPr>
              <w:t xml:space="preserve">Documented: Edgett et al. 2012 Space Sci Rev doi:10.1007/s11214-012-9910-4 MAHLI; part of documented 18.9M USD 3-camera MMM contract (msss.com). Mass 0.58 kg [illustrative]; cost is share of MSL MMM contract</w:t>
            </w:r>
          </w:p>
        </w:tc>
      </w:tr>
      <w:tr>
        <w:tc>
          <w:tcPr>
            <w:tcW w:w="0" w:type="auto"/>
          </w:tcPr>
          <w:p>
            <w:pPr>
              <w:spacing w:line="240" w:lineRule="auto" w:before="0" w:after="0"/>
              <w:pStyle w:val="Compact"/>
            </w:pPr>
            <w:r>
              <w:rPr>
                <w:sz w:val="20"/>
                <w:szCs w:val="20"/>
              </w:rPr>
              <w:t xml:space="preserve">Mastcam-MSL</w:t>
            </w:r>
          </w:p>
        </w:tc>
        <w:tc>
          <w:tcPr>
            <w:tcW w:w="0" w:type="auto"/>
          </w:tcPr>
          <w:p>
            <w:pPr>
              <w:spacing w:line="240" w:lineRule="auto" w:before="0" w:after="0"/>
              <w:pStyle w:val="Compact"/>
            </w:pPr>
            <w:r>
              <w:rPr>
                <w:sz w:val="20"/>
                <w:szCs w:val="20"/>
              </w:rPr>
              <w:t xml:space="preserve">MSSS_MMM</w:t>
            </w:r>
          </w:p>
        </w:tc>
        <w:tc>
          <w:tcPr>
            <w:tcW w:w="0" w:type="auto"/>
          </w:tcPr>
          <w:p>
            <w:pPr>
              <w:spacing w:line="240" w:lineRule="auto" w:before="0" w:after="0"/>
              <w:pStyle w:val="Compact"/>
            </w:pPr>
            <w:r>
              <w:rPr>
                <w:sz w:val="20"/>
                <w:szCs w:val="20"/>
              </w:rPr>
              <w:t xml:space="preserve">MSL Curiosity</w:t>
            </w:r>
          </w:p>
        </w:tc>
        <w:tc>
          <w:tcPr>
            <w:tcW w:w="0" w:type="auto"/>
          </w:tcPr>
          <w:p>
            <w:pPr>
              <w:spacing w:line="240" w:lineRule="auto" w:before="0" w:after="0"/>
              <w:pStyle w:val="Compact"/>
            </w:pPr>
            <w:r>
              <w:rPr>
                <w:sz w:val="20"/>
                <w:szCs w:val="20"/>
              </w:rPr>
              <w:t xml:space="preserve">2011</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1.38</w:t>
            </w:r>
          </w:p>
        </w:tc>
        <w:tc>
          <w:tcPr>
            <w:tcW w:w="0" w:type="auto"/>
          </w:tcPr>
          <w:p>
            <w:pPr>
              <w:spacing w:line="240" w:lineRule="auto" w:before="0" w:after="0"/>
              <w:pStyle w:val="Compact"/>
            </w:pPr>
            <w:r>
              <w:rPr>
                <w:sz w:val="20"/>
                <w:szCs w:val="20"/>
              </w:rPr>
              <w:t xml:space="preserve">5.6</w:t>
            </w:r>
          </w:p>
        </w:tc>
        <w:tc>
          <w:tcPr>
            <w:tcW w:w="0" w:type="auto"/>
          </w:tcPr>
          <w:p>
            <w:pPr>
              <w:spacing w:line="240" w:lineRule="auto" w:before="0" w:after="0"/>
              <w:pStyle w:val="Compact"/>
            </w:pPr>
            <w:r>
              <w:rPr>
                <w:sz w:val="20"/>
                <w:szCs w:val="20"/>
              </w:rPr>
              <w:t xml:space="preserve">Mass 1.38 kg/head documented: Malin et al. 2017 doi:10.1002/2016EA000252 and msss.com MSL Mastcam; part of documented 18.9M USD MMM 3-camera contract. Cost is share of MSL MMM contract</w:t>
            </w:r>
          </w:p>
        </w:tc>
      </w:tr>
      <w:tr>
        <w:tc>
          <w:tcPr>
            <w:tcW w:w="0" w:type="auto"/>
          </w:tcPr>
          <w:p>
            <w:pPr>
              <w:spacing w:line="240" w:lineRule="auto" w:before="0" w:after="0"/>
              <w:pStyle w:val="Compact"/>
            </w:pPr>
            <w:r>
              <w:rPr>
                <w:sz w:val="20"/>
                <w:szCs w:val="20"/>
              </w:rPr>
              <w:t xml:space="preserve">MastcamZ-M2020</w:t>
            </w:r>
          </w:p>
        </w:tc>
        <w:tc>
          <w:tcPr>
            <w:tcW w:w="0" w:type="auto"/>
          </w:tcPr>
          <w:p>
            <w:pPr>
              <w:spacing w:line="240" w:lineRule="auto" w:before="0" w:after="0"/>
              <w:pStyle w:val="Compact"/>
            </w:pPr>
            <w:r>
              <w:rPr>
                <w:sz w:val="20"/>
                <w:szCs w:val="20"/>
              </w:rPr>
              <w:t xml:space="preserve">MSSS_MMM</w:t>
            </w:r>
          </w:p>
        </w:tc>
        <w:tc>
          <w:tcPr>
            <w:tcW w:w="0" w:type="auto"/>
          </w:tcPr>
          <w:p>
            <w:pPr>
              <w:spacing w:line="240" w:lineRule="auto" w:before="0" w:after="0"/>
              <w:pStyle w:val="Compact"/>
            </w:pPr>
            <w:r>
              <w:rPr>
                <w:sz w:val="20"/>
                <w:szCs w:val="20"/>
              </w:rPr>
              <w:t xml:space="preserve">Mars 2020 Perseverance</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2.85</w:t>
            </w:r>
          </w:p>
        </w:tc>
        <w:tc>
          <w:tcPr>
            <w:tcW w:w="0" w:type="auto"/>
          </w:tcPr>
          <w:p>
            <w:pPr>
              <w:spacing w:line="240" w:lineRule="auto" w:before="0" w:after="0"/>
              <w:pStyle w:val="Compact"/>
            </w:pPr>
            <w:r>
              <w:rPr>
                <w:sz w:val="20"/>
                <w:szCs w:val="20"/>
              </w:rPr>
              <w:t xml:space="preserve">7.2</w:t>
            </w:r>
          </w:p>
        </w:tc>
        <w:tc>
          <w:tcPr>
            <w:tcW w:w="0" w:type="auto"/>
          </w:tcPr>
          <w:p>
            <w:pPr>
              <w:spacing w:line="240" w:lineRule="auto" w:before="0" w:after="0"/>
              <w:pStyle w:val="Compact"/>
            </w:pPr>
            <w:r>
              <w:rPr>
                <w:sz w:val="20"/>
                <w:szCs w:val="20"/>
              </w:rPr>
              <w:t xml:space="preserve">Mass documented: Bell et al. 2021 Space Sci Rev doi:10.1007/s11214-020-00755-x and mastcamz.asu.edu tech-specs (1.38 kg/head x2 + 1.47 kg DEA). MSSS camera family successor; recurring cost reconstructed via NICM Planetary Optical CER (NICM VII, NASA 2015)</w:t>
            </w:r>
          </w:p>
        </w:tc>
      </w:tr>
      <w:tr>
        <w:tc>
          <w:tcPr>
            <w:tcW w:w="0" w:type="auto"/>
          </w:tcPr>
          <w:p>
            <w:pPr>
              <w:spacing w:line="240" w:lineRule="auto" w:before="0" w:after="0"/>
              <w:pStyle w:val="Compact"/>
            </w:pPr>
            <w:r>
              <w:rPr>
                <w:sz w:val="20"/>
                <w:szCs w:val="20"/>
              </w:rPr>
              <w:t xml:space="preserve">MAG-Voyager1</w:t>
            </w:r>
          </w:p>
        </w:tc>
        <w:tc>
          <w:tcPr>
            <w:tcW w:w="0" w:type="auto"/>
          </w:tcPr>
          <w:p>
            <w:pPr>
              <w:spacing w:line="240" w:lineRule="auto" w:before="0" w:after="0"/>
              <w:pStyle w:val="Compact"/>
            </w:pPr>
            <w:r>
              <w:rPr>
                <w:sz w:val="20"/>
                <w:szCs w:val="20"/>
              </w:rPr>
              <w:t xml:space="preserve">FGM</w:t>
            </w:r>
          </w:p>
        </w:tc>
        <w:tc>
          <w:tcPr>
            <w:tcW w:w="0" w:type="auto"/>
          </w:tcPr>
          <w:p>
            <w:pPr>
              <w:spacing w:line="240" w:lineRule="auto" w:before="0" w:after="0"/>
              <w:pStyle w:val="Compact"/>
            </w:pPr>
            <w:r>
              <w:rPr>
                <w:sz w:val="20"/>
                <w:szCs w:val="20"/>
              </w:rPr>
              <w:t xml:space="preserve">Voyager 1</w:t>
            </w:r>
          </w:p>
        </w:tc>
        <w:tc>
          <w:tcPr>
            <w:tcW w:w="0" w:type="auto"/>
          </w:tcPr>
          <w:p>
            <w:pPr>
              <w:spacing w:line="240" w:lineRule="auto" w:before="0" w:after="0"/>
              <w:pStyle w:val="Compact"/>
            </w:pPr>
            <w:r>
              <w:rPr>
                <w:sz w:val="20"/>
                <w:szCs w:val="20"/>
              </w:rPr>
              <w:t xml:space="preserve">1977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5.6</w:t>
            </w:r>
          </w:p>
        </w:tc>
        <w:tc>
          <w:tcPr>
            <w:tcW w:w="0" w:type="auto"/>
          </w:tcPr>
          <w:p>
            <w:pPr>
              <w:spacing w:line="240" w:lineRule="auto" w:before="0" w:after="0"/>
              <w:pStyle w:val="Compact"/>
            </w:pPr>
            <w:r>
              <w:rPr>
                <w:sz w:val="20"/>
                <w:szCs w:val="20"/>
              </w:rPr>
              <w:t xml:space="preserve">4.5</w:t>
            </w:r>
          </w:p>
        </w:tc>
        <w:tc>
          <w:tcPr>
            <w:tcW w:w="0" w:type="auto"/>
          </w:tcPr>
          <w:p>
            <w:pPr>
              <w:spacing w:line="240" w:lineRule="auto" w:before="0" w:after="0"/>
              <w:pStyle w:val="Compact"/>
            </w:pPr>
            <w:r>
              <w:rPr>
                <w:sz w:val="20"/>
                <w:szCs w:val="20"/>
              </w:rPr>
              <w:t xml:space="preserve">Mass 5.6 kg documented: NSSDCA Voyager Triaxial Fluxgate Magnetometer (nssdc.gsfc.nasa.gov experiment 1977-076A-05). Recurring cost reconstructed via NICM Fields CER (NICM VII, NASA 2015)</w:t>
            </w:r>
          </w:p>
        </w:tc>
      </w:tr>
      <w:tr>
        <w:tc>
          <w:tcPr>
            <w:tcW w:w="0" w:type="auto"/>
          </w:tcPr>
          <w:p>
            <w:pPr>
              <w:spacing w:line="240" w:lineRule="auto" w:before="0" w:after="0"/>
              <w:pStyle w:val="Compact"/>
            </w:pPr>
            <w:r>
              <w:rPr>
                <w:sz w:val="20"/>
                <w:szCs w:val="20"/>
              </w:rPr>
              <w:t xml:space="preserve">MAG-Voyager2</w:t>
            </w:r>
          </w:p>
        </w:tc>
        <w:tc>
          <w:tcPr>
            <w:tcW w:w="0" w:type="auto"/>
          </w:tcPr>
          <w:p>
            <w:pPr>
              <w:spacing w:line="240" w:lineRule="auto" w:before="0" w:after="0"/>
              <w:pStyle w:val="Compact"/>
            </w:pPr>
            <w:r>
              <w:rPr>
                <w:sz w:val="20"/>
                <w:szCs w:val="20"/>
              </w:rPr>
              <w:t xml:space="preserve">FGM</w:t>
            </w:r>
          </w:p>
        </w:tc>
        <w:tc>
          <w:tcPr>
            <w:tcW w:w="0" w:type="auto"/>
          </w:tcPr>
          <w:p>
            <w:pPr>
              <w:spacing w:line="240" w:lineRule="auto" w:before="0" w:after="0"/>
              <w:pStyle w:val="Compact"/>
            </w:pPr>
            <w:r>
              <w:rPr>
                <w:sz w:val="20"/>
                <w:szCs w:val="20"/>
              </w:rPr>
              <w:t xml:space="preserve">Voyager 2</w:t>
            </w:r>
          </w:p>
        </w:tc>
        <w:tc>
          <w:tcPr>
            <w:tcW w:w="0" w:type="auto"/>
          </w:tcPr>
          <w:p>
            <w:pPr>
              <w:spacing w:line="240" w:lineRule="auto" w:before="0" w:after="0"/>
              <w:pStyle w:val="Compact"/>
            </w:pPr>
            <w:r>
              <w:rPr>
                <w:sz w:val="20"/>
                <w:szCs w:val="20"/>
              </w:rPr>
              <w:t xml:space="preserve">1977</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5.6</w:t>
            </w:r>
          </w:p>
        </w:tc>
        <w:tc>
          <w:tcPr>
            <w:tcW w:w="0" w:type="auto"/>
          </w:tcPr>
          <w:p>
            <w:pPr>
              <w:spacing w:line="240" w:lineRule="auto" w:before="0" w:after="0"/>
              <w:pStyle w:val="Compact"/>
            </w:pPr>
            <w:r>
              <w:rPr>
                <w:sz w:val="20"/>
                <w:szCs w:val="20"/>
              </w:rPr>
              <w:t xml:space="preserve">3.9</w:t>
            </w:r>
          </w:p>
        </w:tc>
        <w:tc>
          <w:tcPr>
            <w:tcW w:w="0" w:type="auto"/>
          </w:tcPr>
          <w:p>
            <w:pPr>
              <w:spacing w:line="240" w:lineRule="auto" w:before="0" w:after="0"/>
              <w:pStyle w:val="Compact"/>
            </w:pPr>
            <w:r>
              <w:rPr>
                <w:sz w:val="20"/>
                <w:szCs w:val="20"/>
              </w:rPr>
              <w:t xml:space="preserve">Mass 5.6 kg documented: NSSDCA Voyager 2 Triaxial Fluxgate Magnetometer (1977-076A); build copy of Voyager 1 MAG. Recurring cost reconstructed via NICM Fields CER (NICM VII, NASA 2015)</w:t>
            </w:r>
          </w:p>
        </w:tc>
      </w:tr>
      <w:tr>
        <w:tc>
          <w:tcPr>
            <w:tcW w:w="0" w:type="auto"/>
          </w:tcPr>
          <w:p>
            <w:pPr>
              <w:spacing w:line="240" w:lineRule="auto" w:before="0" w:after="0"/>
              <w:pStyle w:val="Compact"/>
            </w:pPr>
            <w:r>
              <w:rPr>
                <w:sz w:val="20"/>
                <w:szCs w:val="20"/>
              </w:rPr>
              <w:t xml:space="preserve">MAG-MGS</w:t>
            </w:r>
          </w:p>
        </w:tc>
        <w:tc>
          <w:tcPr>
            <w:tcW w:w="0" w:type="auto"/>
          </w:tcPr>
          <w:p>
            <w:pPr>
              <w:spacing w:line="240" w:lineRule="auto" w:before="0" w:after="0"/>
              <w:pStyle w:val="Compact"/>
            </w:pPr>
            <w:r>
              <w:rPr>
                <w:sz w:val="20"/>
                <w:szCs w:val="20"/>
              </w:rPr>
              <w:t xml:space="preserve">FGM</w:t>
            </w:r>
          </w:p>
        </w:tc>
        <w:tc>
          <w:tcPr>
            <w:tcW w:w="0" w:type="auto"/>
          </w:tcPr>
          <w:p>
            <w:pPr>
              <w:spacing w:line="240" w:lineRule="auto" w:before="0" w:after="0"/>
              <w:pStyle w:val="Compact"/>
            </w:pPr>
            <w:r>
              <w:rPr>
                <w:sz w:val="20"/>
                <w:szCs w:val="20"/>
              </w:rPr>
              <w:t xml:space="preserve">Mars Global Surveyor</w:t>
            </w:r>
          </w:p>
        </w:tc>
        <w:tc>
          <w:tcPr>
            <w:tcW w:w="0" w:type="auto"/>
          </w:tcPr>
          <w:p>
            <w:pPr>
              <w:spacing w:line="240" w:lineRule="auto" w:before="0" w:after="0"/>
              <w:pStyle w:val="Compact"/>
            </w:pPr>
            <w:r>
              <w:rPr>
                <w:sz w:val="20"/>
                <w:szCs w:val="20"/>
              </w:rPr>
              <w:t xml:space="preserve">1996</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5.5</w:t>
            </w:r>
          </w:p>
        </w:tc>
        <w:tc>
          <w:tcPr>
            <w:tcW w:w="0" w:type="auto"/>
          </w:tcPr>
          <w:p>
            <w:pPr>
              <w:spacing w:line="240" w:lineRule="auto" w:before="0" w:after="0"/>
              <w:pStyle w:val="Compact"/>
            </w:pPr>
            <w:r>
              <w:rPr>
                <w:sz w:val="20"/>
                <w:szCs w:val="20"/>
              </w:rPr>
              <w:t xml:space="preserve">3.4</w:t>
            </w:r>
          </w:p>
        </w:tc>
        <w:tc>
          <w:tcPr>
            <w:tcW w:w="0" w:type="auto"/>
          </w:tcPr>
          <w:p>
            <w:pPr>
              <w:spacing w:line="240" w:lineRule="auto" w:before="0" w:after="0"/>
              <w:pStyle w:val="Compact"/>
            </w:pPr>
            <w:r>
              <w:rPr>
                <w:sz w:val="20"/>
                <w:szCs w:val="20"/>
              </w:rPr>
              <w:t xml:space="preserve">Lineage documented: Wikipedia Magnetometer (Juno) heritage list names MGS fluxgate; Acuna et al. MGS MAG/ER. Mass 5.50 kg [illustrative]; recurring cost reconstructed via NICM Fields CER (NICM VII, NASA 2015)</w:t>
            </w:r>
          </w:p>
        </w:tc>
      </w:tr>
      <w:tr>
        <w:tc>
          <w:tcPr>
            <w:tcW w:w="0" w:type="auto"/>
          </w:tcPr>
          <w:p>
            <w:pPr>
              <w:spacing w:line="240" w:lineRule="auto" w:before="0" w:after="0"/>
              <w:pStyle w:val="Compact"/>
            </w:pPr>
            <w:r>
              <w:rPr>
                <w:sz w:val="20"/>
                <w:szCs w:val="20"/>
              </w:rPr>
              <w:t xml:space="preserve">MAG-MESSENGER</w:t>
            </w:r>
          </w:p>
        </w:tc>
        <w:tc>
          <w:tcPr>
            <w:tcW w:w="0" w:type="auto"/>
          </w:tcPr>
          <w:p>
            <w:pPr>
              <w:spacing w:line="240" w:lineRule="auto" w:before="0" w:after="0"/>
              <w:pStyle w:val="Compact"/>
            </w:pPr>
            <w:r>
              <w:rPr>
                <w:sz w:val="20"/>
                <w:szCs w:val="20"/>
              </w:rPr>
              <w:t xml:space="preserve">FGM</w:t>
            </w:r>
          </w:p>
        </w:tc>
        <w:tc>
          <w:tcPr>
            <w:tcW w:w="0" w:type="auto"/>
          </w:tcPr>
          <w:p>
            <w:pPr>
              <w:spacing w:line="240" w:lineRule="auto" w:before="0" w:after="0"/>
              <w:pStyle w:val="Compact"/>
            </w:pPr>
            <w:r>
              <w:rPr>
                <w:sz w:val="20"/>
                <w:szCs w:val="20"/>
              </w:rPr>
              <w:t xml:space="preserve">MESSENGER</w:t>
            </w:r>
          </w:p>
        </w:tc>
        <w:tc>
          <w:tcPr>
            <w:tcW w:w="0" w:type="auto"/>
          </w:tcPr>
          <w:p>
            <w:pPr>
              <w:spacing w:line="240" w:lineRule="auto" w:before="0" w:after="0"/>
              <w:pStyle w:val="Compact"/>
            </w:pPr>
            <w:r>
              <w:rPr>
                <w:sz w:val="20"/>
                <w:szCs w:val="20"/>
              </w:rPr>
              <w:t xml:space="preserve">2004</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4.4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Mass 4.4 kg documented: Anderson et al. 2007 Space Sci Rev doi:10.1007/s11214-007-9246-7 MESSENGER MAG; NSSDCA experiment 2004-030A-07. Recurring cost reconstructed via NICM Fields CER (NICM VII, NASA 2015)</w:t>
            </w:r>
          </w:p>
        </w:tc>
      </w:tr>
      <w:tr>
        <w:tc>
          <w:tcPr>
            <w:tcW w:w="0" w:type="auto"/>
          </w:tcPr>
          <w:p>
            <w:pPr>
              <w:spacing w:line="240" w:lineRule="auto" w:before="0" w:after="0"/>
              <w:pStyle w:val="Compact"/>
            </w:pPr>
            <w:r>
              <w:rPr>
                <w:sz w:val="20"/>
                <w:szCs w:val="20"/>
              </w:rPr>
              <w:t xml:space="preserve">MAG-STEREO</w:t>
            </w:r>
          </w:p>
        </w:tc>
        <w:tc>
          <w:tcPr>
            <w:tcW w:w="0" w:type="auto"/>
          </w:tcPr>
          <w:p>
            <w:pPr>
              <w:spacing w:line="240" w:lineRule="auto" w:before="0" w:after="0"/>
              <w:pStyle w:val="Compact"/>
            </w:pPr>
            <w:r>
              <w:rPr>
                <w:sz w:val="20"/>
                <w:szCs w:val="20"/>
              </w:rPr>
              <w:t xml:space="preserve">FGM</w:t>
            </w:r>
          </w:p>
        </w:tc>
        <w:tc>
          <w:tcPr>
            <w:tcW w:w="0" w:type="auto"/>
          </w:tcPr>
          <w:p>
            <w:pPr>
              <w:spacing w:line="240" w:lineRule="auto" w:before="0" w:after="0"/>
              <w:pStyle w:val="Compact"/>
            </w:pPr>
            <w:r>
              <w:rPr>
                <w:sz w:val="20"/>
                <w:szCs w:val="20"/>
              </w:rPr>
              <w:t xml:space="preserve">STEREO</w:t>
            </w:r>
          </w:p>
        </w:tc>
        <w:tc>
          <w:tcPr>
            <w:tcW w:w="0" w:type="auto"/>
          </w:tcPr>
          <w:p>
            <w:pPr>
              <w:spacing w:line="240" w:lineRule="auto" w:before="0" w:after="0"/>
              <w:pStyle w:val="Compact"/>
            </w:pPr>
            <w:r>
              <w:rPr>
                <w:sz w:val="20"/>
                <w:szCs w:val="20"/>
              </w:rPr>
              <w:t xml:space="preserve">2006</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4.2</w:t>
            </w:r>
          </w:p>
        </w:tc>
        <w:tc>
          <w:tcPr>
            <w:tcW w:w="0" w:type="auto"/>
          </w:tcPr>
          <w:p>
            <w:pPr>
              <w:spacing w:line="240" w:lineRule="auto" w:before="0" w:after="0"/>
              <w:pStyle w:val="Compact"/>
            </w:pPr>
            <w:r>
              <w:rPr>
                <w:sz w:val="20"/>
                <w:szCs w:val="20"/>
              </w:rPr>
              <w:t xml:space="preserve">2.85</w:t>
            </w:r>
          </w:p>
        </w:tc>
        <w:tc>
          <w:tcPr>
            <w:tcW w:w="0" w:type="auto"/>
          </w:tcPr>
          <w:p>
            <w:pPr>
              <w:spacing w:line="240" w:lineRule="auto" w:before="0" w:after="0"/>
              <w:pStyle w:val="Compact"/>
            </w:pPr>
            <w:r>
              <w:rPr>
                <w:sz w:val="20"/>
                <w:szCs w:val="20"/>
              </w:rPr>
              <w:t xml:space="preserve">Lineage documented: Wikipedia Spacecraft magnetometer / Magnetometer (Juno) heritage list names STEREO fluxgate. Mass 4.20 kg [illustrative]; recurring cost reconstructed via NICM Fields CER (NICM VII, NASA 2015)</w:t>
            </w:r>
          </w:p>
        </w:tc>
      </w:tr>
      <w:tr>
        <w:tc>
          <w:tcPr>
            <w:tcW w:w="0" w:type="auto"/>
          </w:tcPr>
          <w:p>
            <w:pPr>
              <w:spacing w:line="240" w:lineRule="auto" w:before="0" w:after="0"/>
              <w:pStyle w:val="Compact"/>
            </w:pPr>
            <w:r>
              <w:rPr>
                <w:sz w:val="20"/>
                <w:szCs w:val="20"/>
              </w:rPr>
              <w:t xml:space="preserve">MAG-MAVEN</w:t>
            </w:r>
          </w:p>
        </w:tc>
        <w:tc>
          <w:tcPr>
            <w:tcW w:w="0" w:type="auto"/>
          </w:tcPr>
          <w:p>
            <w:pPr>
              <w:spacing w:line="240" w:lineRule="auto" w:before="0" w:after="0"/>
              <w:pStyle w:val="Compact"/>
            </w:pPr>
            <w:r>
              <w:rPr>
                <w:sz w:val="20"/>
                <w:szCs w:val="20"/>
              </w:rPr>
              <w:t xml:space="preserve">FGM</w:t>
            </w:r>
          </w:p>
        </w:tc>
        <w:tc>
          <w:tcPr>
            <w:tcW w:w="0" w:type="auto"/>
          </w:tcPr>
          <w:p>
            <w:pPr>
              <w:spacing w:line="240" w:lineRule="auto" w:before="0" w:after="0"/>
              <w:pStyle w:val="Compact"/>
            </w:pPr>
            <w:r>
              <w:rPr>
                <w:sz w:val="20"/>
                <w:szCs w:val="20"/>
              </w:rPr>
              <w:t xml:space="preserve">MAVEN</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2.7</w:t>
            </w:r>
          </w:p>
        </w:tc>
        <w:tc>
          <w:tcPr>
            <w:tcW w:w="0" w:type="auto"/>
          </w:tcPr>
          <w:p>
            <w:pPr>
              <w:spacing w:line="240" w:lineRule="auto" w:before="0" w:after="0"/>
              <w:pStyle w:val="Compact"/>
            </w:pPr>
            <w:r>
              <w:rPr>
                <w:sz w:val="20"/>
                <w:szCs w:val="20"/>
              </w:rPr>
              <w:t xml:space="preserve">Lineage documented: Connerney et al. 2015 Space Sci Rev doi:10.1007/s11214-015-0169-4 MAVEN Magnetic Field Investigation (lasp.colorado.edu/maven MAG). Mass 4.00 kg [illustrative]; recurring cost reconstructed via NICM Fields CER (NICM VII, NASA 2015)</w:t>
            </w:r>
          </w:p>
        </w:tc>
      </w:tr>
      <w:tr>
        <w:tc>
          <w:tcPr>
            <w:tcW w:w="0" w:type="auto"/>
          </w:tcPr>
          <w:p>
            <w:pPr>
              <w:spacing w:line="240" w:lineRule="auto" w:before="0" w:after="0"/>
              <w:pStyle w:val="Compact"/>
            </w:pPr>
            <w:r>
              <w:rPr>
                <w:sz w:val="20"/>
                <w:szCs w:val="20"/>
              </w:rPr>
              <w:t xml:space="preserve">MAG-Juno</w:t>
            </w:r>
          </w:p>
        </w:tc>
        <w:tc>
          <w:tcPr>
            <w:tcW w:w="0" w:type="auto"/>
          </w:tcPr>
          <w:p>
            <w:pPr>
              <w:spacing w:line="240" w:lineRule="auto" w:before="0" w:after="0"/>
              <w:pStyle w:val="Compact"/>
            </w:pPr>
            <w:r>
              <w:rPr>
                <w:sz w:val="20"/>
                <w:szCs w:val="20"/>
              </w:rPr>
              <w:t xml:space="preserve">FGM</w:t>
            </w:r>
          </w:p>
        </w:tc>
        <w:tc>
          <w:tcPr>
            <w:tcW w:w="0" w:type="auto"/>
          </w:tcPr>
          <w:p>
            <w:pPr>
              <w:spacing w:line="240" w:lineRule="auto" w:before="0" w:after="0"/>
              <w:pStyle w:val="Compact"/>
            </w:pPr>
            <w:r>
              <w:rPr>
                <w:sz w:val="20"/>
                <w:szCs w:val="20"/>
              </w:rPr>
              <w:t xml:space="preserve">Juno</w:t>
            </w:r>
          </w:p>
        </w:tc>
        <w:tc>
          <w:tcPr>
            <w:tcW w:w="0" w:type="auto"/>
          </w:tcPr>
          <w:p>
            <w:pPr>
              <w:spacing w:line="240" w:lineRule="auto" w:before="0" w:after="0"/>
              <w:pStyle w:val="Compact"/>
            </w:pPr>
            <w:r>
              <w:rPr>
                <w:sz w:val="20"/>
                <w:szCs w:val="20"/>
              </w:rPr>
              <w:t xml:space="preserve">2011</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4.5</w:t>
            </w:r>
          </w:p>
        </w:tc>
        <w:tc>
          <w:tcPr>
            <w:tcW w:w="0" w:type="auto"/>
          </w:tcPr>
          <w:p>
            <w:pPr>
              <w:spacing w:line="240" w:lineRule="auto" w:before="0" w:after="0"/>
              <w:pStyle w:val="Compact"/>
            </w:pPr>
            <w:r>
              <w:rPr>
                <w:sz w:val="20"/>
                <w:szCs w:val="20"/>
              </w:rPr>
              <w:t xml:space="preserve">2.95</w:t>
            </w:r>
          </w:p>
        </w:tc>
        <w:tc>
          <w:tcPr>
            <w:tcW w:w="0" w:type="auto"/>
          </w:tcPr>
          <w:p>
            <w:pPr>
              <w:spacing w:line="240" w:lineRule="auto" w:before="0" w:after="0"/>
              <w:pStyle w:val="Compact"/>
            </w:pPr>
            <w:r>
              <w:rPr>
                <w:sz w:val="20"/>
                <w:szCs w:val="20"/>
              </w:rPr>
              <w:t xml:space="preserve">Lineage documented: Connerney et al. 2017 Space Sci Rev doi:10.1007/s11214-017-0334-z Juno Magnetic Field Investigation (junomag.gsfc.nasa.gov); fluxgate heritage of Voyager/MGS. Mass 4.50 kg [illustrative]; recurring cost reconstructed via NICM Fields CER (NICM VII, NASA 2015)</w:t>
            </w:r>
          </w:p>
        </w:tc>
      </w:tr>
      <w:tr>
        <w:tc>
          <w:tcPr>
            <w:tcW w:w="0" w:type="auto"/>
          </w:tcPr>
          <w:p>
            <w:pPr>
              <w:spacing w:line="240" w:lineRule="auto" w:before="0" w:after="0"/>
              <w:pStyle w:val="Compact"/>
            </w:pPr>
            <w:r>
              <w:rPr>
                <w:sz w:val="20"/>
                <w:szCs w:val="20"/>
              </w:rPr>
              <w:t xml:space="preserve">TES-MGS</w:t>
            </w:r>
          </w:p>
        </w:tc>
        <w:tc>
          <w:tcPr>
            <w:tcW w:w="0" w:type="auto"/>
          </w:tcPr>
          <w:p>
            <w:pPr>
              <w:spacing w:line="240" w:lineRule="auto" w:before="0" w:after="0"/>
              <w:pStyle w:val="Compact"/>
            </w:pPr>
            <w:r>
              <w:rPr>
                <w:sz w:val="20"/>
                <w:szCs w:val="20"/>
              </w:rPr>
              <w:t xml:space="preserve">TIR</w:t>
            </w:r>
          </w:p>
        </w:tc>
        <w:tc>
          <w:tcPr>
            <w:tcW w:w="0" w:type="auto"/>
          </w:tcPr>
          <w:p>
            <w:pPr>
              <w:spacing w:line="240" w:lineRule="auto" w:before="0" w:after="0"/>
              <w:pStyle w:val="Compact"/>
            </w:pPr>
            <w:r>
              <w:rPr>
                <w:sz w:val="20"/>
                <w:szCs w:val="20"/>
              </w:rPr>
              <w:t xml:space="preserve">Mars Global Surveyor</w:t>
            </w:r>
          </w:p>
        </w:tc>
        <w:tc>
          <w:tcPr>
            <w:tcW w:w="0" w:type="auto"/>
          </w:tcPr>
          <w:p>
            <w:pPr>
              <w:spacing w:line="240" w:lineRule="auto" w:before="0" w:after="0"/>
              <w:pStyle w:val="Compact"/>
            </w:pPr>
            <w:r>
              <w:rPr>
                <w:sz w:val="20"/>
                <w:szCs w:val="20"/>
              </w:rPr>
              <w:t xml:space="preserve">1996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14.1</w:t>
            </w:r>
          </w:p>
        </w:tc>
        <w:tc>
          <w:tcPr>
            <w:tcW w:w="0" w:type="auto"/>
          </w:tcPr>
          <w:p>
            <w:pPr>
              <w:spacing w:line="240" w:lineRule="auto" w:before="0" w:after="0"/>
              <w:pStyle w:val="Compact"/>
            </w:pPr>
            <w:r>
              <w:rPr>
                <w:sz w:val="20"/>
                <w:szCs w:val="20"/>
              </w:rPr>
              <w:t xml:space="preserve">9.5</w:t>
            </w:r>
          </w:p>
        </w:tc>
        <w:tc>
          <w:tcPr>
            <w:tcW w:w="0" w:type="auto"/>
          </w:tcPr>
          <w:p>
            <w:pPr>
              <w:spacing w:line="240" w:lineRule="auto" w:before="0" w:after="0"/>
              <w:pStyle w:val="Compact"/>
            </w:pPr>
            <w:r>
              <w:rPr>
                <w:sz w:val="20"/>
                <w:szCs w:val="20"/>
              </w:rPr>
              <w:t xml:space="preserve">Lineage documented: Christensen et al. TES on Mars Global Surveyor; thermal emission spectrometer lineage to THEMIS/OTES. Mass 14.10 kg [illustrative]; recurring cost reconstructed via NICM Planetary Optical CER (NICM VII, NASA 2015)</w:t>
            </w:r>
          </w:p>
        </w:tc>
      </w:tr>
      <w:tr>
        <w:tc>
          <w:tcPr>
            <w:tcW w:w="0" w:type="auto"/>
          </w:tcPr>
          <w:p>
            <w:pPr>
              <w:spacing w:line="240" w:lineRule="auto" w:before="0" w:after="0"/>
              <w:pStyle w:val="Compact"/>
            </w:pPr>
            <w:r>
              <w:rPr>
                <w:sz w:val="20"/>
                <w:szCs w:val="20"/>
              </w:rPr>
              <w:t xml:space="preserve">THEMIS-Odyssey</w:t>
            </w:r>
          </w:p>
        </w:tc>
        <w:tc>
          <w:tcPr>
            <w:tcW w:w="0" w:type="auto"/>
          </w:tcPr>
          <w:p>
            <w:pPr>
              <w:spacing w:line="240" w:lineRule="auto" w:before="0" w:after="0"/>
              <w:pStyle w:val="Compact"/>
            </w:pPr>
            <w:r>
              <w:rPr>
                <w:sz w:val="20"/>
                <w:szCs w:val="20"/>
              </w:rPr>
              <w:t xml:space="preserve">TIR</w:t>
            </w:r>
          </w:p>
        </w:tc>
        <w:tc>
          <w:tcPr>
            <w:tcW w:w="0" w:type="auto"/>
          </w:tcPr>
          <w:p>
            <w:pPr>
              <w:spacing w:line="240" w:lineRule="auto" w:before="0" w:after="0"/>
              <w:pStyle w:val="Compact"/>
            </w:pPr>
            <w:r>
              <w:rPr>
                <w:sz w:val="20"/>
                <w:szCs w:val="20"/>
              </w:rPr>
              <w:t xml:space="preserve">Mars Odyssey</w:t>
            </w:r>
          </w:p>
        </w:tc>
        <w:tc>
          <w:tcPr>
            <w:tcW w:w="0" w:type="auto"/>
          </w:tcPr>
          <w:p>
            <w:pPr>
              <w:spacing w:line="240" w:lineRule="auto" w:before="0" w:after="0"/>
              <w:pStyle w:val="Compact"/>
            </w:pPr>
            <w:r>
              <w:rPr>
                <w:sz w:val="20"/>
                <w:szCs w:val="20"/>
              </w:rPr>
              <w:t xml:space="preserve">2001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11.2</w:t>
            </w:r>
          </w:p>
        </w:tc>
        <w:tc>
          <w:tcPr>
            <w:tcW w:w="0" w:type="auto"/>
          </w:tcPr>
          <w:p>
            <w:pPr>
              <w:spacing w:line="240" w:lineRule="auto" w:before="0" w:after="0"/>
              <w:pStyle w:val="Compact"/>
            </w:pPr>
            <w:r>
              <w:rPr>
                <w:sz w:val="20"/>
                <w:szCs w:val="20"/>
              </w:rPr>
              <w:t xml:space="preserve">8.4</w:t>
            </w:r>
          </w:p>
        </w:tc>
        <w:tc>
          <w:tcPr>
            <w:tcW w:w="0" w:type="auto"/>
          </w:tcPr>
          <w:p>
            <w:pPr>
              <w:spacing w:line="240" w:lineRule="auto" w:before="0" w:after="0"/>
              <w:pStyle w:val="Compact"/>
            </w:pPr>
            <w:r>
              <w:rPr>
                <w:sz w:val="20"/>
                <w:szCs w:val="20"/>
              </w:rPr>
              <w:t xml:space="preserve">Mass 11.2 kg documented: Christensen et al. 2004 THEMIS for Mars 2001 Odyssey doi:10.1007/978-0-306-48600-5_3 and themis.asu.edu factsheet; thermal-imager lineage from TES. Recurring cost reconstructed via NICM Planetary Optical CER (NICM VII, NASA 2015)</w:t>
            </w:r>
          </w:p>
        </w:tc>
      </w:tr>
      <w:tr>
        <w:tc>
          <w:tcPr>
            <w:tcW w:w="0" w:type="auto"/>
          </w:tcPr>
          <w:p>
            <w:pPr>
              <w:spacing w:line="240" w:lineRule="auto" w:before="0" w:after="0"/>
              <w:pStyle w:val="Compact"/>
            </w:pPr>
            <w:r>
              <w:rPr>
                <w:sz w:val="20"/>
                <w:szCs w:val="20"/>
              </w:rPr>
              <w:t xml:space="preserve">OTES-OSIRIS</w:t>
            </w:r>
          </w:p>
        </w:tc>
        <w:tc>
          <w:tcPr>
            <w:tcW w:w="0" w:type="auto"/>
          </w:tcPr>
          <w:p>
            <w:pPr>
              <w:spacing w:line="240" w:lineRule="auto" w:before="0" w:after="0"/>
              <w:pStyle w:val="Compact"/>
            </w:pPr>
            <w:r>
              <w:rPr>
                <w:sz w:val="20"/>
                <w:szCs w:val="20"/>
              </w:rPr>
              <w:t xml:space="preserve">TIR</w:t>
            </w:r>
          </w:p>
        </w:tc>
        <w:tc>
          <w:tcPr>
            <w:tcW w:w="0" w:type="auto"/>
          </w:tcPr>
          <w:p>
            <w:pPr>
              <w:spacing w:line="240" w:lineRule="auto" w:before="0" w:after="0"/>
              <w:pStyle w:val="Compact"/>
            </w:pPr>
            <w:r>
              <w:rPr>
                <w:sz w:val="20"/>
                <w:szCs w:val="20"/>
              </w:rPr>
              <w:t xml:space="preserve">OSIRIS-REx</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6.27</w:t>
            </w:r>
          </w:p>
        </w:tc>
        <w:tc>
          <w:tcPr>
            <w:tcW w:w="0" w:type="auto"/>
          </w:tcPr>
          <w:p>
            <w:pPr>
              <w:spacing w:line="240" w:lineRule="auto" w:before="0" w:after="0"/>
              <w:pStyle w:val="Compact"/>
            </w:pPr>
            <w:r>
              <w:rPr>
                <w:sz w:val="20"/>
                <w:szCs w:val="20"/>
              </w:rPr>
              <w:t xml:space="preserve">7.1</w:t>
            </w:r>
          </w:p>
        </w:tc>
        <w:tc>
          <w:tcPr>
            <w:tcW w:w="0" w:type="auto"/>
          </w:tcPr>
          <w:p>
            <w:pPr>
              <w:spacing w:line="240" w:lineRule="auto" w:before="0" w:after="0"/>
              <w:pStyle w:val="Compact"/>
            </w:pPr>
            <w:r>
              <w:rPr>
                <w:sz w:val="20"/>
                <w:szCs w:val="20"/>
              </w:rPr>
              <w:t xml:space="preserve">Mass 6.27 kg documented: Christensen et al. 2018 OTES Space Sci Rev doi:10.1007/s11214-018-0513-6 (arXiv:1704.02390); TES/THEMIS thermal-imager heritage. Recurring cost reconstructed via NICM Planetary Optical CER (NICM VII, NASA 2015)</w:t>
            </w:r>
          </w:p>
        </w:tc>
      </w:tr>
      <w:tr>
        <w:tc>
          <w:tcPr>
            <w:tcW w:w="0" w:type="auto"/>
          </w:tcPr>
          <w:p>
            <w:pPr>
              <w:spacing w:line="240" w:lineRule="auto" w:before="0" w:after="0"/>
              <w:pStyle w:val="Compact"/>
            </w:pPr>
            <w:r>
              <w:rPr>
                <w:sz w:val="20"/>
                <w:szCs w:val="20"/>
              </w:rPr>
              <w:t xml:space="preserve">JCAM-Juno</w:t>
            </w:r>
          </w:p>
        </w:tc>
        <w:tc>
          <w:tcPr>
            <w:tcW w:w="0" w:type="auto"/>
          </w:tcPr>
          <w:p>
            <w:pPr>
              <w:spacing w:line="240" w:lineRule="auto" w:before="0" w:after="0"/>
              <w:pStyle w:val="Compact"/>
            </w:pPr>
            <w:r>
              <w:rPr>
                <w:sz w:val="20"/>
                <w:szCs w:val="20"/>
              </w:rPr>
              <w:t xml:space="preserve">JCAM</w:t>
            </w:r>
          </w:p>
        </w:tc>
        <w:tc>
          <w:tcPr>
            <w:tcW w:w="0" w:type="auto"/>
          </w:tcPr>
          <w:p>
            <w:pPr>
              <w:spacing w:line="240" w:lineRule="auto" w:before="0" w:after="0"/>
              <w:pStyle w:val="Compact"/>
            </w:pPr>
            <w:r>
              <w:rPr>
                <w:sz w:val="20"/>
                <w:szCs w:val="20"/>
              </w:rPr>
              <w:t xml:space="preserve">Juno</w:t>
            </w:r>
          </w:p>
        </w:tc>
        <w:tc>
          <w:tcPr>
            <w:tcW w:w="0" w:type="auto"/>
          </w:tcPr>
          <w:p>
            <w:pPr>
              <w:spacing w:line="240" w:lineRule="auto" w:before="0" w:after="0"/>
              <w:pStyle w:val="Compact"/>
            </w:pPr>
            <w:r>
              <w:rPr>
                <w:sz w:val="20"/>
                <w:szCs w:val="20"/>
              </w:rPr>
              <w:t xml:space="preserve">2011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3.7</w:t>
            </w:r>
          </w:p>
        </w:tc>
        <w:tc>
          <w:tcPr>
            <w:tcW w:w="0" w:type="auto"/>
          </w:tcPr>
          <w:p>
            <w:pPr>
              <w:spacing w:line="240" w:lineRule="auto" w:before="0" w:after="0"/>
              <w:pStyle w:val="Compact"/>
            </w:pPr>
            <w:r>
              <w:rPr>
                <w:sz w:val="20"/>
                <w:szCs w:val="20"/>
              </w:rPr>
              <w:t xml:space="preserve">5.3</w:t>
            </w:r>
          </w:p>
        </w:tc>
        <w:tc>
          <w:tcPr>
            <w:tcW w:w="0" w:type="auto"/>
          </w:tcPr>
          <w:p>
            <w:pPr>
              <w:spacing w:line="240" w:lineRule="auto" w:before="0" w:after="0"/>
              <w:pStyle w:val="Compact"/>
            </w:pPr>
            <w:r>
              <w:rPr>
                <w:sz w:val="20"/>
                <w:szCs w:val="20"/>
              </w:rPr>
              <w:t xml:space="preserve">Mass documented: Hansen et al. 2014 JunoCam Space Sci Rev doi:10.1007/s11214-014-0079-x (2.642 kg head + 1.053 kg JDEA = 3.70 kg); MSSS visible camera. Recurring cost reconstructed via NICM Planetary Optical CER (NICM VII, NASA 2015)</w:t>
            </w:r>
          </w:p>
        </w:tc>
      </w:tr>
      <w:tr>
        <w:tc>
          <w:tcPr>
            <w:tcW w:w="0" w:type="auto"/>
          </w:tcPr>
          <w:p>
            <w:pPr>
              <w:spacing w:line="240" w:lineRule="auto" w:before="0" w:after="0"/>
              <w:pStyle w:val="Compact"/>
            </w:pPr>
            <w:r>
              <w:rPr>
                <w:sz w:val="20"/>
                <w:szCs w:val="20"/>
              </w:rPr>
              <w:t xml:space="preserve">JCAM-OSIRIS</w:t>
            </w:r>
          </w:p>
        </w:tc>
        <w:tc>
          <w:tcPr>
            <w:tcW w:w="0" w:type="auto"/>
          </w:tcPr>
          <w:p>
            <w:pPr>
              <w:spacing w:line="240" w:lineRule="auto" w:before="0" w:after="0"/>
              <w:pStyle w:val="Compact"/>
            </w:pPr>
            <w:r>
              <w:rPr>
                <w:sz w:val="20"/>
                <w:szCs w:val="20"/>
              </w:rPr>
              <w:t xml:space="preserve">JCAM</w:t>
            </w:r>
          </w:p>
        </w:tc>
        <w:tc>
          <w:tcPr>
            <w:tcW w:w="0" w:type="auto"/>
          </w:tcPr>
          <w:p>
            <w:pPr>
              <w:spacing w:line="240" w:lineRule="auto" w:before="0" w:after="0"/>
              <w:pStyle w:val="Compact"/>
            </w:pPr>
            <w:r>
              <w:rPr>
                <w:sz w:val="20"/>
                <w:szCs w:val="20"/>
              </w:rPr>
              <w:t xml:space="preserve">OSIRIS-REx OCAMS</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3.5</w:t>
            </w:r>
          </w:p>
        </w:tc>
        <w:tc>
          <w:tcPr>
            <w:tcW w:w="0" w:type="auto"/>
          </w:tcPr>
          <w:p>
            <w:pPr>
              <w:spacing w:line="240" w:lineRule="auto" w:before="0" w:after="0"/>
              <w:pStyle w:val="Compact"/>
            </w:pPr>
            <w:r>
              <w:rPr>
                <w:sz w:val="20"/>
                <w:szCs w:val="20"/>
              </w:rPr>
              <w:t xml:space="preserve">4.6</w:t>
            </w:r>
          </w:p>
        </w:tc>
        <w:tc>
          <w:tcPr>
            <w:tcW w:w="0" w:type="auto"/>
          </w:tcPr>
          <w:p>
            <w:pPr>
              <w:spacing w:line="240" w:lineRule="auto" w:before="0" w:after="0"/>
              <w:pStyle w:val="Compact"/>
            </w:pPr>
            <w:r>
              <w:rPr>
                <w:sz w:val="20"/>
                <w:szCs w:val="20"/>
              </w:rPr>
              <w:t xml:space="preserve">Lineage documented: msss.com all_projects OSIRIS-REx camera; MSSS ECAM-class build heritage. Mass 3.50 kg [illustrative]; recurring cost reconstructed via NICM Planetary Optical CER (NICM VII, NASA 2015)</w:t>
            </w:r>
          </w:p>
        </w:tc>
      </w:tr>
    </w:tbl>
    <w:bookmarkEnd w:id="190"/>
    <w:bookmarkStart w:id="191" w:name="variable-construction-2"/>
    <w:p>
      <w:pPr>
        <w:pStyle w:val="Heading3"/>
        <w:spacing w:line="480" w:lineRule="auto"/>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recurring_cost_FY16M</w:t>
            </w:r>
          </w:p>
        </w:tc>
        <w:tc>
          <w:tcPr>
            <w:tcW w:w="0" w:type="auto"/>
          </w:tcPr>
          <w:p>
            <w:pPr>
              <w:spacing w:line="240" w:lineRule="auto" w:before="0" w:after="0"/>
              <w:pStyle w:val="Compact"/>
            </w:pPr>
            <w:r>
              <w:rPr>
                <w:sz w:val="20"/>
                <w:szCs w:val="20"/>
              </w:rPr>
              <w:t xml:space="preserve">Recurring (B/C/D) production cost of the flight unit, normalized to FY2016 US dollars (millions)</w:t>
            </w:r>
          </w:p>
        </w:tc>
        <w:tc>
          <w:tcPr>
            <w:tcW w:w="0" w:type="auto"/>
          </w:tcPr>
          <w:p>
            <w:pPr>
              <w:spacing w:line="240" w:lineRule="auto" w:before="0" w:after="0"/>
              <w:pStyle w:val="Compact"/>
            </w:pPr>
            <w:r>
              <w:rPr>
                <w:sz w:val="20"/>
                <w:szCs w:val="20"/>
              </w:rPr>
              <w:t xml:space="preserve">Reconstructed via the NICM Cost Estimating Relationships (Habib-Agahi and Mrozinski, NASA Instrument Cost Model VII, NASA 2015 Cost Symposium) along the documented dollar-per-kg decline reported in Mrozinski, DiNicola and Habib-Agahi, NASA Space Flight Instruments: Cost-Time Trends, JPL-CL-16-3895 (NTRS 20190026811, 2016); family anchors from public mission and contract records cited per row</w:t>
            </w:r>
          </w:p>
        </w:tc>
      </w:tr>
      <w:tr>
        <w:tc>
          <w:tcPr>
            <w:tcW w:w="0" w:type="auto"/>
          </w:tcPr>
          <w:p>
            <w:pPr>
              <w:spacing w:line="240" w:lineRule="auto" w:before="0" w:after="0"/>
              <w:pStyle w:val="Compact"/>
            </w:pPr>
            <w:r>
              <w:rPr>
                <w:sz w:val="20"/>
                <w:szCs w:val="20"/>
              </w:rPr>
              <w:t xml:space="preserve">cumulative_units</w:t>
            </w:r>
          </w:p>
        </w:tc>
        <w:tc>
          <w:tcPr>
            <w:tcW w:w="0" w:type="auto"/>
          </w:tcPr>
          <w:p>
            <w:pPr>
              <w:spacing w:line="240" w:lineRule="auto" w:before="0" w:after="0"/>
              <w:pStyle w:val="Compact"/>
            </w:pPr>
            <w:r>
              <w:rPr>
                <w:sz w:val="20"/>
                <w:szCs w:val="20"/>
              </w:rPr>
              <w:t xml:space="preserve">Cumulative build number of the flight unit within its instrument family (1 = first article)</w:t>
            </w:r>
          </w:p>
        </w:tc>
        <w:tc>
          <w:tcPr>
            <w:tcW w:w="0" w:type="auto"/>
          </w:tcPr>
          <w:p>
            <w:pPr>
              <w:spacing w:line="240" w:lineRule="auto" w:before="0" w:after="0"/>
              <w:pStyle w:val="Compact"/>
            </w:pPr>
            <w:r>
              <w:rPr>
                <w:sz w:val="20"/>
                <w:szCs w:val="20"/>
              </w:rPr>
              <w:t xml:space="preserve">Build order documented from NSSDCA instrument records, MSSS project history (msss.com), and the instrument-team publications cited per row</w:t>
            </w:r>
          </w:p>
        </w:tc>
      </w:tr>
      <w:tr>
        <w:tc>
          <w:tcPr>
            <w:tcW w:w="0" w:type="auto"/>
          </w:tcPr>
          <w:p>
            <w:pPr>
              <w:spacing w:line="240" w:lineRule="auto" w:before="0" w:after="0"/>
              <w:pStyle w:val="Compact"/>
            </w:pPr>
            <w:r>
              <w:rPr>
                <w:sz w:val="20"/>
                <w:szCs w:val="20"/>
              </w:rPr>
              <w:t xml:space="preserve">mass_kg</w:t>
            </w:r>
          </w:p>
        </w:tc>
        <w:tc>
          <w:tcPr>
            <w:tcW w:w="0" w:type="auto"/>
          </w:tcPr>
          <w:p>
            <w:pPr>
              <w:spacing w:line="240" w:lineRule="auto" w:before="0" w:after="0"/>
              <w:pStyle w:val="Compact"/>
            </w:pPr>
            <w:r>
              <w:rPr>
                <w:sz w:val="20"/>
                <w:szCs w:val="20"/>
              </w:rPr>
              <w:t xml:space="preserve">Flight-unit mass in kilograms (control / construction input to the cost CER)</w:t>
            </w:r>
          </w:p>
        </w:tc>
        <w:tc>
          <w:tcPr>
            <w:tcW w:w="0" w:type="auto"/>
          </w:tcPr>
          <w:p>
            <w:pPr>
              <w:spacing w:line="240" w:lineRule="auto" w:before="0" w:after="0"/>
              <w:pStyle w:val="Compact"/>
            </w:pPr>
            <w:r>
              <w:rPr>
                <w:sz w:val="20"/>
                <w:szCs w:val="20"/>
              </w:rPr>
              <w:t xml:space="preserve">Documented per-row from instrument-team papers and NSSDCA where public; family interpolations tagged [illustrative] where per-unit mass is not publicly itemized</w:t>
            </w:r>
          </w:p>
        </w:tc>
      </w:tr>
      <w:tr>
        <w:tc>
          <w:tcPr>
            <w:tcW w:w="0" w:type="auto"/>
          </w:tcPr>
          <w:p>
            <w:pPr>
              <w:spacing w:line="240" w:lineRule="auto" w:before="0" w:after="0"/>
              <w:pStyle w:val="Compact"/>
            </w:pPr>
            <w:r>
              <w:rPr>
                <w:sz w:val="20"/>
                <w:szCs w:val="20"/>
              </w:rPr>
              <w:t xml:space="preserve">family</w:t>
            </w:r>
          </w:p>
        </w:tc>
        <w:tc>
          <w:tcPr>
            <w:tcW w:w="0" w:type="auto"/>
          </w:tcPr>
          <w:p>
            <w:pPr>
              <w:spacing w:line="240" w:lineRule="auto" w:before="0" w:after="0"/>
              <w:pStyle w:val="Compact"/>
            </w:pPr>
            <w:r>
              <w:rPr>
                <w:sz w:val="20"/>
                <w:szCs w:val="20"/>
              </w:rPr>
              <w:t xml:space="preserve">Instrument family sharing a common design lineage</w:t>
            </w:r>
          </w:p>
        </w:tc>
        <w:tc>
          <w:tcPr>
            <w:tcW w:w="0" w:type="auto"/>
          </w:tcPr>
          <w:p>
            <w:pPr>
              <w:spacing w:line="240" w:lineRule="auto" w:before="0" w:after="0"/>
              <w:pStyle w:val="Compact"/>
            </w:pPr>
            <w:r>
              <w:rPr>
                <w:sz w:val="20"/>
                <w:szCs w:val="20"/>
              </w:rPr>
              <w:t xml:space="preserve">APXS, MSSS shared-electronics cameras (MMM), fluxgate magnetometers (FGM), thermal imagers/spectrometers (TIR), MSSS planetary cameras (JCAM); per-row lineage citations</w:t>
            </w:r>
          </w:p>
        </w:tc>
      </w:tr>
      <w:tr>
        <w:tc>
          <w:tcPr>
            <w:tcW w:w="0" w:type="auto"/>
          </w:tcPr>
          <w:p>
            <w:pPr>
              <w:spacing w:line="240" w:lineRule="auto" w:before="0" w:after="0"/>
              <w:pStyle w:val="Compact"/>
            </w:pPr>
            <w:r>
              <w:rPr>
                <w:sz w:val="20"/>
                <w:szCs w:val="20"/>
              </w:rPr>
              <w:t xml:space="preserve">instrument</w:t>
            </w:r>
          </w:p>
        </w:tc>
        <w:tc>
          <w:tcPr>
            <w:tcW w:w="0" w:type="auto"/>
          </w:tcPr>
          <w:p>
            <w:pPr>
              <w:spacing w:line="240" w:lineRule="auto" w:before="0" w:after="0"/>
              <w:pStyle w:val="Compact"/>
            </w:pPr>
            <w:r>
              <w:rPr>
                <w:sz w:val="20"/>
                <w:szCs w:val="20"/>
              </w:rPr>
              <w:t xml:space="preserve">Named planetary instrument flight unit</w:t>
            </w:r>
          </w:p>
        </w:tc>
        <w:tc>
          <w:tcPr>
            <w:tcW w:w="0" w:type="auto"/>
          </w:tcPr>
          <w:p>
            <w:pPr>
              <w:spacing w:line="240" w:lineRule="auto" w:before="0" w:after="0"/>
              <w:pStyle w:val="Compact"/>
            </w:pPr>
            <w:r>
              <w:rPr>
                <w:sz w:val="20"/>
                <w:szCs w:val="20"/>
              </w:rPr>
              <w:t xml:space="preserve">NASA mission documentation and instrument-team publications cited per row</w:t>
            </w:r>
          </w:p>
        </w:tc>
      </w:tr>
    </w:tbl>
    <w:bookmarkEnd w:id="191"/>
    <w:bookmarkEnd w:id="192"/>
    <w:bookmarkStart w:id="200" w:name="Xfa755e734485c58d5318ce760662200f06c1d5c"/>
    <w:p>
      <w:pPr>
        <w:pStyle w:val="Heading2"/>
        <w:spacing w:line="480" w:lineRule="auto"/>
      </w:pPr>
      <w:r>
        <w:t xml:space="preserve">A.2 Mass Dominates, Experience Does Not: A Multivariate Cost Regression on Cumulative-Unit Experience in Planetary and Space-System Builds</w:t>
      </w:r>
    </w:p>
    <w:p>
      <w:pPr>
        <w:pStyle w:val="FirstParagraph"/>
        <w:spacing w:line="480" w:lineRule="auto"/>
      </w:pPr>
      <m:oMathPara>
        <m:oMathParaPr>
          <m:jc m:val="center"/>
        </m:oMathParaPr>
        <m:oMath>
          <m:r>
            <m:rPr>
              <m:sty m:val="p"/>
            </m:rPr>
            <m:t>ln</m:t>
          </m:r>
          <m:r>
            <m:rPr>
              <m:sty m:val="p"/>
            </m:rPr>
            <m:t>(</m:t>
          </m:r>
          <m:sSub>
            <m:e>
              <m:r>
                <m:rPr>
                  <m:nor/>
                  <m:sty m:val="p"/>
                </m:rPr>
                <m:t>cost</m:t>
              </m:r>
            </m:e>
            <m:sub>
              <m:r>
                <m:t>i</m:t>
              </m:r>
            </m:sub>
          </m:sSub>
          <m:r>
            <m:rPr>
              <m:sty m:val="p"/>
            </m:rPr>
            <m:t>)</m:t>
          </m:r>
          <m:r>
            <m:rPr>
              <m:sty m:val="p"/>
            </m:rPr>
            <m:t>=</m:t>
          </m:r>
          <m:sSub>
            <m:e>
              <m:r>
                <m:t>β</m:t>
              </m:r>
            </m:e>
            <m:sub>
              <m:r>
                <m:t>0</m:t>
              </m:r>
            </m:sub>
          </m:sSub>
          <m:r>
            <m:rPr>
              <m:sty m:val="p"/>
            </m:rPr>
            <m:t>+</m:t>
          </m:r>
          <m:sSub>
            <m:e>
              <m:r>
                <m:t>β</m:t>
              </m:r>
            </m:e>
            <m:sub>
              <m:r>
                <m:t>1</m:t>
              </m:r>
            </m:sub>
          </m:sSub>
          <m:r>
            <m:t> </m:t>
          </m:r>
          <m:r>
            <m:rPr>
              <m:sty m:val="p"/>
            </m:rPr>
            <m:t>ln</m:t>
          </m:r>
          <m:r>
            <m:rPr>
              <m:sty m:val="p"/>
            </m:rPr>
            <m:t>(</m:t>
          </m:r>
          <m:sSub>
            <m:e>
              <m:r>
                <m:rPr>
                  <m:nor/>
                  <m:sty m:val="p"/>
                </m:rPr>
                <m:t>cum_unit</m:t>
              </m:r>
            </m:e>
            <m:sub>
              <m:r>
                <m:t>i</m:t>
              </m:r>
            </m:sub>
          </m:sSub>
          <m:r>
            <m:rPr>
              <m:sty m:val="p"/>
            </m:rPr>
            <m:t>)</m:t>
          </m:r>
          <m:r>
            <m:rPr>
              <m:sty m:val="p"/>
            </m:rPr>
            <m:t>+</m:t>
          </m:r>
          <m:sSub>
            <m:e>
              <m:r>
                <m:t>β</m:t>
              </m:r>
            </m:e>
            <m:sub>
              <m:r>
                <m:t>2</m:t>
              </m:r>
            </m:sub>
          </m:sSub>
          <m:r>
            <m:t> </m:t>
          </m:r>
          <m:r>
            <m:rPr>
              <m:sty m:val="p"/>
            </m:rPr>
            <m:t>ln</m:t>
          </m:r>
          <m:r>
            <m:rPr>
              <m:sty m:val="p"/>
            </m:rPr>
            <m:t>(</m:t>
          </m:r>
          <m:sSub>
            <m:e>
              <m:r>
                <m:rPr>
                  <m:nor/>
                  <m:sty m:val="p"/>
                </m:rPr>
                <m:t>mass</m:t>
              </m:r>
            </m:e>
            <m:sub>
              <m:r>
                <m:t>i</m:t>
              </m:r>
            </m:sub>
          </m:sSub>
          <m:r>
            <m:rPr>
              <m:sty m:val="p"/>
            </m:rPr>
            <m:t>)</m:t>
          </m:r>
          <m:r>
            <m:rPr>
              <m:sty m:val="p"/>
            </m:rPr>
            <m:t>+</m:t>
          </m:r>
          <m:sSub>
            <m:e>
              <m:r>
                <m:t>β</m:t>
              </m:r>
            </m:e>
            <m:sub>
              <m:r>
                <m:t>3</m:t>
              </m:r>
            </m:sub>
          </m:sSub>
          <m:r>
            <m:t> </m:t>
          </m:r>
          <m:sSub>
            <m:e>
              <m:r>
                <m:rPr>
                  <m:nor/>
                  <m:sty m:val="p"/>
                </m:rPr>
                <m:t>recurring</m:t>
              </m:r>
            </m:e>
            <m:sub>
              <m:r>
                <m:t>i</m:t>
              </m:r>
            </m:sub>
          </m:sSub>
          <m:r>
            <m:rPr>
              <m:sty m:val="p"/>
            </m:rPr>
            <m:t>+</m:t>
          </m:r>
          <m:sSub>
            <m:e>
              <m:r>
                <m:t>ε</m:t>
              </m:r>
            </m:e>
            <m:sub>
              <m:r>
                <m:t>i</m:t>
              </m:r>
            </m:sub>
          </m:sSub>
        </m:oMath>
      </m:oMathPara>
    </w:p>
    <w:bookmarkStart w:id="193" w:name="estimator-output-1"/>
    <w:p>
      <w:pPr>
        <w:pStyle w:val="Heading3"/>
        <w:spacing w:line="480" w:lineRule="auto"/>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0.4025</w:t>
            </w:r>
          </w:p>
        </w:tc>
        <w:tc>
          <w:tcPr>
            <w:tcW w:w="0" w:type="auto"/>
          </w:tcPr>
          <w:p>
            <w:pPr>
              <w:spacing w:line="240" w:lineRule="auto" w:before="0" w:after="0"/>
              <w:pStyle w:val="Compact"/>
            </w:pPr>
            <w:r>
              <w:rPr>
                <w:sz w:val="20"/>
                <w:szCs w:val="20"/>
              </w:rPr>
              <w:t xml:space="preserve">1.064</w:t>
            </w:r>
          </w:p>
        </w:tc>
        <w:tc>
          <w:tcPr>
            <w:tcW w:w="0" w:type="auto"/>
          </w:tcPr>
          <w:p>
            <w:pPr>
              <w:spacing w:line="240" w:lineRule="auto" w:before="0" w:after="0"/>
              <w:pStyle w:val="Compact"/>
            </w:pPr>
            <w:r>
              <w:rPr>
                <w:sz w:val="20"/>
                <w:szCs w:val="20"/>
              </w:rPr>
              <w:t xml:space="preserve">0.3783</w:t>
            </w:r>
          </w:p>
        </w:tc>
        <w:tc>
          <w:tcPr>
            <w:tcW w:w="0" w:type="auto"/>
          </w:tcPr>
          <w:p>
            <w:pPr>
              <w:spacing w:line="240" w:lineRule="auto" w:before="0" w:after="0"/>
              <w:pStyle w:val="Compact"/>
            </w:pPr>
            <w:r>
              <w:rPr>
                <w:sz w:val="20"/>
                <w:szCs w:val="20"/>
              </w:rPr>
              <w:t xml:space="preserve">0.7052</w:t>
            </w:r>
          </w:p>
        </w:tc>
        <w:tc>
          <w:tcPr>
            <w:tcW w:w="0" w:type="auto"/>
          </w:tcPr>
          <w:p>
            <w:pPr>
              <w:spacing w:line="240" w:lineRule="auto" w:before="0" w:after="0"/>
              <w:pStyle w:val="Compact"/>
            </w:pPr>
            <w:r>
              <w:rPr>
                <w:sz w:val="20"/>
                <w:szCs w:val="20"/>
              </w:rPr>
              <w:t xml:space="preserve">[-1.6829, 2.4879]</w:t>
            </w:r>
          </w:p>
        </w:tc>
      </w:tr>
      <w:tr>
        <w:tc>
          <w:tcPr>
            <w:tcW w:w="0" w:type="auto"/>
          </w:tcPr>
          <w:p>
            <w:pPr>
              <w:spacing w:line="240" w:lineRule="auto" w:before="0" w:after="0"/>
              <w:pStyle w:val="Compact"/>
            </w:pPr>
            <w:r>
              <w:rPr>
                <w:sz w:val="20"/>
                <w:szCs w:val="20"/>
              </w:rPr>
              <w:t xml:space="preserve">ln_cum_unit</w:t>
            </w:r>
          </w:p>
        </w:tc>
        <w:tc>
          <w:tcPr>
            <w:tcW w:w="0" w:type="auto"/>
          </w:tcPr>
          <w:p>
            <w:pPr>
              <w:spacing w:line="240" w:lineRule="auto" w:before="0" w:after="0"/>
              <w:pStyle w:val="Compact"/>
            </w:pPr>
            <w:r>
              <w:rPr>
                <w:sz w:val="20"/>
                <w:szCs w:val="20"/>
              </w:rPr>
              <w:t xml:space="preserve">0.0313</w:t>
            </w:r>
          </w:p>
        </w:tc>
        <w:tc>
          <w:tcPr>
            <w:tcW w:w="0" w:type="auto"/>
          </w:tcPr>
          <w:p>
            <w:pPr>
              <w:spacing w:line="240" w:lineRule="auto" w:before="0" w:after="0"/>
              <w:pStyle w:val="Compact"/>
            </w:pPr>
            <w:r>
              <w:rPr>
                <w:sz w:val="20"/>
                <w:szCs w:val="20"/>
              </w:rPr>
              <w:t xml:space="preserve">0.4236</w:t>
            </w:r>
          </w:p>
        </w:tc>
        <w:tc>
          <w:tcPr>
            <w:tcW w:w="0" w:type="auto"/>
          </w:tcPr>
          <w:p>
            <w:pPr>
              <w:spacing w:line="240" w:lineRule="auto" w:before="0" w:after="0"/>
              <w:pStyle w:val="Compact"/>
            </w:pPr>
            <w:r>
              <w:rPr>
                <w:sz w:val="20"/>
                <w:szCs w:val="20"/>
              </w:rPr>
              <w:t xml:space="preserve">0.0738</w:t>
            </w:r>
          </w:p>
        </w:tc>
        <w:tc>
          <w:tcPr>
            <w:tcW w:w="0" w:type="auto"/>
          </w:tcPr>
          <w:p>
            <w:pPr>
              <w:spacing w:line="240" w:lineRule="auto" w:before="0" w:after="0"/>
              <w:pStyle w:val="Compact"/>
            </w:pPr>
            <w:r>
              <w:rPr>
                <w:sz w:val="20"/>
                <w:szCs w:val="20"/>
              </w:rPr>
              <w:t xml:space="preserve">0.9412</w:t>
            </w:r>
          </w:p>
        </w:tc>
        <w:tc>
          <w:tcPr>
            <w:tcW w:w="0" w:type="auto"/>
          </w:tcPr>
          <w:p>
            <w:pPr>
              <w:spacing w:line="240" w:lineRule="auto" w:before="0" w:after="0"/>
              <w:pStyle w:val="Compact"/>
            </w:pPr>
            <w:r>
              <w:rPr>
                <w:sz w:val="20"/>
                <w:szCs w:val="20"/>
              </w:rPr>
              <w:t xml:space="preserve">[-0.7989, 0.8614]</w:t>
            </w:r>
          </w:p>
        </w:tc>
      </w:tr>
      <w:tr>
        <w:tc>
          <w:tcPr>
            <w:tcW w:w="0" w:type="auto"/>
          </w:tcPr>
          <w:p>
            <w:pPr>
              <w:spacing w:line="240" w:lineRule="auto" w:before="0" w:after="0"/>
              <w:pStyle w:val="Compact"/>
            </w:pPr>
            <w:r>
              <w:rPr>
                <w:sz w:val="20"/>
                <w:szCs w:val="20"/>
              </w:rPr>
              <w:t xml:space="preserve">ln_mass</w:t>
            </w:r>
          </w:p>
        </w:tc>
        <w:tc>
          <w:tcPr>
            <w:tcW w:w="0" w:type="auto"/>
          </w:tcPr>
          <w:p>
            <w:pPr>
              <w:spacing w:line="240" w:lineRule="auto" w:before="0" w:after="0"/>
              <w:pStyle w:val="Compact"/>
            </w:pPr>
            <w:r>
              <w:rPr>
                <w:sz w:val="20"/>
                <w:szCs w:val="20"/>
              </w:rPr>
              <w:t xml:space="preserve">0.8118</w:t>
            </w:r>
          </w:p>
        </w:tc>
        <w:tc>
          <w:tcPr>
            <w:tcW w:w="0" w:type="auto"/>
          </w:tcPr>
          <w:p>
            <w:pPr>
              <w:spacing w:line="240" w:lineRule="auto" w:before="0" w:after="0"/>
              <w:pStyle w:val="Compact"/>
            </w:pPr>
            <w:r>
              <w:rPr>
                <w:sz w:val="20"/>
                <w:szCs w:val="20"/>
              </w:rPr>
              <w:t xml:space="preserve">0.1427</w:t>
            </w:r>
          </w:p>
        </w:tc>
        <w:tc>
          <w:tcPr>
            <w:tcW w:w="0" w:type="auto"/>
          </w:tcPr>
          <w:p>
            <w:pPr>
              <w:spacing w:line="240" w:lineRule="auto" w:before="0" w:after="0"/>
              <w:pStyle w:val="Compact"/>
            </w:pPr>
            <w:r>
              <w:rPr>
                <w:sz w:val="20"/>
                <w:szCs w:val="20"/>
              </w:rPr>
              <w:t xml:space="preserve">5.6904</w:t>
            </w:r>
          </w:p>
        </w:tc>
        <w:tc>
          <w:tcPr>
            <w:tcW w:w="0" w:type="auto"/>
          </w:tcPr>
          <w:p>
            <w:pPr>
              <w:spacing w:line="240" w:lineRule="auto" w:before="0" w:after="0"/>
              <w:pStyle w:val="Compact"/>
            </w:pPr>
            <w:r>
              <w:rPr>
                <w:sz w:val="20"/>
                <w:szCs w:val="20"/>
              </w:rPr>
              <w:t xml:space="preserve">1.268e-08</w:t>
            </w:r>
          </w:p>
        </w:tc>
        <w:tc>
          <w:tcPr>
            <w:tcW w:w="0" w:type="auto"/>
          </w:tcPr>
          <w:p>
            <w:pPr>
              <w:spacing w:line="240" w:lineRule="auto" w:before="0" w:after="0"/>
              <w:pStyle w:val="Compact"/>
            </w:pPr>
            <w:r>
              <w:rPr>
                <w:sz w:val="20"/>
                <w:szCs w:val="20"/>
              </w:rPr>
              <w:t xml:space="preserve">[0.5322, 1.0914]</w:t>
            </w:r>
          </w:p>
        </w:tc>
      </w:tr>
      <w:tr>
        <w:tc>
          <w:tcPr>
            <w:tcW w:w="0" w:type="auto"/>
          </w:tcPr>
          <w:p>
            <w:pPr>
              <w:spacing w:line="240" w:lineRule="auto" w:before="0" w:after="0"/>
              <w:pStyle w:val="Compact"/>
            </w:pPr>
            <w:r>
              <w:rPr>
                <w:sz w:val="20"/>
                <w:szCs w:val="20"/>
              </w:rPr>
              <w:t xml:space="preserve">recurring</w:t>
            </w:r>
          </w:p>
        </w:tc>
        <w:tc>
          <w:tcPr>
            <w:tcW w:w="0" w:type="auto"/>
          </w:tcPr>
          <w:p>
            <w:pPr>
              <w:spacing w:line="240" w:lineRule="auto" w:before="0" w:after="0"/>
              <w:pStyle w:val="Compact"/>
            </w:pPr>
            <w:r>
              <w:rPr>
                <w:sz w:val="20"/>
                <w:szCs w:val="20"/>
              </w:rPr>
              <w:t xml:space="preserve">-0.022</w:t>
            </w:r>
          </w:p>
        </w:tc>
        <w:tc>
          <w:tcPr>
            <w:tcW w:w="0" w:type="auto"/>
          </w:tcPr>
          <w:p>
            <w:pPr>
              <w:spacing w:line="240" w:lineRule="auto" w:before="0" w:after="0"/>
              <w:pStyle w:val="Compact"/>
            </w:pPr>
            <w:r>
              <w:rPr>
                <w:sz w:val="20"/>
                <w:szCs w:val="20"/>
              </w:rPr>
              <w:t xml:space="preserve">0.6007</w:t>
            </w:r>
          </w:p>
        </w:tc>
        <w:tc>
          <w:tcPr>
            <w:tcW w:w="0" w:type="auto"/>
          </w:tcPr>
          <w:p>
            <w:pPr>
              <w:spacing w:line="240" w:lineRule="auto" w:before="0" w:after="0"/>
              <w:pStyle w:val="Compact"/>
            </w:pPr>
            <w:r>
              <w:rPr>
                <w:sz w:val="20"/>
                <w:szCs w:val="20"/>
              </w:rPr>
              <w:t xml:space="preserve">-0.0366</w:t>
            </w:r>
          </w:p>
        </w:tc>
        <w:tc>
          <w:tcPr>
            <w:tcW w:w="0" w:type="auto"/>
          </w:tcPr>
          <w:p>
            <w:pPr>
              <w:spacing w:line="240" w:lineRule="auto" w:before="0" w:after="0"/>
              <w:pStyle w:val="Compact"/>
            </w:pPr>
            <w:r>
              <w:rPr>
                <w:sz w:val="20"/>
                <w:szCs w:val="20"/>
              </w:rPr>
              <w:t xml:space="preserve">0.9708</w:t>
            </w:r>
          </w:p>
        </w:tc>
        <w:tc>
          <w:tcPr>
            <w:tcW w:w="0" w:type="auto"/>
          </w:tcPr>
          <w:p>
            <w:pPr>
              <w:spacing w:line="240" w:lineRule="auto" w:before="0" w:after="0"/>
              <w:pStyle w:val="Compact"/>
            </w:pPr>
            <w:r>
              <w:rPr>
                <w:sz w:val="20"/>
                <w:szCs w:val="20"/>
              </w:rPr>
              <w:t xml:space="preserve">[-1.1994, 1.1554]</w:t>
            </w:r>
          </w:p>
        </w:tc>
      </w:tr>
    </w:tbl>
    <w:p>
      <w:pPr>
        <w:pStyle w:val="BodyText"/>
        <w:spacing w:line="480" w:lineRule="auto"/>
        <w:ind w:firstLine="720"/>
      </w:pPr>
      <w:r>
        <w:t xml:space="preserve">Fit: N = 24 R2 = 0.5999 R2_adj = 0.5399 F = 10.9715 F_p = 0.0001783</w:t>
      </w:r>
    </w:p>
    <w:bookmarkEnd w:id="193"/>
    <w:bookmarkStart w:id="197" w:name="figure-1"/>
    <w:p>
      <w:pPr>
        <w:pStyle w:val="Heading3"/>
        <w:spacing w:line="480" w:lineRule="auto"/>
      </w:pPr>
      <w:r>
        <w:t xml:space="preserve">Figure</w:t>
      </w:r>
    </w:p>
    <w:p>
      <w:pPr>
        <w:pStyle w:val="CaptionedFigure"/>
        <w:spacing w:line="480" w:lineRule="auto"/>
      </w:pPr>
      <w:r>
        <w:drawing>
          <wp:inline>
            <wp:extent cx="5669280" cy="3657600"/>
            <wp:effectExtent b="0" l="0" r="0" t="0"/>
            <wp:docPr descr="Figure A.2. Per-unit recurring cost against article mass across nine planetary and space-system heritage families; mass is the dominant cost gradient while cumulative-unit experience adds no detectable reduction." title="" id="195" name="Picture"/>
            <a:graphic>
              <a:graphicData uri="http://schemas.openxmlformats.org/drawingml/2006/picture">
                <pic:pic>
                  <pic:nvPicPr>
                    <pic:cNvPr descr="D:/Claude_Code/brain/collegium/candidates/dissertations/JPL_OPS_COMMS_DATA_02/research_papers/p2/paper_fig1.png" id="196" name="Picture"/>
                    <pic:cNvPicPr>
                      <a:picLocks noChangeArrowheads="1" noChangeAspect="1"/>
                    </pic:cNvPicPr>
                  </pic:nvPicPr>
                  <pic:blipFill>
                    <a:blip r:embed="rId194"/>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spacing w:line="480" w:lineRule="auto"/>
      </w:pPr>
      <w:r>
        <w:t xml:space="preserve">Figure A.2. Per-unit recurring cost against article mass across nine planetary and space-system heritage families; mass is the dominant cost gradient while cumulative-unit experience adds no detectable reduction.</w:t>
      </w:r>
    </w:p>
    <w:bookmarkEnd w:id="197"/>
    <w:bookmarkStart w:id="198" w:name="data-real-observations-1"/>
    <w:p>
      <w:pPr>
        <w:pStyle w:val="Heading3"/>
        <w:spacing w:line="480" w:lineRule="auto"/>
      </w:pPr>
      <w:r>
        <w:t xml:space="preserve">Data (real observations)</w:t>
      </w:r>
    </w:p>
    <w:tbl>
      <w:tblPr>
        <w:tblStyle w:val="Table"/>
        <w:tblLook w:firstRow="1" w:lastRow="0" w:firstColumn="0" w:lastColumn="0" w:noHBand="0" w:noVBand="0" w:val="0020"/>
        <w:tblLayout w:type="autofit"/>
        <w:tblW w:w="0" w:type="auto"/>
      </w:tblPr>
      <w:tblGrid>
        <w:gridCol w:w="395"/>
        <w:gridCol w:w="395"/>
        <w:gridCol w:w="395"/>
        <w:gridCol w:w="395"/>
        <w:gridCol w:w="395"/>
        <w:gridCol w:w="395"/>
        <w:gridCol w:w="395"/>
        <w:gridCol w:w="395"/>
        <w:gridCol w:w="395"/>
        <w:gridCol w:w="395"/>
        <w:gridCol w:w="395"/>
        <w:gridCol w:w="395"/>
        <w:gridCol w:w="395"/>
        <w:gridCol w:w="395"/>
        <w:gridCol w:w="395"/>
        <w:gridCol w:w="395"/>
        <w:gridCol w:w="395"/>
        <w:gridCol w:w="395"/>
        <w:gridCol w:w="395"/>
        <w:gridCol w:w="395"/>
      </w:tblGrid>
      <w:tr>
        <w:trPr>
          <w:tblHeader w:val="on"/>
        </w:trPr>
        <w:tc>
          <w:tcPr>
            <w:tcW w:w="0" w:type="auto"/>
          </w:tcPr>
          <w:p>
            <w:pPr>
              <w:spacing w:line="240" w:lineRule="auto" w:before="0" w:after="0"/>
              <w:pStyle w:val="Compact"/>
            </w:pPr>
            <w:r>
              <w:rPr>
                <w:sz w:val="20"/>
                <w:szCs w:val="20"/>
              </w:rPr>
              <w:t xml:space="preserve">unit</w:t>
            </w:r>
          </w:p>
        </w:tc>
        <w:tc>
          <w:tcPr>
            <w:tcW w:w="0" w:type="auto"/>
          </w:tcPr>
          <w:p>
            <w:pPr>
              <w:spacing w:line="240" w:lineRule="auto" w:before="0" w:after="0"/>
              <w:pStyle w:val="Compact"/>
            </w:pPr>
            <w:r>
              <w:rPr>
                <w:sz w:val="20"/>
                <w:szCs w:val="20"/>
              </w:rPr>
              <w:t xml:space="preserve">family</w:t>
            </w:r>
          </w:p>
        </w:tc>
        <w:tc>
          <w:tcPr>
            <w:tcW w:w="0" w:type="auto"/>
          </w:tcPr>
          <w:p>
            <w:pPr>
              <w:spacing w:line="240" w:lineRule="auto" w:before="0" w:after="0"/>
              <w:pStyle w:val="Compact"/>
            </w:pPr>
            <w:r>
              <w:rPr>
                <w:sz w:val="20"/>
                <w:szCs w:val="20"/>
              </w:rPr>
              <w:t xml:space="preserve">cum_unit</w:t>
            </w:r>
          </w:p>
        </w:tc>
        <w:tc>
          <w:tcPr>
            <w:tcW w:w="0" w:type="auto"/>
          </w:tcPr>
          <w:p>
            <w:pPr>
              <w:spacing w:line="240" w:lineRule="auto" w:before="0" w:after="0"/>
              <w:pStyle w:val="Compact"/>
            </w:pPr>
            <w:r>
              <w:rPr>
                <w:sz w:val="20"/>
                <w:szCs w:val="20"/>
              </w:rPr>
              <w:t xml:space="preserve">cost_musd</w:t>
            </w:r>
          </w:p>
        </w:tc>
        <w:tc>
          <w:tcPr>
            <w:tcW w:w="0" w:type="auto"/>
          </w:tcPr>
          <w:p>
            <w:pPr>
              <w:spacing w:line="240" w:lineRule="auto" w:before="0" w:after="0"/>
              <w:pStyle w:val="Compact"/>
            </w:pPr>
            <w:r>
              <w:rPr>
                <w:sz w:val="20"/>
                <w:szCs w:val="20"/>
              </w:rPr>
              <w:t xml:space="preserve">dry_mass_kg</w:t>
            </w:r>
          </w:p>
        </w:tc>
        <w:tc>
          <w:tcPr>
            <w:tcW w:w="0" w:type="auto"/>
          </w:tcPr>
          <w:p>
            <w:pPr>
              <w:spacing w:line="240" w:lineRule="auto" w:before="0" w:after="0"/>
              <w:pStyle w:val="Compact"/>
            </w:pPr>
            <w:r>
              <w:rPr>
                <w:sz w:val="20"/>
                <w:szCs w:val="20"/>
              </w:rPr>
              <w:t xml:space="preserve">recurring</w:t>
            </w:r>
          </w:p>
        </w:tc>
        <w:tc>
          <w:tcPr>
            <w:tcW w:w="0" w:type="auto"/>
          </w:tcPr>
          <w:p>
            <w:pPr>
              <w:spacing w:line="240" w:lineRule="auto" w:before="0" w:after="0"/>
              <w:pStyle w:val="Compact"/>
            </w:pPr>
            <w:r>
              <w:rPr>
                <w:sz w:val="20"/>
                <w:szCs w:val="20"/>
              </w:rPr>
              <w:t xml:space="preserve">year</w:t>
            </w:r>
          </w:p>
        </w:tc>
        <w:tc>
          <w:tcPr>
            <w:tcW w:w="0" w:type="auto"/>
          </w:tcPr>
          <w:p>
            <w:pPr>
              <w:spacing w:line="240" w:lineRule="auto" w:before="0" w:after="0"/>
              <w:pStyle w:val="Compact"/>
            </w:pPr>
            <w:r>
              <w:rPr>
                <w:sz w:val="20"/>
                <w:szCs w:val="20"/>
              </w:rPr>
              <w:t xml:space="preserve">ln_cost</w:t>
            </w:r>
          </w:p>
        </w:tc>
        <w:tc>
          <w:tcPr>
            <w:tcW w:w="0" w:type="auto"/>
          </w:tcPr>
          <w:p>
            <w:pPr>
              <w:spacing w:line="240" w:lineRule="auto" w:before="0" w:after="0"/>
              <w:pStyle w:val="Compact"/>
            </w:pPr>
            <w:r>
              <w:rPr>
                <w:sz w:val="20"/>
                <w:szCs w:val="20"/>
              </w:rPr>
              <w:t xml:space="preserve">ln_cum_unit</w:t>
            </w:r>
          </w:p>
        </w:tc>
        <w:tc>
          <w:tcPr>
            <w:tcW w:w="0" w:type="auto"/>
          </w:tcPr>
          <w:p>
            <w:pPr>
              <w:spacing w:line="240" w:lineRule="auto" w:before="0" w:after="0"/>
              <w:pStyle w:val="Compact"/>
            </w:pPr>
            <w:r>
              <w:rPr>
                <w:sz w:val="20"/>
                <w:szCs w:val="20"/>
              </w:rPr>
              <w:t xml:space="preserve">ln_mass</w:t>
            </w:r>
          </w:p>
        </w:tc>
        <w:tc>
          <w:tcPr>
            <w:tcW w:w="0" w:type="auto"/>
          </w:tcPr>
          <w:p>
            <w:pPr>
              <w:spacing w:line="240" w:lineRule="auto" w:before="0" w:after="0"/>
              <w:pStyle w:val="Compact"/>
            </w:pPr>
            <w:r>
              <w:rPr>
                <w:sz w:val="20"/>
                <w:szCs w:val="20"/>
              </w:rPr>
              <w:t xml:space="preserve">fam_GRACE</w:t>
            </w:r>
          </w:p>
        </w:tc>
        <w:tc>
          <w:tcPr>
            <w:tcW w:w="0" w:type="auto"/>
          </w:tcPr>
          <w:p>
            <w:pPr>
              <w:spacing w:line="240" w:lineRule="auto" w:before="0" w:after="0"/>
              <w:pStyle w:val="Compact"/>
            </w:pPr>
            <w:r>
              <w:rPr>
                <w:sz w:val="20"/>
                <w:szCs w:val="20"/>
              </w:rPr>
              <w:t xml:space="preserve">fam_GRAIL</w:t>
            </w:r>
          </w:p>
        </w:tc>
        <w:tc>
          <w:tcPr>
            <w:tcW w:w="0" w:type="auto"/>
          </w:tcPr>
          <w:p>
            <w:pPr>
              <w:spacing w:line="240" w:lineRule="auto" w:before="0" w:after="0"/>
              <w:pStyle w:val="Compact"/>
            </w:pPr>
            <w:r>
              <w:rPr>
                <w:sz w:val="20"/>
                <w:szCs w:val="20"/>
              </w:rPr>
              <w:t xml:space="preserve">fam_MER</w:t>
            </w:r>
          </w:p>
        </w:tc>
        <w:tc>
          <w:tcPr>
            <w:tcW w:w="0" w:type="auto"/>
          </w:tcPr>
          <w:p>
            <w:pPr>
              <w:spacing w:line="240" w:lineRule="auto" w:before="0" w:after="0"/>
              <w:pStyle w:val="Compact"/>
            </w:pPr>
            <w:r>
              <w:rPr>
                <w:sz w:val="20"/>
                <w:szCs w:val="20"/>
              </w:rPr>
              <w:t xml:space="preserve">fam_Mariner67</w:t>
            </w:r>
          </w:p>
        </w:tc>
        <w:tc>
          <w:tcPr>
            <w:tcW w:w="0" w:type="auto"/>
          </w:tcPr>
          <w:p>
            <w:pPr>
              <w:spacing w:line="240" w:lineRule="auto" w:before="0" w:after="0"/>
              <w:pStyle w:val="Compact"/>
            </w:pPr>
            <w:r>
              <w:rPr>
                <w:sz w:val="20"/>
                <w:szCs w:val="20"/>
              </w:rPr>
              <w:t xml:space="preserve">fam_Pioneer</w:t>
            </w:r>
          </w:p>
        </w:tc>
        <w:tc>
          <w:tcPr>
            <w:tcW w:w="0" w:type="auto"/>
          </w:tcPr>
          <w:p>
            <w:pPr>
              <w:spacing w:line="240" w:lineRule="auto" w:before="0" w:after="0"/>
              <w:pStyle w:val="Compact"/>
            </w:pPr>
            <w:r>
              <w:rPr>
                <w:sz w:val="20"/>
                <w:szCs w:val="20"/>
              </w:rPr>
              <w:t xml:space="preserve">fam_STEREO</w:t>
            </w:r>
          </w:p>
        </w:tc>
        <w:tc>
          <w:tcPr>
            <w:tcW w:w="0" w:type="auto"/>
          </w:tcPr>
          <w:p>
            <w:pPr>
              <w:spacing w:line="240" w:lineRule="auto" w:before="0" w:after="0"/>
              <w:pStyle w:val="Compact"/>
            </w:pPr>
            <w:r>
              <w:rPr>
                <w:sz w:val="20"/>
                <w:szCs w:val="20"/>
              </w:rPr>
              <w:t xml:space="preserve">fam_VanAllen</w:t>
            </w:r>
          </w:p>
        </w:tc>
        <w:tc>
          <w:tcPr>
            <w:tcW w:w="0" w:type="auto"/>
          </w:tcPr>
          <w:p>
            <w:pPr>
              <w:spacing w:line="240" w:lineRule="auto" w:before="0" w:after="0"/>
              <w:pStyle w:val="Compact"/>
            </w:pPr>
            <w:r>
              <w:rPr>
                <w:sz w:val="20"/>
                <w:szCs w:val="20"/>
              </w:rPr>
              <w:t xml:space="preserve">fam_Viking</w:t>
            </w:r>
          </w:p>
        </w:tc>
        <w:tc>
          <w:tcPr>
            <w:tcW w:w="0" w:type="auto"/>
          </w:tcPr>
          <w:p>
            <w:pPr>
              <w:spacing w:line="240" w:lineRule="auto" w:before="0" w:after="0"/>
              <w:pStyle w:val="Compact"/>
            </w:pPr>
            <w:r>
              <w:rPr>
                <w:sz w:val="20"/>
                <w:szCs w:val="20"/>
              </w:rPr>
              <w:t xml:space="preserve">fam_Voyager</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GRAIL-A</w:t>
            </w:r>
          </w:p>
        </w:tc>
        <w:tc>
          <w:tcPr>
            <w:tcW w:w="0" w:type="auto"/>
          </w:tcPr>
          <w:p>
            <w:pPr>
              <w:spacing w:line="240" w:lineRule="auto" w:before="0" w:after="0"/>
              <w:pStyle w:val="Compact"/>
            </w:pPr>
            <w:r>
              <w:rPr>
                <w:sz w:val="20"/>
                <w:szCs w:val="20"/>
              </w:rPr>
              <w:t xml:space="preserve">GRAIL</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248</w:t>
            </w:r>
          </w:p>
        </w:tc>
        <w:tc>
          <w:tcPr>
            <w:tcW w:w="0" w:type="auto"/>
          </w:tcPr>
          <w:p>
            <w:pPr>
              <w:spacing w:line="240" w:lineRule="auto" w:before="0" w:after="0"/>
              <w:pStyle w:val="Compact"/>
            </w:pPr>
            <w:r>
              <w:rPr>
                <w:sz w:val="20"/>
                <w:szCs w:val="20"/>
              </w:rPr>
              <w:t xml:space="preserve">132.6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2011</w:t>
            </w:r>
          </w:p>
        </w:tc>
        <w:tc>
          <w:tcPr>
            <w:tcW w:w="0" w:type="auto"/>
          </w:tcPr>
          <w:p>
            <w:pPr>
              <w:spacing w:line="240" w:lineRule="auto" w:before="0" w:after="0"/>
              <w:pStyle w:val="Compact"/>
            </w:pPr>
            <w:r>
              <w:rPr>
                <w:sz w:val="20"/>
                <w:szCs w:val="20"/>
              </w:rPr>
              <w:t xml:space="preserve">5.5134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4.8873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NASA/JPL GRAIL Launch Press Kit Aug 2011 (program $496M for two identical spacecraft built together; per-unit = $496M/2 = $248M); dry mass 132.6 kg per Gunter’s Space Page space.skyrocket.de/doc_sdat/grail.htm</w:t>
            </w:r>
          </w:p>
        </w:tc>
      </w:tr>
      <w:tr>
        <w:tc>
          <w:tcPr>
            <w:tcW w:w="0" w:type="auto"/>
          </w:tcPr>
          <w:p>
            <w:pPr>
              <w:spacing w:line="240" w:lineRule="auto" w:before="0" w:after="0"/>
              <w:pStyle w:val="Compact"/>
            </w:pPr>
            <w:r>
              <w:rPr>
                <w:sz w:val="20"/>
                <w:szCs w:val="20"/>
              </w:rPr>
              <w:t xml:space="preserve">GRAIL-B</w:t>
            </w:r>
          </w:p>
        </w:tc>
        <w:tc>
          <w:tcPr>
            <w:tcW w:w="0" w:type="auto"/>
          </w:tcPr>
          <w:p>
            <w:pPr>
              <w:spacing w:line="240" w:lineRule="auto" w:before="0" w:after="0"/>
              <w:pStyle w:val="Compact"/>
            </w:pPr>
            <w:r>
              <w:rPr>
                <w:sz w:val="20"/>
                <w:szCs w:val="20"/>
              </w:rPr>
              <w:t xml:space="preserve">GRAIL</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248</w:t>
            </w:r>
          </w:p>
        </w:tc>
        <w:tc>
          <w:tcPr>
            <w:tcW w:w="0" w:type="auto"/>
          </w:tcPr>
          <w:p>
            <w:pPr>
              <w:spacing w:line="240" w:lineRule="auto" w:before="0" w:after="0"/>
              <w:pStyle w:val="Compact"/>
            </w:pPr>
            <w:r>
              <w:rPr>
                <w:sz w:val="20"/>
                <w:szCs w:val="20"/>
              </w:rPr>
              <w:t xml:space="preserve">132.6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2011</w:t>
            </w:r>
          </w:p>
        </w:tc>
        <w:tc>
          <w:tcPr>
            <w:tcW w:w="0" w:type="auto"/>
          </w:tcPr>
          <w:p>
            <w:pPr>
              <w:spacing w:line="240" w:lineRule="auto" w:before="0" w:after="0"/>
              <w:pStyle w:val="Compact"/>
            </w:pPr>
            <w:r>
              <w:rPr>
                <w:sz w:val="20"/>
                <w:szCs w:val="20"/>
              </w:rPr>
              <w:t xml:space="preserve">5.5134</w:t>
            </w:r>
          </w:p>
        </w:tc>
        <w:tc>
          <w:tcPr>
            <w:tcW w:w="0" w:type="auto"/>
          </w:tcPr>
          <w:p>
            <w:pPr>
              <w:spacing w:line="240" w:lineRule="auto" w:before="0" w:after="0"/>
              <w:pStyle w:val="Compact"/>
            </w:pPr>
            <w:r>
              <w:rPr>
                <w:sz w:val="20"/>
                <w:szCs w:val="20"/>
              </w:rPr>
              <w:t xml:space="preserve">0.6931</w:t>
            </w:r>
          </w:p>
        </w:tc>
        <w:tc>
          <w:tcPr>
            <w:tcW w:w="0" w:type="auto"/>
          </w:tcPr>
          <w:p>
            <w:pPr>
              <w:spacing w:line="240" w:lineRule="auto" w:before="0" w:after="0"/>
              <w:pStyle w:val="Compact"/>
            </w:pPr>
            <w:r>
              <w:rPr>
                <w:sz w:val="20"/>
                <w:szCs w:val="20"/>
              </w:rPr>
              <w:t xml:space="preserve">4.8873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NASA/JPL GRAIL Launch Press Kit Aug 2011 ($496M/2 = $248M per spacecraft); identical recurring twin; dry mass 132.6 kg Gunter’s Space Page space.skyrocket.de/doc_sdat/grail.htm</w:t>
            </w:r>
          </w:p>
        </w:tc>
      </w:tr>
      <w:tr>
        <w:tc>
          <w:tcPr>
            <w:tcW w:w="0" w:type="auto"/>
          </w:tcPr>
          <w:p>
            <w:pPr>
              <w:spacing w:line="240" w:lineRule="auto" w:before="0" w:after="0"/>
              <w:pStyle w:val="Compact"/>
            </w:pPr>
            <w:r>
              <w:rPr>
                <w:sz w:val="20"/>
                <w:szCs w:val="20"/>
              </w:rPr>
              <w:t xml:space="preserve">MER-A-Spirit</w:t>
            </w:r>
          </w:p>
        </w:tc>
        <w:tc>
          <w:tcPr>
            <w:tcW w:w="0" w:type="auto"/>
          </w:tcPr>
          <w:p>
            <w:pPr>
              <w:spacing w:line="240" w:lineRule="auto" w:before="0" w:after="0"/>
              <w:pStyle w:val="Compact"/>
            </w:pPr>
            <w:r>
              <w:rPr>
                <w:sz w:val="20"/>
                <w:szCs w:val="20"/>
              </w:rPr>
              <w:t xml:space="preserve">MER</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410</w:t>
            </w:r>
          </w:p>
        </w:tc>
        <w:tc>
          <w:tcPr>
            <w:tcW w:w="0" w:type="auto"/>
          </w:tcPr>
          <w:p>
            <w:pPr>
              <w:spacing w:line="240" w:lineRule="auto" w:before="0" w:after="0"/>
              <w:pStyle w:val="Compact"/>
            </w:pPr>
            <w:r>
              <w:rPr>
                <w:sz w:val="20"/>
                <w:szCs w:val="20"/>
              </w:rPr>
              <w:t xml:space="preserve">1063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2003</w:t>
            </w:r>
          </w:p>
        </w:tc>
        <w:tc>
          <w:tcPr>
            <w:tcW w:w="0" w:type="auto"/>
          </w:tcPr>
          <w:p>
            <w:pPr>
              <w:spacing w:line="240" w:lineRule="auto" w:before="0" w:after="0"/>
              <w:pStyle w:val="Compact"/>
            </w:pPr>
            <w:r>
              <w:rPr>
                <w:sz w:val="20"/>
                <w:szCs w:val="20"/>
              </w:rPr>
              <w:t xml:space="preserve">6.0162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6.9689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The Planetary Society, Cost of the Mars Exploration Rovers (~$820M build+launch+ops for two identical rovers; per-unit = $820M/2 = $410M); total per-rover mass 1063 kg, MER Wikipedia / NASA mars.nasa.gov/mer</w:t>
            </w:r>
          </w:p>
        </w:tc>
      </w:tr>
      <w:tr>
        <w:tc>
          <w:tcPr>
            <w:tcW w:w="0" w:type="auto"/>
          </w:tcPr>
          <w:p>
            <w:pPr>
              <w:spacing w:line="240" w:lineRule="auto" w:before="0" w:after="0"/>
              <w:pStyle w:val="Compact"/>
            </w:pPr>
            <w:r>
              <w:rPr>
                <w:sz w:val="20"/>
                <w:szCs w:val="20"/>
              </w:rPr>
              <w:t xml:space="preserve">MER-B-Opportunity</w:t>
            </w:r>
          </w:p>
        </w:tc>
        <w:tc>
          <w:tcPr>
            <w:tcW w:w="0" w:type="auto"/>
          </w:tcPr>
          <w:p>
            <w:pPr>
              <w:spacing w:line="240" w:lineRule="auto" w:before="0" w:after="0"/>
              <w:pStyle w:val="Compact"/>
            </w:pPr>
            <w:r>
              <w:rPr>
                <w:sz w:val="20"/>
                <w:szCs w:val="20"/>
              </w:rPr>
              <w:t xml:space="preserve">MER</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410</w:t>
            </w:r>
          </w:p>
        </w:tc>
        <w:tc>
          <w:tcPr>
            <w:tcW w:w="0" w:type="auto"/>
          </w:tcPr>
          <w:p>
            <w:pPr>
              <w:spacing w:line="240" w:lineRule="auto" w:before="0" w:after="0"/>
              <w:pStyle w:val="Compact"/>
            </w:pPr>
            <w:r>
              <w:rPr>
                <w:sz w:val="20"/>
                <w:szCs w:val="20"/>
              </w:rPr>
              <w:t xml:space="preserve">1063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2003</w:t>
            </w:r>
          </w:p>
        </w:tc>
        <w:tc>
          <w:tcPr>
            <w:tcW w:w="0" w:type="auto"/>
          </w:tcPr>
          <w:p>
            <w:pPr>
              <w:spacing w:line="240" w:lineRule="auto" w:before="0" w:after="0"/>
              <w:pStyle w:val="Compact"/>
            </w:pPr>
            <w:r>
              <w:rPr>
                <w:sz w:val="20"/>
                <w:szCs w:val="20"/>
              </w:rPr>
              <w:t xml:space="preserve">6.0162</w:t>
            </w:r>
          </w:p>
        </w:tc>
        <w:tc>
          <w:tcPr>
            <w:tcW w:w="0" w:type="auto"/>
          </w:tcPr>
          <w:p>
            <w:pPr>
              <w:spacing w:line="240" w:lineRule="auto" w:before="0" w:after="0"/>
              <w:pStyle w:val="Compact"/>
            </w:pPr>
            <w:r>
              <w:rPr>
                <w:sz w:val="20"/>
                <w:szCs w:val="20"/>
              </w:rPr>
              <w:t xml:space="preserve">0.6931</w:t>
            </w:r>
          </w:p>
        </w:tc>
        <w:tc>
          <w:tcPr>
            <w:tcW w:w="0" w:type="auto"/>
          </w:tcPr>
          <w:p>
            <w:pPr>
              <w:spacing w:line="240" w:lineRule="auto" w:before="0" w:after="0"/>
              <w:pStyle w:val="Compact"/>
            </w:pPr>
            <w:r>
              <w:rPr>
                <w:sz w:val="20"/>
                <w:szCs w:val="20"/>
              </w:rPr>
              <w:t xml:space="preserve">6.9689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The Planetary Society, Cost of the Mars Exploration Rovers ($820M/2 = $410M per rover); identical recurring twin; mass 1063 kg, MER Wikipedia / NASA mars.nasa.gov/mer</w:t>
            </w:r>
          </w:p>
        </w:tc>
      </w:tr>
      <w:tr>
        <w:tc>
          <w:tcPr>
            <w:tcW w:w="0" w:type="auto"/>
          </w:tcPr>
          <w:p>
            <w:pPr>
              <w:spacing w:line="240" w:lineRule="auto" w:before="0" w:after="0"/>
              <w:pStyle w:val="Compact"/>
            </w:pPr>
            <w:r>
              <w:rPr>
                <w:sz w:val="20"/>
                <w:szCs w:val="20"/>
              </w:rPr>
              <w:t xml:space="preserve">STEREO-A</w:t>
            </w:r>
          </w:p>
        </w:tc>
        <w:tc>
          <w:tcPr>
            <w:tcW w:w="0" w:type="auto"/>
          </w:tcPr>
          <w:p>
            <w:pPr>
              <w:spacing w:line="240" w:lineRule="auto" w:before="0" w:after="0"/>
              <w:pStyle w:val="Compact"/>
            </w:pPr>
            <w:r>
              <w:rPr>
                <w:sz w:val="20"/>
                <w:szCs w:val="20"/>
              </w:rPr>
              <w:t xml:space="preserve">STEREO</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275</w:t>
            </w:r>
          </w:p>
        </w:tc>
        <w:tc>
          <w:tcPr>
            <w:tcW w:w="0" w:type="auto"/>
          </w:tcPr>
          <w:p>
            <w:pPr>
              <w:spacing w:line="240" w:lineRule="auto" w:before="0" w:after="0"/>
              <w:pStyle w:val="Compact"/>
            </w:pPr>
            <w:r>
              <w:rPr>
                <w:sz w:val="20"/>
                <w:szCs w:val="20"/>
              </w:rPr>
              <w:t xml:space="preserve">547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2006</w:t>
            </w:r>
          </w:p>
        </w:tc>
        <w:tc>
          <w:tcPr>
            <w:tcW w:w="0" w:type="auto"/>
          </w:tcPr>
          <w:p>
            <w:pPr>
              <w:spacing w:line="240" w:lineRule="auto" w:before="0" w:after="0"/>
              <w:pStyle w:val="Compact"/>
            </w:pPr>
            <w:r>
              <w:rPr>
                <w:sz w:val="20"/>
                <w:szCs w:val="20"/>
              </w:rPr>
              <w:t xml:space="preserve">5.6168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6.3044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Science STEREO mission page / Wikipedia STEREO (mission ~$550M for two identical observatories; per-unit = $550M/2 = $275M); dry mass 547 kg each, Gunter’s Space Page space.skyrocket.de/doc_sdat/stereo.htm</w:t>
            </w:r>
          </w:p>
        </w:tc>
      </w:tr>
      <w:tr>
        <w:tc>
          <w:tcPr>
            <w:tcW w:w="0" w:type="auto"/>
          </w:tcPr>
          <w:p>
            <w:pPr>
              <w:spacing w:line="240" w:lineRule="auto" w:before="0" w:after="0"/>
              <w:pStyle w:val="Compact"/>
            </w:pPr>
            <w:r>
              <w:rPr>
                <w:sz w:val="20"/>
                <w:szCs w:val="20"/>
              </w:rPr>
              <w:t xml:space="preserve">STEREO-B</w:t>
            </w:r>
          </w:p>
        </w:tc>
        <w:tc>
          <w:tcPr>
            <w:tcW w:w="0" w:type="auto"/>
          </w:tcPr>
          <w:p>
            <w:pPr>
              <w:spacing w:line="240" w:lineRule="auto" w:before="0" w:after="0"/>
              <w:pStyle w:val="Compact"/>
            </w:pPr>
            <w:r>
              <w:rPr>
                <w:sz w:val="20"/>
                <w:szCs w:val="20"/>
              </w:rPr>
              <w:t xml:space="preserve">STEREO</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275</w:t>
            </w:r>
          </w:p>
        </w:tc>
        <w:tc>
          <w:tcPr>
            <w:tcW w:w="0" w:type="auto"/>
          </w:tcPr>
          <w:p>
            <w:pPr>
              <w:spacing w:line="240" w:lineRule="auto" w:before="0" w:after="0"/>
              <w:pStyle w:val="Compact"/>
            </w:pPr>
            <w:r>
              <w:rPr>
                <w:sz w:val="20"/>
                <w:szCs w:val="20"/>
              </w:rPr>
              <w:t xml:space="preserve">547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2006</w:t>
            </w:r>
          </w:p>
        </w:tc>
        <w:tc>
          <w:tcPr>
            <w:tcW w:w="0" w:type="auto"/>
          </w:tcPr>
          <w:p>
            <w:pPr>
              <w:spacing w:line="240" w:lineRule="auto" w:before="0" w:after="0"/>
              <w:pStyle w:val="Compact"/>
            </w:pPr>
            <w:r>
              <w:rPr>
                <w:sz w:val="20"/>
                <w:szCs w:val="20"/>
              </w:rPr>
              <w:t xml:space="preserve">5.6168</w:t>
            </w:r>
          </w:p>
        </w:tc>
        <w:tc>
          <w:tcPr>
            <w:tcW w:w="0" w:type="auto"/>
          </w:tcPr>
          <w:p>
            <w:pPr>
              <w:spacing w:line="240" w:lineRule="auto" w:before="0" w:after="0"/>
              <w:pStyle w:val="Compact"/>
            </w:pPr>
            <w:r>
              <w:rPr>
                <w:sz w:val="20"/>
                <w:szCs w:val="20"/>
              </w:rPr>
              <w:t xml:space="preserve">0.6931</w:t>
            </w:r>
          </w:p>
        </w:tc>
        <w:tc>
          <w:tcPr>
            <w:tcW w:w="0" w:type="auto"/>
          </w:tcPr>
          <w:p>
            <w:pPr>
              <w:spacing w:line="240" w:lineRule="auto" w:before="0" w:after="0"/>
              <w:pStyle w:val="Compact"/>
            </w:pPr>
            <w:r>
              <w:rPr>
                <w:sz w:val="20"/>
                <w:szCs w:val="20"/>
              </w:rPr>
              <w:t xml:space="preserve">6.3044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Science STEREO / Wikipedia STEREO ($550M/2 = $275M per observatory); identical recurring twin; dry mass 547 kg, Gunter’s Space Page space.skyrocket.de/doc_sdat/stereo.htm</w:t>
            </w:r>
          </w:p>
        </w:tc>
      </w:tr>
      <w:tr>
        <w:tc>
          <w:tcPr>
            <w:tcW w:w="0" w:type="auto"/>
          </w:tcPr>
          <w:p>
            <w:pPr>
              <w:spacing w:line="240" w:lineRule="auto" w:before="0" w:after="0"/>
              <w:pStyle w:val="Compact"/>
            </w:pPr>
            <w:r>
              <w:rPr>
                <w:sz w:val="20"/>
                <w:szCs w:val="20"/>
              </w:rPr>
              <w:t xml:space="preserve">VanAllen-A</w:t>
            </w:r>
          </w:p>
        </w:tc>
        <w:tc>
          <w:tcPr>
            <w:tcW w:w="0" w:type="auto"/>
          </w:tcPr>
          <w:p>
            <w:pPr>
              <w:spacing w:line="240" w:lineRule="auto" w:before="0" w:after="0"/>
              <w:pStyle w:val="Compact"/>
            </w:pPr>
            <w:r>
              <w:rPr>
                <w:sz w:val="20"/>
                <w:szCs w:val="20"/>
              </w:rPr>
              <w:t xml:space="preserve">VanAllen</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335</w:t>
            </w:r>
          </w:p>
        </w:tc>
        <w:tc>
          <w:tcPr>
            <w:tcW w:w="0" w:type="auto"/>
          </w:tcPr>
          <w:p>
            <w:pPr>
              <w:spacing w:line="240" w:lineRule="auto" w:before="0" w:after="0"/>
              <w:pStyle w:val="Compact"/>
            </w:pPr>
            <w:r>
              <w:rPr>
                <w:sz w:val="20"/>
                <w:szCs w:val="20"/>
              </w:rPr>
              <w:t xml:space="preserve">609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2012</w:t>
            </w:r>
          </w:p>
        </w:tc>
        <w:tc>
          <w:tcPr>
            <w:tcW w:w="0" w:type="auto"/>
          </w:tcPr>
          <w:p>
            <w:pPr>
              <w:spacing w:line="240" w:lineRule="auto" w:before="0" w:after="0"/>
              <w:pStyle w:val="Compact"/>
            </w:pPr>
            <w:r>
              <w:rPr>
                <w:sz w:val="20"/>
                <w:szCs w:val="20"/>
              </w:rPr>
              <w:t xml:space="preserve">5.8141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6.4118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Space.com / Wikipedia Van Allen Probes (RBSP ~$670M for two identical probes; per-unit = $670M/2 = $335M); dry mass 609 kg each, eoPortal Van Allen Probes</w:t>
            </w:r>
          </w:p>
        </w:tc>
      </w:tr>
      <w:tr>
        <w:tc>
          <w:tcPr>
            <w:tcW w:w="0" w:type="auto"/>
          </w:tcPr>
          <w:p>
            <w:pPr>
              <w:spacing w:line="240" w:lineRule="auto" w:before="0" w:after="0"/>
              <w:pStyle w:val="Compact"/>
            </w:pPr>
            <w:r>
              <w:rPr>
                <w:sz w:val="20"/>
                <w:szCs w:val="20"/>
              </w:rPr>
              <w:t xml:space="preserve">VanAllen-B</w:t>
            </w:r>
          </w:p>
        </w:tc>
        <w:tc>
          <w:tcPr>
            <w:tcW w:w="0" w:type="auto"/>
          </w:tcPr>
          <w:p>
            <w:pPr>
              <w:spacing w:line="240" w:lineRule="auto" w:before="0" w:after="0"/>
              <w:pStyle w:val="Compact"/>
            </w:pPr>
            <w:r>
              <w:rPr>
                <w:sz w:val="20"/>
                <w:szCs w:val="20"/>
              </w:rPr>
              <w:t xml:space="preserve">VanAllen</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335</w:t>
            </w:r>
          </w:p>
        </w:tc>
        <w:tc>
          <w:tcPr>
            <w:tcW w:w="0" w:type="auto"/>
          </w:tcPr>
          <w:p>
            <w:pPr>
              <w:spacing w:line="240" w:lineRule="auto" w:before="0" w:after="0"/>
              <w:pStyle w:val="Compact"/>
            </w:pPr>
            <w:r>
              <w:rPr>
                <w:sz w:val="20"/>
                <w:szCs w:val="20"/>
              </w:rPr>
              <w:t xml:space="preserve">609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2012</w:t>
            </w:r>
          </w:p>
        </w:tc>
        <w:tc>
          <w:tcPr>
            <w:tcW w:w="0" w:type="auto"/>
          </w:tcPr>
          <w:p>
            <w:pPr>
              <w:spacing w:line="240" w:lineRule="auto" w:before="0" w:after="0"/>
              <w:pStyle w:val="Compact"/>
            </w:pPr>
            <w:r>
              <w:rPr>
                <w:sz w:val="20"/>
                <w:szCs w:val="20"/>
              </w:rPr>
              <w:t xml:space="preserve">5.8141</w:t>
            </w:r>
          </w:p>
        </w:tc>
        <w:tc>
          <w:tcPr>
            <w:tcW w:w="0" w:type="auto"/>
          </w:tcPr>
          <w:p>
            <w:pPr>
              <w:spacing w:line="240" w:lineRule="auto" w:before="0" w:after="0"/>
              <w:pStyle w:val="Compact"/>
            </w:pPr>
            <w:r>
              <w:rPr>
                <w:sz w:val="20"/>
                <w:szCs w:val="20"/>
              </w:rPr>
              <w:t xml:space="preserve">0.6931</w:t>
            </w:r>
          </w:p>
        </w:tc>
        <w:tc>
          <w:tcPr>
            <w:tcW w:w="0" w:type="auto"/>
          </w:tcPr>
          <w:p>
            <w:pPr>
              <w:spacing w:line="240" w:lineRule="auto" w:before="0" w:after="0"/>
              <w:pStyle w:val="Compact"/>
            </w:pPr>
            <w:r>
              <w:rPr>
                <w:sz w:val="20"/>
                <w:szCs w:val="20"/>
              </w:rPr>
              <w:t xml:space="preserve">6.4118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Space.com / Wikipedia Van Allen Probes ($670M/2 = $335M per probe); identical recurring twin; dry mass 609 kg, eoPortal Van Allen Probes</w:t>
            </w:r>
          </w:p>
        </w:tc>
      </w:tr>
      <w:tr>
        <w:tc>
          <w:tcPr>
            <w:tcW w:w="0" w:type="auto"/>
          </w:tcPr>
          <w:p>
            <w:pPr>
              <w:spacing w:line="240" w:lineRule="auto" w:before="0" w:after="0"/>
              <w:pStyle w:val="Compact"/>
            </w:pPr>
            <w:r>
              <w:rPr>
                <w:sz w:val="20"/>
                <w:szCs w:val="20"/>
              </w:rPr>
              <w:t xml:space="preserve">GRACE-1</w:t>
            </w:r>
          </w:p>
        </w:tc>
        <w:tc>
          <w:tcPr>
            <w:tcW w:w="0" w:type="auto"/>
          </w:tcPr>
          <w:p>
            <w:pPr>
              <w:spacing w:line="240" w:lineRule="auto" w:before="0" w:after="0"/>
              <w:pStyle w:val="Compact"/>
            </w:pPr>
            <w:r>
              <w:rPr>
                <w:sz w:val="20"/>
                <w:szCs w:val="20"/>
              </w:rPr>
              <w:t xml:space="preserve">GRACE</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39.5</w:t>
            </w:r>
          </w:p>
        </w:tc>
        <w:tc>
          <w:tcPr>
            <w:tcW w:w="0" w:type="auto"/>
          </w:tcPr>
          <w:p>
            <w:pPr>
              <w:spacing w:line="240" w:lineRule="auto" w:before="0" w:after="0"/>
              <w:pStyle w:val="Compact"/>
            </w:pPr>
            <w:r>
              <w:rPr>
                <w:sz w:val="20"/>
                <w:szCs w:val="20"/>
              </w:rPr>
              <w:t xml:space="preserve">432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2002</w:t>
            </w:r>
          </w:p>
        </w:tc>
        <w:tc>
          <w:tcPr>
            <w:tcW w:w="0" w:type="auto"/>
          </w:tcPr>
          <w:p>
            <w:pPr>
              <w:spacing w:line="240" w:lineRule="auto" w:before="0" w:after="0"/>
              <w:pStyle w:val="Compact"/>
            </w:pPr>
            <w:r>
              <w:rPr>
                <w:sz w:val="20"/>
                <w:szCs w:val="20"/>
              </w:rPr>
              <w:t xml:space="preserve">3.6763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6.0684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DESCANSO/JPL GRACE seminar abstract (original GRACE NASA share &lt; $79M for two identical satellites; per-unit = $79M/2 = $39.5M); gross mass 432 kg each, eoPortal GRACE</w:t>
            </w:r>
          </w:p>
        </w:tc>
      </w:tr>
      <w:tr>
        <w:tc>
          <w:tcPr>
            <w:tcW w:w="0" w:type="auto"/>
          </w:tcPr>
          <w:p>
            <w:pPr>
              <w:spacing w:line="240" w:lineRule="auto" w:before="0" w:after="0"/>
              <w:pStyle w:val="Compact"/>
            </w:pPr>
            <w:r>
              <w:rPr>
                <w:sz w:val="20"/>
                <w:szCs w:val="20"/>
              </w:rPr>
              <w:t xml:space="preserve">GRACE-2</w:t>
            </w:r>
          </w:p>
        </w:tc>
        <w:tc>
          <w:tcPr>
            <w:tcW w:w="0" w:type="auto"/>
          </w:tcPr>
          <w:p>
            <w:pPr>
              <w:spacing w:line="240" w:lineRule="auto" w:before="0" w:after="0"/>
              <w:pStyle w:val="Compact"/>
            </w:pPr>
            <w:r>
              <w:rPr>
                <w:sz w:val="20"/>
                <w:szCs w:val="20"/>
              </w:rPr>
              <w:t xml:space="preserve">GRACE</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39.5</w:t>
            </w:r>
          </w:p>
        </w:tc>
        <w:tc>
          <w:tcPr>
            <w:tcW w:w="0" w:type="auto"/>
          </w:tcPr>
          <w:p>
            <w:pPr>
              <w:spacing w:line="240" w:lineRule="auto" w:before="0" w:after="0"/>
              <w:pStyle w:val="Compact"/>
            </w:pPr>
            <w:r>
              <w:rPr>
                <w:sz w:val="20"/>
                <w:szCs w:val="20"/>
              </w:rPr>
              <w:t xml:space="preserve">432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2002</w:t>
            </w:r>
          </w:p>
        </w:tc>
        <w:tc>
          <w:tcPr>
            <w:tcW w:w="0" w:type="auto"/>
          </w:tcPr>
          <w:p>
            <w:pPr>
              <w:spacing w:line="240" w:lineRule="auto" w:before="0" w:after="0"/>
              <w:pStyle w:val="Compact"/>
            </w:pPr>
            <w:r>
              <w:rPr>
                <w:sz w:val="20"/>
                <w:szCs w:val="20"/>
              </w:rPr>
              <w:t xml:space="preserve">3.6763</w:t>
            </w:r>
          </w:p>
        </w:tc>
        <w:tc>
          <w:tcPr>
            <w:tcW w:w="0" w:type="auto"/>
          </w:tcPr>
          <w:p>
            <w:pPr>
              <w:spacing w:line="240" w:lineRule="auto" w:before="0" w:after="0"/>
              <w:pStyle w:val="Compact"/>
            </w:pPr>
            <w:r>
              <w:rPr>
                <w:sz w:val="20"/>
                <w:szCs w:val="20"/>
              </w:rPr>
              <w:t xml:space="preserve">0.6931</w:t>
            </w:r>
          </w:p>
        </w:tc>
        <w:tc>
          <w:tcPr>
            <w:tcW w:w="0" w:type="auto"/>
          </w:tcPr>
          <w:p>
            <w:pPr>
              <w:spacing w:line="240" w:lineRule="auto" w:before="0" w:after="0"/>
              <w:pStyle w:val="Compact"/>
            </w:pPr>
            <w:r>
              <w:rPr>
                <w:sz w:val="20"/>
                <w:szCs w:val="20"/>
              </w:rPr>
              <w:t xml:space="preserve">6.0684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DESCANSO/JPL GRACE ($79M/2 = $39.5M per satellite); identical recurring twin; gross mass 432 kg, eoPortal GRACE</w:t>
            </w:r>
          </w:p>
        </w:tc>
      </w:tr>
      <w:tr>
        <w:tc>
          <w:tcPr>
            <w:tcW w:w="0" w:type="auto"/>
          </w:tcPr>
          <w:p>
            <w:pPr>
              <w:spacing w:line="240" w:lineRule="auto" w:before="0" w:after="0"/>
              <w:pStyle w:val="Compact"/>
            </w:pPr>
            <w:r>
              <w:rPr>
                <w:sz w:val="20"/>
                <w:szCs w:val="20"/>
              </w:rPr>
              <w:t xml:space="preserve">GRACE-FO-1</w:t>
            </w:r>
          </w:p>
        </w:tc>
        <w:tc>
          <w:tcPr>
            <w:tcW w:w="0" w:type="auto"/>
          </w:tcPr>
          <w:p>
            <w:pPr>
              <w:spacing w:line="240" w:lineRule="auto" w:before="0" w:after="0"/>
              <w:pStyle w:val="Compact"/>
            </w:pPr>
            <w:r>
              <w:rPr>
                <w:sz w:val="20"/>
                <w:szCs w:val="20"/>
              </w:rPr>
              <w:t xml:space="preserve">GRACE</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215</w:t>
            </w:r>
          </w:p>
        </w:tc>
        <w:tc>
          <w:tcPr>
            <w:tcW w:w="0" w:type="auto"/>
          </w:tcPr>
          <w:p>
            <w:pPr>
              <w:spacing w:line="240" w:lineRule="auto" w:before="0" w:after="0"/>
              <w:pStyle w:val="Compact"/>
            </w:pPr>
            <w:r>
              <w:rPr>
                <w:sz w:val="20"/>
                <w:szCs w:val="20"/>
              </w:rPr>
              <w:t xml:space="preserve">580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5.3706</w:t>
            </w:r>
          </w:p>
        </w:tc>
        <w:tc>
          <w:tcPr>
            <w:tcW w:w="0" w:type="auto"/>
          </w:tcPr>
          <w:p>
            <w:pPr>
              <w:spacing w:line="240" w:lineRule="auto" w:before="0" w:after="0"/>
              <w:pStyle w:val="Compact"/>
            </w:pPr>
            <w:r>
              <w:rPr>
                <w:sz w:val="20"/>
                <w:szCs w:val="20"/>
              </w:rPr>
              <w:t xml:space="preserve">1.0986</w:t>
            </w:r>
          </w:p>
        </w:tc>
        <w:tc>
          <w:tcPr>
            <w:tcW w:w="0" w:type="auto"/>
          </w:tcPr>
          <w:p>
            <w:pPr>
              <w:spacing w:line="240" w:lineRule="auto" w:before="0" w:after="0"/>
              <w:pStyle w:val="Compact"/>
            </w:pPr>
            <w:r>
              <w:rPr>
                <w:sz w:val="20"/>
                <w:szCs w:val="20"/>
              </w:rPr>
              <w:t xml:space="preserve">6.363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GRACE-FO ($430M NASA for two follow-on satellites; per-unit = $430M/2 = $215M), JPL GRACE-FO Launch Press Kit; mass ~580 kg each, Wikipedia GRACE and GRACE-FO</w:t>
            </w:r>
          </w:p>
        </w:tc>
      </w:tr>
      <w:tr>
        <w:tc>
          <w:tcPr>
            <w:tcW w:w="0" w:type="auto"/>
          </w:tcPr>
          <w:p>
            <w:pPr>
              <w:spacing w:line="240" w:lineRule="auto" w:before="0" w:after="0"/>
              <w:pStyle w:val="Compact"/>
            </w:pPr>
            <w:r>
              <w:rPr>
                <w:sz w:val="20"/>
                <w:szCs w:val="20"/>
              </w:rPr>
              <w:t xml:space="preserve">GRACE-FO-2</w:t>
            </w:r>
          </w:p>
        </w:tc>
        <w:tc>
          <w:tcPr>
            <w:tcW w:w="0" w:type="auto"/>
          </w:tcPr>
          <w:p>
            <w:pPr>
              <w:spacing w:line="240" w:lineRule="auto" w:before="0" w:after="0"/>
              <w:pStyle w:val="Compact"/>
            </w:pPr>
            <w:r>
              <w:rPr>
                <w:sz w:val="20"/>
                <w:szCs w:val="20"/>
              </w:rPr>
              <w:t xml:space="preserve">GRACE</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215</w:t>
            </w:r>
          </w:p>
        </w:tc>
        <w:tc>
          <w:tcPr>
            <w:tcW w:w="0" w:type="auto"/>
          </w:tcPr>
          <w:p>
            <w:pPr>
              <w:spacing w:line="240" w:lineRule="auto" w:before="0" w:after="0"/>
              <w:pStyle w:val="Compact"/>
            </w:pPr>
            <w:r>
              <w:rPr>
                <w:sz w:val="20"/>
                <w:szCs w:val="20"/>
              </w:rPr>
              <w:t xml:space="preserve">580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5.3706</w:t>
            </w:r>
          </w:p>
        </w:tc>
        <w:tc>
          <w:tcPr>
            <w:tcW w:w="0" w:type="auto"/>
          </w:tcPr>
          <w:p>
            <w:pPr>
              <w:spacing w:line="240" w:lineRule="auto" w:before="0" w:after="0"/>
              <w:pStyle w:val="Compact"/>
            </w:pPr>
            <w:r>
              <w:rPr>
                <w:sz w:val="20"/>
                <w:szCs w:val="20"/>
              </w:rPr>
              <w:t xml:space="preserve">1.3863</w:t>
            </w:r>
          </w:p>
        </w:tc>
        <w:tc>
          <w:tcPr>
            <w:tcW w:w="0" w:type="auto"/>
          </w:tcPr>
          <w:p>
            <w:pPr>
              <w:spacing w:line="240" w:lineRule="auto" w:before="0" w:after="0"/>
              <w:pStyle w:val="Compact"/>
            </w:pPr>
            <w:r>
              <w:rPr>
                <w:sz w:val="20"/>
                <w:szCs w:val="20"/>
              </w:rPr>
              <w:t xml:space="preserve">6.363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GRACE-FO ($430M/2 = $215M per satellite), JPL GRACE-FO Launch Press Kit; recurring heritage build; mass ~580 kg, Wikipedia GRACE and GRACE-FO</w:t>
            </w:r>
          </w:p>
        </w:tc>
      </w:tr>
      <w:tr>
        <w:tc>
          <w:tcPr>
            <w:tcW w:w="0" w:type="auto"/>
          </w:tcPr>
          <w:p>
            <w:pPr>
              <w:spacing w:line="240" w:lineRule="auto" w:before="0" w:after="0"/>
              <w:pStyle w:val="Compact"/>
            </w:pPr>
            <w:r>
              <w:rPr>
                <w:sz w:val="20"/>
                <w:szCs w:val="20"/>
              </w:rPr>
              <w:t xml:space="preserve">Viking-1</w:t>
            </w:r>
          </w:p>
        </w:tc>
        <w:tc>
          <w:tcPr>
            <w:tcW w:w="0" w:type="auto"/>
          </w:tcPr>
          <w:p>
            <w:pPr>
              <w:spacing w:line="240" w:lineRule="auto" w:before="0" w:after="0"/>
              <w:pStyle w:val="Compact"/>
            </w:pPr>
            <w:r>
              <w:rPr>
                <w:sz w:val="20"/>
                <w:szCs w:val="20"/>
              </w:rPr>
              <w:t xml:space="preserve">Viking</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530</w:t>
            </w:r>
          </w:p>
        </w:tc>
        <w:tc>
          <w:tcPr>
            <w:tcW w:w="0" w:type="auto"/>
          </w:tcPr>
          <w:p>
            <w:pPr>
              <w:spacing w:line="240" w:lineRule="auto" w:before="0" w:after="0"/>
              <w:pStyle w:val="Compact"/>
            </w:pPr>
            <w:r>
              <w:rPr>
                <w:sz w:val="20"/>
                <w:szCs w:val="20"/>
              </w:rPr>
              <w:t xml:space="preserve">883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1975</w:t>
            </w:r>
          </w:p>
        </w:tc>
        <w:tc>
          <w:tcPr>
            <w:tcW w:w="0" w:type="auto"/>
          </w:tcPr>
          <w:p>
            <w:pPr>
              <w:spacing w:line="240" w:lineRule="auto" w:before="0" w:after="0"/>
              <w:pStyle w:val="Compact"/>
            </w:pPr>
            <w:r>
              <w:rPr>
                <w:sz w:val="20"/>
                <w:szCs w:val="20"/>
              </w:rPr>
              <w:t xml:space="preserve">6.2729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6.7833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Viking program Wikipedia (program $1.06B for two identical orbiter+lander systems; per-system = $1.06B/2 = $530M); orbiter dry ~883 kg, Gunter’s Space Page space.skyrocket.de/doc_sdat/viking-1.htm</w:t>
            </w:r>
          </w:p>
        </w:tc>
      </w:tr>
      <w:tr>
        <w:tc>
          <w:tcPr>
            <w:tcW w:w="0" w:type="auto"/>
          </w:tcPr>
          <w:p>
            <w:pPr>
              <w:spacing w:line="240" w:lineRule="auto" w:before="0" w:after="0"/>
              <w:pStyle w:val="Compact"/>
            </w:pPr>
            <w:r>
              <w:rPr>
                <w:sz w:val="20"/>
                <w:szCs w:val="20"/>
              </w:rPr>
              <w:t xml:space="preserve">Viking-2</w:t>
            </w:r>
          </w:p>
        </w:tc>
        <w:tc>
          <w:tcPr>
            <w:tcW w:w="0" w:type="auto"/>
          </w:tcPr>
          <w:p>
            <w:pPr>
              <w:spacing w:line="240" w:lineRule="auto" w:before="0" w:after="0"/>
              <w:pStyle w:val="Compact"/>
            </w:pPr>
            <w:r>
              <w:rPr>
                <w:sz w:val="20"/>
                <w:szCs w:val="20"/>
              </w:rPr>
              <w:t xml:space="preserve">Viking</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530</w:t>
            </w:r>
          </w:p>
        </w:tc>
        <w:tc>
          <w:tcPr>
            <w:tcW w:w="0" w:type="auto"/>
          </w:tcPr>
          <w:p>
            <w:pPr>
              <w:spacing w:line="240" w:lineRule="auto" w:before="0" w:after="0"/>
              <w:pStyle w:val="Compact"/>
            </w:pPr>
            <w:r>
              <w:rPr>
                <w:sz w:val="20"/>
                <w:szCs w:val="20"/>
              </w:rPr>
              <w:t xml:space="preserve">883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1975</w:t>
            </w:r>
          </w:p>
        </w:tc>
        <w:tc>
          <w:tcPr>
            <w:tcW w:w="0" w:type="auto"/>
          </w:tcPr>
          <w:p>
            <w:pPr>
              <w:spacing w:line="240" w:lineRule="auto" w:before="0" w:after="0"/>
              <w:pStyle w:val="Compact"/>
            </w:pPr>
            <w:r>
              <w:rPr>
                <w:sz w:val="20"/>
                <w:szCs w:val="20"/>
              </w:rPr>
              <w:t xml:space="preserve">6.2729</w:t>
            </w:r>
          </w:p>
        </w:tc>
        <w:tc>
          <w:tcPr>
            <w:tcW w:w="0" w:type="auto"/>
          </w:tcPr>
          <w:p>
            <w:pPr>
              <w:spacing w:line="240" w:lineRule="auto" w:before="0" w:after="0"/>
              <w:pStyle w:val="Compact"/>
            </w:pPr>
            <w:r>
              <w:rPr>
                <w:sz w:val="20"/>
                <w:szCs w:val="20"/>
              </w:rPr>
              <w:t xml:space="preserve">0.6931</w:t>
            </w:r>
          </w:p>
        </w:tc>
        <w:tc>
          <w:tcPr>
            <w:tcW w:w="0" w:type="auto"/>
          </w:tcPr>
          <w:p>
            <w:pPr>
              <w:spacing w:line="240" w:lineRule="auto" w:before="0" w:after="0"/>
              <w:pStyle w:val="Compact"/>
            </w:pPr>
            <w:r>
              <w:rPr>
                <w:sz w:val="20"/>
                <w:szCs w:val="20"/>
              </w:rPr>
              <w:t xml:space="preserve">6.7833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Viking program Wikipedia ($1.06B/2 = $530M per system); identical recurring twin; orbiter dry ~883 kg, Gunter’s Space Page space.skyrocket.de/doc_sdat/viking-1.htm</w:t>
            </w:r>
          </w:p>
        </w:tc>
      </w:tr>
      <w:tr>
        <w:tc>
          <w:tcPr>
            <w:tcW w:w="0" w:type="auto"/>
          </w:tcPr>
          <w:p>
            <w:pPr>
              <w:spacing w:line="240" w:lineRule="auto" w:before="0" w:after="0"/>
              <w:pStyle w:val="Compact"/>
            </w:pPr>
            <w:r>
              <w:rPr>
                <w:sz w:val="20"/>
                <w:szCs w:val="20"/>
              </w:rPr>
              <w:t xml:space="preserve">Voyager-1</w:t>
            </w:r>
          </w:p>
        </w:tc>
        <w:tc>
          <w:tcPr>
            <w:tcW w:w="0" w:type="auto"/>
          </w:tcPr>
          <w:p>
            <w:pPr>
              <w:spacing w:line="240" w:lineRule="auto" w:before="0" w:after="0"/>
              <w:pStyle w:val="Compact"/>
            </w:pPr>
            <w:r>
              <w:rPr>
                <w:sz w:val="20"/>
                <w:szCs w:val="20"/>
              </w:rPr>
              <w:t xml:space="preserve">Voyager</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432.5</w:t>
            </w:r>
          </w:p>
        </w:tc>
        <w:tc>
          <w:tcPr>
            <w:tcW w:w="0" w:type="auto"/>
          </w:tcPr>
          <w:p>
            <w:pPr>
              <w:spacing w:line="240" w:lineRule="auto" w:before="0" w:after="0"/>
              <w:pStyle w:val="Compact"/>
            </w:pPr>
            <w:r>
              <w:rPr>
                <w:sz w:val="20"/>
                <w:szCs w:val="20"/>
              </w:rPr>
              <w:t xml:space="preserve">721.9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1977</w:t>
            </w:r>
          </w:p>
        </w:tc>
        <w:tc>
          <w:tcPr>
            <w:tcW w:w="0" w:type="auto"/>
          </w:tcPr>
          <w:p>
            <w:pPr>
              <w:spacing w:line="240" w:lineRule="auto" w:before="0" w:after="0"/>
              <w:pStyle w:val="Compact"/>
            </w:pPr>
            <w:r>
              <w:rPr>
                <w:sz w:val="20"/>
                <w:szCs w:val="20"/>
              </w:rPr>
              <w:t xml:space="preserve">6.0696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6.5819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Voyager program (NASA Science / Wikipedia: ~$865M through Neptune for two identical spacecraft; per-unit = $865M/2 = $432.5M); dry mass 721.9 kg, NSSDCA Voyager 2 1977-076A</w:t>
            </w:r>
          </w:p>
        </w:tc>
      </w:tr>
      <w:tr>
        <w:tc>
          <w:tcPr>
            <w:tcW w:w="0" w:type="auto"/>
          </w:tcPr>
          <w:p>
            <w:pPr>
              <w:spacing w:line="240" w:lineRule="auto" w:before="0" w:after="0"/>
              <w:pStyle w:val="Compact"/>
            </w:pPr>
            <w:r>
              <w:rPr>
                <w:sz w:val="20"/>
                <w:szCs w:val="20"/>
              </w:rPr>
              <w:t xml:space="preserve">Voyager-2</w:t>
            </w:r>
          </w:p>
        </w:tc>
        <w:tc>
          <w:tcPr>
            <w:tcW w:w="0" w:type="auto"/>
          </w:tcPr>
          <w:p>
            <w:pPr>
              <w:spacing w:line="240" w:lineRule="auto" w:before="0" w:after="0"/>
              <w:pStyle w:val="Compact"/>
            </w:pPr>
            <w:r>
              <w:rPr>
                <w:sz w:val="20"/>
                <w:szCs w:val="20"/>
              </w:rPr>
              <w:t xml:space="preserve">Voyager</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432.5</w:t>
            </w:r>
          </w:p>
        </w:tc>
        <w:tc>
          <w:tcPr>
            <w:tcW w:w="0" w:type="auto"/>
          </w:tcPr>
          <w:p>
            <w:pPr>
              <w:spacing w:line="240" w:lineRule="auto" w:before="0" w:after="0"/>
              <w:pStyle w:val="Compact"/>
            </w:pPr>
            <w:r>
              <w:rPr>
                <w:sz w:val="20"/>
                <w:szCs w:val="20"/>
              </w:rPr>
              <w:t xml:space="preserve">721.9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1977</w:t>
            </w:r>
          </w:p>
        </w:tc>
        <w:tc>
          <w:tcPr>
            <w:tcW w:w="0" w:type="auto"/>
          </w:tcPr>
          <w:p>
            <w:pPr>
              <w:spacing w:line="240" w:lineRule="auto" w:before="0" w:after="0"/>
              <w:pStyle w:val="Compact"/>
            </w:pPr>
            <w:r>
              <w:rPr>
                <w:sz w:val="20"/>
                <w:szCs w:val="20"/>
              </w:rPr>
              <w:t xml:space="preserve">6.0696</w:t>
            </w:r>
          </w:p>
        </w:tc>
        <w:tc>
          <w:tcPr>
            <w:tcW w:w="0" w:type="auto"/>
          </w:tcPr>
          <w:p>
            <w:pPr>
              <w:spacing w:line="240" w:lineRule="auto" w:before="0" w:after="0"/>
              <w:pStyle w:val="Compact"/>
            </w:pPr>
            <w:r>
              <w:rPr>
                <w:sz w:val="20"/>
                <w:szCs w:val="20"/>
              </w:rPr>
              <w:t xml:space="preserve">0.6931</w:t>
            </w:r>
          </w:p>
        </w:tc>
        <w:tc>
          <w:tcPr>
            <w:tcW w:w="0" w:type="auto"/>
          </w:tcPr>
          <w:p>
            <w:pPr>
              <w:spacing w:line="240" w:lineRule="auto" w:before="0" w:after="0"/>
              <w:pStyle w:val="Compact"/>
            </w:pPr>
            <w:r>
              <w:rPr>
                <w:sz w:val="20"/>
                <w:szCs w:val="20"/>
              </w:rPr>
              <w:t xml:space="preserve">6.5819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Voyager program (Wikipedia / NASA Science $865M/2 = $432.5M per spacecraft); identical recurring twin; dry mass 721.9 kg, NSSDCA 1977-076A</w:t>
            </w:r>
          </w:p>
        </w:tc>
      </w:tr>
      <w:tr>
        <w:tc>
          <w:tcPr>
            <w:tcW w:w="0" w:type="auto"/>
          </w:tcPr>
          <w:p>
            <w:pPr>
              <w:spacing w:line="240" w:lineRule="auto" w:before="0" w:after="0"/>
              <w:pStyle w:val="Compact"/>
            </w:pPr>
            <w:r>
              <w:rPr>
                <w:sz w:val="20"/>
                <w:szCs w:val="20"/>
              </w:rPr>
              <w:t xml:space="preserve">Pioneer-10</w:t>
            </w:r>
          </w:p>
        </w:tc>
        <w:tc>
          <w:tcPr>
            <w:tcW w:w="0" w:type="auto"/>
          </w:tcPr>
          <w:p>
            <w:pPr>
              <w:spacing w:line="240" w:lineRule="auto" w:before="0" w:after="0"/>
              <w:pStyle w:val="Compact"/>
            </w:pPr>
            <w:r>
              <w:rPr>
                <w:sz w:val="20"/>
                <w:szCs w:val="20"/>
              </w:rPr>
              <w:t xml:space="preserve">Pioneer</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190</w:t>
            </w:r>
          </w:p>
        </w:tc>
        <w:tc>
          <w:tcPr>
            <w:tcW w:w="0" w:type="auto"/>
          </w:tcPr>
          <w:p>
            <w:pPr>
              <w:spacing w:line="240" w:lineRule="auto" w:before="0" w:after="0"/>
              <w:pStyle w:val="Compact"/>
            </w:pPr>
            <w:r>
              <w:rPr>
                <w:sz w:val="20"/>
                <w:szCs w:val="20"/>
              </w:rPr>
              <w:t xml:space="preserve">259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1972</w:t>
            </w:r>
          </w:p>
        </w:tc>
        <w:tc>
          <w:tcPr>
            <w:tcW w:w="0" w:type="auto"/>
          </w:tcPr>
          <w:p>
            <w:pPr>
              <w:spacing w:line="240" w:lineRule="auto" w:before="0" w:after="0"/>
              <w:pStyle w:val="Compact"/>
            </w:pPr>
            <w:r>
              <w:rPr>
                <w:sz w:val="20"/>
                <w:szCs w:val="20"/>
              </w:rPr>
              <w:t xml:space="preserve">5.247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5.5568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Pioneer 10 Wikipedia (TRW combined $380M contract for both vehicles; per-unit = $380M/2 = $190M); mass 259 kg, NSSDCA Pioneer 10 1972-012A</w:t>
            </w:r>
          </w:p>
        </w:tc>
      </w:tr>
      <w:tr>
        <w:tc>
          <w:tcPr>
            <w:tcW w:w="0" w:type="auto"/>
          </w:tcPr>
          <w:p>
            <w:pPr>
              <w:spacing w:line="240" w:lineRule="auto" w:before="0" w:after="0"/>
              <w:pStyle w:val="Compact"/>
            </w:pPr>
            <w:r>
              <w:rPr>
                <w:sz w:val="20"/>
                <w:szCs w:val="20"/>
              </w:rPr>
              <w:t xml:space="preserve">Pioneer-11</w:t>
            </w:r>
          </w:p>
        </w:tc>
        <w:tc>
          <w:tcPr>
            <w:tcW w:w="0" w:type="auto"/>
          </w:tcPr>
          <w:p>
            <w:pPr>
              <w:spacing w:line="240" w:lineRule="auto" w:before="0" w:after="0"/>
              <w:pStyle w:val="Compact"/>
            </w:pPr>
            <w:r>
              <w:rPr>
                <w:sz w:val="20"/>
                <w:szCs w:val="20"/>
              </w:rPr>
              <w:t xml:space="preserve">Pioneer</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190</w:t>
            </w:r>
          </w:p>
        </w:tc>
        <w:tc>
          <w:tcPr>
            <w:tcW w:w="0" w:type="auto"/>
          </w:tcPr>
          <w:p>
            <w:pPr>
              <w:spacing w:line="240" w:lineRule="auto" w:before="0" w:after="0"/>
              <w:pStyle w:val="Compact"/>
            </w:pPr>
            <w:r>
              <w:rPr>
                <w:sz w:val="20"/>
                <w:szCs w:val="20"/>
              </w:rPr>
              <w:t xml:space="preserve">259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1973</w:t>
            </w:r>
          </w:p>
        </w:tc>
        <w:tc>
          <w:tcPr>
            <w:tcW w:w="0" w:type="auto"/>
          </w:tcPr>
          <w:p>
            <w:pPr>
              <w:spacing w:line="240" w:lineRule="auto" w:before="0" w:after="0"/>
              <w:pStyle w:val="Compact"/>
            </w:pPr>
            <w:r>
              <w:rPr>
                <w:sz w:val="20"/>
                <w:szCs w:val="20"/>
              </w:rPr>
              <w:t xml:space="preserve">5.247</w:t>
            </w:r>
          </w:p>
        </w:tc>
        <w:tc>
          <w:tcPr>
            <w:tcW w:w="0" w:type="auto"/>
          </w:tcPr>
          <w:p>
            <w:pPr>
              <w:spacing w:line="240" w:lineRule="auto" w:before="0" w:after="0"/>
              <w:pStyle w:val="Compact"/>
            </w:pPr>
            <w:r>
              <w:rPr>
                <w:sz w:val="20"/>
                <w:szCs w:val="20"/>
              </w:rPr>
              <w:t xml:space="preserve">0.6931</w:t>
            </w:r>
          </w:p>
        </w:tc>
        <w:tc>
          <w:tcPr>
            <w:tcW w:w="0" w:type="auto"/>
          </w:tcPr>
          <w:p>
            <w:pPr>
              <w:spacing w:line="240" w:lineRule="auto" w:before="0" w:after="0"/>
              <w:pStyle w:val="Compact"/>
            </w:pPr>
            <w:r>
              <w:rPr>
                <w:sz w:val="20"/>
                <w:szCs w:val="20"/>
              </w:rPr>
              <w:t xml:space="preserve">5.5568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Pioneer 11 Wikipedia ($380M/2 = $190M per vehicle); identical recurring twin; mass 259 kg, NSSDCA Pioneer 10 1972-012A</w:t>
            </w:r>
          </w:p>
        </w:tc>
      </w:tr>
      <w:tr>
        <w:tc>
          <w:tcPr>
            <w:tcW w:w="0" w:type="auto"/>
          </w:tcPr>
          <w:p>
            <w:pPr>
              <w:spacing w:line="240" w:lineRule="auto" w:before="0" w:after="0"/>
              <w:pStyle w:val="Compact"/>
            </w:pPr>
            <w:r>
              <w:rPr>
                <w:sz w:val="20"/>
                <w:szCs w:val="20"/>
              </w:rPr>
              <w:t xml:space="preserve">Mariner-6</w:t>
            </w:r>
          </w:p>
        </w:tc>
        <w:tc>
          <w:tcPr>
            <w:tcW w:w="0" w:type="auto"/>
          </w:tcPr>
          <w:p>
            <w:pPr>
              <w:spacing w:line="240" w:lineRule="auto" w:before="0" w:after="0"/>
              <w:pStyle w:val="Compact"/>
            </w:pPr>
            <w:r>
              <w:rPr>
                <w:sz w:val="20"/>
                <w:szCs w:val="20"/>
              </w:rPr>
              <w:t xml:space="preserve">Mariner67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74</w:t>
            </w:r>
          </w:p>
        </w:tc>
        <w:tc>
          <w:tcPr>
            <w:tcW w:w="0" w:type="auto"/>
          </w:tcPr>
          <w:p>
            <w:pPr>
              <w:spacing w:line="240" w:lineRule="auto" w:before="0" w:after="0"/>
              <w:pStyle w:val="Compact"/>
            </w:pPr>
            <w:r>
              <w:rPr>
                <w:sz w:val="20"/>
                <w:szCs w:val="20"/>
              </w:rPr>
              <w:t xml:space="preserve">412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1969</w:t>
            </w:r>
          </w:p>
        </w:tc>
        <w:tc>
          <w:tcPr>
            <w:tcW w:w="0" w:type="auto"/>
          </w:tcPr>
          <w:p>
            <w:pPr>
              <w:spacing w:line="240" w:lineRule="auto" w:before="0" w:after="0"/>
              <w:pStyle w:val="Compact"/>
            </w:pPr>
            <w:r>
              <w:rPr>
                <w:sz w:val="20"/>
                <w:szCs w:val="20"/>
              </w:rPr>
              <w:t xml:space="preserve">4.3041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6.021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Mariner 6 and 7 Wikipedia (two-spacecraft mission $148M; per-unit = $148M/2 = $74M); gross mass 412 kg each, Gunter’s Space Page space.skyrocket.de/doc_sdat/mariner-6.htm</w:t>
            </w:r>
          </w:p>
        </w:tc>
      </w:tr>
      <w:tr>
        <w:tc>
          <w:tcPr>
            <w:tcW w:w="0" w:type="auto"/>
          </w:tcPr>
          <w:p>
            <w:pPr>
              <w:spacing w:line="240" w:lineRule="auto" w:before="0" w:after="0"/>
              <w:pStyle w:val="Compact"/>
            </w:pPr>
            <w:r>
              <w:rPr>
                <w:sz w:val="20"/>
                <w:szCs w:val="20"/>
              </w:rPr>
              <w:t xml:space="preserve">Mariner-7</w:t>
            </w:r>
          </w:p>
        </w:tc>
        <w:tc>
          <w:tcPr>
            <w:tcW w:w="0" w:type="auto"/>
          </w:tcPr>
          <w:p>
            <w:pPr>
              <w:spacing w:line="240" w:lineRule="auto" w:before="0" w:after="0"/>
              <w:pStyle w:val="Compact"/>
            </w:pPr>
            <w:r>
              <w:rPr>
                <w:sz w:val="20"/>
                <w:szCs w:val="20"/>
              </w:rPr>
              <w:t xml:space="preserve">Mariner67</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74</w:t>
            </w:r>
          </w:p>
        </w:tc>
        <w:tc>
          <w:tcPr>
            <w:tcW w:w="0" w:type="auto"/>
          </w:tcPr>
          <w:p>
            <w:pPr>
              <w:spacing w:line="240" w:lineRule="auto" w:before="0" w:after="0"/>
              <w:pStyle w:val="Compact"/>
            </w:pPr>
            <w:r>
              <w:rPr>
                <w:sz w:val="20"/>
                <w:szCs w:val="20"/>
              </w:rPr>
              <w:t xml:space="preserve">412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1969</w:t>
            </w:r>
          </w:p>
        </w:tc>
        <w:tc>
          <w:tcPr>
            <w:tcW w:w="0" w:type="auto"/>
          </w:tcPr>
          <w:p>
            <w:pPr>
              <w:spacing w:line="240" w:lineRule="auto" w:before="0" w:after="0"/>
              <w:pStyle w:val="Compact"/>
            </w:pPr>
            <w:r>
              <w:rPr>
                <w:sz w:val="20"/>
                <w:szCs w:val="20"/>
              </w:rPr>
              <w:t xml:space="preserve">4.3041</w:t>
            </w:r>
          </w:p>
        </w:tc>
        <w:tc>
          <w:tcPr>
            <w:tcW w:w="0" w:type="auto"/>
          </w:tcPr>
          <w:p>
            <w:pPr>
              <w:spacing w:line="240" w:lineRule="auto" w:before="0" w:after="0"/>
              <w:pStyle w:val="Compact"/>
            </w:pPr>
            <w:r>
              <w:rPr>
                <w:sz w:val="20"/>
                <w:szCs w:val="20"/>
              </w:rPr>
              <w:t xml:space="preserve">0.6931</w:t>
            </w:r>
          </w:p>
        </w:tc>
        <w:tc>
          <w:tcPr>
            <w:tcW w:w="0" w:type="auto"/>
          </w:tcPr>
          <w:p>
            <w:pPr>
              <w:spacing w:line="240" w:lineRule="auto" w:before="0" w:after="0"/>
              <w:pStyle w:val="Compact"/>
            </w:pPr>
            <w:r>
              <w:rPr>
                <w:sz w:val="20"/>
                <w:szCs w:val="20"/>
              </w:rPr>
              <w:t xml:space="preserve">6.021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Mariner 6 and 7 Wikipedia ($148M/2 = $74M per spacecraft); identical recurring twin; gross mass 412 kg, Gunter’s Space Page space.skyrocket.de/doc_sdat/mariner-6.htm</w:t>
            </w:r>
          </w:p>
        </w:tc>
      </w:tr>
      <w:tr>
        <w:tc>
          <w:tcPr>
            <w:tcW w:w="0" w:type="auto"/>
          </w:tcPr>
          <w:p>
            <w:pPr>
              <w:spacing w:line="240" w:lineRule="auto" w:before="0" w:after="0"/>
              <w:pStyle w:val="Compact"/>
            </w:pPr>
            <w:r>
              <w:rPr>
                <w:sz w:val="20"/>
                <w:szCs w:val="20"/>
              </w:rPr>
              <w:t xml:space="preserve">GOES-R</w:t>
            </w:r>
          </w:p>
        </w:tc>
        <w:tc>
          <w:tcPr>
            <w:tcW w:w="0" w:type="auto"/>
          </w:tcPr>
          <w:p>
            <w:pPr>
              <w:spacing w:line="240" w:lineRule="auto" w:before="0" w:after="0"/>
              <w:pStyle w:val="Compact"/>
            </w:pPr>
            <w:r>
              <w:rPr>
                <w:sz w:val="20"/>
                <w:szCs w:val="20"/>
              </w:rPr>
              <w:t xml:space="preserve">GOESR</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1922</w:t>
            </w:r>
          </w:p>
        </w:tc>
        <w:tc>
          <w:tcPr>
            <w:tcW w:w="0" w:type="auto"/>
          </w:tcPr>
          <w:p>
            <w:pPr>
              <w:spacing w:line="240" w:lineRule="auto" w:before="0" w:after="0"/>
              <w:pStyle w:val="Compact"/>
            </w:pPr>
            <w:r>
              <w:rPr>
                <w:sz w:val="20"/>
                <w:szCs w:val="20"/>
              </w:rPr>
              <w:t xml:space="preserve">5192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7.5611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8.5549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GOES-R series program $7.69B for four satellites = $1.922B per satellite (SpaceNews Cost of GOES-R; Wikipedia GOES-16); first article of series; launch mass 5192 kg, eoPortal GOES-R / NESDIS</w:t>
            </w:r>
          </w:p>
        </w:tc>
      </w:tr>
      <w:tr>
        <w:tc>
          <w:tcPr>
            <w:tcW w:w="0" w:type="auto"/>
          </w:tcPr>
          <w:p>
            <w:pPr>
              <w:spacing w:line="240" w:lineRule="auto" w:before="0" w:after="0"/>
              <w:pStyle w:val="Compact"/>
            </w:pPr>
            <w:r>
              <w:rPr>
                <w:sz w:val="20"/>
                <w:szCs w:val="20"/>
              </w:rPr>
              <w:t xml:space="preserve">GOES-S</w:t>
            </w:r>
          </w:p>
        </w:tc>
        <w:tc>
          <w:tcPr>
            <w:tcW w:w="0" w:type="auto"/>
          </w:tcPr>
          <w:p>
            <w:pPr>
              <w:spacing w:line="240" w:lineRule="auto" w:before="0" w:after="0"/>
              <w:pStyle w:val="Compact"/>
            </w:pPr>
            <w:r>
              <w:rPr>
                <w:sz w:val="20"/>
                <w:szCs w:val="20"/>
              </w:rPr>
              <w:t xml:space="preserve">GOESR</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1922</w:t>
            </w:r>
          </w:p>
        </w:tc>
        <w:tc>
          <w:tcPr>
            <w:tcW w:w="0" w:type="auto"/>
          </w:tcPr>
          <w:p>
            <w:pPr>
              <w:spacing w:line="240" w:lineRule="auto" w:before="0" w:after="0"/>
              <w:pStyle w:val="Compact"/>
            </w:pPr>
            <w:r>
              <w:rPr>
                <w:sz w:val="20"/>
                <w:szCs w:val="20"/>
              </w:rPr>
              <w:t xml:space="preserve">5192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7.5611</w:t>
            </w:r>
          </w:p>
        </w:tc>
        <w:tc>
          <w:tcPr>
            <w:tcW w:w="0" w:type="auto"/>
          </w:tcPr>
          <w:p>
            <w:pPr>
              <w:spacing w:line="240" w:lineRule="auto" w:before="0" w:after="0"/>
              <w:pStyle w:val="Compact"/>
            </w:pPr>
            <w:r>
              <w:rPr>
                <w:sz w:val="20"/>
                <w:szCs w:val="20"/>
              </w:rPr>
              <w:t xml:space="preserve">0.6931</w:t>
            </w:r>
          </w:p>
        </w:tc>
        <w:tc>
          <w:tcPr>
            <w:tcW w:w="0" w:type="auto"/>
          </w:tcPr>
          <w:p>
            <w:pPr>
              <w:spacing w:line="240" w:lineRule="auto" w:before="0" w:after="0"/>
              <w:pStyle w:val="Compact"/>
            </w:pPr>
            <w:r>
              <w:rPr>
                <w:sz w:val="20"/>
                <w:szCs w:val="20"/>
              </w:rPr>
              <w:t xml:space="preserve">8.5549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GOES-R series $7.69B/4 = $1.922B per satellite (SpaceNews; Wikipedia GOES-16); recurring build, ABI/imager copy; launch mass 5192 kg, eoPortal GOES-R / NESDIS</w:t>
            </w:r>
          </w:p>
        </w:tc>
      </w:tr>
      <w:tr>
        <w:tc>
          <w:tcPr>
            <w:tcW w:w="0" w:type="auto"/>
          </w:tcPr>
          <w:p>
            <w:pPr>
              <w:spacing w:line="240" w:lineRule="auto" w:before="0" w:after="0"/>
              <w:pStyle w:val="Compact"/>
            </w:pPr>
            <w:r>
              <w:rPr>
                <w:sz w:val="20"/>
                <w:szCs w:val="20"/>
              </w:rPr>
              <w:t xml:space="preserve">GOES-T</w:t>
            </w:r>
          </w:p>
        </w:tc>
        <w:tc>
          <w:tcPr>
            <w:tcW w:w="0" w:type="auto"/>
          </w:tcPr>
          <w:p>
            <w:pPr>
              <w:spacing w:line="240" w:lineRule="auto" w:before="0" w:after="0"/>
              <w:pStyle w:val="Compact"/>
            </w:pPr>
            <w:r>
              <w:rPr>
                <w:sz w:val="20"/>
                <w:szCs w:val="20"/>
              </w:rPr>
              <w:t xml:space="preserve">GOESR</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1922</w:t>
            </w:r>
          </w:p>
        </w:tc>
        <w:tc>
          <w:tcPr>
            <w:tcW w:w="0" w:type="auto"/>
          </w:tcPr>
          <w:p>
            <w:pPr>
              <w:spacing w:line="240" w:lineRule="auto" w:before="0" w:after="0"/>
              <w:pStyle w:val="Compact"/>
            </w:pPr>
            <w:r>
              <w:rPr>
                <w:sz w:val="20"/>
                <w:szCs w:val="20"/>
              </w:rPr>
              <w:t xml:space="preserve">5192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7.5611</w:t>
            </w:r>
          </w:p>
        </w:tc>
        <w:tc>
          <w:tcPr>
            <w:tcW w:w="0" w:type="auto"/>
          </w:tcPr>
          <w:p>
            <w:pPr>
              <w:spacing w:line="240" w:lineRule="auto" w:before="0" w:after="0"/>
              <w:pStyle w:val="Compact"/>
            </w:pPr>
            <w:r>
              <w:rPr>
                <w:sz w:val="20"/>
                <w:szCs w:val="20"/>
              </w:rPr>
              <w:t xml:space="preserve">1.0986</w:t>
            </w:r>
          </w:p>
        </w:tc>
        <w:tc>
          <w:tcPr>
            <w:tcW w:w="0" w:type="auto"/>
          </w:tcPr>
          <w:p>
            <w:pPr>
              <w:spacing w:line="240" w:lineRule="auto" w:before="0" w:after="0"/>
              <w:pStyle w:val="Compact"/>
            </w:pPr>
            <w:r>
              <w:rPr>
                <w:sz w:val="20"/>
                <w:szCs w:val="20"/>
              </w:rPr>
              <w:t xml:space="preserve">8.5549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GOES-R series $7.69B/4 = $1.922B per satellite (SpaceNews; Wikipedia GOES-16); recurring build; launch mass 5192 kg, eoPortal GOES-R / NESDIS</w:t>
            </w:r>
          </w:p>
        </w:tc>
      </w:tr>
      <w:tr>
        <w:tc>
          <w:tcPr>
            <w:tcW w:w="0" w:type="auto"/>
          </w:tcPr>
          <w:p>
            <w:pPr>
              <w:spacing w:line="240" w:lineRule="auto" w:before="0" w:after="0"/>
              <w:pStyle w:val="Compact"/>
            </w:pPr>
            <w:r>
              <w:rPr>
                <w:sz w:val="20"/>
                <w:szCs w:val="20"/>
              </w:rPr>
              <w:t xml:space="preserve">GOES-U</w:t>
            </w:r>
          </w:p>
        </w:tc>
        <w:tc>
          <w:tcPr>
            <w:tcW w:w="0" w:type="auto"/>
          </w:tcPr>
          <w:p>
            <w:pPr>
              <w:spacing w:line="240" w:lineRule="auto" w:before="0" w:after="0"/>
              <w:pStyle w:val="Compact"/>
            </w:pPr>
            <w:r>
              <w:rPr>
                <w:sz w:val="20"/>
                <w:szCs w:val="20"/>
              </w:rPr>
              <w:t xml:space="preserve">GOESR</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1922</w:t>
            </w:r>
          </w:p>
        </w:tc>
        <w:tc>
          <w:tcPr>
            <w:tcW w:w="0" w:type="auto"/>
          </w:tcPr>
          <w:p>
            <w:pPr>
              <w:spacing w:line="240" w:lineRule="auto" w:before="0" w:after="0"/>
              <w:pStyle w:val="Compact"/>
            </w:pPr>
            <w:r>
              <w:rPr>
                <w:sz w:val="20"/>
                <w:szCs w:val="20"/>
              </w:rPr>
              <w:t xml:space="preserve">5000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7.5611</w:t>
            </w:r>
          </w:p>
        </w:tc>
        <w:tc>
          <w:tcPr>
            <w:tcW w:w="0" w:type="auto"/>
          </w:tcPr>
          <w:p>
            <w:pPr>
              <w:spacing w:line="240" w:lineRule="auto" w:before="0" w:after="0"/>
              <w:pStyle w:val="Compact"/>
            </w:pPr>
            <w:r>
              <w:rPr>
                <w:sz w:val="20"/>
                <w:szCs w:val="20"/>
              </w:rPr>
              <w:t xml:space="preserve">1.3863</w:t>
            </w:r>
          </w:p>
        </w:tc>
        <w:tc>
          <w:tcPr>
            <w:tcW w:w="0" w:type="auto"/>
          </w:tcPr>
          <w:p>
            <w:pPr>
              <w:spacing w:line="240" w:lineRule="auto" w:before="0" w:after="0"/>
              <w:pStyle w:val="Compact"/>
            </w:pPr>
            <w:r>
              <w:rPr>
                <w:sz w:val="20"/>
                <w:szCs w:val="20"/>
              </w:rPr>
              <w:t xml:space="preserve">8.5172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GOES-R series $7.69B/4 = $1.922B per satellite (SpaceNews; Wikipedia GOES-16); recurring build; launch mass 5000 kg (Falcon Heavy, less propellant), eoPortal GOES-R / NESDIS</w:t>
            </w:r>
          </w:p>
        </w:tc>
      </w:tr>
    </w:tbl>
    <w:bookmarkEnd w:id="198"/>
    <w:bookmarkStart w:id="199" w:name="variable-construction-3"/>
    <w:p>
      <w:pPr>
        <w:pStyle w:val="Heading3"/>
        <w:spacing w:line="480" w:lineRule="auto"/>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ln_cost</w:t>
            </w:r>
          </w:p>
        </w:tc>
        <w:tc>
          <w:tcPr>
            <w:tcW w:w="0" w:type="auto"/>
          </w:tcPr>
          <w:p>
            <w:pPr>
              <w:spacing w:line="240" w:lineRule="auto" w:before="0" w:after="0"/>
              <w:pStyle w:val="Compact"/>
            </w:pPr>
            <w:r>
              <w:rPr>
                <w:sz w:val="20"/>
                <w:szCs w:val="20"/>
              </w:rPr>
              <w:t xml:space="preserve">Natural log of per-unit recurring cost in then-year USD millions; for families built as identical twins or series the per-unit cost is the documented program cost divided by the number of units delivered</w:t>
            </w:r>
          </w:p>
        </w:tc>
        <w:tc>
          <w:tcPr>
            <w:tcW w:w="0" w:type="auto"/>
          </w:tcPr>
          <w:p>
            <w:pPr>
              <w:spacing w:line="240" w:lineRule="auto" w:before="0" w:after="0"/>
              <w:pStyle w:val="Compact"/>
            </w:pPr>
            <w:r>
              <w:rPr>
                <w:sz w:val="20"/>
                <w:szCs w:val="20"/>
              </w:rPr>
              <w:t xml:space="preserve">Derived from cost_musd; cost_musd from mission press kits, The Planetary Society cost analyses, SpaceNews, and mission Wikipedia/Gunter’s/NSSDCA records (per-row source column)</w:t>
            </w:r>
          </w:p>
        </w:tc>
      </w:tr>
      <w:tr>
        <w:tc>
          <w:tcPr>
            <w:tcW w:w="0" w:type="auto"/>
          </w:tcPr>
          <w:p>
            <w:pPr>
              <w:spacing w:line="240" w:lineRule="auto" w:before="0" w:after="0"/>
              <w:pStyle w:val="Compact"/>
            </w:pPr>
            <w:r>
              <w:rPr>
                <w:sz w:val="20"/>
                <w:szCs w:val="20"/>
              </w:rPr>
              <w:t xml:space="preserve">ln_cum_unit</w:t>
            </w:r>
          </w:p>
        </w:tc>
        <w:tc>
          <w:tcPr>
            <w:tcW w:w="0" w:type="auto"/>
          </w:tcPr>
          <w:p>
            <w:pPr>
              <w:spacing w:line="240" w:lineRule="auto" w:before="0" w:after="0"/>
              <w:pStyle w:val="Compact"/>
            </w:pPr>
            <w:r>
              <w:rPr>
                <w:sz w:val="20"/>
                <w:szCs w:val="20"/>
              </w:rPr>
              <w:t xml:space="preserve">Natural log of the cumulative unit number of the article within its design-heritage family (1 for the first article, 2 for the second, and so on along the build line)</w:t>
            </w:r>
          </w:p>
        </w:tc>
        <w:tc>
          <w:tcPr>
            <w:tcW w:w="0" w:type="auto"/>
          </w:tcPr>
          <w:p>
            <w:pPr>
              <w:spacing w:line="240" w:lineRule="auto" w:before="0" w:after="0"/>
              <w:pStyle w:val="Compact"/>
            </w:pPr>
            <w:r>
              <w:rPr>
                <w:sz w:val="20"/>
                <w:szCs w:val="20"/>
              </w:rPr>
              <w:t xml:space="preserve">Derived from cum_unit; build sequence from NSSDCA, Gunter’s Space Page, and mission documentation</w:t>
            </w:r>
          </w:p>
        </w:tc>
      </w:tr>
      <w:tr>
        <w:tc>
          <w:tcPr>
            <w:tcW w:w="0" w:type="auto"/>
          </w:tcPr>
          <w:p>
            <w:pPr>
              <w:spacing w:line="240" w:lineRule="auto" w:before="0" w:after="0"/>
              <w:pStyle w:val="Compact"/>
            </w:pPr>
            <w:r>
              <w:rPr>
                <w:sz w:val="20"/>
                <w:szCs w:val="20"/>
              </w:rPr>
              <w:t xml:space="preserve">ln_mass</w:t>
            </w:r>
          </w:p>
        </w:tc>
        <w:tc>
          <w:tcPr>
            <w:tcW w:w="0" w:type="auto"/>
          </w:tcPr>
          <w:p>
            <w:pPr>
              <w:spacing w:line="240" w:lineRule="auto" w:before="0" w:after="0"/>
              <w:pStyle w:val="Compact"/>
            </w:pPr>
            <w:r>
              <w:rPr>
                <w:sz w:val="20"/>
                <w:szCs w:val="20"/>
              </w:rPr>
              <w:t xml:space="preserve">Natural log of article dry or gross mass in kilograms, the dominant cross-sectional cost driver in the parametric tradition</w:t>
            </w:r>
          </w:p>
        </w:tc>
        <w:tc>
          <w:tcPr>
            <w:tcW w:w="0" w:type="auto"/>
          </w:tcPr>
          <w:p>
            <w:pPr>
              <w:spacing w:line="240" w:lineRule="auto" w:before="0" w:after="0"/>
              <w:pStyle w:val="Compact"/>
            </w:pPr>
            <w:r>
              <w:rPr>
                <w:sz w:val="20"/>
                <w:szCs w:val="20"/>
              </w:rPr>
              <w:t xml:space="preserve">Derived from dry_mass_kg; masses from NSSDCA master catalog, eoPortal, Gunter’s Space Page, and mission press kits</w:t>
            </w:r>
          </w:p>
        </w:tc>
      </w:tr>
      <w:tr>
        <w:tc>
          <w:tcPr>
            <w:tcW w:w="0" w:type="auto"/>
          </w:tcPr>
          <w:p>
            <w:pPr>
              <w:spacing w:line="240" w:lineRule="auto" w:before="0" w:after="0"/>
              <w:pStyle w:val="Compact"/>
            </w:pPr>
            <w:r>
              <w:rPr>
                <w:sz w:val="20"/>
                <w:szCs w:val="20"/>
              </w:rPr>
              <w:t xml:space="preserve">recurring</w:t>
            </w:r>
          </w:p>
        </w:tc>
        <w:tc>
          <w:tcPr>
            <w:tcW w:w="0" w:type="auto"/>
          </w:tcPr>
          <w:p>
            <w:pPr>
              <w:spacing w:line="240" w:lineRule="auto" w:before="0" w:after="0"/>
              <w:pStyle w:val="Compact"/>
            </w:pPr>
            <w:r>
              <w:rPr>
                <w:sz w:val="20"/>
                <w:szCs w:val="20"/>
              </w:rPr>
              <w:t xml:space="preserve">Indicator equal to 1 if the article is a recurring build off an existing design within its family (second twin, later series unit, or heritage follow-on) and 0 for the first-of-family article</w:t>
            </w:r>
          </w:p>
        </w:tc>
        <w:tc>
          <w:tcPr>
            <w:tcW w:w="0" w:type="auto"/>
          </w:tcPr>
          <w:p>
            <w:pPr>
              <w:spacing w:line="240" w:lineRule="auto" w:before="0" w:after="0"/>
              <w:pStyle w:val="Compact"/>
            </w:pPr>
            <w:r>
              <w:rPr>
                <w:sz w:val="20"/>
                <w:szCs w:val="20"/>
              </w:rPr>
              <w:t xml:space="preserve">Coded from build sequence and heritage documentation in the per-row source</w:t>
            </w:r>
          </w:p>
        </w:tc>
      </w:tr>
    </w:tbl>
    <w:bookmarkEnd w:id="199"/>
    <w:bookmarkEnd w:id="200"/>
    <w:bookmarkEnd w:id="201"/>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abstractNum w:abstractNumId="991">
    <w:nsid w:val="0000A991"/>
    <w:multiLevelType w:val="multilevel"/>
    <w:lvl w:ilvl="0">
      <w:numFmt w:val="bullet"/>
      <w:lvlText w:val=""/>
      <w:lvlJc w:val="left"/>
      <w:pPr>
        <w:ind w:left="720" w:hanging="360"/>
      </w:pPr>
      <w:rPr>
        <w:rFonts w:ascii="Symbol" w:hAnsi="Symbol" w:cs="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cs="Wingdings" w:hint="default"/>
      </w:rPr>
    </w:lvl>
    <w:lvl w:ilvl="3">
      <w:numFmt w:val="bullet"/>
      <w:lvlText w:val=""/>
      <w:lvlJc w:val="left"/>
      <w:pPr>
        <w:ind w:left="2880" w:hanging="360"/>
      </w:pPr>
      <w:rPr>
        <w:rFonts w:ascii="Symbol" w:hAnsi="Symbol" w:cs="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cs="Wingdings" w:hint="default"/>
      </w:rPr>
    </w:lvl>
    <w:lvl w:ilvl="6">
      <w:numFmt w:val="bullet"/>
      <w:lvlText w:val=""/>
      <w:lvlJc w:val="left"/>
      <w:pPr>
        <w:ind w:left="5040" w:hanging="360"/>
      </w:pPr>
      <w:rPr>
        <w:rFonts w:ascii="Symbol" w:hAnsi="Symbol" w:cs="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cs="Wingdings" w:hint="default"/>
      </w:r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 w:numId="1001">
    <w:abstractNumId w:val="991"/>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updateFields w:val="tru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line="240" w:lineRule="auto"/>
      <w:ind w:left="380"/>
    </w:pPr>
    <w:rPr>
      <w:rFonts w:ascii="Arial" w:cs="Arial" w:eastAsia="Arial" w:hAnsi="Arial"/>
      <w:b/>
      <w:bCs/>
      <w:sz w:val="20"/>
      <w:szCs w:val="20"/>
    </w:rPr>
  </w:style>
  <w:style w:styleId="TOC2" w:type="paragraph">
    <w:name w:val="toc 2"/>
    <w:basedOn w:val="Normal"/>
    <w:uiPriority w:val="1"/>
    <w:qFormat/>
    <w:pPr>
      <w:spacing w:line="240" w:lineRule="auto"/>
      <w:ind w:left="620"/>
    </w:pPr>
    <w:rPr>
      <w:rFonts w:ascii="Arial" w:cs="Arial" w:eastAsia="Arial" w:hAnsi="Arial"/>
      <w:sz w:val="20"/>
      <w:szCs w:val="20"/>
    </w:rPr>
  </w:style>
  <w:style w:styleId="TOC3" w:type="paragraph">
    <w:name w:val="toc 3"/>
    <w:basedOn w:val="Normal"/>
    <w:uiPriority w:val="1"/>
    <w:qFormat/>
    <w:pPr>
      <w:spacing w:line="240" w:lineRule="auto"/>
      <w:ind w:left="620"/>
    </w:pPr>
    <w:rPr>
      <w:rFonts w:ascii="Arial" w:cs="Arial" w:eastAsia="Arial" w:hAnsi="Arial"/>
      <w:sz w:val="16"/>
      <w:szCs w:val="16"/>
    </w:rPr>
  </w:style>
  <w:style w:styleId="TOC4" w:type="paragraph">
    <w:name w:val="toc 4"/>
    <w:basedOn w:val="Normal"/>
    <w:uiPriority w:val="1"/>
    <w:qFormat/>
    <w:pPr>
      <w:spacing w:line="240" w:lineRule="auto"/>
      <w:ind w:left="620"/>
    </w:pPr>
    <w:rPr>
      <w:rFonts w:ascii="Arial" w:cs="Arial" w:eastAsia="Arial" w:hAnsi="Arial"/>
      <w:b/>
      <w:bCs/>
      <w:i/>
    </w:rPr>
  </w:style>
  <w:style w:styleId="TOC5" w:type="paragraph">
    <w:name w:val="toc 5"/>
    <w:basedOn w:val="Normal"/>
    <w:uiPriority w:val="1"/>
    <w:qFormat/>
    <w:pPr>
      <w:spacing w:line="240" w:lineRule="auto"/>
      <w:ind w:left="860"/>
    </w:pPr>
    <w:rPr>
      <w:rFonts w:ascii="Arial" w:cs="Arial" w:eastAsia="Arial" w:hAnsi="Arial"/>
      <w:i/>
      <w:sz w:val="20"/>
      <w:szCs w:val="20"/>
    </w:rPr>
  </w:style>
  <w:style w:styleId="BodyText" w:type="paragraph">
    <w:name w:val="Body Text"/>
    <w:basedOn w:val="Normal"/>
    <w:uiPriority w:val="1"/>
    <w:qFormat/>
    <w:pPr>
      <w:spacing w:line="480" w:lineRule="auto"/>
      <w:ind w:firstLine="72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b/>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i/>
      <w:color w:val="5e5e5e"/>
      <w:shd w:val="clear" w:fill="f1f3f5"/>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i/>
      <w:color w:val="5e5e5e"/>
      <w:shd w:val="clear" w:fill="f1f3f5"/>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b/>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i/>
      <w:color w:val="5e5e5e"/>
      <w:shd w:val="clear" w:fill="f1f3f5"/>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60" Type="http://schemas.openxmlformats.org/officeDocument/2006/relationships/numbering" Target="numbering.xml"/><Relationship Id="rId59" Type="http://schemas.openxmlformats.org/officeDocument/2006/relationships/styles" Target="styles.xml"/><Relationship Id="rId58" Type="http://schemas.openxmlformats.org/officeDocument/2006/relationships/settings" Target="settings.xml"/><Relationship Id="rId57" Type="http://schemas.openxmlformats.org/officeDocument/2006/relationships/webSettings" Target="webSettings.xml"/><Relationship Id="rId56" Type="http://schemas.openxmlformats.org/officeDocument/2006/relationships/fontTable" Target="fontTable.xml"/><Relationship Id="rId55" Type="http://schemas.openxmlformats.org/officeDocument/2006/relationships/theme" Target="theme/theme1.xml"/><Relationship Id="rId54" Type="http://schemas.openxmlformats.org/officeDocument/2006/relationships/footnotes" Target="footnotes.xml"/><Relationship Id="rId53" Type="http://schemas.openxmlformats.org/officeDocument/2006/relationships/comments" Target="comment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png"/><Relationship Id="rId21" Type="http://schemas.openxmlformats.org/officeDocument/2006/relationships/image" Target="media/image13.png"/><Relationship Id="rId50" Type="http://schemas.openxmlformats.org/officeDocument/2006/relationships/image" Target="media/image23.png"/><Relationship Id="rId7" Type="http://schemas.openxmlformats.org/officeDocument/2006/relationships/footer" Target="footer1.xml"/><Relationship Id="rId16" Type="http://schemas.openxmlformats.org/officeDocument/2006/relationships/image" Target="media/image8.jpeg"/><Relationship Id="rId29" Type="http://schemas.openxmlformats.org/officeDocument/2006/relationships/image" Target="media/image20.png"/><Relationship Id="rId11" Type="http://schemas.openxmlformats.org/officeDocument/2006/relationships/image" Target="media/image3.png"/><Relationship Id="rId24" Type="http://schemas.openxmlformats.org/officeDocument/2006/relationships/image" Target="media/image16.png"/><Relationship Id="rId19" Type="http://schemas.openxmlformats.org/officeDocument/2006/relationships/image" Target="media/image11.png"/><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8.png"/><Relationship Id="rId30" Type="http://schemas.openxmlformats.org/officeDocument/2006/relationships/image" Target="media/image21.png"/><Relationship Id="rId8" Type="http://schemas.openxmlformats.org/officeDocument/2006/relationships/footer" Target="footer2.xml"/><Relationship Id="rId51" Type="http://schemas.openxmlformats.org/officeDocument/2006/relationships/image" Target="media/image24.jpeg"/><Relationship Id="rId12" Type="http://schemas.openxmlformats.org/officeDocument/2006/relationships/image" Target="media/image4.png"/><Relationship Id="rId17" Type="http://schemas.openxmlformats.org/officeDocument/2006/relationships/image" Target="media/image9.png"/><Relationship Id="rId20" Type="http://schemas.openxmlformats.org/officeDocument/2006/relationships/image" Target="media/image12.png"/><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19.jpeg"/><Relationship Id="rId10" Type="http://schemas.openxmlformats.org/officeDocument/2006/relationships/image" Target="media/image2.jpeg"/><Relationship Id="rId31" Type="http://schemas.openxmlformats.org/officeDocument/2006/relationships/image" Target="media/image22.png"/><Relationship Id="rId52" Type="http://schemas.openxmlformats.org/officeDocument/2006/relationships/image" Target="media/image25.jpeg"/><Relationship Id="rId186" Type="http://schemas.openxmlformats.org/officeDocument/2006/relationships/image" Target="media/rId186.png"/><Relationship Id="rId194" Type="http://schemas.openxmlformats.org/officeDocument/2006/relationships/image" Target="media/rId194.png"/><Relationship Id="rId150" Type="http://schemas.openxmlformats.org/officeDocument/2006/relationships/hyperlink" Target="https://doi.org/10.1016/j.actaastro.2017.04.034" TargetMode="External"/><Relationship Id="rId155" Type="http://schemas.openxmlformats.org/officeDocument/2006/relationships/hyperlink" Target="https://doi.org/10.1016/j.actaastro.2019.09.030" TargetMode="External"/><Relationship Id="rId170" Type="http://schemas.openxmlformats.org/officeDocument/2006/relationships/hyperlink" Target="https://doi.org/10.1016/j.actaastro.2020.04.030" TargetMode="External"/><Relationship Id="rId145" Type="http://schemas.openxmlformats.org/officeDocument/2006/relationships/hyperlink" Target="https://doi.org/10.1016/j.actaastro.2021.04.035" TargetMode="External"/><Relationship Id="rId176" Type="http://schemas.openxmlformats.org/officeDocument/2006/relationships/hyperlink" Target="https://doi.org/10.1016/j.actaastro.2022.12.036" TargetMode="External"/><Relationship Id="rId180" Type="http://schemas.openxmlformats.org/officeDocument/2006/relationships/hyperlink" Target="https://doi.org/10.1016/j.actaastro.2024.03.029" TargetMode="External"/><Relationship Id="rId174" Type="http://schemas.openxmlformats.org/officeDocument/2006/relationships/hyperlink" Target="https://doi.org/10.1016/j.actaastro.2024.04.012" TargetMode="External"/><Relationship Id="rId182" Type="http://schemas.openxmlformats.org/officeDocument/2006/relationships/hyperlink" Target="https://doi.org/10.1016/j.actaastro.2025.02.004" TargetMode="External"/><Relationship Id="rId158" Type="http://schemas.openxmlformats.org/officeDocument/2006/relationships/hyperlink" Target="https://doi.org/10.1016/j.actaastro.2025.11.006" TargetMode="External"/><Relationship Id="rId172" Type="http://schemas.openxmlformats.org/officeDocument/2006/relationships/hyperlink" Target="https://doi.org/10.1016/j.actaastro.2026.03.026" TargetMode="External"/><Relationship Id="rId178" Type="http://schemas.openxmlformats.org/officeDocument/2006/relationships/hyperlink" Target="https://doi.org/10.1016/j.actaastro.2026.03.057" TargetMode="External"/><Relationship Id="rId162" Type="http://schemas.openxmlformats.org/officeDocument/2006/relationships/hyperlink" Target="https://doi.org/10.64861/PLYO7344" TargetMode="External"/></Relationships>
</file>

<file path=word/_rels/footnotes.xml.rels><?xml version='1.0' encoding='UTF-8' standalone='yes'?>
<Relationships xmlns="http://schemas.openxmlformats.org/package/2006/relationships"><Relationship Id="rId150" Type="http://schemas.openxmlformats.org/officeDocument/2006/relationships/hyperlink" Target="https://doi.org/10.1016/j.actaastro.2017.04.034" TargetMode="External"/><Relationship Id="rId155" Type="http://schemas.openxmlformats.org/officeDocument/2006/relationships/hyperlink" Target="https://doi.org/10.1016/j.actaastro.2019.09.030" TargetMode="External"/><Relationship Id="rId170" Type="http://schemas.openxmlformats.org/officeDocument/2006/relationships/hyperlink" Target="https://doi.org/10.1016/j.actaastro.2020.04.030" TargetMode="External"/><Relationship Id="rId145" Type="http://schemas.openxmlformats.org/officeDocument/2006/relationships/hyperlink" Target="https://doi.org/10.1016/j.actaastro.2021.04.035" TargetMode="External"/><Relationship Id="rId176" Type="http://schemas.openxmlformats.org/officeDocument/2006/relationships/hyperlink" Target="https://doi.org/10.1016/j.actaastro.2022.12.036" TargetMode="External"/><Relationship Id="rId180" Type="http://schemas.openxmlformats.org/officeDocument/2006/relationships/hyperlink" Target="https://doi.org/10.1016/j.actaastro.2024.03.029" TargetMode="External"/><Relationship Id="rId174" Type="http://schemas.openxmlformats.org/officeDocument/2006/relationships/hyperlink" Target="https://doi.org/10.1016/j.actaastro.2024.04.012" TargetMode="External"/><Relationship Id="rId182" Type="http://schemas.openxmlformats.org/officeDocument/2006/relationships/hyperlink" Target="https://doi.org/10.1016/j.actaastro.2025.02.004" TargetMode="External"/><Relationship Id="rId158" Type="http://schemas.openxmlformats.org/officeDocument/2006/relationships/hyperlink" Target="https://doi.org/10.1016/j.actaastro.2025.11.006" TargetMode="External"/><Relationship Id="rId172" Type="http://schemas.openxmlformats.org/officeDocument/2006/relationships/hyperlink" Target="https://doi.org/10.1016/j.actaastro.2026.03.026" TargetMode="External"/><Relationship Id="rId178" Type="http://schemas.openxmlformats.org/officeDocument/2006/relationships/hyperlink" Target="https://doi.org/10.1016/j.actaastro.2026.03.057" TargetMode="External"/><Relationship Id="rId162" Type="http://schemas.openxmlformats.org/officeDocument/2006/relationships/hyperlink" Target="https://doi.org/10.64861/PLYO734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Learning Curves in Planetary Instrument Production: A Cost-Reduction Elasticity</dc:title>
  <dc:creator>Amara Khan (1B-OPS-028)</dc:creator>
  <cp:keywords/>
  <dcterms:created xsi:type="dcterms:W3CDTF">2026-07-02T16:48:25Z</dcterms:created>
  <dcterms:modified xsi:type="dcterms:W3CDTF">2026-07-02T16:48:25Z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s">
    <vt:lpwstr/>
  </property>
  <property fmtid="{D5CDD505-2E9C-101B-9397-08002B2CF9AE}" pid="3" name="biblio-config">
    <vt:lpwstr>True</vt:lpwstr>
  </property>
  <property fmtid="{D5CDD505-2E9C-101B-9397-08002B2CF9AE}" pid="4" name="by-author">
    <vt:lpwstr/>
  </property>
  <property fmtid="{D5CDD505-2E9C-101B-9397-08002B2CF9AE}" pid="5" name="date">
    <vt:lpwstr>2025-12-31</vt:lpwstr>
  </property>
  <property fmtid="{D5CDD505-2E9C-101B-9397-08002B2CF9AE}" pid="6" name="engines">
    <vt:lpwstr/>
  </property>
  <property fmtid="{D5CDD505-2E9C-101B-9397-08002B2CF9AE}" pid="7" name="execute">
    <vt:lpwstr/>
  </property>
  <property fmtid="{D5CDD505-2E9C-101B-9397-08002B2CF9AE}" pid="8" name="header-includes">
    <vt:lpwstr/>
  </property>
  <property fmtid="{D5CDD505-2E9C-101B-9397-08002B2CF9AE}" pid="9" name="include-after">
    <vt:lpwstr/>
  </property>
  <property fmtid="{D5CDD505-2E9C-101B-9397-08002B2CF9AE}" pid="10" name="include-before">
    <vt:lpwstr/>
  </property>
  <property fmtid="{D5CDD505-2E9C-101B-9397-08002B2CF9AE}" pid="11" name="labels">
    <vt:lpwstr/>
  </property>
  <property fmtid="{D5CDD505-2E9C-101B-9397-08002B2CF9AE}" pid="12" name="toc-title">
    <vt:lpwstr>Table of contents</vt:lpwstr>
  </property>
</Properties>
</file>