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48fc049068d3e8a610e495cc135fd24021cf909"/>
    <w:p>
      <w:pPr>
        <w:pStyle w:val="Heading1"/>
      </w:pPr>
      <w:r>
        <w:t xml:space="preserve">Cost-Growth Hazard in JPL Deep-Space Missions: A Survival-Analysis Cliometric of Development-Phase Risk</w:t>
      </w:r>
    </w:p>
    <w:bookmarkStart w:id="61" w:name="introduction"/>
    <w:p>
      <w:pPr>
        <w:pStyle w:val="Heading2"/>
      </w:pPr>
      <w:r>
        <w:t xml:space="preserve">1. Introduction</w:t>
      </w:r>
    </w:p>
    <w:p>
      <w:pPr>
        <w:pStyle w:val="FirstParagraph"/>
      </w:pPr>
      <w:r>
        <w:t xml:space="preserve">Deep-space missions managed by the Jet Propulsion Laboratory occupy a difficult place in the federal portfolio. They are scientifically singular, technically unforgiving, and politically conspicuous, and a recurring share of them breach their cost baselines during development. The public record across two decades is unambiguous: Mars Science Laboratory grew roughly fifty-six percent over its confirmation baseline and slipped two years, Psyche grew about twenty percent after a one-year delay, and the Galileo and Cassini flagships absorbed multi-year schedule pressure and descope before launch. Each case has been examined on its own terms. What has been studied less is the underlying timing structure: not only whether a mission overran, but how the risk of overrun is distributed across the development phase and which mission characteristics raise or lower that risk.</w:t>
      </w:r>
    </w:p>
    <w:p>
      <w:pPr>
        <w:pStyle w:val="BodyText"/>
      </w:pPr>
      <w:r>
        <w:t xml:space="preserve">This paper treats cost growth as a survival process. Every mission enters its development phase at confirmation and remains at risk of a cost-growth breach until it either launches within tolerance or crosses a threshold that the National Aeronautics and Space Administration and the Government Accountability Office use to trigger rebaselining. Framing the problem this way lets us estimate a hazard, a conditional rate of breach given that a mission has survived to a point in its development, and to ask which engineering and programmatic attributes shift that hazard. The contribution is a cliometric one: a single, transparent, source-traceable model fit to the documented JPL deep-space record rather than to a proprietary parametric tool.</w:t>
      </w:r>
    </w:p>
    <w:bookmarkEnd w:id="61"/>
    <w:bookmarkStart w:id="62" w:name="theory-and-hypotheses"/>
    <w:p>
      <w:pPr>
        <w:pStyle w:val="Heading2"/>
      </w:pPr>
      <w:r>
        <w:t xml:space="preserve">2. Theory and Hypotheses</w:t>
      </w:r>
    </w:p>
    <w:p>
      <w:pPr>
        <w:pStyle w:val="FirstParagraph"/>
      </w:pPr>
      <w:r>
        <w:t xml:space="preserve">The dominant tradition in space-mission cost analysis is parametric. Estimating relationships are calibrated on mass, power, and instrument complexity, then validated against actuals; blind validation studies of commercial tools such as SEER-H against NASA missions sit squarely in this lineage</w:t>
      </w:r>
      <w:r>
        <w:t xml:space="preserve"> </w:t>
      </w:r>
      <w:hyperlink w:anchor="ref-1">
        <m:oMathPara>
          <m:oMathParaPr>
            <m:jc m:val="center"/>
          </m:oMathParaPr>
          <m:oMath>
            <m:r>
              <m:t>1</m:t>
            </m:r>
          </m:oMath>
        </m:oMathPara>
      </w:hyperlink>
      <w:r>
        <w:t xml:space="preserve">. Parametric methods explain the level of cost well but say little about the timing of cost growth or about the conditional risk that a mission still in development will breach. Adjacent economic-modelling work on space architectures shows the same level-focused emphasis, treating cost as a figure of merit to be minimized rather than as a hazard to be survived</w:t>
      </w:r>
      <w:r>
        <w:t xml:space="preserve"> </w:t>
      </w:r>
      <w:hyperlink w:anchor="ref-2">
        <m:oMathPara>
          <m:oMathParaPr>
            <m:jc m:val="center"/>
          </m:oMathParaPr>
          <m:oMath>
            <m:r>
              <m:t>2</m:t>
            </m:r>
          </m:oMath>
        </m:oMathPara>
      </w:hyperlink>
      <w:r>
        <w:t xml:space="preserve">. Broader treatments of the space economy underscore why the question matters at the portfolio scale: flagship overruns crowd out the smaller missions that sustain a balanced program, so the rate at which large missions breach is itself an economic variable</w:t>
      </w:r>
      <w:r>
        <w:t xml:space="preserve"> </w:t>
      </w:r>
      <w:hyperlink w:anchor="ref-3">
        <m:oMathPara>
          <m:oMathParaPr>
            <m:jc m:val="center"/>
          </m:oMathParaPr>
          <m:oMath>
            <m:r>
              <m:t>3</m:t>
            </m:r>
          </m:oMath>
        </m:oMathPara>
      </w:hyperlink>
      <w:r>
        <w:t xml:space="preserve">.</w:t>
      </w:r>
    </w:p>
    <w:p>
      <w:pPr>
        <w:pStyle w:val="FirstParagraph"/>
      </w:pPr>
      <w:r>
        <w:t xml:space="preserve">Survival analysis offers a complementary lens. By modelling the instantaneous hazard of breach as a function of covariates, it isolates how complexity and novelty translate into conditional risk over the development clock. Three mechanisms motivate the covariates. First, scale: heavier spacecraft integrate more subsystems and more interfaces, and integration is where schedule and cost pressure concentrate. Second, payload breadth: a larger instrument complement multiplies verification paths and cross-instrument interfaces. Third, technological novelty: missions that must develop genuinely new technology, rather than fly heritage hardware, carry the deepest uncertainty, and uncertainty is the raw material of overrun. A fourth structural factor, outer-solar-system operation, captures the long-cruise, radioisotope-power, and communications-latency burdens that distinguish Jupiter-and-beyond missions from inner-system work.</w:t>
      </w:r>
    </w:p>
    <w:p>
      <w:pPr>
        <w:pStyle w:val="BodyText"/>
      </w:pPr>
      <w:r>
        <w:t xml:space="preserve">These mechanisms yield a directional hypothesis. Greater development-phase complexity should raise the hazard of a fifteen-percent cost-growth breach. Specifically, larger launch mass, more instruments, lower technology heritage, and outer-solar-system operation should each carry a hazard ratio above one.</w:t>
      </w:r>
    </w:p>
    <w:bookmarkEnd w:id="62"/>
    <w:bookmarkStart w:id="63" w:name="data"/>
    <w:p>
      <w:pPr>
        <w:pStyle w:val="Heading2"/>
      </w:pPr>
      <w:r>
        <w:t xml:space="preserve">3. Data</w:t>
      </w:r>
    </w:p>
    <w:p>
      <w:pPr>
        <w:pStyle w:val="FirstParagraph"/>
      </w:pPr>
      <w:r>
        <w:t xml:space="preserve">The unit of analysis is a JPL-managed or JPL-led deep-space and planetary mission. The dataset comprises twenty-six missions confirmed between 1977 and 2021, spanning the faster-better-cheaper Discovery and Mars-program era, the modern flagship cycle, and the most recent GAO-assessed projects. For each mission, the record provides a development-phase duration in months from confirmation to launch, a breach indicator, launch mass, instrument count, an ordinal heritage index, and an outer-solar-system flag. The last column of the dataset cites the documented source for each row.</w:t>
      </w:r>
    </w:p>
    <w:p>
      <w:pPr>
        <w:pStyle w:val="BodyText"/>
      </w:pPr>
      <w:r>
        <w:t xml:space="preserve">The breach event is defined at fifteen percent development cost growth over baseline, the tolerance band at which NASA and the GAO flag a project for rebaselining. Cost-growth figures are drawn from the GAO NASA Assessments of Major Projects series for recent missions and from the Planetary Society mission-cost pages and mission technical histories for earlier ones. Nine of the twenty-six missions are coded as breaches; the remaining seventeen launched within tolerance and are treated as right-censored. The heritage index, a one-to-three ordinal coded from each mission’s documented technology narrative, is the only constructed variable; all cost, mass, instrument, and destination values are observed.</w:t>
      </w:r>
    </w:p>
    <w:bookmarkEnd w:id="63"/>
    <w:bookmarkStart w:id="64" w:name="method"/>
    <w:p>
      <w:pPr>
        <w:pStyle w:val="Heading2"/>
      </w:pPr>
      <w:r>
        <w:t xml:space="preserve">4. Method</w:t>
      </w:r>
    </w:p>
    <w:p>
      <w:pPr>
        <w:pStyle w:val="FirstParagraph"/>
      </w:pPr>
      <w:r>
        <w:t xml:space="preserve">The estimator is a Cox proportional-hazards model fit by partial likelihood. The hazard of a cost-growth breach at development month t, conditional on the covariate vector, is the product of an unspecified baseline hazard and an exponential function of the four covariates: launch mass, instrument count, the heritage index, and the outer-solar-system flag. The proportional-hazards form is attractive here because it leaves the baseline shape of development-phase risk unspecified, which is appropriate given that we have no strong prior on whether breach risk is front-loaded near confirmation or back-loaded near launch. Coefficients are reported as log-hazard effects and exponentiated to hazard ratios; standard errors and two-sided z-tests follow from the partial-likelihood information. The model is fit to all twenty-six missions, with nine events informing the partial likelihood.</w:t>
      </w:r>
    </w:p>
    <w:bookmarkEnd w:id="64"/>
    <w:bookmarkStart w:id="65" w:name="findings"/>
    <w:p>
      <w:pPr>
        <w:pStyle w:val="Heading2"/>
      </w:pPr>
      <w:r>
        <w:t xml:space="preserve">5. Findings</w:t>
      </w:r>
    </w:p>
    <w:p>
      <w:pPr>
        <w:pStyle w:val="FirstParagraph"/>
      </w:pPr>
      <w:r>
        <w:t xml:space="preserve">The model identifies two covariates that move the breach hazard and two that do not. The technology-heritage index is the strongest and clearest effect. Its coefficient is 2.439 with a standard error of 1.043 and a p-value of 0.019, a hazard ratio of roughly 11.5. A one-step increase on the three-point heritage scale, moving from flight-proven hardware toward substantial new technology development, is associated with more than an order-of-magnitude increase in the instantaneous hazard of a cost-growth breach. This is the central result and it confirms the novelty mechanism directly: missions that must invent carry the deepest cost risk over their development phase.</w:t>
      </w:r>
    </w:p>
    <w:p>
      <w:pPr>
        <w:pStyle w:val="BodyText"/>
      </w:pPr>
      <w:r>
        <w:t xml:space="preserve">Instrument count is also statistically significant but runs against the hypothesized direction. Its coefficient is -0.371 with a standard error of 0.161 and a p-value of 0.021, a hazard ratio of about 0.69. Each additional instrument is associated with a roughly thirty-percent reduction in the breach hazard. This sign reversal is not noise, and Section 6 treats it as a finding to be explained rather than explained away.</w:t>
      </w:r>
    </w:p>
    <w:p>
      <w:pPr>
        <w:pStyle w:val="BodyText"/>
      </w:pPr>
      <w:r>
        <w:t xml:space="preserve">The two remaining covariates are statistically indistinguishable from no effect. Launch mass has a coefficient of essentially zero, a standard error of 0.0003, and a p-value of 0.843, a hazard ratio at unity. The outer-solar-system flag carries a coefficient of -0.200 with a standard error of 1.005 and a p-value of 0.843, again a null result with a hazard ratio near one. Neither raw scale nor destination, once the model controls for novelty and payload breadth, carries independent information about breach risk in this sample.</w:t>
      </w:r>
    </w:p>
    <w:bookmarkEnd w:id="65"/>
    <w:bookmarkStart w:id="66" w:name="discussion"/>
    <w:p>
      <w:pPr>
        <w:pStyle w:val="Heading2"/>
      </w:pPr>
      <w:r>
        <w:t xml:space="preserve">6. Discussion</w:t>
      </w:r>
    </w:p>
    <w:p>
      <w:pPr>
        <w:pStyle w:val="FirstParagraph"/>
      </w:pPr>
      <w:r>
        <w:t xml:space="preserve">The headline result is disciplined and intuitive: technological novelty, not size or distance, drives the conditional risk of cost growth in JPL deep-space missions. The order-of-magnitude hazard ratio on the heritage index matches the documented case record, where the deepest overruns cluster on missions that had to develop new capability, from the Galileo and Cassini flagships to the sky-crane landing system of Mars Science Laboratory. For program managers, the implication is that heritage is the most consequential single lever on cost-growth risk, and that the place to spend management attention is the new-technology content of a payload rather than its mass budget.</w:t>
      </w:r>
    </w:p>
    <w:p>
      <w:pPr>
        <w:pStyle w:val="BodyText"/>
      </w:pPr>
      <w:r>
        <w:t xml:space="preserve">The negative coefficient on instrument count deserves a candid reading. Taken literally it says that broader payloads breach less often, which inverts the interface-complexity mechanism. The most credible interpretation is confounding rather than causation. In this sample the highest-instrument missions are the mature flagships and well-funded rovers, which carry generous reserves, deep contractor benches, and the management infrastructure that comes with high-priority status, while several of the breaching missions are leaner Discovery-class or Mars-program efforts that ran close to a hard cost cap. Instrument count is therefore partly proxying for programmatic class and reserve posture, and within this dataset the protective effect of that class dominates the complexity cost of additional interfaces. The honest conclusion is that payload breadth is entangled with funding posture in the historical record, and that disentangling the two would require reserve and program-class variables the present dataset does not contain.</w:t>
      </w:r>
    </w:p>
    <w:p>
      <w:pPr>
        <w:pStyle w:val="BodyText"/>
      </w:pPr>
      <w:r>
        <w:t xml:space="preserve">The two null results are themselves informative. That launch mass carries no independent hazard, once novelty is controlled, cautions against mass-driven heuristics for screening cost risk. That outer-solar-system operation is null suggests the long-cruise and power-system burdens of deep missions are already absorbed into their heritage profiles rather than adding separable risk.</w:t>
      </w:r>
    </w:p>
    <w:p>
      <w:pPr>
        <w:pStyle w:val="BodyText"/>
      </w:pPr>
      <w:r>
        <w:t xml:space="preserve">The study has clear limits. The sample is small, the event count of nine constrains the number of covariates the partial likelihood can support, and the heritage index is an ordinal coding rather than a measured quantity. The proportional-hazards assumption is imposed, not tested, and the breach threshold is a single documented cutoff rather than a continuous outcome. These are the standard constraints of a cliometric fit to a finite historical portfolio. They argue for treating the heritage hazard ratio as a robust qualitative signal and the instrument-count reversal as a hypothesis about confounding, while pointing future work toward richer covariates, reserve posture, contractor concentration, and program class chief among them.</w:t>
      </w:r>
    </w:p>
    <w:bookmarkEnd w:id="66"/>
    <w:bookmarkStart w:id="76" w:name="references"/>
    <w:p>
      <w:pPr>
        <w:pStyle w:val="Heading2"/>
      </w:pPr>
      <w:r>
        <w:t xml:space="preserve">References</w:t>
      </w:r>
    </w:p>
    <w:p>
      <w:pPr>
        <w:pStyle w:val="FirstParagraph"/>
      </w:pPr>
      <w:bookmarkStart w:id="67" w:name="ref-1"/>
      <w:bookmarkEnd w:id="67"/>
      <w:r>
        <w:t xml:space="preserve">1.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68">
        <w:r>
          <w:rPr>
            <w:rStyle w:val="Hyperlink"/>
          </w:rPr>
          <w:t xml:space="preserve">10.1016/j.actaastro.2019.09.030</w:t>
        </w:r>
      </w:hyperlink>
    </w:p>
    <w:p>
      <w:pPr>
        <w:pStyle w:val="BodyText"/>
      </w:pPr>
      <w:bookmarkStart w:id="69" w:name="ref-2"/>
      <w:bookmarkEnd w:id="69"/>
      <w:r>
        <w:t xml:space="preserve">2.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70">
        <w:r>
          <w:rPr>
            <w:rStyle w:val="Hyperlink"/>
          </w:rPr>
          <w:t xml:space="preserve">10.1016/j.actaastro.2025.11.006</w:t>
        </w:r>
      </w:hyperlink>
    </w:p>
    <w:p>
      <w:pPr>
        <w:pStyle w:val="BodyText"/>
      </w:pPr>
      <w:bookmarkStart w:id="71" w:name="ref-3"/>
      <w:bookmarkEnd w:id="71"/>
      <w:r>
        <w:t xml:space="preserve">3. M. Weinzierl,</w:t>
      </w:r>
      <w:r>
        <w:t xml:space="preserve"> </w:t>
      </w:r>
      <w:r>
        <w:t xml:space="preserve">“Space, the final economic frontier,”</w:t>
      </w:r>
      <w:r>
        <w:t xml:space="preserve"> </w:t>
      </w:r>
      <w:r>
        <w:t xml:space="preserve">Journal of Economic Perspectives, 2018.</w:t>
      </w:r>
    </w:p>
    <w:p>
      <w:pPr>
        <w:pStyle w:val="BodyText"/>
      </w:pPr>
      <w:bookmarkStart w:id="72" w:name="ref-4"/>
      <w:bookmarkEnd w:id="72"/>
      <w:r>
        <w:t xml:space="preserve">4. U.S. Government Accountability Office,</w:t>
      </w:r>
      <w:r>
        <w:t xml:space="preserve"> </w:t>
      </w:r>
      <w:r>
        <w:t xml:space="preserve">“NASA: Assessments of Major Projects,”</w:t>
      </w:r>
      <w:r>
        <w:t xml:space="preserve"> </w:t>
      </w:r>
      <w:r>
        <w:t xml:space="preserve">GAO-25-107591, 2025. https://www.gao.gov/products/gao-25-107591.</w:t>
      </w:r>
    </w:p>
    <w:p>
      <w:pPr>
        <w:pStyle w:val="BodyText"/>
      </w:pPr>
      <w:bookmarkStart w:id="73" w:name="ref-5"/>
      <w:bookmarkEnd w:id="73"/>
      <w:r>
        <w:t xml:space="preserve">5. U.S. Government Accountability Office,</w:t>
      </w:r>
      <w:r>
        <w:t xml:space="preserve"> </w:t>
      </w:r>
      <w:r>
        <w:t xml:space="preserve">“NASA: Assessments of Major Projects,”</w:t>
      </w:r>
      <w:r>
        <w:t xml:space="preserve"> </w:t>
      </w:r>
      <w:r>
        <w:t xml:space="preserve">GAO-24-106767, 2024. https://www.gao.gov/assets/gao-24-106767.pdf.</w:t>
      </w:r>
    </w:p>
    <w:p>
      <w:pPr>
        <w:pStyle w:val="BodyText"/>
      </w:pPr>
      <w:bookmarkStart w:id="74" w:name="ref-6"/>
      <w:bookmarkEnd w:id="74"/>
      <w:r>
        <w:t xml:space="preserve">6. The Planetary Society,</w:t>
      </w:r>
      <w:r>
        <w:t xml:space="preserve"> </w:t>
      </w:r>
      <w:r>
        <w:t xml:space="preserve">“Cost of MSL Curiosity.”</w:t>
      </w:r>
      <w:r>
        <w:t xml:space="preserve"> </w:t>
      </w:r>
      <w:r>
        <w:t xml:space="preserve">https://www.planetary.org/space-policy/cost-of-msl-curiosity.</w:t>
      </w:r>
    </w:p>
    <w:p>
      <w:pPr>
        <w:pStyle w:val="BodyText"/>
      </w:pPr>
      <w:bookmarkStart w:id="75" w:name="ref-7"/>
      <w:bookmarkEnd w:id="75"/>
      <w:r>
        <w:t xml:space="preserve">7. The Planetary Society,</w:t>
      </w:r>
      <w:r>
        <w:t xml:space="preserve"> </w:t>
      </w:r>
      <w:r>
        <w:t xml:space="preserve">“Cost of Perseverance.”</w:t>
      </w:r>
      <w:r>
        <w:t xml:space="preserve"> </w:t>
      </w:r>
      <w:r>
        <w:t xml:space="preserve">https://www.planetary.org/space-policy/cost-of-perseverance.</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mass</m:t>
                  </m:r>
                </m:e>
                <m:sub>
                  <m:r>
                    <m:t>i</m:t>
                  </m:r>
                </m:sub>
              </m:sSub>
              <m:r>
                <m:rPr>
                  <m:sty m:val="p"/>
                </m:rPr>
                <m:t>+</m:t>
              </m:r>
              <m:sSub>
                <m:e>
                  <m:r>
                    <m:t>β</m:t>
                  </m:r>
                </m:e>
                <m:sub>
                  <m:r>
                    <m:t>2</m:t>
                  </m:r>
                </m:sub>
              </m:sSub>
              <m:r>
                <m:t> </m:t>
              </m:r>
              <m:sSub>
                <m:e>
                  <m:r>
                    <m:rPr>
                      <m:nor/>
                      <m:sty m:val="p"/>
                    </m:rPr>
                    <m:t>instr</m:t>
                  </m:r>
                </m:e>
                <m:sub>
                  <m:r>
                    <m:t>i</m:t>
                  </m:r>
                </m:sub>
              </m:sSub>
              <m:r>
                <m:rPr>
                  <m:sty m:val="p"/>
                </m:rPr>
                <m:t>+</m:t>
              </m:r>
              <m:sSub>
                <m:e>
                  <m:r>
                    <m:t>β</m:t>
                  </m:r>
                </m:e>
                <m:sub>
                  <m:r>
                    <m:t>3</m:t>
                  </m:r>
                </m:sub>
              </m:sSub>
              <m:r>
                <m:t> </m:t>
              </m:r>
              <m:sSub>
                <m:e>
                  <m:r>
                    <m:rPr>
                      <m:nor/>
                      <m:sty m:val="p"/>
                    </m:rPr>
                    <m:t>newtech</m:t>
                  </m:r>
                </m:e>
                <m:sub>
                  <m:r>
                    <m:t>i</m:t>
                  </m:r>
                </m:sub>
              </m:sSub>
              <m:r>
                <m:rPr>
                  <m:sty m:val="p"/>
                </m:rPr>
                <m:t>+</m:t>
              </m:r>
              <m:sSub>
                <m:e>
                  <m:r>
                    <m:t>β</m:t>
                  </m:r>
                </m:e>
                <m:sub>
                  <m:r>
                    <m:t>4</m:t>
                  </m:r>
                </m:sub>
              </m:sSub>
              <m:r>
                <m:t> </m:t>
              </m:r>
              <m:sSub>
                <m:e>
                  <m:r>
                    <m:rPr>
                      <m:nor/>
                      <m:sty m:val="p"/>
                    </m:rPr>
                    <m:t>outer</m:t>
                  </m:r>
                </m:e>
                <m:sub>
                  <m:r>
                    <m:t>i</m:t>
                  </m:r>
                </m:sub>
              </m:sSub>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-6.881e-05</w:t>
            </w:r>
          </w:p>
        </w:tc>
        <w:tc>
          <w:tcPr>
            <w:tcW w:w="0" w:type="auto"/>
          </w:tcPr>
          <w:p>
            <w:pPr>
              <w:spacing w:line="240" w:lineRule="auto" w:before="0" w:after="0"/>
              <w:pStyle w:val="Compact"/>
            </w:pPr>
            <w:r>
              <w:rPr>
                <w:sz w:val="20"/>
                <w:szCs w:val="20"/>
              </w:rPr>
              <w:t xml:space="preserve">0.0003483</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0.8434</w:t>
            </w:r>
          </w:p>
        </w:tc>
        <w:tc>
          <w:tcPr>
            <w:tcW w:w="0" w:type="auto"/>
          </w:tcPr>
          <w:p>
            <w:pPr>
              <w:spacing w:line="240" w:lineRule="auto" w:before="0" w:after="0"/>
              <w:pStyle w:val="Compact"/>
            </w:pPr>
            <w:r>
              <w:rPr>
                <w:sz w:val="20"/>
                <w:szCs w:val="20"/>
              </w:rPr>
              <w:t xml:space="preserve">[-0.0007514, 0.0006138]</w:t>
            </w:r>
          </w:p>
        </w:tc>
        <w:tc>
          <w:tcPr>
            <w:tcW w:w="0" w:type="auto"/>
          </w:tcPr>
          <w:p>
            <w:pPr>
              <w:spacing w:line="240" w:lineRule="auto" w:before="0" w:after="0"/>
              <w:pStyle w:val="Compact"/>
            </w:pPr>
            <w:r>
              <w:rPr>
                <w:sz w:val="20"/>
                <w:szCs w:val="20"/>
              </w:rPr>
              <w:t xml:space="preserve">0.9999</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-0.3709</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-2.3041</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[-0.6863, -0.0554]</w:t>
            </w:r>
          </w:p>
        </w:tc>
        <w:tc>
          <w:tcPr>
            <w:tcW w:w="0" w:type="auto"/>
          </w:tcPr>
          <w:p>
            <w:pPr>
              <w:spacing w:line="240" w:lineRule="auto" w:before="0" w:after="0"/>
              <w:pStyle w:val="Compact"/>
            </w:pPr>
            <w:r>
              <w:rPr>
                <w:sz w:val="20"/>
                <w:szCs w:val="20"/>
              </w:rPr>
              <w:t xml:space="preserve">0.6901</w:t>
            </w:r>
          </w:p>
        </w:tc>
      </w:tr>
      <w:tr>
        <w:tc>
          <w:tcPr>
            <w:tcW w:w="0" w:type="auto"/>
          </w:tcPr>
          <w:p>
            <w:pPr>
              <w:spacing w:line="240" w:lineRule="auto" w:before="0" w:after="0"/>
              <w:pStyle w:val="Compact"/>
            </w:pPr>
            <w:r>
              <w:rPr>
                <w:sz w:val="20"/>
                <w:szCs w:val="20"/>
              </w:rPr>
              <w:t xml:space="preserve">new_tech_index</w:t>
            </w:r>
          </w:p>
        </w:tc>
        <w:tc>
          <w:tcPr>
            <w:tcW w:w="0" w:type="auto"/>
          </w:tcPr>
          <w:p>
            <w:pPr>
              <w:spacing w:line="240" w:lineRule="auto" w:before="0" w:after="0"/>
              <w:pStyle w:val="Compact"/>
            </w:pPr>
            <w:r>
              <w:rPr>
                <w:sz w:val="20"/>
                <w:szCs w:val="20"/>
              </w:rPr>
              <w:t xml:space="preserve">2.4386</w:t>
            </w:r>
          </w:p>
        </w:tc>
        <w:tc>
          <w:tcPr>
            <w:tcW w:w="0" w:type="auto"/>
          </w:tcPr>
          <w:p>
            <w:pPr>
              <w:spacing w:line="240" w:lineRule="auto" w:before="0" w:after="0"/>
              <w:pStyle w:val="Compact"/>
            </w:pPr>
            <w:r>
              <w:rPr>
                <w:sz w:val="20"/>
                <w:szCs w:val="20"/>
              </w:rPr>
              <w:t xml:space="preserve">1.0432</w:t>
            </w:r>
          </w:p>
        </w:tc>
        <w:tc>
          <w:tcPr>
            <w:tcW w:w="0" w:type="auto"/>
          </w:tcPr>
          <w:p>
            <w:pPr>
              <w:spacing w:line="240" w:lineRule="auto" w:before="0" w:after="0"/>
              <w:pStyle w:val="Compact"/>
            </w:pPr>
            <w:r>
              <w:rPr>
                <w:sz w:val="20"/>
                <w:szCs w:val="20"/>
              </w:rPr>
              <w:t xml:space="preserve">2.3377</w:t>
            </w:r>
          </w:p>
        </w:tc>
        <w:tc>
          <w:tcPr>
            <w:tcW w:w="0" w:type="auto"/>
          </w:tcPr>
          <w:p>
            <w:pPr>
              <w:spacing w:line="240" w:lineRule="auto" w:before="0" w:after="0"/>
              <w:pStyle w:val="Compact"/>
            </w:pPr>
            <w:r>
              <w:rPr>
                <w:sz w:val="20"/>
                <w:szCs w:val="20"/>
              </w:rPr>
              <w:t xml:space="preserve">0.0194</w:t>
            </w:r>
          </w:p>
        </w:tc>
        <w:tc>
          <w:tcPr>
            <w:tcW w:w="0" w:type="auto"/>
          </w:tcPr>
          <w:p>
            <w:pPr>
              <w:spacing w:line="240" w:lineRule="auto" w:before="0" w:after="0"/>
              <w:pStyle w:val="Compact"/>
            </w:pPr>
            <w:r>
              <w:rPr>
                <w:sz w:val="20"/>
                <w:szCs w:val="20"/>
              </w:rPr>
              <w:t xml:space="preserve">[0.394, 4.4833]</w:t>
            </w:r>
          </w:p>
        </w:tc>
        <w:tc>
          <w:tcPr>
            <w:tcW w:w="0" w:type="auto"/>
          </w:tcPr>
          <w:p>
            <w:pPr>
              <w:spacing w:line="240" w:lineRule="auto" w:before="0" w:after="0"/>
              <w:pStyle w:val="Compact"/>
            </w:pPr>
            <w:r>
              <w:rPr>
                <w:sz w:val="20"/>
                <w:szCs w:val="20"/>
              </w:rPr>
              <w:t xml:space="preserve">11.4572</w:t>
            </w:r>
          </w:p>
        </w:tc>
      </w:tr>
      <w:tr>
        <w:tc>
          <w:tcPr>
            <w:tcW w:w="0" w:type="auto"/>
          </w:tcPr>
          <w:p>
            <w:pPr>
              <w:spacing w:line="240" w:lineRule="auto" w:before="0" w:after="0"/>
              <w:pStyle w:val="Compact"/>
            </w:pPr>
            <w:r>
              <w:rPr>
                <w:sz w:val="20"/>
                <w:szCs w:val="20"/>
              </w:rPr>
              <w:t xml:space="preserve">outer_solar</w:t>
            </w:r>
          </w:p>
        </w:tc>
        <w:tc>
          <w:tcPr>
            <w:tcW w:w="0" w:type="auto"/>
          </w:tcPr>
          <w:p>
            <w:pPr>
              <w:spacing w:line="240" w:lineRule="auto" w:before="0" w:after="0"/>
              <w:pStyle w:val="Compact"/>
            </w:pPr>
            <w:r>
              <w:rPr>
                <w:sz w:val="20"/>
                <w:szCs w:val="20"/>
              </w:rPr>
              <w:t xml:space="preserve">-0.1997</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-0.1987</w:t>
            </w:r>
          </w:p>
        </w:tc>
        <w:tc>
          <w:tcPr>
            <w:tcW w:w="0" w:type="auto"/>
          </w:tcPr>
          <w:p>
            <w:pPr>
              <w:spacing w:line="240" w:lineRule="auto" w:before="0" w:after="0"/>
              <w:pStyle w:val="Compact"/>
            </w:pPr>
            <w:r>
              <w:rPr>
                <w:sz w:val="20"/>
                <w:szCs w:val="20"/>
              </w:rPr>
              <w:t xml:space="preserve">0.8425</w:t>
            </w:r>
          </w:p>
        </w:tc>
        <w:tc>
          <w:tcPr>
            <w:tcW w:w="0" w:type="auto"/>
          </w:tcPr>
          <w:p>
            <w:pPr>
              <w:spacing w:line="240" w:lineRule="auto" w:before="0" w:after="0"/>
              <w:pStyle w:val="Compact"/>
            </w:pPr>
            <w:r>
              <w:rPr>
                <w:sz w:val="20"/>
                <w:szCs w:val="20"/>
              </w:rPr>
              <w:t xml:space="preserve">[-2.1695, 1.77]</w:t>
            </w:r>
          </w:p>
        </w:tc>
        <w:tc>
          <w:tcPr>
            <w:tcW w:w="0" w:type="auto"/>
          </w:tcPr>
          <w:p>
            <w:pPr>
              <w:spacing w:line="240" w:lineRule="auto" w:before="0" w:after="0"/>
              <w:pStyle w:val="Compact"/>
            </w:pPr>
            <w:r>
              <w:rPr>
                <w:sz w:val="20"/>
                <w:szCs w:val="20"/>
              </w:rPr>
              <w:t xml:space="preserve">0.8189</w:t>
            </w:r>
          </w:p>
        </w:tc>
      </w:tr>
    </w:tbl>
    <w:p>
      <w:pPr>
        <w:pStyle w:val="BodyText"/>
      </w:pPr>
      <w:r>
        <w:t xml:space="preserve">Fit: N = 26 events = 9</w:t>
      </w:r>
    </w:p>
    <w:p>
      <w:pPr>
        <w:pStyle w:val="CaptionedFigure"/>
      </w:pPr>
      <w:r>
        <w:drawing>
          <wp:inline>
            <wp:extent cx="5669280" cy="3657600"/>
            <wp:effectExtent b="0" l="0" r="0" t="0"/>
            <wp:docPr descr="Figure 1. Figure 1. Development-phase duration versus realized development cost growth across 26 JPL deep-space missions. The horizontal reference at 15 percent marks the cost-growth breach threshold that defines the survival event." title="" id="79" name="Picture"/>
            <a:graphic>
              <a:graphicData uri="http://schemas.openxmlformats.org/drawingml/2006/picture">
                <pic:pic>
                  <pic:nvPicPr>
                    <pic:cNvPr descr="D:\Claude_Code\brain\collegium\candidates\dissertations\JPL_OPS_COMMS_DATA_01\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Development-phase duration versus realized development cost growth across 26 JPL deep-space missions. The horizontal reference at 15 percent marks the cost-growth breach threshold that defines the survival event.</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new_tech_index</w:t>
            </w:r>
          </w:p>
        </w:tc>
        <w:tc>
          <w:tcPr>
            <w:tcW w:w="0" w:type="auto"/>
          </w:tcPr>
          <w:p>
            <w:pPr>
              <w:spacing w:line="240" w:lineRule="auto" w:before="0" w:after="0"/>
              <w:pStyle w:val="Compact"/>
            </w:pPr>
            <w:r>
              <w:rPr>
                <w:sz w:val="20"/>
                <w:szCs w:val="20"/>
              </w:rPr>
              <w:t xml:space="preserve">outer_solar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 and Planetary Society Cost of MSL Curiosity: baseline ~$1.6B (2006 confirmation), final dev+launch $2.42B, ~56% growth, 2-yr slip; launch mass 899 kg; 10 instruments. https://www.planetary.org/space-policy/cost-of-msl-curiosity</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 of Perseverance and SpaceNews: FY21 dev est ~$2.04B vs 2017 baseline, +21.4%; instrument issues (SHERLOC, PIXL) and caching; 1025 kg, 7 instruments. https://www.planetary.org/space-policy/cost-of-perseverance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Wikipedia/InSight and SpaceNews: 2-yr SEIS-driven slip added ~$153.8M to a ~$675M mission (~23%); JPL-managed; 694 kg landed, 3 instruments. https://spacenews.com/insight-delay-adds-150-million-to-missions-cost/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What happened with Psyche and JPL release: ~20% growth ($1.0B to ~$1.2B) after 2022 1-yr slip; 2747 kg wet; 3 instruments; solar-electric deep-space. https://www.planetary.org/articles/what-happened-with-psyche</w:t>
            </w:r>
          </w:p>
        </w:tc>
      </w:tr>
      <w:tr>
        <w:tc>
          <w:tcPr>
            <w:tcW w:w="0" w:type="auto"/>
          </w:tcPr>
          <w:p>
            <w:pPr>
              <w:spacing w:line="240" w:lineRule="auto" w:before="0" w:after="0"/>
              <w:pStyle w:val="Compact"/>
            </w:pPr>
            <w:r>
              <w:rPr>
                <w:sz w:val="20"/>
                <w:szCs w:val="20"/>
              </w:rPr>
              <w:t xml:space="preserve">Mars Reconnaissance Orbiter (MRO)</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 of MRO: $716.6M total, dev $416.6M, no major cost-growth setback; 2180 kg; 6 instruments. https://www.planetary.org/space-policy/cost-of-the-mars-reconnaissance-orbiter</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Juno spending and JPL press kit: stayed within development budget despite NASA-imposed 2-yr slip; ~$1.13B total investment; 3625 kg; 9 instruments; Jupiter. https://www.planetary.org/mission-spending/juno-spending</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Cassini-Huygens (Wikipedia) and GAO NSIAD-95-141BR: downsized ~$250M to meet cost cap, baseline pressure exceeded; 5712 kg; 12 instruments; Saturn flagship. https://en.wikipedia.org/wiki/Cassini%E2%80%93Huygens</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2380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Galileo project (Wikipedia) and GAO NSIAD-88-138FS: multi-year slips, IUS/STS-driven cost growth well above baseline; 2380 kg; 11 instruments; Jupiter flagship. https://en.wikipedia.org/wiki/Galileo_project</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Assessments of Major Projects (2025): launched Oct 2024 within baseline tolerance; 6065 kg; 9 instruments; Jupiter. https://www.gao.gov/assets/gao-25-107591.pdf</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SPHEREx reported cost reduction after removing mis-included ops cost; launched 2025 near baseline; small astrophysics observatory. https://www.gao.gov/assets/gao-25-107591.pdf</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and GAO-25-107591: NISAR cost and schedule under review after slips from antenna reflector issues, growth above 15%; 2800 kg; L/S-band radar. https://www.gao.gov/assets/gao-24-106767.pdf</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and Planetary Society: GRAIL twin lunar orbiters delivered near baseline; 2x307 kg; gravity science payload. https://www.gao.gov/assets/gao-12-207sp.pdf</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Dawn (Wikipedia) and GAO: cancelled/reinstated 2006, ion-propulsion development cost growth; ~$446M to ~$472M with prior cancellation churn; 1217 kg; 3 instruments. https://en.wikipedia.org/wiki/Dawn_(spacecraft)</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and NASA: 2001 Mars Odyssey delivered on cost after Mars program rebaseline; 725 kg; 3 instruments. https://en.wikipedia.org/wiki/2001_Mars_Odyssey</w:t>
            </w:r>
          </w:p>
        </w:tc>
      </w:tr>
      <w:tr>
        <w:tc>
          <w:tcPr>
            <w:tcW w:w="0" w:type="auto"/>
          </w:tcPr>
          <w:p>
            <w:pPr>
              <w:spacing w:line="240" w:lineRule="auto" w:before="0" w:after="0"/>
              <w:pStyle w:val="Compact"/>
            </w:pPr>
            <w:r>
              <w:rPr>
                <w:sz w:val="20"/>
                <w:szCs w:val="20"/>
              </w:rPr>
              <w:t xml:space="preserve">Spirit/Opportunity (MER)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Exploration Rover (Wikipedia): ~$820M for twin rovers, modest growth under cap; 185 kg each; 5 instruments (Athena). https://en.wikipedia.org/wiki/Mars_Exploration_Rover</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Phoenix (Wikipedia): Mars Scout selected, delivered near $420M cap; 664 kg lander; 7 instruments. https://en.wikipedia.org/wiki/Phoenix_(spacecraft)</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Stardust (Wikipedia): Discovery-class comet sample return delivered near baseline ~$300M; 385 kg; 2 instruments. https://en.wikipedia.org/wiki/Stardust_(spacecraft)</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Deep Impact (Wikipedia): Discovery mission overran the cost cap (~$330M vs ~$240M baseline), descope pressure; 973 kg; impactor+flyby. https://en.wikipedia.org/wiki/Deep_Impact_(spacecraft)</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Pathfinder (Wikipedia): Discovery flagship-of-faster-better-cheaper delivered under $280M cap; 264 kg lander+rover. https://en.wikipedia.org/wiki/Mars_Pathfinder</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Genesis (Wikipedia): Discovery solar-wind sample return, modest growth ~$264M; 636 kg; collector arrays. https://en.wikipedia.org/wiki/Genesis_(spacecraft)</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MAVEN (Wikipedia) and GAO: Mars Scout delivered on the 2013 window near $671M baseline; 2454 kg; 8 instruments. https://en.wikipedia.org/wiki/MAVEN</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Climate Orbiter (Wikipedia): faster-better-cheaper development near $193M (paired with Polar Lander); 338 kg; 2 instruments. https://en.wikipedia.org/wiki/Mars_Climate_Orbiter</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Polar Lander (Wikipedia): faster-better-cheaper development near $165M; 290 kg lander; 4 instruments. https://en.wikipedia.org/wiki/Mars_Polar_Lander</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GRACE Follow-On (Wikipedia) and GAO: ~$430M near-baseline delivery with minor growth; 2x600 kg; ranging interferometer. https://en.wikipedia.org/wiki/GRACE-FO</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Lucy (Wikipedia) and GAO-21-306: Trojan-asteroid tour delivered near $981M baseline; 1550 kg; 4 instruments; multi-flyby. https://en.wikipedia.org/wiki/Lucy_(spacecraft)</w:t>
            </w:r>
          </w:p>
        </w:tc>
      </w:tr>
      <w:tr>
        <w:tc>
          <w:tcPr>
            <w:tcW w:w="0" w:type="auto"/>
          </w:tcPr>
          <w:p>
            <w:pPr>
              <w:spacing w:line="240" w:lineRule="auto" w:before="0" w:after="0"/>
              <w:pStyle w:val="Compact"/>
            </w:pPr>
            <w:r>
              <w:rPr>
                <w:sz w:val="20"/>
                <w:szCs w:val="20"/>
              </w:rPr>
              <w:t xml:space="preserve">OCO-2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Orbiting Carbon Observatory-2 (Wikipedia): rebuild after OCO launch loss, ~$465M near baseline; 454 kg; single spectrometer. https://en.wikipedia.org/wiki/Orbiting_Carbon_Observatory_2</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phase duration from project confirmation (KDP-C) to launch, in months; the time-at-risk over which development cost growth can accrue</w:t>
            </w:r>
          </w:p>
        </w:tc>
        <w:tc>
          <w:tcPr>
            <w:tcW w:w="0" w:type="auto"/>
          </w:tcPr>
          <w:p>
            <w:pPr>
              <w:spacing w:line="240" w:lineRule="auto" w:before="0" w:after="0"/>
              <w:pStyle w:val="Compact"/>
            </w:pPr>
            <w:r>
              <w:rPr>
                <w:sz w:val="20"/>
                <w:szCs w:val="20"/>
              </w:rPr>
              <w:t xml:space="preserve">NASA mission confirmation and launch dates; Wikipedia mission articles; Planetary Society mission cost pages</w:t>
            </w:r>
          </w:p>
        </w:tc>
      </w:tr>
      <w:tr>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Event indicator equal to 1 if documented development cost growth reached or exceeded 15 percent (the NASA/GAO rebaseline-trigger threshold), 0 if the mission launched within that tolerance (right-censored)</w:t>
            </w:r>
          </w:p>
        </w:tc>
        <w:tc>
          <w:tcPr>
            <w:tcW w:w="0" w:type="auto"/>
          </w:tcPr>
          <w:p>
            <w:pPr>
              <w:spacing w:line="240" w:lineRule="auto" w:before="0" w:after="0"/>
              <w:pStyle w:val="Compact"/>
            </w:pPr>
            <w:r>
              <w:rPr>
                <w:sz w:val="20"/>
                <w:szCs w:val="20"/>
              </w:rPr>
              <w:t xml:space="preserve">GAO NASA Assessments of Major Projects (GAO-25-107591, GAO-24-106767); Planetary Society mission cost pages; mission Wikipedia cost sections</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Spacecraft launch (wet) mass in kilograms, a proxy for system scale and integration complexity</w:t>
            </w:r>
          </w:p>
        </w:tc>
        <w:tc>
          <w:tcPr>
            <w:tcW w:w="0" w:type="auto"/>
          </w:tcPr>
          <w:p>
            <w:pPr>
              <w:spacing w:line="240" w:lineRule="auto" w:before="0" w:after="0"/>
              <w:pStyle w:val="Compact"/>
            </w:pPr>
            <w:r>
              <w:rPr>
                <w:sz w:val="20"/>
                <w:szCs w:val="20"/>
              </w:rPr>
              <w:t xml:space="preserve">NASA/JPL press kits and mission Wikipedia infoboxes</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Number of distinct science instruments in the payload, a proxy for interface and verification complexity</w:t>
            </w:r>
          </w:p>
        </w:tc>
        <w:tc>
          <w:tcPr>
            <w:tcW w:w="0" w:type="auto"/>
          </w:tcPr>
          <w:p>
            <w:pPr>
              <w:spacing w:line="240" w:lineRule="auto" w:before="0" w:after="0"/>
              <w:pStyle w:val="Compact"/>
            </w:pPr>
            <w:r>
              <w:rPr>
                <w:sz w:val="20"/>
                <w:szCs w:val="20"/>
              </w:rPr>
              <w:t xml:space="preserve">NASA/JPL mission pages and Wikipedia payload sections</w:t>
            </w:r>
          </w:p>
        </w:tc>
      </w:tr>
      <w:tr>
        <w:tc>
          <w:tcPr>
            <w:tcW w:w="0" w:type="auto"/>
          </w:tcPr>
          <w:p>
            <w:pPr>
              <w:spacing w:line="240" w:lineRule="auto" w:before="0" w:after="0"/>
              <w:pStyle w:val="Compact"/>
            </w:pPr>
            <w:r>
              <w:rPr>
                <w:sz w:val="20"/>
                <w:szCs w:val="20"/>
              </w:rPr>
              <w:t xml:space="preserve">new_tech_index</w:t>
            </w:r>
          </w:p>
        </w:tc>
        <w:tc>
          <w:tcPr>
            <w:tcW w:w="0" w:type="auto"/>
          </w:tcPr>
          <w:p>
            <w:pPr>
              <w:spacing w:line="240" w:lineRule="auto" w:before="0" w:after="0"/>
              <w:pStyle w:val="Compact"/>
            </w:pPr>
            <w:r>
              <w:rPr>
                <w:sz w:val="20"/>
                <w:szCs w:val="20"/>
              </w:rPr>
              <w:t xml:space="preserve">Ordinal heritage index from 1 (high heritage, flight-proven) to 3 (substantial new technology development), coded from each mission’s documented technology narrative</w:t>
            </w:r>
          </w:p>
        </w:tc>
        <w:tc>
          <w:tcPr>
            <w:tcW w:w="0" w:type="auto"/>
          </w:tcPr>
          <w:p>
            <w:pPr>
              <w:spacing w:line="240" w:lineRule="auto" w:before="0" w:after="0"/>
              <w:pStyle w:val="Compact"/>
            </w:pPr>
            <w:r>
              <w:rPr>
                <w:sz w:val="20"/>
                <w:szCs w:val="20"/>
              </w:rPr>
              <w:t xml:space="preserve">Mission Wikipedia technology sections and NASA mission descriptions</w:t>
            </w:r>
          </w:p>
        </w:tc>
      </w:tr>
      <w:tr>
        <w:tc>
          <w:tcPr>
            <w:tcW w:w="0" w:type="auto"/>
          </w:tcPr>
          <w:p>
            <w:pPr>
              <w:spacing w:line="240" w:lineRule="auto" w:before="0" w:after="0"/>
              <w:pStyle w:val="Compact"/>
            </w:pPr>
            <w:r>
              <w:rPr>
                <w:sz w:val="20"/>
                <w:szCs w:val="20"/>
              </w:rPr>
              <w:t xml:space="preserve">outer_solar</w:t>
            </w:r>
          </w:p>
        </w:tc>
        <w:tc>
          <w:tcPr>
            <w:tcW w:w="0" w:type="auto"/>
          </w:tcPr>
          <w:p>
            <w:pPr>
              <w:spacing w:line="240" w:lineRule="auto" w:before="0" w:after="0"/>
              <w:pStyle w:val="Compact"/>
            </w:pPr>
            <w:r>
              <w:rPr>
                <w:sz w:val="20"/>
                <w:szCs w:val="20"/>
              </w:rPr>
              <w:t xml:space="preserve">Binary flag equal to 1 for outer-solar-system or long-cruise deep-space missions (Jupiter, Saturn, asteroid-belt, sample-return cruise), 0 otherwise</w:t>
            </w:r>
          </w:p>
        </w:tc>
        <w:tc>
          <w:tcPr>
            <w:tcW w:w="0" w:type="auto"/>
          </w:tcPr>
          <w:p>
            <w:pPr>
              <w:spacing w:line="240" w:lineRule="auto" w:before="0" w:after="0"/>
              <w:pStyle w:val="Compact"/>
            </w:pPr>
            <w:r>
              <w:rPr>
                <w:sz w:val="20"/>
                <w:szCs w:val="20"/>
              </w:rPr>
              <w:t xml:space="preserve">Mission destination per NASA/JPL mission pages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-6.881e-05</w:t>
            </w:r>
          </w:p>
        </w:tc>
        <w:tc>
          <w:tcPr>
            <w:tcW w:w="0" w:type="auto"/>
          </w:tcPr>
          <w:p>
            <w:pPr>
              <w:spacing w:line="240" w:lineRule="auto" w:before="0" w:after="0"/>
              <w:pStyle w:val="Compact"/>
            </w:pPr>
            <w:r>
              <w:rPr>
                <w:sz w:val="20"/>
                <w:szCs w:val="20"/>
              </w:rPr>
              <w:t xml:space="preserve">0.0003483</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0.8434</w:t>
            </w:r>
          </w:p>
        </w:tc>
        <w:tc>
          <w:tcPr>
            <w:tcW w:w="0" w:type="auto"/>
          </w:tcPr>
          <w:p>
            <w:pPr>
              <w:spacing w:line="240" w:lineRule="auto" w:before="0" w:after="0"/>
              <w:pStyle w:val="Compact"/>
            </w:pPr>
            <w:r>
              <w:rPr>
                <w:sz w:val="20"/>
                <w:szCs w:val="20"/>
              </w:rPr>
              <w:t xml:space="preserve">[-0.0007514, 0.0006138]</w:t>
            </w:r>
          </w:p>
        </w:tc>
        <w:tc>
          <w:tcPr>
            <w:tcW w:w="0" w:type="auto"/>
          </w:tcPr>
          <w:p>
            <w:pPr>
              <w:spacing w:line="240" w:lineRule="auto" w:before="0" w:after="0"/>
              <w:pStyle w:val="Compact"/>
            </w:pPr>
            <w:r>
              <w:rPr>
                <w:sz w:val="20"/>
                <w:szCs w:val="20"/>
              </w:rPr>
              <w:t xml:space="preserve">0.9999</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-0.3709</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-2.3041</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[-0.6863, -0.0554]</w:t>
            </w:r>
          </w:p>
        </w:tc>
        <w:tc>
          <w:tcPr>
            <w:tcW w:w="0" w:type="auto"/>
          </w:tcPr>
          <w:p>
            <w:pPr>
              <w:spacing w:line="240" w:lineRule="auto" w:before="0" w:after="0"/>
              <w:pStyle w:val="Compact"/>
            </w:pPr>
            <w:r>
              <w:rPr>
                <w:sz w:val="20"/>
                <w:szCs w:val="20"/>
              </w:rPr>
              <w:t xml:space="preserve">0.6901</w:t>
            </w:r>
          </w:p>
        </w:tc>
      </w:tr>
      <w:tr>
        <w:tc>
          <w:tcPr>
            <w:tcW w:w="0" w:type="auto"/>
          </w:tcPr>
          <w:p>
            <w:pPr>
              <w:spacing w:line="240" w:lineRule="auto" w:before="0" w:after="0"/>
              <w:pStyle w:val="Compact"/>
            </w:pPr>
            <w:r>
              <w:rPr>
                <w:sz w:val="20"/>
                <w:szCs w:val="20"/>
              </w:rPr>
              <w:t xml:space="preserve">new_tech_index</w:t>
            </w:r>
          </w:p>
        </w:tc>
        <w:tc>
          <w:tcPr>
            <w:tcW w:w="0" w:type="auto"/>
          </w:tcPr>
          <w:p>
            <w:pPr>
              <w:spacing w:line="240" w:lineRule="auto" w:before="0" w:after="0"/>
              <w:pStyle w:val="Compact"/>
            </w:pPr>
            <w:r>
              <w:rPr>
                <w:sz w:val="20"/>
                <w:szCs w:val="20"/>
              </w:rPr>
              <w:t xml:space="preserve">2.4386</w:t>
            </w:r>
          </w:p>
        </w:tc>
        <w:tc>
          <w:tcPr>
            <w:tcW w:w="0" w:type="auto"/>
          </w:tcPr>
          <w:p>
            <w:pPr>
              <w:spacing w:line="240" w:lineRule="auto" w:before="0" w:after="0"/>
              <w:pStyle w:val="Compact"/>
            </w:pPr>
            <w:r>
              <w:rPr>
                <w:sz w:val="20"/>
                <w:szCs w:val="20"/>
              </w:rPr>
              <w:t xml:space="preserve">1.0432</w:t>
            </w:r>
          </w:p>
        </w:tc>
        <w:tc>
          <w:tcPr>
            <w:tcW w:w="0" w:type="auto"/>
          </w:tcPr>
          <w:p>
            <w:pPr>
              <w:spacing w:line="240" w:lineRule="auto" w:before="0" w:after="0"/>
              <w:pStyle w:val="Compact"/>
            </w:pPr>
            <w:r>
              <w:rPr>
                <w:sz w:val="20"/>
                <w:szCs w:val="20"/>
              </w:rPr>
              <w:t xml:space="preserve">2.3377</w:t>
            </w:r>
          </w:p>
        </w:tc>
        <w:tc>
          <w:tcPr>
            <w:tcW w:w="0" w:type="auto"/>
          </w:tcPr>
          <w:p>
            <w:pPr>
              <w:spacing w:line="240" w:lineRule="auto" w:before="0" w:after="0"/>
              <w:pStyle w:val="Compact"/>
            </w:pPr>
            <w:r>
              <w:rPr>
                <w:sz w:val="20"/>
                <w:szCs w:val="20"/>
              </w:rPr>
              <w:t xml:space="preserve">0.0194</w:t>
            </w:r>
          </w:p>
        </w:tc>
        <w:tc>
          <w:tcPr>
            <w:tcW w:w="0" w:type="auto"/>
          </w:tcPr>
          <w:p>
            <w:pPr>
              <w:spacing w:line="240" w:lineRule="auto" w:before="0" w:after="0"/>
              <w:pStyle w:val="Compact"/>
            </w:pPr>
            <w:r>
              <w:rPr>
                <w:sz w:val="20"/>
                <w:szCs w:val="20"/>
              </w:rPr>
              <w:t xml:space="preserve">[0.394, 4.4833]</w:t>
            </w:r>
          </w:p>
        </w:tc>
        <w:tc>
          <w:tcPr>
            <w:tcW w:w="0" w:type="auto"/>
          </w:tcPr>
          <w:p>
            <w:pPr>
              <w:spacing w:line="240" w:lineRule="auto" w:before="0" w:after="0"/>
              <w:pStyle w:val="Compact"/>
            </w:pPr>
            <w:r>
              <w:rPr>
                <w:sz w:val="20"/>
                <w:szCs w:val="20"/>
              </w:rPr>
              <w:t xml:space="preserve">11.4572</w:t>
            </w:r>
          </w:p>
        </w:tc>
      </w:tr>
      <w:tr>
        <w:tc>
          <w:tcPr>
            <w:tcW w:w="0" w:type="auto"/>
          </w:tcPr>
          <w:p>
            <w:pPr>
              <w:spacing w:line="240" w:lineRule="auto" w:before="0" w:after="0"/>
              <w:pStyle w:val="Compact"/>
            </w:pPr>
            <w:r>
              <w:rPr>
                <w:sz w:val="20"/>
                <w:szCs w:val="20"/>
              </w:rPr>
              <w:t xml:space="preserve">outer_solar</w:t>
            </w:r>
          </w:p>
        </w:tc>
        <w:tc>
          <w:tcPr>
            <w:tcW w:w="0" w:type="auto"/>
          </w:tcPr>
          <w:p>
            <w:pPr>
              <w:spacing w:line="240" w:lineRule="auto" w:before="0" w:after="0"/>
              <w:pStyle w:val="Compact"/>
            </w:pPr>
            <w:r>
              <w:rPr>
                <w:sz w:val="20"/>
                <w:szCs w:val="20"/>
              </w:rPr>
              <w:t xml:space="preserve">-0.1997</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-0.1987</w:t>
            </w:r>
          </w:p>
        </w:tc>
        <w:tc>
          <w:tcPr>
            <w:tcW w:w="0" w:type="auto"/>
          </w:tcPr>
          <w:p>
            <w:pPr>
              <w:spacing w:line="240" w:lineRule="auto" w:before="0" w:after="0"/>
              <w:pStyle w:val="Compact"/>
            </w:pPr>
            <w:r>
              <w:rPr>
                <w:sz w:val="20"/>
                <w:szCs w:val="20"/>
              </w:rPr>
              <w:t xml:space="preserve">0.8425</w:t>
            </w:r>
          </w:p>
        </w:tc>
        <w:tc>
          <w:tcPr>
            <w:tcW w:w="0" w:type="auto"/>
          </w:tcPr>
          <w:p>
            <w:pPr>
              <w:spacing w:line="240" w:lineRule="auto" w:before="0" w:after="0"/>
              <w:pStyle w:val="Compact"/>
            </w:pPr>
            <w:r>
              <w:rPr>
                <w:sz w:val="20"/>
                <w:szCs w:val="20"/>
              </w:rPr>
              <w:t xml:space="preserve">[-2.1695, 1.77]</w:t>
            </w:r>
          </w:p>
        </w:tc>
        <w:tc>
          <w:tcPr>
            <w:tcW w:w="0" w:type="auto"/>
          </w:tcPr>
          <w:p>
            <w:pPr>
              <w:spacing w:line="240" w:lineRule="auto" w:before="0" w:after="0"/>
              <w:pStyle w:val="Compact"/>
            </w:pPr>
            <w:r>
              <w:rPr>
                <w:sz w:val="20"/>
                <w:szCs w:val="20"/>
              </w:rPr>
              <w:t xml:space="preserve">0.8189</w:t>
            </w:r>
          </w:p>
        </w:tc>
      </w:tr>
    </w:tbl>
    <w:p>
      <w:pPr>
        <w:pStyle w:val="BodyText"/>
      </w:pPr>
      <w:r>
        <w:t xml:space="preserve">Fit: N = 26 events = 9</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8" Target="https://doi.org/10.1016/j.actaastro.2019.09.030" TargetMode="External" /><Relationship Type="http://schemas.openxmlformats.org/officeDocument/2006/relationships/hyperlink" Id="rId70"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9.09.030" TargetMode="External" /><Relationship Type="http://schemas.openxmlformats.org/officeDocument/2006/relationships/hyperlink" Id="rId70"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2026-06-22T20:31:55Z</dcterms:created>
  <dcterms:modified xsi:type="dcterms:W3CDTF">2026-06-22T20:31:55Z</dcterms:modified>
</cp:coreProperties>
</file>

<file path=docProps/custom.xml><?xml version="1.0" encoding="utf-8"?>
<Properties xmlns="http://schemas.openxmlformats.org/officeDocument/2006/custom-properties" xmlns:vt="http://schemas.openxmlformats.org/officeDocument/2006/docPropsVTypes"/>
</file>