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d28e1e3737792eac0262857e019e7f80c85724c"/>
    <w:p>
      <w:pPr>
        <w:pStyle w:val="Heading1"/>
      </w:pPr>
      <w:r>
        <w:t xml:space="preserve">Cost-Growth Hazard in JPL Deep-Space Missions: A Cox Survival-Analysis of Confirmation-to-Launch Budget Escalation</w:t>
      </w:r>
    </w:p>
    <w:bookmarkStart w:id="61" w:name="introduction"/>
    <w:p>
      <w:pPr>
        <w:pStyle w:val="Heading2"/>
      </w:pPr>
      <w:r>
        <w:t xml:space="preserve">1. Introduction</w:t>
      </w:r>
    </w:p>
    <w:p>
      <w:pPr>
        <w:pStyle w:val="FirstParagraph"/>
      </w:pPr>
      <w:r>
        <w:t xml:space="preserve">Deep-space missions managed by the Jet Propulsion Laboratory are governed against a cost and schedule baseline set at confirmation, the milestone NASA records as Key Decision Point C. Overruns against that baseline are then reported as terminal percentages, measured at launch or at a formal rebaseline. This terminal framing is analytically convenient and operationally late. By the time a mission has breached its confirmation baseline by a governance-relevant margin, the reserve decisions that might have absorbed the growth have already been foreclosed.</w:t>
      </w:r>
    </w:p>
    <w:p>
      <w:pPr>
        <w:pStyle w:val="BodyText"/>
      </w:pPr>
      <w:r>
        <w:t xml:space="preserve">This paper reframes confirmation-to-launch cost growth from a level to be predicted into an event whose timing is the object of inference. The cost-estimation tradition that supports confirmation decisions is cross-sectional: parametric tools produce a point estimate and an interval for total mission cost, and blind-validation studies assess how close that point estimate falls to realized cost</w:t>
      </w:r>
      <w:r>
        <w:t xml:space="preserve"> </w:t>
      </w:r>
      <w:hyperlink w:anchor="ref-1">
        <m:oMathPara>
          <m:oMathParaPr>
            <m:jc m:val="center"/>
          </m:oMathParaPr>
          <m:oMath>
            <m:r>
              <m:t>1</m:t>
            </m:r>
          </m:oMath>
        </m:oMathPara>
      </w:hyperlink>
      <w:r>
        <w:t xml:space="preserve">. The same parametric apparatus has been carried across vehicle classes, from civil hypersonic aircraft whose research and development costs are predicted from conceptual-design parameters</w:t>
      </w:r>
      <w:r>
        <w:t xml:space="preserve"> </w:t>
      </w:r>
      <w:hyperlink w:anchor="ref-2">
        <m:oMathPara>
          <m:oMathParaPr>
            <m:jc m:val="center"/>
          </m:oMathParaPr>
          <m:oMath>
            <m:r>
              <m:t>2</m:t>
            </m:r>
          </m:oMath>
        </m:oMathPara>
      </w:hyperlink>
      <w:r>
        <w:t xml:space="preserve"> </w:t>
      </w:r>
      <w:r>
        <w:t xml:space="preserve">to asteroid-mining architectures whose operations cost is estimated from staffing</w:t>
      </w:r>
      <w:r>
        <w:t xml:space="preserve"> </w:t>
      </w:r>
      <w:hyperlink w:anchor="ref-4">
        <m:oMathPara>
          <m:oMathParaPr>
            <m:jc m:val="center"/>
          </m:oMathParaPr>
          <m:oMath>
            <m:r>
              <m:t>4</m:t>
            </m:r>
          </m:oMath>
        </m:oMathPara>
      </w:hyperlink>
      <w:r>
        <w:t xml:space="preserve"> </w:t>
      </w:r>
      <w:r>
        <w:t xml:space="preserve">and to on-orbit telescope assembly where areal cost assumptions drive the trade</w:t>
      </w:r>
      <w:r>
        <w:t xml:space="preserve"> </w:t>
      </w:r>
      <w:hyperlink w:anchor="ref-5">
        <m:oMathPara>
          <m:oMathParaPr>
            <m:jc m:val="center"/>
          </m:oMathParaPr>
          <m:oMath>
            <m:r>
              <m:t>5</m:t>
            </m:r>
          </m:oMath>
        </m:oMathPara>
      </w:hyperlink>
      <w:r>
        <w:t xml:space="preserve">. Across this body of work the unit of analysis is the mission as a static object and the quantity of interest is a level, not a rate. For mission operations the rate is what matters, because operations planning allocates finite reserves against an uncertain future and needs to know not whether a mission will overrun but when the risk of overrun accelerates.</w:t>
      </w:r>
    </w:p>
    <w:p>
      <w:pPr>
        <w:pStyle w:val="FirstParagraph"/>
      </w:pPr>
      <w:r>
        <w:t xml:space="preserve">The contribution is a single falsifiable claim, recovered as the sign and magnitude of one coefficient. The claim is that the instantaneous hazard of threshold-crossing cost growth rises with the share of formulation-phase technological immaturity carried into implementation.</w:t>
      </w:r>
    </w:p>
    <w:bookmarkEnd w:id="61"/>
    <w:bookmarkStart w:id="62" w:name="theory-and-hypotheses"/>
    <w:p>
      <w:pPr>
        <w:pStyle w:val="Heading2"/>
      </w:pPr>
      <w:r>
        <w:t xml:space="preserve">2. Theory and Hypotheses</w:t>
      </w:r>
    </w:p>
    <w:p>
      <w:pPr>
        <w:pStyle w:val="FirstParagraph"/>
      </w:pPr>
      <w:r>
        <w:t xml:space="preserve">The theoretical move is to treat the confirmation-to-launch interval as a duration and the first breach of a fixed cost-growth threshold as a failure event. Survival analysis is the natural language for this problem because it admits right-censoring directly: missions that reach launch without breaching the threshold are not overruns waiting to happen but genuine survivors, and a hazard model uses them without discarding their information.</w:t>
      </w:r>
    </w:p>
    <w:p>
      <w:pPr>
        <w:pStyle w:val="BodyText"/>
      </w:pPr>
      <w:r>
        <w:t xml:space="preserve">The mechanism that paces the hazard is carried-over technological immaturity. Confirmation is supposed to retire formulation-phase technology risk before the agency commits, yet missions routinely enter implementation with instruments or critical subsystems still below the maturity threshold that confirmation nominally requires. Unretired technology generates rework, qualification failures, and integration surprises whose cost consequences accumulate as development proceeds. The risk-management literature for space exploration treats this kind of carried-over risk as a portfolio-level quantity to be tracked across a mission’s life cycle rather than scored once</w:t>
      </w:r>
      <w:r>
        <w:t xml:space="preserve"> </w:t>
      </w:r>
      <w:hyperlink w:anchor="ref-3">
        <m:oMathPara>
          <m:oMathParaPr>
            <m:jc m:val="center"/>
          </m:oMathParaPr>
          <m:oMath>
            <m:r>
              <m:t>3</m:t>
            </m:r>
          </m:oMath>
        </m:oMathPara>
      </w:hyperlink>
      <w:r>
        <w:t xml:space="preserve">, and technology-readiness level is the standard instrument the community uses to record how much immaturity a system carries into its next phase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 The hypothesis converts that qualitative understanding into a testable proposition about the shape of the hazard.</w:t>
      </w:r>
    </w:p>
    <w:p>
      <w:pPr>
        <w:pStyle w:val="FirstParagraph"/>
      </w:pPr>
      <w:r>
        <w:rPr>
          <w:b/>
          <w:bCs/>
        </w:rPr>
        <w:t xml:space="preserve">H0 (null):</w:t>
      </w:r>
      <w:r>
        <w:t xml:space="preserve"> </w:t>
      </w:r>
      <w:r>
        <w:t xml:space="preserve">The hazard that a mission crosses the confirmation-to-launch cost-growth threshold is constant with respect to carried-over immaturity; in a Cox model the coefficient on carried-over immaturity is zero and its hazard ratio equals one.</w:t>
      </w:r>
    </w:p>
    <w:p>
      <w:pPr>
        <w:pStyle w:val="BodyText"/>
      </w:pPr>
      <w:r>
        <w:rPr>
          <w:b/>
          <w:bCs/>
        </w:rPr>
        <w:t xml:space="preserve">H1 (alternative):</w:t>
      </w:r>
      <w:r>
        <w:t xml:space="preserve"> </w:t>
      </w:r>
      <w:r>
        <w:t xml:space="preserve">The hazard rises with carried-over immaturity; the Cox coefficient is strictly positive and its hazard ratio exceeds one, so missions entering implementation with more unretired formulation-phase technology breach their cost-growth threshold sooner.</w:t>
      </w:r>
    </w:p>
    <w:bookmarkEnd w:id="62"/>
    <w:bookmarkStart w:id="63" w:name="data"/>
    <w:p>
      <w:pPr>
        <w:pStyle w:val="Heading2"/>
      </w:pPr>
      <w:r>
        <w:t xml:space="preserve">3. Data</w:t>
      </w:r>
    </w:p>
    <w:p>
      <w:pPr>
        <w:pStyle w:val="FirstParagraph"/>
      </w:pPr>
      <w:r>
        <w:t xml:space="preserve">The unit of observation is a NASA deep-space, planetary, or astrophysics mission of the class JPL builds and manages. The panel comprises 24 missions with a public confirmation baseline development cost and a public launch outcome, spanning Stardust (confirmed 1996) through Europa Clipper (launched 2024). For each mission the dataset records the confirmation (KDP-C) baseline development cost, the final or current development cost, the resulting percent growth, the development duration in months from confirmation to launch, and a binary event indicator for whether development cost exceeded the confirmation baseline by 15 percent or more at or before launch.</w:t>
      </w:r>
    </w:p>
    <w:p>
      <w:pPr>
        <w:pStyle w:val="BodyText"/>
      </w:pPr>
      <w:r>
        <w:t xml:space="preserve">Provenance is public and non-proprietary. Baseline-versus-final development costs are drawn from NASA Office of Inspector General audit reports, the Government Accountability Office series of annual NASA major-project assessments, mission press kits, and the Planetary Society mission cost pages that compile and cite those primary records. The Mars Science Laboratory figure of a development-cost rise from 969 million to roughly 1.8 billion dollars, for example, is the NASA OIG audit number; the Europa Clipper rise from 4.25 to 5.0 billion dollars is the figure NASA reported and GAO assessed. The carried-over immaturity covariate is scaled from zero to one and operationalized from the count of confirmation-phase instruments and critical subsystems assessed below technology-readiness level six relative to the mission’s technology set; where an individually published TRL count was not available the cell is marked illustrative in the source column of the dataset, and such cells remain a minority of the panel. Every row carries its source in the final column.</w:t>
      </w:r>
    </w:p>
    <w:bookmarkEnd w:id="63"/>
    <w:bookmarkStart w:id="64" w:name="method"/>
    <w:p>
      <w:pPr>
        <w:pStyle w:val="Heading2"/>
      </w:pPr>
      <w:r>
        <w:t xml:space="preserve">4. Method</w:t>
      </w:r>
    </w:p>
    <w:p>
      <w:pPr>
        <w:pStyle w:val="FirstParagraph"/>
      </w:pPr>
      <w:r>
        <w:t xml:space="preserve">The estimand is the cause-specific hazard ratio for carried-over immaturity in a Cox proportional-hazards model of time from confirmation to first threshold-crossing cost growth. Time is measured in development months from KDP-C. The event is the crossing of the 15 percent confirmation-baseline growth threshold; missions that reach launch without crossing are right-censored at launch. The model is fitted by partial likelihood. The covariates are carried-over immaturity, the variable of interest, and the confirmation baseline development cost, included as a scale control so that any immaturity effect is not a disguised size effect.</w:t>
      </w:r>
    </w:p>
    <w:p>
      <w:pPr>
        <w:pStyle w:val="BodyText"/>
      </w:pPr>
      <w:r>
        <w:t xml:space="preserve">An indicator for whether a mission carried first-of-its-kind technology was considered and dropped, because in this panel it is perfectly separated from the event: every threshold-crossing mission carried new technology and no censored mission did, which makes its coefficient non-identified. The continuous immaturity share captures the same channel with gradation and is retained. The specification therefore reports two coefficients recovered without numerical pathology.</w:t>
      </w:r>
    </w:p>
    <w:bookmarkEnd w:id="64"/>
    <w:bookmarkStart w:id="65" w:name="findings"/>
    <w:p>
      <w:pPr>
        <w:pStyle w:val="Heading2"/>
      </w:pPr>
      <w:r>
        <w:t xml:space="preserve">5. Findings</w:t>
      </w:r>
    </w:p>
    <w:p>
      <w:pPr>
        <w:pStyle w:val="FirstParagraph"/>
      </w:pPr>
      <w:r>
        <w:t xml:space="preserve">The model is fitted to 24 missions with 12 threshold-crossing events. The coefficient on carried-over immaturity is 4.2289 with a standard error of 1.9154, a z-statistic of 2.208, and a p-value of 0.0273. The implied hazard ratio for the full zero-to-one range of the covariate is 68.64, with a 95 percent confidence interval of 1.61 to 2931.0. The interval is wide because the covariate is a share and the sample is modest, but its lower bound exceeds one, so the null of no effect is rejected at the 5 percent level. H0 is rejected in favor of H1: the hazard of threshold-crossing cost growth rises with carried-over immaturity.</w:t>
      </w:r>
    </w:p>
    <w:p>
      <w:pPr>
        <w:pStyle w:val="BodyText"/>
      </w:pPr>
      <w:r>
        <w:t xml:space="preserve">The magnitude is easier to read on a per-increment scale. Because the coefficient is 4.2289, each additional tenth of a unit of carried-over immaturity multiplies the instantaneous hazard by exp(0.42289), which is about 1.53. A two-tenths difference in carried-over immaturity, roughly the gap between the panel’s censored and event groups, multiplies the hazard by about 2.33. In operational terms, a mission entering implementation with appreciably more unretired formulation-phase technology faces a markedly higher month-by-month risk of breaching its cost-growth threshold, not merely a higher terminal overrun.</w:t>
      </w:r>
    </w:p>
    <w:p>
      <w:pPr>
        <w:pStyle w:val="BodyText"/>
      </w:pPr>
      <w:r>
        <w:t xml:space="preserve">The scale control behaves as a control should. The coefficient on confirmation baseline development cost is -0.0003 with a standard error of 0.0003, a z-statistic of -0.989, and a p-value of 0.3228; its hazard ratio is 0.9997, statistically indistinguishable from one. Mission dollar size does not pace the hazard once carried-over immaturity is in the model. The result therefore localizes the timing of cost-growth risk in the technological-maturity profile a mission carries past confirmation rather than in how expensive the mission is.</w:t>
      </w:r>
    </w:p>
    <w:bookmarkEnd w:id="65"/>
    <w:bookmarkStart w:id="66" w:name="discussion"/>
    <w:p>
      <w:pPr>
        <w:pStyle w:val="Heading2"/>
      </w:pPr>
      <w:r>
        <w:t xml:space="preserve">6. Discussion</w:t>
      </w:r>
    </w:p>
    <w:p>
      <w:pPr>
        <w:pStyle w:val="FirstParagraph"/>
      </w:pPr>
      <w:r>
        <w:t xml:space="preserve">The finding relocates cost-growth governance from a launch-readiness checkpoint to a continuously monitored hazard. If the month-by-month risk of breaching a cost-growth threshold is paced by carried-over immaturity, then the confirmation review that certifies technological readiness is also, implicitly, setting the clock on future overruns, and reserve posture should be conditioned on the maturity profile a mission actually carries rather than on the percentage growth observed to date. For mission operations the practical implication is that replan timing and reserve release can be anticipated from a covariate that is fixed and observable at confirmation, before any overrun has materialized.</w:t>
      </w:r>
    </w:p>
    <w:p>
      <w:pPr>
        <w:pStyle w:val="BodyText"/>
      </w:pPr>
      <w:r>
        <w:t xml:space="preserve">Three limitations bound the claim. First, the panel is conditional on reaching confirmation, so the hazard is estimated for missions that survived to KDP-C and does not speak to concepts cancelled earlier; this is a scope condition of the estimand, not a flaw to be concealed. Second, the population of NASA deep-space major projects is small, which is why the confidence interval on the immaturity hazard ratio is wide even though the point estimate is significant, and why the conclusion is stated as the sign of one coefficient rather than as a suite of correlations. Third, technology-readiness levels recorded at confirmation are coarse and partly judgmental, and a minority of immaturity values are illustrative reconstructions from the maturity profile rather than published counts; the direction of the result should be read as robust while its precise magnitude should not be over-interpreted. Within those bounds, the data are consistent with a hazard that rises with carried-over technological immaturity, and the operating assumption that cost-growth risk is paced by unretired formulation-phase technology survives a direct test.</w:t>
      </w:r>
    </w:p>
    <w:bookmarkEnd w:id="66"/>
    <w:bookmarkStart w:id="83"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70">
        <w:r>
          <w:rPr>
            <w:rStyle w:val="Hyperlink"/>
          </w:rPr>
          <w:t xml:space="preserve">10.1016/j.actaastro.2022.12.036</w:t>
        </w:r>
      </w:hyperlink>
    </w:p>
    <w:p>
      <w:pPr>
        <w:pStyle w:val="BodyText"/>
      </w:pPr>
      <w:bookmarkStart w:id="71" w:name="ref-3"/>
      <w:bookmarkEnd w:id="71"/>
      <w:r>
        <w:t xml:space="preserve">3. E. Romero and D. Francisco,</w:t>
      </w:r>
      <w:r>
        <w:t xml:space="preserve"> </w:t>
      </w:r>
      <w:r>
        <w:t xml:space="preserve">“The NASA human system risk mitigation process for space exploration,”</w:t>
      </w:r>
      <w:r>
        <w:t xml:space="preserve"> </w:t>
      </w:r>
      <w:r>
        <w:t xml:space="preserve">Acta Astronautica, vol. 175, 2020. doi:</w:t>
      </w:r>
      <w:r>
        <w:t xml:space="preserve"> </w:t>
      </w:r>
      <w:hyperlink r:id="rId72">
        <w:r>
          <w:rPr>
            <w:rStyle w:val="Hyperlink"/>
          </w:rPr>
          <w:t xml:space="preserve">10.1016/j.actaastro.2020.04.046</w:t>
        </w:r>
      </w:hyperlink>
    </w:p>
    <w:p>
      <w:pPr>
        <w:pStyle w:val="BodyText"/>
      </w:pPr>
      <w:bookmarkStart w:id="73" w:name="ref-4"/>
      <w:bookmarkEnd w:id="73"/>
      <w:r>
        <w:t xml:space="preserve">4.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4">
        <w:r>
          <w:rPr>
            <w:rStyle w:val="Hyperlink"/>
          </w:rPr>
          <w:t xml:space="preserve">10.1016/j.actaastro.2025.11.006</w:t>
        </w:r>
      </w:hyperlink>
    </w:p>
    <w:p>
      <w:pPr>
        <w:pStyle w:val="BodyText"/>
      </w:pPr>
      <w:bookmarkStart w:id="75" w:name="ref-5"/>
      <w:bookmarkEnd w:id="75"/>
      <w:r>
        <w:t xml:space="preserve">5. A. Nanjangud, C. Underwood, C. M. Rai, S. Eckersley, M. Sweeting, and P. Bianco,</w:t>
      </w:r>
      <w:r>
        <w:t xml:space="preserve"> </w:t>
      </w:r>
      <w:r>
        <w:t xml:space="preserve">“Towards robotic on-orbit assembly of large space telescopes: Mission architectures, concepts, and analyses,”</w:t>
      </w:r>
      <w:r>
        <w:t xml:space="preserve"> </w:t>
      </w:r>
      <w:r>
        <w:t xml:space="preserve">Acta Astronautica, vol. 224, 2024. doi:</w:t>
      </w:r>
      <w:r>
        <w:t xml:space="preserve"> </w:t>
      </w:r>
      <w:hyperlink r:id="rId76">
        <w:r>
          <w:rPr>
            <w:rStyle w:val="Hyperlink"/>
          </w:rPr>
          <w:t xml:space="preserve">10.1016/j.actaastro.2024.08.022</w:t>
        </w:r>
      </w:hyperlink>
    </w:p>
    <w:p>
      <w:pPr>
        <w:pStyle w:val="BodyText"/>
      </w:pPr>
      <w:bookmarkStart w:id="77" w:name="ref-6"/>
      <w:bookmarkEnd w:id="77"/>
      <w:r>
        <w:t xml:space="preserve">6. U.S. Government Accountability Office,</w:t>
      </w:r>
      <w:r>
        <w:t xml:space="preserve"> </w:t>
      </w:r>
      <w:r>
        <w:t xml:space="preserve">“NASA: Assessments of Major Projects,”</w:t>
      </w:r>
      <w:r>
        <w:t xml:space="preserve"> </w:t>
      </w:r>
      <w:r>
        <w:t xml:space="preserve">GAO-24-106767, 2024.</w:t>
      </w:r>
    </w:p>
    <w:p>
      <w:pPr>
        <w:pStyle w:val="BodyText"/>
      </w:pPr>
      <w:bookmarkStart w:id="78" w:name="ref-7"/>
      <w:bookmarkEnd w:id="78"/>
      <w:r>
        <w:t xml:space="preserve">7. U.S. Government Accountability Office,</w:t>
      </w:r>
      <w:r>
        <w:t xml:space="preserve"> </w:t>
      </w:r>
      <w:r>
        <w:t xml:space="preserve">“NASA: Assessments of Major Projects,”</w:t>
      </w:r>
      <w:r>
        <w:t xml:space="preserve"> </w:t>
      </w:r>
      <w:r>
        <w:t xml:space="preserve">GAO-25-107591, 2025.</w:t>
      </w:r>
    </w:p>
    <w:p>
      <w:pPr>
        <w:pStyle w:val="BodyText"/>
      </w:pPr>
      <w:bookmarkStart w:id="79" w:name="ref-8"/>
      <w:bookmarkEnd w:id="79"/>
      <w:r>
        <w:t xml:space="preserve">8. P. dos Santos and P. Oliveira,</w:t>
      </w:r>
      <w:r>
        <w:t xml:space="preserve"> </w:t>
      </w:r>
      <w:r>
        <w:t xml:space="preserve">“Integrated architecture for navigation and attitude control of low-cost suborbital launch vehicles,”</w:t>
      </w:r>
      <w:r>
        <w:t xml:space="preserve"> </w:t>
      </w:r>
      <w:r>
        <w:t xml:space="preserve">Acta Astronautica, vol. 222, 2024. doi:</w:t>
      </w:r>
      <w:r>
        <w:t xml:space="preserve"> </w:t>
      </w:r>
      <w:hyperlink r:id="rId80">
        <w:r>
          <w:rPr>
            <w:rStyle w:val="Hyperlink"/>
          </w:rPr>
          <w:t xml:space="preserve">10.1016/j.actaastro.2024.05.039</w:t>
        </w:r>
      </w:hyperlink>
    </w:p>
    <w:p>
      <w:pPr>
        <w:pStyle w:val="BodyText"/>
      </w:pPr>
      <w:bookmarkStart w:id="81" w:name="ref-9"/>
      <w:bookmarkEnd w:id="81"/>
      <w:r>
        <w:t xml:space="preserve">9. K. F. Hussain, N. E. Safwat, K. Thangavel, and R. Sabatini,</w:t>
      </w:r>
      <w:r>
        <w:t xml:space="preserve"> </w:t>
      </w:r>
      <w:r>
        <w:t xml:space="preserve">“Space-based debris trajectory estimation using vision sensors and track-based data fusion techniques,”</w:t>
      </w:r>
      <w:r>
        <w:t xml:space="preserve"> </w:t>
      </w:r>
      <w:r>
        <w:t xml:space="preserve">Acta Astronautica, vol. 229, 2025. doi:</w:t>
      </w:r>
      <w:r>
        <w:t xml:space="preserve"> </w:t>
      </w:r>
      <w:hyperlink r:id="rId82">
        <w:r>
          <w:rPr>
            <w:rStyle w:val="Hyperlink"/>
          </w:rPr>
          <w:t xml:space="preserve">10.1016/j.actaastro.2025.01.038</w:t>
        </w:r>
      </w:hyperlink>
    </w:p>
    <w:bookmarkEnd w:id="83"/>
    <w:bookmarkStart w:id="8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c</m:t>
              </m:r>
              <m:r>
                <m:rPr>
                  <m:sty m:val="p"/>
                </m:rPr>
                <m:t>a</m:t>
              </m:r>
              <m:r>
                <m:rPr>
                  <m:sty m:val="p"/>
                </m:rPr>
                <m:t>r</m:t>
              </m:r>
              <m:r>
                <m:rPr>
                  <m:sty m:val="p"/>
                </m:rPr>
                <m:t>r</m:t>
              </m:r>
              <m:r>
                <m:rPr>
                  <m:sty m:val="p"/>
                </m:rPr>
                <m:t>y</m:t>
              </m:r>
              <m:r>
                <m:rPr>
                  <m:sty m:val="p"/>
                </m:rPr>
                <m:t>_</m:t>
              </m:r>
              <m:r>
                <m:rPr>
                  <m:sty m:val="p"/>
                </m:rPr>
                <m:t>i</m:t>
              </m:r>
              <m:r>
                <m:rPr>
                  <m:sty m:val="p"/>
                </m:rPr>
                <m:t>m</m:t>
              </m:r>
              <m:r>
                <m:rPr>
                  <m:sty m:val="p"/>
                </m:rPr>
                <m:t>m</m:t>
              </m:r>
              <m:r>
                <m:rPr>
                  <m:sty m:val="p"/>
                </m:rPr>
                <m:t>a</m:t>
              </m:r>
              <m:r>
                <m:rPr>
                  <m:sty m:val="p"/>
                </m:rPr>
                <m:t>t</m:t>
              </m:r>
              <m:r>
                <m:rPr>
                  <m:sty m:val="p"/>
                </m:rPr>
                <m:t>u</m:t>
              </m:r>
              <m:r>
                <m:rPr>
                  <m:sty m:val="p"/>
                </m:rPr>
                <m:t>r</m:t>
              </m:r>
              <m:r>
                <m:rPr>
                  <m:sty m:val="p"/>
                </m:rPr>
                <m:t>i</m:t>
              </m:r>
              <m:r>
                <m:rPr>
                  <m:sty m:val="p"/>
                </m:rPr>
                <m:t>t</m:t>
              </m:r>
              <m:r>
                <m:rPr>
                  <m:sty m:val="p"/>
                </m:rPr>
                <m:t>y</m:t>
              </m:r>
              <m:r>
                <m:rPr>
                  <m:sty m:val="p"/>
                </m:rPr>
                <m:t>+</m:t>
              </m:r>
              <m:sSub>
                <m:e>
                  <m:r>
                    <m:t>β</m:t>
                  </m:r>
                </m:e>
                <m:sub>
                  <m:r>
                    <m:t>2</m:t>
                  </m:r>
                </m:sub>
              </m:sSub>
              <m:r>
                <m:t> </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_</m:t>
              </m:r>
              <m:r>
                <m:rPr>
                  <m:sty m:val="p"/>
                </m:rPr>
                <m:t>d</m:t>
              </m:r>
              <m:r>
                <m:rPr>
                  <m:sty m:val="p"/>
                </m:rPr>
                <m:t>e</m:t>
              </m:r>
              <m:r>
                <m:rPr>
                  <m:sty m:val="p"/>
                </m:rPr>
                <m:t>v</m:t>
              </m:r>
              <m:r>
                <m:rPr>
                  <m:sty m:val="p"/>
                </m:rPr>
                <m:t>_</m:t>
              </m:r>
              <m:r>
                <m:rPr>
                  <m:sty m:val="p"/>
                </m:rPr>
                <m:t>c</m:t>
              </m:r>
              <m:r>
                <m:rPr>
                  <m:sty m:val="p"/>
                </m:rPr>
                <m:t>o</m:t>
              </m:r>
              <m:r>
                <m:rPr>
                  <m:sty m:val="p"/>
                </m:rPr>
                <m:t>s</m:t>
              </m:r>
              <m:r>
                <m:rPr>
                  <m:sty m:val="p"/>
                </m:rPr>
                <m:t>t</m:t>
              </m:r>
            </m:e>
          </m:d>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4.2289</w:t>
            </w:r>
          </w:p>
        </w:tc>
        <w:tc>
          <w:tcPr>
            <w:tcW w:w="0" w:type="auto"/>
          </w:tcPr>
          <w:p>
            <w:pPr>
              <w:spacing w:line="240" w:lineRule="auto" w:before="0" w:after="0"/>
              <w:pStyle w:val="Compact"/>
            </w:pPr>
            <w:r>
              <w:rPr>
                <w:sz w:val="20"/>
                <w:szCs w:val="20"/>
              </w:rPr>
              <w:t xml:space="preserve">1.9154</w:t>
            </w:r>
          </w:p>
        </w:tc>
        <w:tc>
          <w:tcPr>
            <w:tcW w:w="0" w:type="auto"/>
          </w:tcPr>
          <w:p>
            <w:pPr>
              <w:spacing w:line="240" w:lineRule="auto" w:before="0" w:after="0"/>
              <w:pStyle w:val="Compact"/>
            </w:pPr>
            <w:r>
              <w:rPr>
                <w:sz w:val="20"/>
                <w:szCs w:val="20"/>
              </w:rPr>
              <w:t xml:space="preserve">2.2078</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[0.4747, 7.9831]</w:t>
            </w:r>
          </w:p>
        </w:tc>
        <w:tc>
          <w:tcPr>
            <w:tcW w:w="0" w:type="auto"/>
          </w:tcPr>
          <w:p>
            <w:pPr>
              <w:spacing w:line="240" w:lineRule="auto" w:before="0" w:after="0"/>
              <w:pStyle w:val="Compact"/>
            </w:pPr>
            <w:r>
              <w:rPr>
                <w:sz w:val="20"/>
                <w:szCs w:val="20"/>
              </w:rPr>
              <w:t xml:space="preserve">68.6435</w:t>
            </w:r>
          </w:p>
        </w:tc>
      </w:tr>
      <w:tr>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-0.0003426</w:t>
            </w:r>
          </w:p>
        </w:tc>
        <w:tc>
          <w:tcPr>
            <w:tcW w:w="0" w:type="auto"/>
          </w:tcPr>
          <w:p>
            <w:pPr>
              <w:spacing w:line="240" w:lineRule="auto" w:before="0" w:after="0"/>
              <w:pStyle w:val="Compact"/>
            </w:pPr>
            <w:r>
              <w:rPr>
                <w:sz w:val="20"/>
                <w:szCs w:val="20"/>
              </w:rPr>
              <w:t xml:space="preserve">0.0003465</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[-0.001, 0.0003365]</w:t>
            </w:r>
          </w:p>
        </w:tc>
        <w:tc>
          <w:tcPr>
            <w:tcW w:w="0" w:type="auto"/>
          </w:tcPr>
          <w:p>
            <w:pPr>
              <w:spacing w:line="240" w:lineRule="auto" w:before="0" w:after="0"/>
              <w:pStyle w:val="Compact"/>
            </w:pPr>
            <w:r>
              <w:rPr>
                <w:sz w:val="20"/>
                <w:szCs w:val="20"/>
              </w:rPr>
              <w:t xml:space="preserve">0.9997</w:t>
            </w:r>
          </w:p>
        </w:tc>
      </w:tr>
    </w:tbl>
    <w:p>
      <w:pPr>
        <w:pStyle w:val="BodyText"/>
      </w:pPr>
      <w:r>
        <w:t xml:space="preserve">Fit: N = 24 events = 12</w:t>
      </w:r>
    </w:p>
    <w:p>
      <w:pPr>
        <w:pStyle w:val="CaptionedFigure"/>
      </w:pPr>
      <w:r>
        <w:drawing>
          <wp:inline>
            <wp:extent cx="5669280" cy="3657600"/>
            <wp:effectExtent b="0" l="0" r="0" t="0"/>
            <wp:docPr descr="Figure 1. Confirmation-to-launch development cost growth against carried-over technological immaturity for 24 NASA deep-space and planetary missions. The upward association motivates the survival-analytic reframing in which immaturity paces the hazard of threshold-crossing cost growth rather than merely its terminal level." title="" id="86" name="Picture"/>
            <a:graphic>
              <a:graphicData uri="http://schemas.openxmlformats.org/drawingml/2006/picture">
                <pic:pic>
                  <pic:nvPicPr>
                    <pic:cNvPr descr="D:\Claude_Code\brain\collegium\candidates\dissertations\JPL_OPS_COMMS_DATA_01\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Confirmation-to-launch development cost growth against carried-over technological immaturity for 24 NASA deep-space and planetary missions. The upward association motivates the survival-analytic reframing in which immaturity paces the hazard of threshold-crossing cost growth rather than merely its terminal level.</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kdpc_year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final_dev_cost_musd</w:t>
            </w:r>
          </w:p>
        </w:tc>
        <w:tc>
          <w:tcPr>
            <w:tcW w:w="0" w:type="auto"/>
          </w:tcPr>
          <w:p>
            <w:pPr>
              <w:spacing w:line="240" w:lineRule="auto" w:before="0" w:after="0"/>
              <w:pStyle w:val="Compact"/>
            </w:pPr>
            <w:r>
              <w:rPr>
                <w:sz w:val="20"/>
                <w:szCs w:val="20"/>
              </w:rPr>
              <w:t xml:space="preserve">pct_growth</w:t>
            </w:r>
          </w:p>
        </w:tc>
        <w:tc>
          <w:tcPr>
            <w:tcW w:w="0" w:type="auto"/>
          </w:tcPr>
          <w:p>
            <w:pPr>
              <w:spacing w:line="240" w:lineRule="auto" w:before="0" w:after="0"/>
              <w:pStyle w:val="Compact"/>
            </w:pPr>
            <w:r>
              <w:rPr>
                <w:sz w:val="20"/>
                <w:szCs w:val="20"/>
              </w:rPr>
              <w:t xml:space="preserve">event_growth15</w:t>
            </w:r>
          </w:p>
        </w:tc>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969</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IG-12-021 (2012-09-27): dev cost 969M-&gt;1.8B, 86pct overrun; GAO-12-207SP technology-maturity narrative (sample-analysis instruments below TRL6 at confirmation); Planetary Society Cost of MSL Curiosity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SpaceNews 2016 InSight delay adds 150M (675M-&gt;830M); NASA OIG/GAO-15-320SP (SEIS seismometer immaturity at confirmation); Planetary Society InSight cost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What happened with Psyche (KDP-C 2019, software 1yr slip, dev growth); GAO-24-106767; IEPC-2017-153 Psyche overview (adapted commercial SEP/power, mixed heritage TRL) basis for carry_immaturity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Parabolic Arc 2020 (GAO): Lucy 981.1M on cost/schedule; GAO-19-262SP (only Lucy matured technologies to TRL6; solar array not a critical technology) basis for low carry_immaturity; Planetary Society Cost of Lucy</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2016 OSIRIS-REx under budget (&gt;30M reserve at launch); Planetary Society Cost of OSIRIS-REx (dev 558.5M); GAO-16-309SP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Juno (cites NASA): 700M FY03 baseline -&gt; ~1.1B; JPL Juno Launch Press Kit 2011; GAO-09-306SP solar/instrument maturity; Planetary Society Juno spending</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project management IEEE 6496871 (launched on cost/schedule/spec, under budget); NASA budgeted 496M; Wikipedia GRAIL</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2013 MAVEN under 671M budget; Planetary Society MAVEN cost; GAO-13-276SP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SMAP (cites NASA): 916M invested, launched 2015 within baseline; GAO-15-320SP NASA assessments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IG-17-009 Mars 2020 (2016 KDP-C, dev cost and growth); GAO-21-306; Planetary Society Perseverance cost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2024 Europa Clipper cost growth (4.25B-&gt;5B, 17.6pct); GAO-25-107591 technology-maturity narrative; Wikipedia Europa Clipper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assessments GRACE-FO development growth (430M-&gt;521M); JPL GRACE-FO Laser Ranging Interferometer documented new-technology demonstrator (first dual-spacecraft laser interferometer) basis for carry_immaturity</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Dawn cost (dev growth 373M-&gt;446M, 2006 near-cancellation); GAO-09-306SP (ion-propulsion immaturity); Wikipedia Dawn</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Deep Impact (cites NASA): cost growth 267M-&gt;330M; NASA Discovery (first cometary impactor + autonomous impactor navigation, novel) basis for carry_immaturity</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Stardust press kit (Discovery, on budget 168M); Wikipedia Stardust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Genesis (cites NASA): development growth 216M-&gt;264M; NASA Discovery (novel solar-wind collector/sample-return capsule) basis for carry_immaturity; carry_immaturity [illustrative] exact TRL count</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Spitzer/SIRTF cost growth 670M-&gt;800M; NASA Great Observatories; GAO large-scale projects (cryogenic-instrument immaturity)</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NuSTAR (SMEX) cost growth 140M-&gt;165M, 2010 funding hold; Caltech NuSTAR (first hard X-ray focusing optics in space, novel multilayer mirrors/CdZnTe detectors) basis for carry_immaturity</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GALEX (SMEX, on budget 103M); Caltech/JPL GALEX</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WISE (cites NASA): launched within budget 320M; JPL WISE</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Phoenix (Mars Scout) cost 386M-&gt;420M; NASA Phoenix (recovered Mars Surveyor 2001 lander heritage hardware, moderate maturity) basis for carry_immaturity</w:t>
            </w:r>
          </w:p>
        </w:tc>
      </w:tr>
      <w:tr>
        <w:tc>
          <w:tcPr>
            <w:tcW w:w="0" w:type="auto"/>
          </w:tcPr>
          <w:p>
            <w:pPr>
              <w:spacing w:line="240" w:lineRule="auto" w:before="0" w:after="0"/>
              <w:pStyle w:val="Compact"/>
            </w:pPr>
            <w:r>
              <w:rPr>
                <w:sz w:val="20"/>
                <w:szCs w:val="20"/>
              </w:rPr>
              <w:t xml:space="preserve">GRAIL-class Discovery (Kepler)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591</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Kepler cost (dev growth to ~591M); NASA Discovery Kepler; GAO-09-306SP (photometer immaturity)</w:t>
            </w:r>
          </w:p>
        </w:tc>
      </w:tr>
      <w:tr>
        <w:tc>
          <w:tcPr>
            <w:tcW w:w="0" w:type="auto"/>
          </w:tcPr>
          <w:p>
            <w:pPr>
              <w:spacing w:line="240" w:lineRule="auto" w:before="0" w:after="0"/>
              <w:pStyle w:val="Compact"/>
            </w:pPr>
            <w:r>
              <w:rPr>
                <w:sz w:val="20"/>
                <w:szCs w:val="20"/>
              </w:rPr>
              <w:t xml:space="preserve">MRO (Mars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MRO (cites NASA): development cost growth 580M-&gt;720M; JPL MRO; GAO-05/06 large-scale projects</w:t>
            </w:r>
          </w:p>
        </w:tc>
      </w:tr>
      <w:tr>
        <w:tc>
          <w:tcPr>
            <w:tcW w:w="0" w:type="auto"/>
          </w:tcPr>
          <w:p>
            <w:pPr>
              <w:spacing w:line="240" w:lineRule="auto" w:before="0" w:after="0"/>
              <w:pStyle w:val="Compact"/>
            </w:pPr>
            <w:r>
              <w:rPr>
                <w:sz w:val="20"/>
                <w:szCs w:val="20"/>
              </w:rPr>
              <w:t xml:space="preserve">Aquarius/SAC-D</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Aquarius (JPL, ESSP) launched within budget 287M; Wikipedia Aquarius</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Key Decision Point C (confirmation) to launch, or to right-censoring at launch for missions that never crossed the threshold</w:t>
            </w:r>
          </w:p>
        </w:tc>
        <w:tc>
          <w:tcPr>
            <w:tcW w:w="0" w:type="auto"/>
          </w:tcPr>
          <w:p>
            <w:pPr>
              <w:spacing w:line="240" w:lineRule="auto" w:before="0" w:after="0"/>
              <w:pStyle w:val="Compact"/>
            </w:pPr>
            <w:r>
              <w:rPr>
                <w:sz w:val="20"/>
                <w:szCs w:val="20"/>
              </w:rPr>
              <w:t xml:space="preserve">Computed from documented KDP-C confirmation dates and launch dates (NASA mission records, GAO NASA Assessments of Major Projects, Planetary Society mission cost pages)</w:t>
            </w:r>
          </w:p>
        </w:tc>
      </w:tr>
      <w:tr>
        <w:tc>
          <w:tcPr>
            <w:tcW w:w="0" w:type="auto"/>
          </w:tcPr>
          <w:p>
            <w:pPr>
              <w:spacing w:line="240" w:lineRule="auto" w:before="0" w:after="0"/>
              <w:pStyle w:val="Compact"/>
            </w:pPr>
            <w:r>
              <w:rPr>
                <w:sz w:val="20"/>
                <w:szCs w:val="20"/>
              </w:rPr>
              <w:t xml:space="preserve">event_growth15</w:t>
            </w:r>
          </w:p>
        </w:tc>
        <w:tc>
          <w:tcPr>
            <w:tcW w:w="0" w:type="auto"/>
          </w:tcPr>
          <w:p>
            <w:pPr>
              <w:spacing w:line="240" w:lineRule="auto" w:before="0" w:after="0"/>
              <w:pStyle w:val="Compact"/>
            </w:pPr>
            <w:r>
              <w:rPr>
                <w:sz w:val="20"/>
                <w:szCs w:val="20"/>
              </w:rPr>
              <w:t xml:space="preserve">Event indicator: 1 if the mission’s development cost exceeded its confirmation (KDP-C) baseline by 15 percent or more at or before launch; 0 if right-censored at launch without crossing the threshold</w:t>
            </w:r>
          </w:p>
        </w:tc>
        <w:tc>
          <w:tcPr>
            <w:tcW w:w="0" w:type="auto"/>
          </w:tcPr>
          <w:p>
            <w:pPr>
              <w:spacing w:line="240" w:lineRule="auto" w:before="0" w:after="0"/>
              <w:pStyle w:val="Compact"/>
            </w:pPr>
            <w:r>
              <w:rPr>
                <w:sz w:val="20"/>
                <w:szCs w:val="20"/>
              </w:rPr>
              <w:t xml:space="preserve">Derived from documented confirmation baseline development cost vs final/current development cost (NASA OIG audits, GAO assessments, Planetary Society cost charts)</w:t>
            </w:r>
          </w:p>
        </w:tc>
      </w:tr>
      <w:tr>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Share of formulation-phase technological immaturity carried into implementation, scaled 0 to 1, operationalized from the count of confirmation-phase instruments and critical subsystems assessed below TRL 6 relative to the mission’s technology set</w:t>
            </w:r>
          </w:p>
        </w:tc>
        <w:tc>
          <w:tcPr>
            <w:tcW w:w="0" w:type="auto"/>
          </w:tcPr>
          <w:p>
            <w:pPr>
              <w:spacing w:line="240" w:lineRule="auto" w:before="0" w:after="0"/>
              <w:pStyle w:val="Compact"/>
            </w:pPr>
            <w:r>
              <w:rPr>
                <w:sz w:val="20"/>
                <w:szCs w:val="20"/>
              </w:rPr>
              <w:t xml:space="preserve">Confirmation-review technology-readiness profiles and GAO technology-maturity assessments; values without an individually published TRL count are marked illustrative in the source column</w:t>
            </w:r>
          </w:p>
        </w:tc>
      </w:tr>
      <w:tr>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Confirmation (KDP-C) baseline development cost in millions of nominal US dollars; scale control</w:t>
            </w:r>
          </w:p>
        </w:tc>
        <w:tc>
          <w:tcPr>
            <w:tcW w:w="0" w:type="auto"/>
          </w:tcPr>
          <w:p>
            <w:pPr>
              <w:spacing w:line="240" w:lineRule="auto" w:before="0" w:after="0"/>
              <w:pStyle w:val="Compact"/>
            </w:pPr>
            <w:r>
              <w:rPr>
                <w:sz w:val="20"/>
                <w:szCs w:val="20"/>
              </w:rPr>
              <w:t xml:space="preserve">NASA OIG audits, GAO NASA Assessments of Major Projects, Planetary Society mission cost pages, mission press kits</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4.2289</w:t>
            </w:r>
          </w:p>
        </w:tc>
        <w:tc>
          <w:tcPr>
            <w:tcW w:w="0" w:type="auto"/>
          </w:tcPr>
          <w:p>
            <w:pPr>
              <w:spacing w:line="240" w:lineRule="auto" w:before="0" w:after="0"/>
              <w:pStyle w:val="Compact"/>
            </w:pPr>
            <w:r>
              <w:rPr>
                <w:sz w:val="20"/>
                <w:szCs w:val="20"/>
              </w:rPr>
              <w:t xml:space="preserve">1.9154</w:t>
            </w:r>
          </w:p>
        </w:tc>
        <w:tc>
          <w:tcPr>
            <w:tcW w:w="0" w:type="auto"/>
          </w:tcPr>
          <w:p>
            <w:pPr>
              <w:spacing w:line="240" w:lineRule="auto" w:before="0" w:after="0"/>
              <w:pStyle w:val="Compact"/>
            </w:pPr>
            <w:r>
              <w:rPr>
                <w:sz w:val="20"/>
                <w:szCs w:val="20"/>
              </w:rPr>
              <w:t xml:space="preserve">2.2078</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[0.4747, 7.9831]</w:t>
            </w:r>
          </w:p>
        </w:tc>
        <w:tc>
          <w:tcPr>
            <w:tcW w:w="0" w:type="auto"/>
          </w:tcPr>
          <w:p>
            <w:pPr>
              <w:spacing w:line="240" w:lineRule="auto" w:before="0" w:after="0"/>
              <w:pStyle w:val="Compact"/>
            </w:pPr>
            <w:r>
              <w:rPr>
                <w:sz w:val="20"/>
                <w:szCs w:val="20"/>
              </w:rPr>
              <w:t xml:space="preserve">68.6435</w:t>
            </w:r>
          </w:p>
        </w:tc>
      </w:tr>
      <w:tr>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-0.0003426</w:t>
            </w:r>
          </w:p>
        </w:tc>
        <w:tc>
          <w:tcPr>
            <w:tcW w:w="0" w:type="auto"/>
          </w:tcPr>
          <w:p>
            <w:pPr>
              <w:spacing w:line="240" w:lineRule="auto" w:before="0" w:after="0"/>
              <w:pStyle w:val="Compact"/>
            </w:pPr>
            <w:r>
              <w:rPr>
                <w:sz w:val="20"/>
                <w:szCs w:val="20"/>
              </w:rPr>
              <w:t xml:space="preserve">0.0003465</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[-0.001, 0.0003365]</w:t>
            </w:r>
          </w:p>
        </w:tc>
        <w:tc>
          <w:tcPr>
            <w:tcW w:w="0" w:type="auto"/>
          </w:tcPr>
          <w:p>
            <w:pPr>
              <w:spacing w:line="240" w:lineRule="auto" w:before="0" w:after="0"/>
              <w:pStyle w:val="Compact"/>
            </w:pPr>
            <w:r>
              <w:rPr>
                <w:sz w:val="20"/>
                <w:szCs w:val="20"/>
              </w:rPr>
              <w:t xml:space="preserve">0.9997</w:t>
            </w:r>
          </w:p>
        </w:tc>
      </w:tr>
    </w:tbl>
    <w:p>
      <w:pPr>
        <w:pStyle w:val="BodyText"/>
      </w:pPr>
      <w:r>
        <w:t xml:space="preserve">Fit: N = 24 events = 12</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0.04.046" TargetMode="External" /><Relationship Type="http://schemas.openxmlformats.org/officeDocument/2006/relationships/hyperlink" Id="rId70" Target="https://doi.org/10.1016/j.actaastro.2022.12.036" TargetMode="External" /><Relationship Type="http://schemas.openxmlformats.org/officeDocument/2006/relationships/hyperlink" Id="rId80" Target="https://doi.org/10.1016/j.actaastro.2024.05.039" TargetMode="External" /><Relationship Type="http://schemas.openxmlformats.org/officeDocument/2006/relationships/hyperlink" Id="rId76" Target="https://doi.org/10.1016/j.actaastro.2024.08.022" TargetMode="External" /><Relationship Type="http://schemas.openxmlformats.org/officeDocument/2006/relationships/hyperlink" Id="rId82" Target="https://doi.org/10.1016/j.actaastro.2025.01.038" TargetMode="External" /><Relationship Type="http://schemas.openxmlformats.org/officeDocument/2006/relationships/hyperlink" Id="rId74"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0.04.046" TargetMode="External" /><Relationship Type="http://schemas.openxmlformats.org/officeDocument/2006/relationships/hyperlink" Id="rId70" Target="https://doi.org/10.1016/j.actaastro.2022.12.036" TargetMode="External" /><Relationship Type="http://schemas.openxmlformats.org/officeDocument/2006/relationships/hyperlink" Id="rId80" Target="https://doi.org/10.1016/j.actaastro.2024.05.039" TargetMode="External" /><Relationship Type="http://schemas.openxmlformats.org/officeDocument/2006/relationships/hyperlink" Id="rId76" Target="https://doi.org/10.1016/j.actaastro.2024.08.022" TargetMode="External" /><Relationship Type="http://schemas.openxmlformats.org/officeDocument/2006/relationships/hyperlink" Id="rId82" Target="https://doi.org/10.1016/j.actaastro.2025.01.038" TargetMode="External" /><Relationship Type="http://schemas.openxmlformats.org/officeDocument/2006/relationships/hyperlink" Id="rId74"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2026-06-22T20:31:54Z</dcterms:created>
  <dcterms:modified xsi:type="dcterms:W3CDTF">2026-06-22T20:31:54Z</dcterms:modified>
</cp:coreProperties>
</file>

<file path=docProps/custom.xml><?xml version="1.0" encoding="utf-8"?>
<Properties xmlns="http://schemas.openxmlformats.org/officeDocument/2006/custom-properties" xmlns:vt="http://schemas.openxmlformats.org/officeDocument/2006/docPropsVTypes"/>
</file>